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903A8" w14:textId="58C7E676" w:rsidR="0071415B" w:rsidRPr="00D636A8" w:rsidRDefault="0071415B" w:rsidP="001D6510">
      <w:pPr>
        <w:rPr>
          <w:b/>
          <w:bCs/>
        </w:rPr>
      </w:pPr>
      <w:r w:rsidRPr="00D636A8">
        <w:rPr>
          <w:b/>
          <w:bCs/>
        </w:rPr>
        <w:t>An Examination of the Adoption and Frequency of Part-Day and Full-Day Telework and the</w:t>
      </w:r>
      <w:r w:rsidR="003C4525">
        <w:rPr>
          <w:b/>
          <w:bCs/>
        </w:rPr>
        <w:t xml:space="preserve"> </w:t>
      </w:r>
      <w:r w:rsidRPr="00D636A8">
        <w:rPr>
          <w:b/>
          <w:bCs/>
        </w:rPr>
        <w:t>Impacts on Weekly Commute VMT</w:t>
      </w:r>
      <w:r w:rsidR="00C80747">
        <w:rPr>
          <w:b/>
          <w:bCs/>
        </w:rPr>
        <w:t xml:space="preserve"> </w:t>
      </w:r>
    </w:p>
    <w:p w14:paraId="6219A9BF" w14:textId="77777777" w:rsidR="0071415B" w:rsidRDefault="0071415B" w:rsidP="001D6510"/>
    <w:p w14:paraId="029A5918" w14:textId="77777777" w:rsidR="0071415B" w:rsidRDefault="0071415B" w:rsidP="001D6510"/>
    <w:p w14:paraId="4018D941" w14:textId="77777777" w:rsidR="0071415B" w:rsidRDefault="0071415B" w:rsidP="001D6510"/>
    <w:p w14:paraId="3ADD9862" w14:textId="77777777" w:rsidR="008F41B6" w:rsidRPr="00D636A8" w:rsidRDefault="008F41B6" w:rsidP="001D6510">
      <w:pPr>
        <w:rPr>
          <w:b/>
          <w:bCs/>
        </w:rPr>
      </w:pPr>
      <w:r w:rsidRPr="00D636A8">
        <w:rPr>
          <w:b/>
          <w:bCs/>
        </w:rPr>
        <w:t xml:space="preserve">Dale Robbennolt </w:t>
      </w:r>
    </w:p>
    <w:p w14:paraId="622BB7D9" w14:textId="77777777" w:rsidR="008F41B6" w:rsidRPr="008F41B6" w:rsidRDefault="008F41B6" w:rsidP="001D6510">
      <w:r w:rsidRPr="008F41B6">
        <w:t xml:space="preserve">The University of Texas at Austin </w:t>
      </w:r>
    </w:p>
    <w:p w14:paraId="4238EE47" w14:textId="77777777" w:rsidR="008F41B6" w:rsidRPr="008F41B6" w:rsidRDefault="008F41B6" w:rsidP="001D6510">
      <w:r w:rsidRPr="008F41B6">
        <w:t xml:space="preserve">Department of Civil, Architectural and Environmental Engineering </w:t>
      </w:r>
    </w:p>
    <w:p w14:paraId="1D19E998" w14:textId="77777777" w:rsidR="008F41B6" w:rsidRPr="008F41B6" w:rsidRDefault="008F41B6" w:rsidP="001D6510">
      <w:r w:rsidRPr="008F41B6">
        <w:t xml:space="preserve">301 E. Dean Keeton St. Stop C1761, Austin TX 78712, USA </w:t>
      </w:r>
    </w:p>
    <w:p w14:paraId="062330DB" w14:textId="77777777" w:rsidR="008F41B6" w:rsidRPr="008F41B6" w:rsidRDefault="008F41B6" w:rsidP="001D6510">
      <w:r w:rsidRPr="008F41B6">
        <w:t xml:space="preserve">Email: dar4836@utexas.edu </w:t>
      </w:r>
    </w:p>
    <w:p w14:paraId="0F1603B9" w14:textId="77777777" w:rsidR="008F41B6" w:rsidRPr="008F41B6" w:rsidRDefault="008F41B6" w:rsidP="001D6510"/>
    <w:p w14:paraId="5A999298" w14:textId="77777777" w:rsidR="008F41B6" w:rsidRPr="00D636A8" w:rsidRDefault="008F41B6" w:rsidP="001D6510">
      <w:pPr>
        <w:rPr>
          <w:b/>
          <w:bCs/>
        </w:rPr>
      </w:pPr>
      <w:r w:rsidRPr="00D636A8">
        <w:rPr>
          <w:b/>
          <w:bCs/>
        </w:rPr>
        <w:t>Anna Beliveau</w:t>
      </w:r>
    </w:p>
    <w:p w14:paraId="5099A882" w14:textId="77777777" w:rsidR="008F41B6" w:rsidRPr="008F41B6" w:rsidRDefault="008F41B6" w:rsidP="001D6510">
      <w:r w:rsidRPr="008F41B6">
        <w:t xml:space="preserve">The University of Texas at Austin </w:t>
      </w:r>
    </w:p>
    <w:p w14:paraId="31E27485" w14:textId="77777777" w:rsidR="008F41B6" w:rsidRPr="008F41B6" w:rsidRDefault="008F41B6" w:rsidP="001D6510">
      <w:r w:rsidRPr="008F41B6">
        <w:t xml:space="preserve">Department of Civil, Architectural and Environmental Engineering </w:t>
      </w:r>
    </w:p>
    <w:p w14:paraId="579CDE5E" w14:textId="77777777" w:rsidR="008F41B6" w:rsidRPr="008F41B6" w:rsidRDefault="008F41B6" w:rsidP="001D6510">
      <w:r w:rsidRPr="008F41B6">
        <w:t xml:space="preserve">301 E. Dean Keeton St. Stop C1761, Austin TX 78712, USA </w:t>
      </w:r>
    </w:p>
    <w:p w14:paraId="380BA400" w14:textId="77777777" w:rsidR="008F41B6" w:rsidRPr="008F41B6" w:rsidRDefault="008F41B6" w:rsidP="001D6510">
      <w:r w:rsidRPr="008F41B6">
        <w:t xml:space="preserve">Email: annabeliveau@utexas.edu </w:t>
      </w:r>
    </w:p>
    <w:p w14:paraId="319F6466" w14:textId="77777777" w:rsidR="008F41B6" w:rsidRPr="008F41B6" w:rsidRDefault="008F41B6" w:rsidP="001D6510"/>
    <w:p w14:paraId="4ADB7312" w14:textId="77777777" w:rsidR="008F41B6" w:rsidRPr="00D636A8" w:rsidRDefault="008F41B6" w:rsidP="001D6510">
      <w:pPr>
        <w:rPr>
          <w:b/>
          <w:bCs/>
        </w:rPr>
      </w:pPr>
      <w:r w:rsidRPr="00D636A8">
        <w:rPr>
          <w:b/>
          <w:bCs/>
        </w:rPr>
        <w:t xml:space="preserve">Chandra R. Bhat (corresponding author) </w:t>
      </w:r>
    </w:p>
    <w:p w14:paraId="5FDA6775" w14:textId="77777777" w:rsidR="008F41B6" w:rsidRPr="008F41B6" w:rsidRDefault="008F41B6" w:rsidP="001D6510">
      <w:r w:rsidRPr="008F41B6">
        <w:t xml:space="preserve">The University of Texas at Austin </w:t>
      </w:r>
    </w:p>
    <w:p w14:paraId="58BFDF40" w14:textId="77777777" w:rsidR="008F41B6" w:rsidRPr="008F41B6" w:rsidRDefault="008F41B6" w:rsidP="001D6510">
      <w:r w:rsidRPr="008F41B6">
        <w:t xml:space="preserve">Department of Civil, Architectural and Environmental Engineering </w:t>
      </w:r>
    </w:p>
    <w:p w14:paraId="53E47BBB" w14:textId="77777777" w:rsidR="008F41B6" w:rsidRPr="008F41B6" w:rsidRDefault="008F41B6" w:rsidP="001D6510">
      <w:r w:rsidRPr="008F41B6">
        <w:t xml:space="preserve">301 E. Dean Keeton St. Stop C1761, Austin TX 78712, USA </w:t>
      </w:r>
    </w:p>
    <w:p w14:paraId="432E9EDA" w14:textId="7F6B9AD5" w:rsidR="00AD6CCB" w:rsidRPr="00AA7459" w:rsidRDefault="008F41B6" w:rsidP="001D6510">
      <w:r w:rsidRPr="008F41B6">
        <w:t>Tel: +1-512-471-4535; Email: bhat@mail.utexas.edu</w:t>
      </w:r>
      <w:r w:rsidR="00AD6CCB" w:rsidRPr="00AA7459">
        <w:br w:type="page"/>
      </w:r>
    </w:p>
    <w:p w14:paraId="18B625F4" w14:textId="1AF4E65F" w:rsidR="00AD6CCB" w:rsidRPr="008F389E" w:rsidRDefault="00FE4EAE" w:rsidP="001D6510">
      <w:pPr>
        <w:rPr>
          <w:b/>
          <w:bCs/>
        </w:rPr>
      </w:pPr>
      <w:r w:rsidRPr="008F389E">
        <w:rPr>
          <w:b/>
          <w:bCs/>
        </w:rPr>
        <w:lastRenderedPageBreak/>
        <w:t>ABSTRACT</w:t>
      </w:r>
    </w:p>
    <w:p w14:paraId="3B96ABE1" w14:textId="6EFFEFD6" w:rsidR="00A5259E" w:rsidRDefault="00FE4EAE" w:rsidP="00A5259E">
      <w:r w:rsidRPr="008F389E">
        <w:t xml:space="preserve">Telework adoption has expanded rapidly in the aftermath of the COVID-19 pandemic, with many workers now engaging in flexible hybrid arrangements that include not only full-day </w:t>
      </w:r>
      <w:r w:rsidR="00BA7FF8">
        <w:t>telework</w:t>
      </w:r>
      <w:r w:rsidRPr="008F389E">
        <w:t xml:space="preserve"> but also p</w:t>
      </w:r>
      <w:r w:rsidRPr="00FE4EAE">
        <w:t xml:space="preserve">art-day telework, in which work is split between in-person and remote locations within a single day. Despite the growing prevalence of part-day telework, most large-scale surveys and travel demand models fail to distinguish it from full-day telework, obscuring important differences in commute patterns, activity scheduling, and resulting vehicle miles traveled (VMT). </w:t>
      </w:r>
      <w:r w:rsidR="00A5259E">
        <w:t xml:space="preserve">This paper examines </w:t>
      </w:r>
      <w:r w:rsidRPr="00FE4EAE">
        <w:t>the adoption and frequency of part-day and full-day telework and quantif</w:t>
      </w:r>
      <w:r w:rsidR="00A5259E">
        <w:t>ies</w:t>
      </w:r>
      <w:r w:rsidRPr="00FE4EAE">
        <w:t xml:space="preserve"> their differential effects on weekly commute VMT, using multi-day travel diary data from the 2023 Puget Sound Regional Household Travel Survey. The analysis </w:t>
      </w:r>
      <w:r w:rsidR="00A5259E">
        <w:t>employs</w:t>
      </w:r>
      <w:r w:rsidRPr="00FE4EAE">
        <w:t xml:space="preserve"> a joint modeling framework that represents telework adoption, the frequenc</w:t>
      </w:r>
      <w:r w:rsidR="000F576C">
        <w:t>ies</w:t>
      </w:r>
      <w:r w:rsidRPr="00FE4EAE">
        <w:t xml:space="preserve"> of part-day and full-day telework, and commute distance, while accounting for unobserved behavioral factors influencing these outcomes. </w:t>
      </w:r>
      <w:r w:rsidR="00A5259E">
        <w:t xml:space="preserve">The results reveal significant differences in preferences for part-day and full-day telework across individual demographics and location characteristics. </w:t>
      </w:r>
      <w:r w:rsidR="00A5259E" w:rsidRPr="009A6B06">
        <w:t>Regarding travel impacts, part-day telework</w:t>
      </w:r>
      <w:r w:rsidR="006E4A21">
        <w:t xml:space="preserve"> tends to be jointly chosen as a package along with living close to the physical out-of-home </w:t>
      </w:r>
      <w:r w:rsidR="000E4541">
        <w:t>workplace</w:t>
      </w:r>
      <w:r w:rsidR="006E4A21">
        <w:t xml:space="preserve"> (that is, shorter commute distances),</w:t>
      </w:r>
      <w:r w:rsidR="00A5259E">
        <w:t xml:space="preserve"> while full-day telework is more common</w:t>
      </w:r>
      <w:r w:rsidR="006E4A21">
        <w:t>ly chosen as a package along with living farther from the physical</w:t>
      </w:r>
      <w:r w:rsidR="00A5259E">
        <w:t xml:space="preserve"> </w:t>
      </w:r>
      <w:r w:rsidR="006E4A21">
        <w:t>out-of-home workplace</w:t>
      </w:r>
      <w:r w:rsidR="00A5259E">
        <w:t xml:space="preserve">. We also quantify the overall impacts of work arrangement choices on weekly commute VMT, revealing specific actionable insights for travel demand forecasting, transportation demand management, and employer telework policies. </w:t>
      </w:r>
    </w:p>
    <w:p w14:paraId="153765DA" w14:textId="77777777" w:rsidR="00AD6CCB" w:rsidRPr="00AA7459" w:rsidRDefault="00AD6CCB" w:rsidP="001D6510"/>
    <w:p w14:paraId="4ED9D287" w14:textId="45E1DE32" w:rsidR="003E7FE8" w:rsidRPr="00B6518B" w:rsidRDefault="00AD6CCB" w:rsidP="001D6510">
      <w:pPr>
        <w:rPr>
          <w:b/>
          <w:bCs/>
        </w:rPr>
        <w:sectPr w:rsidR="003E7FE8" w:rsidRPr="00B6518B">
          <w:pgSz w:w="12240" w:h="15840"/>
          <w:pgMar w:top="1440" w:right="1440" w:bottom="1440" w:left="1440" w:header="720" w:footer="720" w:gutter="0"/>
          <w:cols w:space="720"/>
          <w:docGrid w:linePitch="360"/>
        </w:sectPr>
      </w:pPr>
      <w:r w:rsidRPr="00B6518B">
        <w:rPr>
          <w:b/>
          <w:bCs/>
        </w:rPr>
        <w:t>Keywords:</w:t>
      </w:r>
      <w:r w:rsidR="00FE4EAE">
        <w:rPr>
          <w:b/>
          <w:bCs/>
        </w:rPr>
        <w:t xml:space="preserve"> </w:t>
      </w:r>
      <w:r w:rsidR="00FE4EAE" w:rsidRPr="00FE4EAE">
        <w:t>Part-Day Telework, Hybrid Work Arrangements, Commute VMT, Telework Frequency, Travel Demand Modeling</w:t>
      </w:r>
    </w:p>
    <w:p w14:paraId="6D82E0D1" w14:textId="156E736A" w:rsidR="00904983" w:rsidRPr="001D6510" w:rsidRDefault="00CB496F" w:rsidP="001D6510">
      <w:pPr>
        <w:rPr>
          <w:b/>
          <w:bCs/>
        </w:rPr>
      </w:pPr>
      <w:r w:rsidRPr="001D6510">
        <w:rPr>
          <w:b/>
          <w:bCs/>
        </w:rPr>
        <w:lastRenderedPageBreak/>
        <w:t>1. INTRODUCTION</w:t>
      </w:r>
    </w:p>
    <w:p w14:paraId="000465C1" w14:textId="4503070B" w:rsidR="00FF3A84" w:rsidRPr="00AA7459" w:rsidRDefault="007B4CEA" w:rsidP="001D6510">
      <w:r w:rsidRPr="00E5227C">
        <w:rPr>
          <w:sz w:val="23"/>
          <w:szCs w:val="23"/>
        </w:rPr>
        <w:t>A significant body of research has examined the adoption of telework and the impacts of telework choices on activity-travel behavior, particularly in the aftermath of the COVID-19 pandemic</w:t>
      </w:r>
      <w:r>
        <w:rPr>
          <w:sz w:val="23"/>
          <w:szCs w:val="23"/>
        </w:rPr>
        <w:t xml:space="preserve">. </w:t>
      </w:r>
      <w:r w:rsidR="00B05666" w:rsidRPr="00AA7459">
        <w:t>During the height of the pandemic</w:t>
      </w:r>
      <w:r w:rsidR="006F6288" w:rsidRPr="00AA7459">
        <w:t>,</w:t>
      </w:r>
      <w:r w:rsidR="00B05666" w:rsidRPr="00AA7459">
        <w:t xml:space="preserve"> </w:t>
      </w:r>
      <w:r w:rsidR="00A57D87" w:rsidRPr="00AA7459">
        <w:t xml:space="preserve">more than </w:t>
      </w:r>
      <w:r w:rsidR="001A21BA" w:rsidRPr="00AA7459">
        <w:t>30</w:t>
      </w:r>
      <w:r w:rsidR="00A57D87" w:rsidRPr="00AA7459">
        <w:t xml:space="preserve">% of workers in the </w:t>
      </w:r>
      <w:r w:rsidR="00C64BE1" w:rsidRPr="00AA7459">
        <w:t xml:space="preserve">United States </w:t>
      </w:r>
      <w:r w:rsidR="001A21BA" w:rsidRPr="00AA7459">
        <w:t>moved to a work</w:t>
      </w:r>
      <w:r w:rsidR="005B68AA">
        <w:t xml:space="preserve"> arrangement</w:t>
      </w:r>
      <w:r w:rsidR="001A21BA" w:rsidRPr="00AA7459">
        <w:t xml:space="preserve"> that consisted </w:t>
      </w:r>
      <w:r w:rsidR="00BD2774" w:rsidRPr="00AA7459">
        <w:t xml:space="preserve">primarily </w:t>
      </w:r>
      <w:r w:rsidR="001A21BA" w:rsidRPr="00AA7459">
        <w:t>of remote work</w:t>
      </w:r>
      <w:r w:rsidR="00A57D87" w:rsidRPr="00AA7459">
        <w:t xml:space="preserve"> (compared with less than 5% before the pandemic), while more than </w:t>
      </w:r>
      <w:r w:rsidR="008345CB" w:rsidRPr="00AA7459">
        <w:t xml:space="preserve">60% of </w:t>
      </w:r>
      <w:r w:rsidR="00E14AAE">
        <w:t xml:space="preserve">total </w:t>
      </w:r>
      <w:r w:rsidR="008345CB" w:rsidRPr="00AA7459">
        <w:t xml:space="preserve">working days were undertaken from home </w:t>
      </w:r>
      <w:r w:rsidR="00756FAC" w:rsidRPr="00AA7459">
        <w:fldChar w:fldCharType="begin"/>
      </w:r>
      <w:r w:rsidR="00B46ED4">
        <w:instrText xml:space="preserve"> ADDIN ZOTERO_ITEM CSL_CITATION {"citationID":"tMo3WBAO","properties":{"unsorted":true,"formattedCitation":"(Barrero et al., 2021; Rafiq et al., 2022; Olde Kalter et al., 2023)","plainCitation":"(Barrero et al., 2021; Rafiq et al., 2022; Olde Kalter et al., 2023)","noteIndex":0},"citationItems":[{"id":4349,"uris":["http://zotero.org/users/12832277/items/9WNDC9B3"],"itemData":{"id":4349,"type":"article-journal","abstract":"COVID-19 drove a mass social experiment in working from home (WFH). We survey more than 30,000 Americans over multiple waves to investigate whether WFH will stick, and why. Our data say that 20 percent of full workdays will be supplied from home after the pandemic ends, compared with just 5 percent before. We develop evidence on five reasons for this large shift: better-than-expected WFH experiences, new investments in physical and human capital that enable WFH, greatly diminished stigma associated with WFH, lingering concerns about crowds and contagion risks, and a pandemic-driven surge in technological innovations that support WFH. We also use our survey data to project three consequences: First, employees will enjoy large benefits from greater remote work, especially those with higher earnings. Second, the shift to WFH will directly reduce spending in major city centers by at least 5-10 percent relative to the pre-pandemic situation. Third, our data on employer plans and the relative productivity of WFH imply a 5 percent productivity boost in the post-pandemic economy due to re-optimized working arrangements. Only one-fifth of this productivity gain will show up in conventional productivity measures, because they do not capture the time savings from less commuting.","collection-title":"NBER working paper series","container-title":"National Bureau of Economic Research","DOI":"10.3386/w28731","note":"DOI: 10.3386/w28731","source":"National Bureau of Economic Research","title":"Why Working from Home Will Stick","URL":"https://www.nber.org/papers/w28731","author":[{"family":"Barrero","given":"Jose Maria"},{"family":"Bloom","given":"Nicholas"},{"family":"Davis","given":"Steven J."}],"accessed":{"date-parts":[["2025",4,23]]},"issued":{"date-parts":[["2021",4]]}}},{"id":4346,"uris":["http://zotero.org/users/12832277/items/USFRY7Q3"],"itemData":{"id":4346,"type":"article-journal","abstract":"The ongoing COVID-19 pandemic has created significant public health concerns that led the public and private sectors to impose stay-at-home and work-from-home policies. Although working from home has been a conventional albeit infrequent behavior, the prevalence of this option was significantly and rapidly accelerated during the pandemic. This study explored the impacts of working from home on activity-travel behavior during the pandemic. Both work and non-work activity participation declined during the pandemic but to what extent was this due to working from home? How did working from home affect other measures of travel such as person-miles traveled? We approached these questions by developing a Structural Regression model and using cross-sectional data for the early phase of the pandemic when the infection curve was flattened and activity-travel behavior became relatively stable following the drastic changes observed during the pandemic’s initial shock. Combining U.S. county-level data from the Maryland Transportation Institute and Google Mobility Reports, we concluded that the proportion of people working from home directly depended on pandemic severity and associated public health policies as well as on a range of socio-economic characteristics. Working from home contributed to a reduction in workplace visits. It also reduced non-work activities but only via a reduction in non-work activities linked to work. Finally, a higher working from home proportion in a county corresponded to a reduction in average person-miles traveled. A higher degree of state government responses to containment and closure policies contributed to an increase in working from home, and decreases in workplace and non-workplace visits and person-miles traveled in a county. The results of this study provide important insights into changes in activity-travel behavior associated with working from home as a response strategy to major disruptions such as those imposed by a pandemic.","container-title":"Transportation Research Part A: Policy and Practice","DOI":"10.1016/j.tra.2022.03.003","ISSN":"0965-8564","page":"35-54","source":"ScienceDirect","title":"Impact of Working from Home on Activity-Travel Behavior During the Covid-19 Pandemic: An Aggregate Structural Analysis","volume":"159","author":[{"family":"Rafiq","given":"Rezwana"},{"family":"McNally","given":"Michael G."},{"family":"Sarwar Uddin","given":"Yusuf"},{"family":"Ahmed","given":"Tanjeeb"}],"issued":{"date-parts":[["2022",5,1]]}}},{"id":4343,"uris":["http://zotero.org/users/12832277/items/97286PQL"],"itemData":{"id":4343,"type":"chapter","abstract":"Teleworking increased tremendously during the peaks of the COVID-19 pandemic in 2020 and 2021. This period opened new research opportunities for scientists to improve their understanding of teleworking and its relationship with travel behavior. This chapter provides a literature review to explore whether the determinants that explain teleworking and commuting behavior have changed during the pandemic and what this means for future policy. Literature on teleworking in the period before COVID-19 shows that job sector and job function are the most dominant factors in explaining the probability of workers to telework. During the COVID-19 pandemic, the probability of teleworking increased especially among office workers, contributing to a drastic decrease in the number of commuting trips and distance traveled. The literature review shows that employer’s policies and employees’ experiences during the pandemic were two key factors that influenced the increase in teleworking. Although most studies found that most employees intend to telework more often after COVID-19 compared to the period before COVID-19, more research on the structural and long-term effects is needed. This provides a better insight into the relationship between teleworking and commuting behavior, and more realistic estimations of the impact on the number of commuting and non-commuting trips, substitution effects and changes in mode choice for commuting.","container-title":"Advances in Transport Policy and Planning","DOI":"10.1016/bs.atpp.2023.07.004","page":"1-48","publisher":"Academic Press","source":"ScienceDirect","title":"The Impact of Covid-19 on Teleworking and Commuting Behavior—A Literature Review","URL":"https://www.sciencedirect.com/science/article/pii/S2543000923000045","volume":"11","author":[{"family":"Olde Kalter","given":"Marie-José"},{"family":"Geurs","given":"Karst T."},{"family":"Wismans","given":"Luc"}],"editor":[{"family":"Van Acker","given":"Veronique"},{"family":"Choo","given":"Sangho"},{"family":"Mokhtarian","given":"Patricia L"}],"accessed":{"date-parts":[["2025",4,23]]},"issued":{"date-parts":[["2023",1,1]]}}}],"schema":"https://github.com/citation-style-language/schema/raw/master/csl-citation.json"} </w:instrText>
      </w:r>
      <w:r w:rsidR="00756FAC" w:rsidRPr="00AA7459">
        <w:fldChar w:fldCharType="separate"/>
      </w:r>
      <w:r w:rsidR="00AA606C" w:rsidRPr="00AA606C">
        <w:t>(Barrero et al., 2021; Rafiq et al., 2022; Olde Kalter et al., 2023)</w:t>
      </w:r>
      <w:r w:rsidR="00756FAC" w:rsidRPr="00AA7459">
        <w:fldChar w:fldCharType="end"/>
      </w:r>
      <w:r w:rsidR="008345CB" w:rsidRPr="00AA7459">
        <w:t xml:space="preserve">. </w:t>
      </w:r>
      <w:r w:rsidR="00875DE7" w:rsidRPr="00AA7459">
        <w:t>This rapid change was enabled by the growth of information and communications technologies that had already been influencing work arrangements for many years</w:t>
      </w:r>
      <w:r w:rsidR="00F51E77">
        <w:t>,</w:t>
      </w:r>
      <w:r w:rsidR="00875DE7" w:rsidRPr="00AA7459">
        <w:t xml:space="preserve"> as well as </w:t>
      </w:r>
      <w:r w:rsidR="00C64BE1" w:rsidRPr="00AA7459">
        <w:t xml:space="preserve">mandated </w:t>
      </w:r>
      <w:r w:rsidR="00875DE7" w:rsidRPr="00AA7459">
        <w:t>changes to</w:t>
      </w:r>
      <w:r w:rsidR="00C64BE1" w:rsidRPr="00AA7459">
        <w:t xml:space="preserve"> work </w:t>
      </w:r>
      <w:r w:rsidR="00875DE7" w:rsidRPr="00AA7459">
        <w:t>arrangements</w:t>
      </w:r>
      <w:r w:rsidR="00C64BE1" w:rsidRPr="00AA7459">
        <w:t xml:space="preserve"> due to strict lockdown policies enacted by local governments or </w:t>
      </w:r>
      <w:r w:rsidR="00C76159" w:rsidRPr="00AA7459">
        <w:t>internal</w:t>
      </w:r>
      <w:r w:rsidR="00C64BE1" w:rsidRPr="00AA7459">
        <w:t xml:space="preserve"> company policies</w:t>
      </w:r>
      <w:r w:rsidR="00F621FA" w:rsidRPr="00AA7459">
        <w:t xml:space="preserve"> </w:t>
      </w:r>
      <w:r w:rsidR="00E82675" w:rsidRPr="00AA7459">
        <w:fldChar w:fldCharType="begin"/>
      </w:r>
      <w:r w:rsidR="001A58C8" w:rsidRPr="00AA7459">
        <w:instrText xml:space="preserve"> ADDIN ZOTERO_ITEM CSL_CITATION {"citationID":"5sA9w2M5","properties":{"formattedCitation":"(Sweet and Scott, 2022; Wang et al., 2023)","plainCitation":"(Sweet and Scott, 2022; Wang et al., 2023)","noteIndex":0},"citationItems":[{"id":4361,"uris":["http://zotero.org/users/12832277/items/39HPVAZC"],"itemData":{"id":4361,"type":"article-journal","abstract":"With the acceleration of pandemic-induced teleworking, understanding the longer-term outlook for telework is critical to shape the sustainability and success of cities. This study uses data from a 2021 survey of Canadians aged 18–75 in six major metropolitan areas to explore employed Canadians’ changes in teleworking before the COVID-19 pandemic, during the pandemic, in the fall of 2021, and in ‘ideal’ circumstances. Descriptive findings indicate that while non-teleworkers remain half of the employed population, most teleworking growth has been among individuals teleworking five-plus days per week. Among full-time workers, the estimated commuting mode share of teleworking increased from 7.4% (pre-pandemic) to 19.8% during the pandemic and may be approximately 16.9% under stated ‘ideal’ circumstances. Based on ordered logit model results, telework, as an adaptation strategy, appears to have changed– particularly for individuals with health-related mobility challenges, households with children, and between men and women. For full-time employees (but not part-time employees), telework appears not to offset auto-orientation – leaving questions about the longer-term sustainability of telework. Growth in telework has been concentrated and understanding these sub-markets and the implications of consequent travel behavior changes will be critical towards exploring changing urban trajectories as cities move past the pandemic.","container-title":"Sustainable Cities and Society","DOI":"10.1016/j.scs.2022.104175","ISSN":"2210-6707","source":"ScienceDirect","title":"Insights into the Future of Telework in Canada: Modeling the Trajectory of Telework Across a Pandemic","URL":"https://www.sciencedirect.com/science/article/pii/S2210670722004887","volume":"87","author":[{"family":"Sweet","given":"Matthias"},{"family":"Scott","given":"Darren M."}],"accessed":{"date-parts":[["2025",4,26]]},"issued":{"date-parts":[["2022",12,1]]}}},{"id":2795,"uris":["http://zotero.org/users/12832277/items/F36GYI2U"],"itemData":{"id":2795,"type":"article-journal","abstract":"Teleworking is a major lifestyle change whose adoption expanded substantially during the COVID-19 pandemic, and which might permanently change the working habits of some. To understand how much during-COVID teleworking behavior will “stick” in the post-pandemic world, this study explores pre-, during-, and expected post-COVID teleworking frequency trajectories based on during-COVID survey responses, which were weighted to represent the population shares of non–/non-usual/usual teleworkers (TWers). Taking respondents’ self-reported expectations at face value, post-COVID teleworking frequency will be 2.6–3.3 times that of pre-COVID, but we suspect that those expectations are over-optimistic. We developed a typology based on the teleworking trajectories, and identified eight mutually exclusive and collectively exhaustive worker segments: Climbers (13.6%), Plateauers (8.4%), Cappers (12.6%), Stable unables (43.1%), Stable non-choosers (13.5%), Stable non-usual TWers (1.5%), Stable usual TWers (3.2%), and Reducers (4.0%). We conducted three exploratory factor analyses and identified latent attitudinal constructs including 11 general, 7 work-related, and 7 telework-related attitudes. We profiled the eight segments regarding various attitudes and sociodemographic traits to reveal their potential connections to teleworking behavior, and to suggest further explorations with respect to residential location, vehicle ownership, and other travel patterns. Specifically, we see research needs pertaining to residential relocation and household vehicle ownership changes for segments expecting net increases in teleworking frequency between pre- and post-COVID. We also observed heterogeneity of teleworking adoption/frequency choices, attitudes, and travel behaviors among (tele)worker segments. Overall, this study deepens our understanding of post-COVID teleworking behavior changes, and provides a starting point for understanding the heterogeneity among (tele)workers.","container-title":"Travel Behaviour and Society","DOI":"10.1016/j.tbs.2023.100628","ISSN":"2214-367X","source":"ScienceDirect","title":"Teleworking Behavior Pre-, During, and Expected Post-COVID: Identification and Empirical Description of Trajectory Types","URL":"https://www.sciencedirect.com/science/article/pii/S2214367X23000790","volume":"33","author":[{"family":"Wang","given":"Xinyi"},{"family":"Kim","given":"Sung Hoo"},{"family":"Mokhtarian","given":"Patricia L."}],"accessed":{"date-parts":[["2024",3,1]]},"issued":{"date-parts":[["2023",10,1]]}}}],"schema":"https://github.com/citation-style-language/schema/raw/master/csl-citation.json"} </w:instrText>
      </w:r>
      <w:r w:rsidR="00E82675" w:rsidRPr="00AA7459">
        <w:fldChar w:fldCharType="separate"/>
      </w:r>
      <w:r w:rsidR="00AA606C" w:rsidRPr="00AA606C">
        <w:t>(Sweet and Scott, 2022; Wang et al., 2023)</w:t>
      </w:r>
      <w:r w:rsidR="00E82675" w:rsidRPr="00AA7459">
        <w:fldChar w:fldCharType="end"/>
      </w:r>
      <w:r w:rsidR="00C64BE1" w:rsidRPr="00AA7459">
        <w:t xml:space="preserve">. </w:t>
      </w:r>
      <w:r w:rsidR="002B356D" w:rsidRPr="00AA7459">
        <w:t>More recently</w:t>
      </w:r>
      <w:r w:rsidR="004E42D7" w:rsidRPr="00AA7459">
        <w:t xml:space="preserve">, </w:t>
      </w:r>
      <w:r w:rsidR="00B26176">
        <w:t xml:space="preserve">as the motivations </w:t>
      </w:r>
      <w:r w:rsidR="00E321BC">
        <w:t>for telework have continued to evolve</w:t>
      </w:r>
      <w:r w:rsidR="006F6288" w:rsidRPr="00AA7459">
        <w:t>,</w:t>
      </w:r>
      <w:r w:rsidR="004E42D7" w:rsidRPr="00AA7459">
        <w:t xml:space="preserve"> the landscape of remote work has become more complex. </w:t>
      </w:r>
      <w:r w:rsidR="008D5071">
        <w:t xml:space="preserve">This evolution has included significant growth in </w:t>
      </w:r>
      <w:r w:rsidR="008D5071" w:rsidRPr="00E5227C">
        <w:rPr>
          <w:sz w:val="23"/>
          <w:szCs w:val="23"/>
        </w:rPr>
        <w:t xml:space="preserve">flexible hybrid work arrangements, involving not only different work locations on different workdays, but also an increased ability to split time across multiple work locations </w:t>
      </w:r>
      <w:r w:rsidR="008D5071" w:rsidRPr="00E5227C">
        <w:rPr>
          <w:i/>
          <w:iCs/>
          <w:sz w:val="23"/>
          <w:szCs w:val="23"/>
        </w:rPr>
        <w:t xml:space="preserve">within a single day </w:t>
      </w:r>
      <w:r w:rsidR="008D5071" w:rsidRPr="00E5227C">
        <w:rPr>
          <w:b/>
          <w:bCs/>
          <w:i/>
          <w:iCs/>
          <w:sz w:val="23"/>
          <w:szCs w:val="23"/>
        </w:rPr>
        <w:fldChar w:fldCharType="begin"/>
      </w:r>
      <w:r w:rsidR="00E2656A">
        <w:rPr>
          <w:b/>
          <w:bCs/>
          <w:i/>
          <w:iCs/>
          <w:sz w:val="23"/>
          <w:szCs w:val="23"/>
        </w:rPr>
        <w:instrText xml:space="preserve"> ADDIN ZOTERO_ITEM CSL_CITATION {"citationID":"A60NJj5P","properties":{"formattedCitation":"(Kappler and de Abreu e Silva, 2025)","plainCitation":"(Kappler and de Abreu e Silva, 2025)","noteIndex":0},"citationItems":[{"id":4368,"uris":["http://zotero.org/users/12832277/items/XMETQNB6"],"itemData":{"id":4368,"type":"article-journal","abstract":"Several social distancing measures were adopted during the pandemic (including curfews and mandatory telework) that resulted in substantial changes in travel patterns. Although several studies show that telework does not reduce travel, empirical evidence has been mixed. This work aims to study how telework adoption impacts the number of trips by mode in different metropolitan areas during the later stages of the COVID-19 pandemic. We applied online surveys focused on a 5-day travel-telework diary in the Lisbon (Portugal), Istanbul (Turkey), and Porto Alegre (Brazil) Metropolitan Areas in the early summer of 2021. We build a structural equation model (SEM) to study the influence of previous telework experience on perceptions about telework, and these on telework frequency and the number of trips by mode, and ultimately if is affected by commuting burden, sociodemographic characteristics, and attitudinal issues. The results indicate that more frequent full-day telework reduces the number of trips by all modes (but more by motorised modes) while teleworking part-day increases travel. Moreover, there is no evidence that teleworkers could be undertaking discretionary or maintenance trips from other household members. Finally, these results need to be analysed in the context of the pandemic since social distancing measures were in place.","container-title":"Journal of Transport Geography","DOI":"10.1016/j.jtrangeo.2024.104102","ISSN":"0966-6923","source":"ScienceDirect","title":"Telework Frequency and Travel Behaviour During the Later Stages of the Covid-19 Pandemic. a Study Across Different Metropolitan Areas: Lisbon, Istanbul, and Porto Alegre","URL":"https://www.sciencedirect.com/science/article/pii/S0966692324003119","volume":"123","author":[{"family":"Kappler","given":"Laísa Braga"},{"family":"Abreu e Silva","given":"João","non-dropping-particle":"de"}],"accessed":{"date-parts":[["2025",4,26]]},"issued":{"date-parts":[["2025",2,1]]}}}],"schema":"https://github.com/citation-style-language/schema/raw/master/csl-citation.json"} </w:instrText>
      </w:r>
      <w:r w:rsidR="008D5071" w:rsidRPr="00E5227C">
        <w:rPr>
          <w:b/>
          <w:bCs/>
          <w:i/>
          <w:iCs/>
          <w:sz w:val="23"/>
          <w:szCs w:val="23"/>
        </w:rPr>
        <w:fldChar w:fldCharType="separate"/>
      </w:r>
      <w:r w:rsidR="00E2656A" w:rsidRPr="00E2656A">
        <w:rPr>
          <w:sz w:val="23"/>
        </w:rPr>
        <w:t>(Kappler and de Abreu e Silva, 2025)</w:t>
      </w:r>
      <w:r w:rsidR="008D5071" w:rsidRPr="00E5227C">
        <w:rPr>
          <w:b/>
          <w:bCs/>
          <w:i/>
          <w:iCs/>
          <w:sz w:val="23"/>
          <w:szCs w:val="23"/>
        </w:rPr>
        <w:fldChar w:fldCharType="end"/>
      </w:r>
      <w:r w:rsidR="008D5071" w:rsidRPr="00E5227C">
        <w:rPr>
          <w:sz w:val="23"/>
          <w:szCs w:val="23"/>
        </w:rPr>
        <w:t xml:space="preserve">. </w:t>
      </w:r>
      <w:r w:rsidR="008D5071">
        <w:t xml:space="preserve">Such </w:t>
      </w:r>
      <w:r w:rsidR="00A00764" w:rsidRPr="00AA7459">
        <w:t>part-day telework arrangement</w:t>
      </w:r>
      <w:r w:rsidR="00883F5C">
        <w:t>s</w:t>
      </w:r>
      <w:r w:rsidR="00A00764" w:rsidRPr="00AA7459">
        <w:t xml:space="preserve"> </w:t>
      </w:r>
      <w:r w:rsidR="00AC130A" w:rsidRPr="00AA7459">
        <w:t xml:space="preserve">provide additional opportunities for </w:t>
      </w:r>
      <w:r w:rsidR="00A901B6" w:rsidRPr="00AA7459">
        <w:t xml:space="preserve">worker </w:t>
      </w:r>
      <w:r w:rsidR="00AC130A" w:rsidRPr="00AA7459">
        <w:t xml:space="preserve">flexibility, allowing </w:t>
      </w:r>
      <w:r w:rsidR="00A901B6" w:rsidRPr="00AA7459">
        <w:t>those</w:t>
      </w:r>
      <w:r w:rsidR="00AC130A" w:rsidRPr="00AA7459">
        <w:t xml:space="preserve"> who have in-person work requirements </w:t>
      </w:r>
      <w:r w:rsidR="000B4480" w:rsidRPr="00AA7459">
        <w:t xml:space="preserve">on a particular day to </w:t>
      </w:r>
      <w:r w:rsidR="00FE08DF">
        <w:t xml:space="preserve">also </w:t>
      </w:r>
      <w:r w:rsidR="00CA0F7A">
        <w:t>avail themselves</w:t>
      </w:r>
      <w:r w:rsidR="006F6288" w:rsidRPr="00AA7459">
        <w:t xml:space="preserve"> of </w:t>
      </w:r>
      <w:r w:rsidR="000B4480" w:rsidRPr="00AA7459">
        <w:t xml:space="preserve">the </w:t>
      </w:r>
      <w:r w:rsidR="00CA0F7A">
        <w:t xml:space="preserve">many </w:t>
      </w:r>
      <w:r w:rsidR="000B4480" w:rsidRPr="00AA7459">
        <w:t>benefits of remote work on the same day</w:t>
      </w:r>
      <w:r w:rsidR="00E1373B">
        <w:t xml:space="preserve">, including being able to </w:t>
      </w:r>
      <w:r w:rsidR="00E14AAE">
        <w:t xml:space="preserve">better </w:t>
      </w:r>
      <w:r w:rsidR="009A3C6C" w:rsidRPr="00AA7459">
        <w:t xml:space="preserve">balance personal/household needs with work </w:t>
      </w:r>
      <w:r w:rsidR="00B4211E">
        <w:t>needs</w:t>
      </w:r>
      <w:r w:rsidR="009A3C6C" w:rsidRPr="00AA7459">
        <w:t xml:space="preserve"> or avoid commuting during peak hours</w:t>
      </w:r>
      <w:r w:rsidR="000543C5" w:rsidRPr="00AA7459">
        <w:t xml:space="preserve"> </w:t>
      </w:r>
      <w:r w:rsidR="005D718B" w:rsidRPr="00AA7459">
        <w:fldChar w:fldCharType="begin"/>
      </w:r>
      <w:r w:rsidR="001B3805">
        <w:instrText xml:space="preserve"> ADDIN ZOTERO_ITEM CSL_CITATION {"citationID":"5JUeblrQ","properties":{"formattedCitation":"(Asgari and Jin, 2018)","plainCitation":"(Asgari and Jin, 2018)","noteIndex":0},"citationItems":[{"id":4371,"uris":["http://zotero.org/users/12832277/items/EWT8QCUK"],"itemData":{"id":4371,"type":"article-journal","abstract":"The primary objective of this research is to investigate the impacts of part-day telecommute arrangements on commute departure time. Part-day telecommuting occurs when the worker telecommutes while also travels to the workplace. In this case, telecommuting does not replace commute, but the workers may alter their commute departure times in order to avoid peak hour congestions. This paper intends to add empirical evidence on whether and to what extent telecommuting may lead to the temporal displacement of commute, and the actual outcomes on the network. With an interest on the departure time for commute trips, three different hazard models are developed, respectively for full-day commuters (no telecommuting episode), regular telecommuters (who telecommute on a regular basis), and non-regular telecommuters (who telecommute occasionally). Different socio-economic, demographic, and job-related attributes are used as independent variables in the model. Data were obtained from the 2010–2011 Regional Household travel Survey (RHTS) conducted in the New York Metropolitan region. This study adds to the literature by shedding light on the impacts of telecommuting on peak hour congestion relief and the underlying factors.","container-title":"Travel Behaviour and Society","DOI":"10.1016/j.tbs.2017.04.002","ISSN":"2214-367X","page":"84-92","source":"ScienceDirect","title":"An Evaluation of Part-Day Telecommute Impacts on Work Trip Departure Times","volume":"12","author":[{"family":"Asgari","given":"Hamidreza"},{"family":"Jin","given":"Xia"}],"issued":{"date-parts":[["2018",7,1]]}}}],"schema":"https://github.com/citation-style-language/schema/raw/master/csl-citation.json"} </w:instrText>
      </w:r>
      <w:r w:rsidR="005D718B" w:rsidRPr="00AA7459">
        <w:fldChar w:fldCharType="separate"/>
      </w:r>
      <w:r w:rsidR="00AA606C" w:rsidRPr="00AA606C">
        <w:t>(Asgari and Jin, 2018)</w:t>
      </w:r>
      <w:r w:rsidR="005D718B" w:rsidRPr="00AA7459">
        <w:fldChar w:fldCharType="end"/>
      </w:r>
      <w:r w:rsidR="00745344" w:rsidRPr="00AA7459">
        <w:t xml:space="preserve">. </w:t>
      </w:r>
      <w:r w:rsidR="00F71150" w:rsidRPr="00E5227C">
        <w:rPr>
          <w:sz w:val="23"/>
          <w:szCs w:val="23"/>
        </w:rPr>
        <w:t>In this sense</w:t>
      </w:r>
      <w:r w:rsidR="00FF2911" w:rsidRPr="00AA7459">
        <w:t xml:space="preserve">, </w:t>
      </w:r>
      <w:r w:rsidR="00F71150">
        <w:t>the</w:t>
      </w:r>
      <w:r w:rsidR="00FF2911" w:rsidRPr="00AA7459">
        <w:t xml:space="preserve"> </w:t>
      </w:r>
      <w:r w:rsidR="00F71150">
        <w:t xml:space="preserve">post-pandemic </w:t>
      </w:r>
      <w:r w:rsidR="00FF2911" w:rsidRPr="00AA7459">
        <w:t xml:space="preserve">growth of part-day telework </w:t>
      </w:r>
      <w:r w:rsidR="00F71150">
        <w:t xml:space="preserve">may be viewed as </w:t>
      </w:r>
      <w:r w:rsidR="00FF2911" w:rsidRPr="00AA7459">
        <w:t xml:space="preserve">a return to </w:t>
      </w:r>
      <w:r w:rsidR="00AA5177" w:rsidRPr="00AA7459">
        <w:t>pre-pandemic telework practices</w:t>
      </w:r>
      <w:r w:rsidR="00A110E7" w:rsidRPr="00AA7459">
        <w:t xml:space="preserve">, when </w:t>
      </w:r>
      <w:r w:rsidR="0058161B" w:rsidRPr="00AA7459">
        <w:t xml:space="preserve">part-day telework was more </w:t>
      </w:r>
      <w:r w:rsidR="00F71150">
        <w:t>prevalent</w:t>
      </w:r>
      <w:r w:rsidR="0058161B" w:rsidRPr="00AA7459">
        <w:t xml:space="preserve"> than full-day telework</w:t>
      </w:r>
      <w:r w:rsidR="00A9620A" w:rsidRPr="00AA7459">
        <w:t xml:space="preserve"> </w:t>
      </w:r>
      <w:r w:rsidR="00A9620A" w:rsidRPr="00AA7459">
        <w:fldChar w:fldCharType="begin"/>
      </w:r>
      <w:r w:rsidR="00EA05CE" w:rsidRPr="00AA7459">
        <w:instrText xml:space="preserve"> ADDIN ZOTERO_ITEM CSL_CITATION {"citationID":"e2r12Y6M","properties":{"formattedCitation":"(Elld\\uc0\\u233{}r, 2020; Stiles and Smart, 2021)","plainCitation":"(Elldér, 2020; Stiles and Smart, 2021)","dontUpdate":true,"noteIndex":0},"citationItems":[{"id":836,"uris":["http://zotero.org/users/12832277/items/JAW2FQMM"],"itemData":{"id":836,"type":"article-journal","abstract":"Telework, long promoted as a way to reduce daily travel and address congestion problems, has been extensively studied in transport research. Empirical consensus has long held that telework reduces overall travel, but several updated studies now suggest the opposite. Meanwhile, telework has steadily increased in many countries, and few studies have examined contexts where regular teleworkers have grown to form an early majority. We study how telework influences daily travel in such a context, namely, Sweden from 2011 to 2016. Using representative micro-data from the Swedish National Travel Survey, this study also captures travel behaviour during the defined period when the telework was actually practiced, distinguishing different telework arrangements and analysing a range of travel behavioral outcomes. We conclude that telework leads to reduced travel demand, more use of active transport modes, and congestion relief. Important differences between full- and part-day teleworkers are also highlighted, stressing the importance of understanding telework as a diversified coping strategy for organizing the spatiotemporality of everyday life.","container-title":"Journal of Transport Geography","DOI":"10.1016/j.jtrangeo.2020.102777","ISSN":"0966-6923","language":"en","source":"ScienceDirect","title":"Telework and Daily Travel: New Evidence from Sweden","URL":"https://www.sciencedirect.com/science/article/pii/S0966692319311305","volume":"86","author":[{"family":"Elldér","given":"Erik"}],"accessed":{"date-parts":[["2023",7,5]]},"issued":{"date-parts":[["2020",6,1]]}}},{"id":4357,"uris":["http://zotero.org/users/12832277/items/XZRE8W2P","http://zotero.org/users/12832277/items/WV3B3926"],"itemData":{"id":4357,"type":"article-journal","abstract":"The mediation of work practices by information and communication technologies enables knowledge workers to telework from remote non-office locations such as their homes, or to work nomadically from multiple locations in a day. This paper uses data from the American Time Use Survey to explore the relationship between daily work locations and travel in the United States from 2003 to 2017. Outcome variables include travel duration and travel during peak periods. Home is by far the most common non-office work location, but working from other people’s homes, cafés/libraries, vehicles, and combinations of multiple locations are also measured. Findings show that working from home only on a day (full-day telework) decreases daily travel duration and increases the likelihood of avoiding peak hour travel for both work and non-work related travel. However, for homeworkers who also conduct work from their workplace on the same day (part-day telework), there is no reduction in daily travel time, and avoiding peak hour travel is limited to work-related travel. Working from other locations such as cafés/libraries or vehicles increases the likelihood of not traveling at peak hours. Findings also indicate that morning peak periods are more affected by work location decisions than evening peak periods. A survival analysis of daily departure times for both full-day and part-day homeworkers provides insight into this mechanism. We conclude on the basis of these findings that demand management policies and peak avoidance incentives would be more effective if they encourage both temporal and spatial flexibility for employees when partnering with regional employers.","container-title":"Transportation","DOI":"10.1007/s11116-020-10136-6","ISSN":"1572-9435","issue":"5","language":"en","page":"2461-2491","source":"Springer Link","title":"Working at Home and Elsewhere: Daily Work Location, Telework, and Travel Among United States Knowledge Workers","volume":"48","author":[{"family":"Stiles","given":"Jonathan"},{"family":"Smart","given":"Michael J."}],"issued":{"date-parts":[["2021",10,1]]}}}],"schema":"https://github.com/citation-style-language/schema/raw/master/csl-citation.json"} </w:instrText>
      </w:r>
      <w:r w:rsidR="00A9620A" w:rsidRPr="00AA7459">
        <w:fldChar w:fldCharType="separate"/>
      </w:r>
      <w:r w:rsidR="00273007" w:rsidRPr="00AA7459">
        <w:rPr>
          <w:kern w:val="0"/>
        </w:rPr>
        <w:t>(see Elldér, 2020; Stiles and Smart, 2021)</w:t>
      </w:r>
      <w:r w:rsidR="00A9620A" w:rsidRPr="00AA7459">
        <w:fldChar w:fldCharType="end"/>
      </w:r>
      <w:r w:rsidR="00A9620A" w:rsidRPr="00AA7459">
        <w:t>.</w:t>
      </w:r>
      <w:r w:rsidR="00AA5177" w:rsidRPr="00AA7459">
        <w:t xml:space="preserve"> </w:t>
      </w:r>
    </w:p>
    <w:p w14:paraId="732DED27" w14:textId="72C173B1" w:rsidR="00FC1AC4" w:rsidRDefault="00B251C1" w:rsidP="00FC1AC4">
      <w:pPr>
        <w:ind w:firstLine="720"/>
        <w:rPr>
          <w:sz w:val="23"/>
          <w:szCs w:val="23"/>
        </w:rPr>
      </w:pPr>
      <w:r w:rsidRPr="00E5227C">
        <w:rPr>
          <w:sz w:val="23"/>
          <w:szCs w:val="23"/>
        </w:rPr>
        <w:t xml:space="preserve">Within this fast expanding post-pandemic landscape of part-day telework, it is important to recognize that part-day telework can have </w:t>
      </w:r>
      <w:r w:rsidR="00174D73">
        <w:rPr>
          <w:sz w:val="23"/>
          <w:szCs w:val="23"/>
        </w:rPr>
        <w:t>distinct</w:t>
      </w:r>
      <w:r w:rsidRPr="00E5227C">
        <w:rPr>
          <w:sz w:val="23"/>
          <w:szCs w:val="23"/>
        </w:rPr>
        <w:t xml:space="preserve"> impacts on commute patterns and overall activity-travel patterns </w:t>
      </w:r>
      <w:r w:rsidR="00EC6D01">
        <w:rPr>
          <w:sz w:val="23"/>
          <w:szCs w:val="23"/>
        </w:rPr>
        <w:t>compared with</w:t>
      </w:r>
      <w:r w:rsidRPr="00E5227C">
        <w:rPr>
          <w:sz w:val="23"/>
          <w:szCs w:val="23"/>
        </w:rPr>
        <w:t xml:space="preserve"> full-day telework</w:t>
      </w:r>
      <w:r w:rsidR="00673AB1" w:rsidRPr="00AA7459">
        <w:t xml:space="preserve"> </w:t>
      </w:r>
      <w:r w:rsidR="00673AB1" w:rsidRPr="00AA7459">
        <w:fldChar w:fldCharType="begin"/>
      </w:r>
      <w:r w:rsidR="00B264A8" w:rsidRPr="00AA7459">
        <w:instrText xml:space="preserve"> ADDIN ZOTERO_ITEM CSL_CITATION {"citationID":"pJAy4L3H","properties":{"formattedCitation":"(Elld\\uc0\\u233{}r, 2020)","plainCitation":"(Elldér, 2020)","noteIndex":0},"citationItems":[{"id":836,"uris":["http://zotero.org/users/12832277/items/JAW2FQMM"],"itemData":{"id":836,"type":"article-journal","abstract":"Telework, long promoted as a way to reduce daily travel and address congestion problems, has been extensively studied in transport research. Empirical consensus has long held that telework reduces overall travel, but several updated studies now suggest the opposite. Meanwhile, telework has steadily increased in many countries, and few studies have examined contexts where regular teleworkers have grown to form an early majority. We study how telework influences daily travel in such a context, namely, Sweden from 2011 to 2016. Using representative micro-data from the Swedish National Travel Survey, this study also captures travel behaviour during the defined period when the telework was actually practiced, distinguishing different telework arrangements and analysing a range of travel behavioral outcomes. We conclude that telework leads to reduced travel demand, more use of active transport modes, and congestion relief. Important differences between full- and part-day teleworkers are also highlighted, stressing the importance of understanding telework as a diversified coping strategy for organizing the spatiotemporality of everyday life.","container-title":"Journal of Transport Geography","DOI":"10.1016/j.jtrangeo.2020.102777","ISSN":"0966-6923","language":"en","source":"ScienceDirect","title":"Telework and Daily Travel: New Evidence from Sweden","URL":"https://www.sciencedirect.com/science/article/pii/S0966692319311305","volume":"86","author":[{"family":"Elldér","given":"Erik"}],"accessed":{"date-parts":[["2023",7,5]]},"issued":{"date-parts":[["2020",6,1]]}}}],"schema":"https://github.com/citation-style-language/schema/raw/master/csl-citation.json"} </w:instrText>
      </w:r>
      <w:r w:rsidR="00673AB1" w:rsidRPr="00AA7459">
        <w:fldChar w:fldCharType="separate"/>
      </w:r>
      <w:r w:rsidR="00AA606C" w:rsidRPr="00AA606C">
        <w:rPr>
          <w:kern w:val="0"/>
        </w:rPr>
        <w:t>(Elldér, 2020)</w:t>
      </w:r>
      <w:r w:rsidR="00673AB1" w:rsidRPr="00AA7459">
        <w:fldChar w:fldCharType="end"/>
      </w:r>
      <w:r w:rsidR="009A19FA" w:rsidRPr="00AA7459">
        <w:t>.</w:t>
      </w:r>
      <w:r w:rsidR="00061899" w:rsidRPr="00AA7459">
        <w:t xml:space="preserve"> In fact, several pre-pandemic studies found that part-day teleworkers tend to have a larger</w:t>
      </w:r>
      <w:r w:rsidR="00061899">
        <w:t xml:space="preserve"> total</w:t>
      </w:r>
      <w:r w:rsidR="00061899" w:rsidRPr="00AA7459">
        <w:t xml:space="preserve"> VMT than non-teleworkers (due primarily to higher non-work VMT</w:t>
      </w:r>
      <w:r w:rsidR="00061899">
        <w:t>, particularly for maintenance trips during the morning peak period</w:t>
      </w:r>
      <w:r w:rsidR="00061899" w:rsidRPr="00AA7459">
        <w:t xml:space="preserve">) </w:t>
      </w:r>
      <w:r w:rsidR="00061899">
        <w:t>as well as</w:t>
      </w:r>
      <w:r w:rsidR="00061899" w:rsidRPr="00AA7459">
        <w:t xml:space="preserve"> a larger VMT than full-day teleworkers (due primarily to higher commute VMT as part-day teleworkers still commute</w:t>
      </w:r>
      <w:r w:rsidR="00AA3A9E">
        <w:t>)</w:t>
      </w:r>
      <w:r w:rsidR="00061899" w:rsidRPr="00AA7459">
        <w:t xml:space="preserve"> </w:t>
      </w:r>
      <w:r w:rsidR="00061899" w:rsidRPr="00AA7459">
        <w:fldChar w:fldCharType="begin"/>
      </w:r>
      <w:r w:rsidR="009C2208">
        <w:instrText xml:space="preserve"> ADDIN ZOTERO_ITEM CSL_CITATION {"citationID":"QM6HjILh","properties":{"unsorted":true,"formattedCitation":"(Lachapelle et al., 2018; Asgari and Jin, 2018; Elld\\uc0\\u233{}r, 2020; Stiles and Smart, 2021)","plainCitation":"(Lachapelle et al., 2018; Asgari and Jin, 2018; Elldér, 2020; Stiles and Smart, 2021)","dontUpdate":true,"noteIndex":0},"citationItems":[{"id":4373,"uris":["http://zotero.org/users/12832277/items/FZ8UJZG5","http://zotero.org/users/12832277/items/FXLEN8XR"],"itemData":{"id":4373,"type":"article-journal","abstract":"Existing research has concluded that shares of telecommuting are low but stable, increase with distance from the workplace and that telecommuting may reduce commuting-related travel. Its effect on work and non-work travel are subject to rebound effects and, thus, still debated. Additionally, telecommuting does not necessarily occur entirely at home. The paper studies telecommuting’s potential as a sustainable mobility tool in Canada to reduce overall travel time and peak hour travel, and to increase non-motorised travel. Do types of telecommuting arrangements have varying relationships with these studied travel patterns? Using time use data from the 2005 Canadian General Social Survey, studied outcomes are regressed on telecommuting arrangements (all day home working, part-day home working and a combination of other locations and home and/or workplace) and other personal characteristics. Depending on telecommuting arrangements and travel outcomes, results vary. Working from home is associated with decreases in overall travel time by 14 minutes and increases in odds of non-motorised travel by 77%. Other forms of telecommuting yield different results. Telecommuters may be more likely to avoid peak hours when they do take trips. Types of telecommuting arrangements have different impacts on sustainable travel outcomes that should be considered depending on policy priorities.","container-title":"Urban Studies","DOI":"10.1177/0042098017708985","ISSN":"0042-0980","issue":"10","language":"EN","page":"2226-2244","publisher":"SAGE Publications Ltd","source":"SAGE Journals","title":"Telecommuting and Sustainable Travel: Reduction of Overall Travel Time, Increases in Non-Motorised Travel and Congestion Relief?","volume":"55","author":[{"family":"Lachapelle","given":"Ugo"},{"family":"Tanguay","given":"Georges A"},{"family":"Neumark-Gaudet","given":"Léa"}],"issued":{"date-parts":[["2018",8,1]]}}},{"id":4371,"uris":["http://zotero.org/users/12832277/items/EWT8QCUK"],"itemData":{"id":4371,"type":"article-journal","abstract":"The primary objective of this research is to investigate the impacts of part-day telecommute arrangements on commute departure time. Part-day telecommuting occurs when the worker telecommutes while also travels to the workplace. In this case, telecommuting does not replace commute, but the workers may alter their commute departure times in order to avoid peak hour congestions. This paper intends to add empirical evidence on whether and to what extent telecommuting may lead to the temporal displacement of commute, and the actual outcomes on the network. With an interest on the departure time for commute trips, three different hazard models are developed, respectively for full-day commuters (no telecommuting episode), regular telecommuters (who telecommute on a regular basis), and non-regular telecommuters (who telecommute occasionally). Different socio-economic, demographic, and job-related attributes are used as independent variables in the model. Data were obtained from the 2010–2011 Regional Household travel Survey (RHTS) conducted in the New York Metropolitan region. This study adds to the literature by shedding light on the impacts of telecommuting on peak hour congestion relief and the underlying factors.","container-title":"Travel Behaviour and Society","DOI":"10.1016/j.tbs.2017.04.002","ISSN":"2214-367X","page":"84-92","source":"ScienceDirect","title":"An Evaluation of Part-Day Telecommute Impacts on Work Trip Departure Times","volume":"12","author":[{"family":"Asgari","given":"Hamidreza"},{"family":"Jin","given":"Xia"}],"issued":{"date-parts":[["2018",7,1]]}}},{"id":836,"uris":["http://zotero.org/users/12832277/items/JAW2FQMM"],"itemData":{"id":836,"type":"article-journal","abstract":"Telework, long promoted as a way to reduce daily travel and address congestion problems, has been extensively studied in transport research. Empirical consensus has long held that telework reduces overall travel, but several updated studies now suggest the opposite. Meanwhile, telework has steadily increased in many countries, and few studies have examined contexts where regular teleworkers have grown to form an early majority. We study how telework influences daily travel in such a context, namely, Sweden from 2011 to 2016. Using representative micro-data from the Swedish National Travel Survey, this study also captures travel behaviour during the defined period when the telework was actually practiced, distinguishing different telework arrangements and analysing a range of travel behavioral outcomes. We conclude that telework leads to reduced travel demand, more use of active transport modes, and congestion relief. Important differences between full- and part-day teleworkers are also highlighted, stressing the importance of understanding telework as a diversified coping strategy for organizing the spatiotemporality of everyday life.","container-title":"Journal of Transport Geography","DOI":"10.1016/j.jtrangeo.2020.102777","ISSN":"0966-6923","language":"en","source":"ScienceDirect","title":"Telework and Daily Travel: New Evidence from Sweden","URL":"https://www.sciencedirect.com/science/article/pii/S0966692319311305","volume":"86","author":[{"family":"Elldér","given":"Erik"}],"accessed":{"date-parts":[["2023",7,5]]},"issued":{"date-parts":[["2020",6,1]]}}},{"id":4357,"uris":["http://zotero.org/users/12832277/items/XZRE8W2P","http://zotero.org/users/12832277/items/WV3B3926"],"itemData":{"id":4357,"type":"article-journal","abstract":"The mediation of work practices by information and communication technologies enables knowledge workers to telework from remote non-office locations such as their homes, or to work nomadically from multiple locations in a day. This paper uses data from the American Time Use Survey to explore the relationship between daily work locations and travel in the United States from 2003 to 2017. Outcome variables include travel duration and travel during peak periods. Home is by far the most common non-office work location, but working from other people’s homes, cafés/libraries, vehicles, and combinations of multiple locations are also measured. Findings show that working from home only on a day (full-day telework) decreases daily travel duration and increases the likelihood of avoiding peak hour travel for both work and non-work related travel. However, for homeworkers who also conduct work from their workplace on the same day (part-day telework), there is no reduction in daily travel time, and avoiding peak hour travel is limited to work-related travel. Working from other locations such as cafés/libraries or vehicles increases the likelihood of not traveling at peak hours. Findings also indicate that morning peak periods are more affected by work location decisions than evening peak periods. A survival analysis of daily departure times for both full-day and part-day homeworkers provides insight into this mechanism. We conclude on the basis of these findings that demand management policies and peak avoidance incentives would be more effective if they encourage both temporal and spatial flexibility for employees when partnering with regional employers.","container-title":"Transportation","DOI":"10.1007/s11116-020-10136-6","ISSN":"1572-9435","issue":"5","language":"en","page":"2461-2491","source":"Springer Link","title":"Working at Home and Elsewhere: Daily Work Location, Telework, and Travel Among United States Knowledge Workers","volume":"48","author":[{"family":"Stiles","given":"Jonathan"},{"family":"Smart","given":"Michael J."}],"issued":{"date-parts":[["2021",10,1]]}}}],"schema":"https://github.com/citation-style-language/schema/raw/master/csl-citation.json"} </w:instrText>
      </w:r>
      <w:r w:rsidR="00061899" w:rsidRPr="00AA7459">
        <w:fldChar w:fldCharType="separate"/>
      </w:r>
      <w:r w:rsidR="00420E6F" w:rsidRPr="00420E6F">
        <w:rPr>
          <w:kern w:val="0"/>
        </w:rPr>
        <w:t>(</w:t>
      </w:r>
      <w:r w:rsidR="00420E6F">
        <w:rPr>
          <w:kern w:val="0"/>
        </w:rPr>
        <w:t xml:space="preserve">see </w:t>
      </w:r>
      <w:r w:rsidR="00420E6F" w:rsidRPr="00420E6F">
        <w:rPr>
          <w:kern w:val="0"/>
        </w:rPr>
        <w:t>Lachapelle et al., 2018; Asgari and Jin, 2018; Elldér, 2020; Stiles and Smart, 2021)</w:t>
      </w:r>
      <w:r w:rsidR="00061899" w:rsidRPr="00AA7459">
        <w:fldChar w:fldCharType="end"/>
      </w:r>
      <w:r w:rsidR="00061899" w:rsidRPr="00AA7459">
        <w:t>.</w:t>
      </w:r>
      <w:r w:rsidR="00061899">
        <w:t xml:space="preserve"> </w:t>
      </w:r>
      <w:r w:rsidR="00286544">
        <w:t>In another post-pandemic study,</w:t>
      </w:r>
      <w:r w:rsidR="007E524F" w:rsidRPr="00AA7459">
        <w:t xml:space="preserve"> Belloc et al. </w:t>
      </w:r>
      <w:r w:rsidR="007E524F" w:rsidRPr="00AA7459">
        <w:fldChar w:fldCharType="begin"/>
      </w:r>
      <w:r w:rsidR="007E524F" w:rsidRPr="00AA7459">
        <w:instrText xml:space="preserve"> ADDIN ZOTERO_ITEM CSL_CITATION {"citationID":"tWBWz8JZ","properties":{"formattedCitation":"(2024)","plainCitation":"(2024)","noteIndex":0},"citationItems":[{"id":4502,"uris":["http://zotero.org/users/12832277/items/ATTNJUYY"],"itemData":{"id":4502,"type":"report","abstract":"Telework has gained increasing popularity in recent years, particularly following the COVID-19 pandemic, and is often considered a work practice that contributes to environmental sustainability by reducing commuting trips. However, the existing literature presents mixed findings regarding its potential effects on other types of travel, such as leisure and personal care trips. This paper examines the relationship between telework and daily travel time, utilizing data from the 2023 Extended Light Diary Digital Instrument (ELiDDI) survey, a nationally representative time use survey conducted in the UK in March 2023. Our findings indicate that teleworkers spend fewer minutes (e.g., 61 minutes) traveling per day compared to those working away from home, a result that remains robust even after excluding daily commuting time, suggesting that telework may lead to significant daily travel time savings. Further exploration reveals that telework is primarily related to reduced travel time for personal and housework-related activities, particularly among male teleworkers. These findings suggest that promoting telework policies could be an effective strategy not only for reducing commuting trips but also for achieving broader reductions in daily travel time, which may contribute to sustainability goals in the transportation sector and alleviate transportation-related environmental impacts.","collection-title":"IZA Discussion Papers","genre":"Working Paper","language":"eng","license":"https://www.econstor.eu/dspace/Nutzungsbedingungen","number":"17413","publisher":"Institute of Labor Economics, Bonn","source":"www.econstor.eu","title":"Teleworking and Travel Purposes: Uk Evidence After the COVID-19 Pandemic","URL":"https://www.econstor.eu/handle/10419/307237","author":[{"family":"Belloc","given":"Ignacio"},{"family":"Gimenez-Nadal","given":"José Ignacio"},{"family":"Molina","given":"José Alberto"}],"accessed":{"date-parts":[["2025",5,12]]},"issued":{"date-parts":[["2024"]]}},"label":"page","suppress-author":true}],"schema":"https://github.com/citation-style-language/schema/raw/master/csl-citation.json"} </w:instrText>
      </w:r>
      <w:r w:rsidR="007E524F" w:rsidRPr="00AA7459">
        <w:fldChar w:fldCharType="separate"/>
      </w:r>
      <w:r w:rsidR="007E524F" w:rsidRPr="00AA606C">
        <w:t>(2024)</w:t>
      </w:r>
      <w:r w:rsidR="007E524F" w:rsidRPr="00AA7459">
        <w:fldChar w:fldCharType="end"/>
      </w:r>
      <w:r w:rsidR="00286544">
        <w:t xml:space="preserve"> observed that </w:t>
      </w:r>
      <w:r w:rsidR="007E524F" w:rsidRPr="00AA7459">
        <w:t xml:space="preserve">part-day teleworking was associated with a decrease in overall </w:t>
      </w:r>
      <w:r w:rsidR="00286544">
        <w:t xml:space="preserve">daily </w:t>
      </w:r>
      <w:r w:rsidR="007E524F" w:rsidRPr="00AA7459">
        <w:t>travel time compared with in-person workers, but this effect was no longer significant when commute time was removed from the analysis. They suggest that part-day teleworkers may be able to reduce their travel time by shifting their commute to off-peak times but may replace this travel time with additional nonwork travel, a distinct mobility pattern compared with full-</w:t>
      </w:r>
      <w:r w:rsidR="007E524F">
        <w:t>day</w:t>
      </w:r>
      <w:r w:rsidR="007E524F" w:rsidRPr="00AA7459">
        <w:t xml:space="preserve"> teleworkers. </w:t>
      </w:r>
      <w:r w:rsidR="00274FE6">
        <w:t xml:space="preserve">Further, </w:t>
      </w:r>
      <w:r w:rsidR="00170B86" w:rsidRPr="00E5227C">
        <w:rPr>
          <w:sz w:val="23"/>
          <w:szCs w:val="23"/>
        </w:rPr>
        <w:t xml:space="preserve">part-day telework may result in significantly different activity-scheduling patterns relative to full-day telework arrangements, including increased activity chaining outside of peak commute periods </w:t>
      </w:r>
      <w:r w:rsidR="00170B86" w:rsidRPr="00E5227C">
        <w:rPr>
          <w:sz w:val="23"/>
          <w:szCs w:val="23"/>
        </w:rPr>
        <w:fldChar w:fldCharType="begin"/>
      </w:r>
      <w:r w:rsidR="001B3805">
        <w:rPr>
          <w:sz w:val="23"/>
          <w:szCs w:val="23"/>
        </w:rPr>
        <w:instrText xml:space="preserve"> ADDIN ZOTERO_ITEM CSL_CITATION {"citationID":"v4f7xbe8","properties":{"unsorted":false,"formattedCitation":"(Asgari and Jin, 2018; Elld\\uc0\\u233{}r, 2020)","plainCitation":"(Asgari and Jin, 2018; Elldér, 2020)","noteIndex":0},"citationItems":[{"id":4371,"uris":["http://zotero.org/users/12832277/items/EWT8QCUK"],"itemData":{"id":4371,"type":"article-journal","abstract":"The primary objective of this research is to investigate the impacts of part-day telecommute arrangements on commute departure time. Part-day telecommuting occurs when the worker telecommutes while also travels to the workplace. In this case, telecommuting does not replace commute, but the workers may alter their commute departure times in order to avoid peak hour congestions. This paper intends to add empirical evidence on whether and to what extent telecommuting may lead to the temporal displacement of commute, and the actual outcomes on the network. With an interest on the departure time for commute trips, three different hazard models are developed, respectively for full-day commuters (no telecommuting episode), regular telecommuters (who telecommute on a regular basis), and non-regular telecommuters (who telecommute occasionally). Different socio-economic, demographic, and job-related attributes are used as independent variables in the model. Data were obtained from the 2010–2011 Regional Household travel Survey (RHTS) conducted in the New York Metropolitan region. This study adds to the literature by shedding light on the impacts of telecommuting on peak hour congestion relief and the underlying factors.","container-title":"Travel Behaviour and Society","DOI":"10.1016/j.tbs.2017.04.002","ISSN":"2214-367X","page":"84-92","source":"ScienceDirect","title":"An Evaluation of Part-Day Telecommute Impacts on Work Trip Departure Times","volume":"12","author":[{"family":"Asgari","given":"Hamidreza"},{"family":"Jin","given":"Xia"}],"issued":{"date-parts":[["2018",7,1]]}}},{"id":836,"uris":["http://zotero.org/users/12832277/items/JAW2FQMM"],"itemData":{"id":836,"type":"article-journal","abstract":"Telework, long promoted as a way to reduce daily travel and address congestion problems, has been extensively studied in transport research. Empirical consensus has long held that telework reduces overall travel, but several updated studies now suggest the opposite. Meanwhile, telework has steadily increased in many countries, and few studies have examined contexts where regular teleworkers have grown to form an early majority. We study how telework influences daily travel in such a context, namely, Sweden from 2011 to 2016. Using representative micro-data from the Swedish National Travel Survey, this study also captures travel behaviour during the defined period when the telework was actually practiced, distinguishing different telework arrangements and analysing a range of travel behavioral outcomes. We conclude that telework leads to reduced travel demand, more use of active transport modes, and congestion relief. Important differences between full- and part-day teleworkers are also highlighted, stressing the importance of understanding telework as a diversified coping strategy for organizing the spatiotemporality of everyday life.","container-title":"Journal of Transport Geography","DOI":"10.1016/j.jtrangeo.2020.102777","ISSN":"0966-6923","language":"en","source":"ScienceDirect","title":"Telework and Daily Travel: New Evidence from Sweden","URL":"https://www.sciencedirect.com/science/article/pii/S0966692319311305","volume":"86","author":[{"family":"Elldér","given":"Erik"}],"accessed":{"date-parts":[["2023",7,5]]},"issued":{"date-parts":[["2020",6,1]]}}}],"schema":"https://github.com/citation-style-language/schema/raw/master/csl-citation.json"} </w:instrText>
      </w:r>
      <w:r w:rsidR="00170B86" w:rsidRPr="00E5227C">
        <w:rPr>
          <w:sz w:val="23"/>
          <w:szCs w:val="23"/>
        </w:rPr>
        <w:fldChar w:fldCharType="separate"/>
      </w:r>
      <w:r w:rsidR="00AA606C" w:rsidRPr="00AA606C">
        <w:rPr>
          <w:kern w:val="0"/>
          <w:sz w:val="23"/>
        </w:rPr>
        <w:t>(Asgari and Jin, 2018; Elldér, 2020)</w:t>
      </w:r>
      <w:r w:rsidR="00170B86" w:rsidRPr="00E5227C">
        <w:rPr>
          <w:sz w:val="23"/>
          <w:szCs w:val="23"/>
        </w:rPr>
        <w:fldChar w:fldCharType="end"/>
      </w:r>
      <w:r w:rsidR="00170B86" w:rsidRPr="00E5227C">
        <w:rPr>
          <w:sz w:val="23"/>
          <w:szCs w:val="23"/>
        </w:rPr>
        <w:t xml:space="preserve">. </w:t>
      </w:r>
    </w:p>
    <w:p w14:paraId="3DB6A115" w14:textId="40882640" w:rsidR="009A19FA" w:rsidRPr="00AA7459" w:rsidRDefault="00015891" w:rsidP="003E509C">
      <w:pPr>
        <w:ind w:firstLine="720"/>
      </w:pPr>
      <w:r>
        <w:t>T</w:t>
      </w:r>
      <w:r w:rsidR="00FC1AC4">
        <w:t>he differential travel-related impacts of full-day and part-day telework, as discussed above, underscore the importance of distinguishing between these two telework modalities in both empirical analyses and policy evaluations. Such distinctions, however, are only possible when data explicitly identify whether teleworking occurs on a full-day or part-day basis.</w:t>
      </w:r>
      <w:r>
        <w:t xml:space="preserve"> </w:t>
      </w:r>
      <w:r w:rsidR="001A602A">
        <w:t xml:space="preserve">Unfortunately, </w:t>
      </w:r>
      <w:r w:rsidR="002071AA" w:rsidRPr="00E5227C">
        <w:rPr>
          <w:sz w:val="23"/>
          <w:szCs w:val="23"/>
        </w:rPr>
        <w:t xml:space="preserve">most large-scale surveys fail to </w:t>
      </w:r>
      <w:r w:rsidR="001A602A">
        <w:rPr>
          <w:sz w:val="23"/>
          <w:szCs w:val="23"/>
        </w:rPr>
        <w:t>do so</w:t>
      </w:r>
      <w:r w:rsidR="002071AA" w:rsidRPr="00E5227C">
        <w:rPr>
          <w:sz w:val="23"/>
          <w:szCs w:val="23"/>
        </w:rPr>
        <w:t>, either equating telework to full-day telework or eliciting information using a single aggregate telework category.</w:t>
      </w:r>
      <w:r w:rsidR="00D61EA7">
        <w:rPr>
          <w:sz w:val="23"/>
          <w:szCs w:val="23"/>
        </w:rPr>
        <w:t xml:space="preserve"> </w:t>
      </w:r>
      <w:r w:rsidR="008C3121" w:rsidRPr="00AA7459">
        <w:t xml:space="preserve">For instance, the American Community Survey </w:t>
      </w:r>
      <w:r w:rsidR="008C3121" w:rsidRPr="00AA7459">
        <w:fldChar w:fldCharType="begin"/>
      </w:r>
      <w:r w:rsidR="00EA05CE" w:rsidRPr="00AA7459">
        <w:instrText xml:space="preserve"> ADDIN ZOTERO_ITEM CSL_CITATION {"citationID":"pTq3HXsu","properties":{"formattedCitation":"(U.S. Census Bureau, 2024)","plainCitation":"(U.S. Census Bureau, 2024)","noteIndex":0},"citationItems":[{"id":4354,"uris":["http://zotero.org/users/12832277/items/QJ4YJ6ML"],"itemData":{"id":4354,"type":"document","abstract":"Data Dictionary - Survey ACS 2023 (5-Year Estimates)","language":"en","title":"American Community Survey 2023 (5-Year Estimates)","URL":"https://www.socialexplorer.com/data/ACS2023_5yr/metadata/?ds=ACS23_5yr","author":[{"family":"U.S. Census Bureau","given":""}],"accessed":{"date-parts":[["2025",3,27]]},"issued":{"date-parts":[["2024"]]}}}],"schema":"https://github.com/citation-style-language/schema/raw/master/csl-citation.json"} </w:instrText>
      </w:r>
      <w:r w:rsidR="008C3121" w:rsidRPr="00AA7459">
        <w:fldChar w:fldCharType="separate"/>
      </w:r>
      <w:r w:rsidR="00AA606C" w:rsidRPr="00AA606C">
        <w:t>(U.S. Census Bureau, 2024)</w:t>
      </w:r>
      <w:r w:rsidR="008C3121" w:rsidRPr="00AA7459">
        <w:fldChar w:fldCharType="end"/>
      </w:r>
      <w:r w:rsidR="008C3121" w:rsidRPr="00AA7459">
        <w:t xml:space="preserve"> identifies teleworkers by asking “How did </w:t>
      </w:r>
      <w:r w:rsidR="00E718AB">
        <w:t>you</w:t>
      </w:r>
      <w:r w:rsidR="008C3121" w:rsidRPr="00AA7459">
        <w:t xml:space="preserve"> usually get to work last week?” and including “Worked from home” as an option</w:t>
      </w:r>
      <w:r w:rsidR="00E718AB">
        <w:t>, while</w:t>
      </w:r>
      <w:r w:rsidR="008C3121" w:rsidRPr="00AA7459">
        <w:t xml:space="preserve"> the National Household Travel Survey </w:t>
      </w:r>
      <w:r w:rsidR="008C3121" w:rsidRPr="00AA7459">
        <w:fldChar w:fldCharType="begin"/>
      </w:r>
      <w:r w:rsidR="00EA05CE" w:rsidRPr="00AA7459">
        <w:instrText xml:space="preserve"> ADDIN ZOTERO_ITEM CSL_CITATION {"citationID":"dqRZGPbC","properties":{"formattedCitation":"(Federal Highway Administration, 2023)","plainCitation":"(Federal Highway Administration, 2023)","noteIndex":0},"citationItems":[{"id":1959,"uris":["http://zotero.org/users/12832277/items/ZAYVS8KD"],"itemData":{"id":1959,"type":"dataset","DOI":"https://nhts.ornl.gov","publisher":"U.S. Department of Transportation, Washington, DC","title":"2022 NextGen National Household Travel Survey","author":[{"family":"Federal Highway Administration","given":""}],"issued":{"date-parts":[["2023",10]]}}}],"schema":"https://github.com/citation-style-language/schema/raw/master/csl-citation.json"} </w:instrText>
      </w:r>
      <w:r w:rsidR="008C3121" w:rsidRPr="00AA7459">
        <w:fldChar w:fldCharType="separate"/>
      </w:r>
      <w:r w:rsidR="00AA606C" w:rsidRPr="00AA606C">
        <w:t>(Federal Highway Administration, 2023)</w:t>
      </w:r>
      <w:r w:rsidR="008C3121" w:rsidRPr="00AA7459">
        <w:fldChar w:fldCharType="end"/>
      </w:r>
      <w:r w:rsidR="008C3121" w:rsidRPr="00AA7459">
        <w:rPr>
          <w:b/>
          <w:bCs/>
        </w:rPr>
        <w:t xml:space="preserve"> </w:t>
      </w:r>
      <w:r w:rsidR="008C3121" w:rsidRPr="00AA7459">
        <w:t xml:space="preserve">asks, “How often did </w:t>
      </w:r>
      <w:r w:rsidR="007166B3">
        <w:t>you</w:t>
      </w:r>
      <w:r w:rsidR="008C3121" w:rsidRPr="00AA7459">
        <w:t xml:space="preserve"> work only at home for an entire workday instead of traveling to a usual </w:t>
      </w:r>
      <w:r w:rsidR="007166B3">
        <w:t>w</w:t>
      </w:r>
      <w:r w:rsidR="008C3121" w:rsidRPr="00AA7459">
        <w:t xml:space="preserve">orkplace?” Both questions focus exclusively on </w:t>
      </w:r>
      <w:r w:rsidR="008C3121" w:rsidRPr="00AA7459">
        <w:lastRenderedPageBreak/>
        <w:t xml:space="preserve">whether the individual commuted at all, excluding part-day teleworkers from their definition of telework and focusing only on full-day telework </w:t>
      </w:r>
      <w:r w:rsidR="001A602A">
        <w:t>that</w:t>
      </w:r>
      <w:r w:rsidR="008C3121" w:rsidRPr="00AA7459">
        <w:t xml:space="preserve"> has no associated commute distance. In contrast, the Current Population Survey </w:t>
      </w:r>
      <w:r w:rsidR="008C3121" w:rsidRPr="00AA7459">
        <w:fldChar w:fldCharType="begin"/>
      </w:r>
      <w:r w:rsidR="00EA05CE" w:rsidRPr="00AA7459">
        <w:instrText xml:space="preserve"> ADDIN ZOTERO_ITEM CSL_CITATION {"citationID":"FM6cvb6q","properties":{"formattedCitation":"(U.S. Bureau of Labor Statistics, 2024)","plainCitation":"(U.S. Bureau of Labor Statistics, 2024)","noteIndex":0},"citationItems":[{"id":4353,"uris":["http://zotero.org/users/12832277/items/2NUBPAMQ"],"itemData":{"id":4353,"type":"dataset","DOI":"https://www.bls.gov/cps/","publisher":"Office of Employment and Unemployment Statistics","title":"Current Population Survey","author":[{"family":"U.S. Bureau of Labor Statistics","given":""}],"issued":{"date-parts":[["2024",8,7]]}}}],"schema":"https://github.com/citation-style-language/schema/raw/master/csl-citation.json"} </w:instrText>
      </w:r>
      <w:r w:rsidR="008C3121" w:rsidRPr="00AA7459">
        <w:fldChar w:fldCharType="separate"/>
      </w:r>
      <w:r w:rsidR="00AA606C" w:rsidRPr="00AA606C">
        <w:t>(U.S. Bureau of Labor Statistics, 2024)</w:t>
      </w:r>
      <w:r w:rsidR="008C3121" w:rsidRPr="00AA7459">
        <w:fldChar w:fldCharType="end"/>
      </w:r>
      <w:r w:rsidR="008C3121" w:rsidRPr="00AA7459">
        <w:rPr>
          <w:b/>
          <w:bCs/>
        </w:rPr>
        <w:t xml:space="preserve"> </w:t>
      </w:r>
      <w:r w:rsidR="008C3121" w:rsidRPr="00AA7459">
        <w:t xml:space="preserve">asks, “At any time (the week before last/last week), did you telework or work at home for pay?” </w:t>
      </w:r>
      <w:r w:rsidR="00CE5D33" w:rsidRPr="00AA7459">
        <w:t xml:space="preserve">This </w:t>
      </w:r>
      <w:r w:rsidR="00155FCD">
        <w:t>approach essentially combines the categories of part-day and full-day telework</w:t>
      </w:r>
      <w:r w:rsidR="00CE5D33" w:rsidRPr="00AA7459">
        <w:t xml:space="preserve">. </w:t>
      </w:r>
      <w:r w:rsidR="005738D8" w:rsidRPr="00AA7459">
        <w:t>Finally, man</w:t>
      </w:r>
      <w:r w:rsidR="008C3121" w:rsidRPr="00AA7459">
        <w:t>y other surveys ask about the frequency or intensity of telework (either through revealed or stated preferences)</w:t>
      </w:r>
      <w:r w:rsidR="00694714">
        <w:t>,</w:t>
      </w:r>
      <w:r w:rsidR="008C3121" w:rsidRPr="00AA7459">
        <w:t xml:space="preserve"> while considering only a single work location on each day</w:t>
      </w:r>
      <w:r w:rsidR="005738D8" w:rsidRPr="00AA7459">
        <w:t xml:space="preserve"> and leaving respondents to choose </w:t>
      </w:r>
      <w:r w:rsidR="002B6B69" w:rsidRPr="00AA7459">
        <w:t>a single location for days on which they worked in multiple places</w:t>
      </w:r>
      <w:r w:rsidR="001F2B97" w:rsidRPr="00AA7459">
        <w:t xml:space="preserve"> </w:t>
      </w:r>
      <w:r w:rsidR="001F2B97" w:rsidRPr="00AA7459">
        <w:fldChar w:fldCharType="begin"/>
      </w:r>
      <w:r w:rsidR="009A06A2" w:rsidRPr="00AA7459">
        <w:instrText xml:space="preserve"> ADDIN ZOTERO_ITEM CSL_CITATION {"citationID":"v6NTvz9t","properties":{"unsorted":true,"formattedCitation":"(Nagata et al., 2021; Chauhan et al., 2022; Asmussen et al., 2023; Soler et al., 2023; Tokey and Alam, 2023)","plainCitation":"(Nagata et al., 2021; Chauhan et al., 2022; Asmussen et al., 2023; Soler et al., 2023; Tokey and Alam, 2023)","dontUpdate":true,"noteIndex":0},"citationItems":[{"id":4378,"uris":["http://zotero.org/users/12832277/items/4DQEPEBD"],"itemData":{"id":4378,"type":"article-journal","abstract":"Objective: \n          The present study examined the relationship between the intensity of home-based telework and work engagement.\n          Methods: \n          This cross-sectional study using a self-administrated questionnaire survey was conducted from December 22 to 25, 2020, in Japan. The subjects were asked single-item questions about the intensity of telework and three-item questions about work engagement using the Utrecht Work Engagement Scale. Coefficients were estimated using a multilevel regression model nested by the prefecture of residence and adjusted for covariates.\n          Results: \n          High-intensity (4 or more days per week) telework was not associated with high work engagement for men or women. In contrast, low and moderate intensity (3 days per week to once per month) were associated with high work engagement. The results were consistent when stratified by sex.\n          Conclusions: \n          Reasonable-intensity telework may have beneficial effects on work engagement.","container-title":"Journal of Occupational and Environmental Medicine","DOI":"10.1097/JOM.0000000000002299","ISSN":"1076-2752","issue":"11","language":"en-US","page":"907","source":"journals.lww.com","title":"Intensity of Home-Based Telework and Work Engagement During the COVID-19 Pandemic","volume":"63","author":[{"family":"Nagata","given":"Tomohisa"},{"family":"Nagata","given":"Masako"},{"family":"Ikegami","given":"Kazunori"},{"family":"Hino","given":"Ayako"},{"family":"Tateishi","given":"Seiichiro"},{"family":"Tsuji","given":"Mayumi"},{"family":"Matsuda","given":"Shinya"},{"family":"Fujino","given":"Yoshihisa"},{"family":"Mori","given":"Koji"}],"issued":{"date-parts":[["2021",11]]}}},{"id":716,"uris":["http://zotero.org/users/12832277/items/QSZXZ67G"],"itemData":{"id":716,"type":"article","abstract":"The COVID-19 pandemic is an unprecedented global crisis that has impacted virtually everyone. We conducted a nationwide online longitudinal survey in the United States to collect information about the shifts in travel-related behavior and attitudes before, during, and after the pandemic. The survey asked questions about commuting, long distance travel, working from home, online learning, online shopping, pandemic experiences, attitudes, and demographic information. The survey has been deployed to the same respondents thrice to observe how the responses to the pandemic have evolved over time. The first wave of the survey was conducted from April 2020 to June 2021, the second wave from November 2020 to August 2021, and the third wave from October 2021 to November 2021. In total, 9,265 responses were collected in the first wave; of these, 2,877 respondents returned for the second wave and 2,728 for the third wave. Survey data are publicly available. This unique dataset can aid policy makers in making decisions in areas including transport, workforce development, and more. This article demonstrates the framework for conducting this online longitudinal survey. It details the step-by-step procedure involved in conducting the survey and in curating the data to make it representative of the national trends.","DOI":"10.48550/arXiv.2208.12618","note":"arXiv:2208.12618 [cs, stat]","number":"arXiv:2208.12618","publisher":"arXiv","source":"arXiv.org","title":"Covid Future Panel Survey: A Unique Public Dataset Documenting How U.S. Residents' Travel Related Choices Changed During the COVID-19 Pandemic","title-short":"Covid Future Panel Survey","URL":"http://arxiv.org/abs/2208.12618","author":[{"family":"Chauhan","given":"Rishabh Singh"},{"family":"Bhagat-Conway","given":"Matthew Wigginton"},{"family":"Magassy","given":"Tassio"},{"family":"Corcoran","given":"Nicole"},{"family":"Rahimi","given":"Ehsan"},{"family":"Dirks","given":"Abbie"},{"family":"Pendyala","given":"Ram"},{"family":"Mohammadian","given":"Abolfazl"},{"family":"Derrible","given":"Sybil"},{"family":"Salon","given":"Deborah"}],"accessed":{"date-parts":[["2023",5,16]]},"issued":{"date-parts":[["2022",8,10]]}}},{"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R."}],"issued":{"date-parts":[["2024",8]]}}},{"id":4375,"uris":["http://zotero.org/users/12832277/items/FKECZ79U"],"itemData":{"id":4375,"type":"article-journal","abstract":"Work-related travel is one of the primary travel purposes for citizens (Eurostat, 2021). The COVID-19 pandemic triggered significant changes in lifestyles and mobility that may persist in the long term. Teleworking and online shopping are much more widely adopted than before the pandemic crisis, while active mobility modes have gained a considerable share of urban transport activity. Restrictions in response to the COVID-19 pandemic have shown that several activities developed within the city can be done by ICT tools, such as working from home or shopping online, among others. Those tools can be used to avoid -potentially- unnecessary trips and consequently reduce Green House Gas (GHG) emissions. This work aims to determine how the COVID-19 pandemic affected the adoption of teleworking and how mobility behaviour has changed during the pandemic. It also explores the factors that may affect mobility changes, their long-term effects and potential repercussion on GHG emissions. To do so, we use an extensive survey carried out in 20 European cities across 11 Member States, applying statistical inference analysis among different categories of variables focusing on active workers. Results show that teleworking has grown significantly during the pandemic, both in the number of users and in the frequency of use. The change in mobility patterns has been significant and might serve as a lever for change towards a more sustainable mobility, but also for the worse if the right decisions are not made consequently.","collection-title":"AIIT 3rd International Conference on Transport Infrastructure and Systems (TIS ROMA 2022)","container-title":"Transportation Research Procedia","DOI":"10.1016/j.trpro.2023.02.199","ISSN":"2352-1465","page":"488-495","source":"ScienceDirect","title":"Evolution of Teleworking and Urban Mobility Changes Driven by the COVID-19 Pandemic Across European Cities","volume":"69","author":[{"family":"Soler","given":"Juan Ramón López"},{"family":"Christidis","given":"Panayotis"},{"family":"Vassallo","given":"José Manuel"}],"issued":{"date-parts":[["2023",1,1]]}}},{"id":4381,"uris":["http://zotero.org/users/12832277/items/W3PIV3ZZ"],"itemData":{"id":4381,"type":"article-journal","abstract":"Teleworking (i.e., working from home), with the aid of teleworking technologies, became widespread over the world as an impact of COVID-19. The long-term impact of teleworking in the future on commuting and social equity is discussed by the experts. However, less attention has been paid to the factors that are associated with people's choice to start teleworking for the first time or existing teleworkers’ choice to increase the current frequency. This study investigates the changes in preference for teleworking frequency in the post-pandemic era. From a survey of 301 respondents in New York City, respondents are split into three categories. These are (1) previous teleworkers who do not want to increase their teleworking frequency, (2) previous teleworker who want to increase their frequency (i.e., extended teleworker), and (3) previous non-teleworker who wants to start teleworking (i.e., prospective teleworker) as the city reopens. A multinomial logit model is used to predict these categories with the help of several sociodemographic, household, geographic, travel behavioral, and attitudinal characteristics of the respondents. The model suggests that younger people and non-Hispanic people are more likely to extend or start teleworking than their counterparts. Females, Blacks, low-income people, and people with a child under five years are more likely to start teleworking while their counterparts (i.e., males, non-Blacks, high-income people, and people with a child under five) are more inclined towards extending teleworking. More work-trip makers and public transit users (for grocery) have less probability to extend teleworking. People with more pro-street and pro-out-migration attitudes and less pro-safety attitudes are more interested in starting or extending teleworking. The findings help targeted investment for post-pandemic accessibility, travel demand management, and energy efficiency.","container-title":"World Development Sustainability","DOI":"10.1016/j.wds.2023.100066","ISSN":"2772-655X","source":"ScienceDirect","title":"The Travel Behavior, Attitude, and Sociodemographic Characteristics of the Teleworkers in Post-Pandemic Era","URL":"https://www.sciencedirect.com/science/article/pii/S2772655X23000241","volume":"2","author":[{"family":"Tokey","given":"Ahmad Ilderim"},{"family":"Alam","given":"Md Saiful"}],"accessed":{"date-parts":[["2025",4,28]]},"issued":{"date-parts":[["2023",6,1]]}}}],"schema":"https://github.com/citation-style-language/schema/raw/master/csl-citation.json"} </w:instrText>
      </w:r>
      <w:r w:rsidR="001F2B97" w:rsidRPr="00AA7459">
        <w:fldChar w:fldCharType="separate"/>
      </w:r>
      <w:r w:rsidR="00495327" w:rsidRPr="00AA7459">
        <w:t>(for just a few examples, see Nagata et al., 2021; Chauhan et al., 2022; Asmussen et al., 2023; Soler et al., 2023; Tokey and Alam, 2023)</w:t>
      </w:r>
      <w:r w:rsidR="001F2B97" w:rsidRPr="00AA7459">
        <w:fldChar w:fldCharType="end"/>
      </w:r>
      <w:r w:rsidR="008C3121" w:rsidRPr="00AA7459">
        <w:t xml:space="preserve">. </w:t>
      </w:r>
      <w:r w:rsidR="002B6B69" w:rsidRPr="00AA7459">
        <w:t xml:space="preserve">Thus, individuals working </w:t>
      </w:r>
      <w:r w:rsidR="00D04128">
        <w:t xml:space="preserve">partially </w:t>
      </w:r>
      <w:r w:rsidR="002B6B69" w:rsidRPr="00AA7459">
        <w:t xml:space="preserve">remotely </w:t>
      </w:r>
      <w:r w:rsidR="00F9068F" w:rsidRPr="00AA7459">
        <w:t xml:space="preserve">may be inconsistently categorized as teleworkers or in-person workers </w:t>
      </w:r>
      <w:r w:rsidR="00277A3B" w:rsidRPr="00AA7459">
        <w:t xml:space="preserve">when they do not fall neatly into these categories. </w:t>
      </w:r>
    </w:p>
    <w:p w14:paraId="77D6D4EE" w14:textId="0C975537" w:rsidR="00C251FE" w:rsidRPr="00AA7459" w:rsidRDefault="00BB6D78" w:rsidP="001D6510">
      <w:r w:rsidRPr="00AA7459">
        <w:tab/>
      </w:r>
      <w:r w:rsidR="008C366D">
        <w:t>Motivated by the above discussion</w:t>
      </w:r>
      <w:r w:rsidRPr="00AA7459">
        <w:t xml:space="preserve">, </w:t>
      </w:r>
      <w:r w:rsidR="001C77A8">
        <w:t xml:space="preserve">and using a rather unique regional-level activity-travel diary data that enables us to distinguish between part-day and full-day telework, </w:t>
      </w:r>
      <w:r w:rsidRPr="00AA7459">
        <w:t xml:space="preserve">we examine the adoption and frequency of part-day telework alongside full-day </w:t>
      </w:r>
      <w:r w:rsidR="00774152" w:rsidRPr="00AA7459">
        <w:t>telework</w:t>
      </w:r>
      <w:r w:rsidR="00B22AD3">
        <w:t>,</w:t>
      </w:r>
      <w:r w:rsidR="00774152" w:rsidRPr="00AA7459">
        <w:t xml:space="preserve"> and</w:t>
      </w:r>
      <w:r w:rsidR="003B71B7" w:rsidRPr="00AA7459">
        <w:t xml:space="preserve"> quantify the total effects of telework on commute VMT. </w:t>
      </w:r>
      <w:r w:rsidR="001C77A8">
        <w:t xml:space="preserve">Specifically, we use the </w:t>
      </w:r>
      <w:r w:rsidR="00B22AD3">
        <w:t xml:space="preserve">multi-day </w:t>
      </w:r>
      <w:r w:rsidR="00B14AB9" w:rsidRPr="00AA7459">
        <w:t>diary</w:t>
      </w:r>
      <w:r w:rsidR="00AA3091" w:rsidRPr="00AA7459">
        <w:t xml:space="preserve"> </w:t>
      </w:r>
      <w:r w:rsidR="00D347EC" w:rsidRPr="00AA7459">
        <w:t>data</w:t>
      </w:r>
      <w:r w:rsidR="00AA3091" w:rsidRPr="00AA7459">
        <w:t xml:space="preserve"> </w:t>
      </w:r>
      <w:r w:rsidR="00B22AD3">
        <w:t xml:space="preserve">(with three to five workdays in a single week from each respondent) </w:t>
      </w:r>
      <w:r w:rsidR="00124B6F" w:rsidRPr="00AA7459">
        <w:t xml:space="preserve">collected in </w:t>
      </w:r>
      <w:r w:rsidR="00FA38DA" w:rsidRPr="00AA7459">
        <w:t xml:space="preserve">the </w:t>
      </w:r>
      <w:r w:rsidR="00665133" w:rsidRPr="00AA7459">
        <w:t>2023 Puget Sound Regional Household Travel Survey</w:t>
      </w:r>
      <w:r w:rsidR="00680F54">
        <w:t xml:space="preserve">, which records the number of hours worked remotely on each day alongside a complete diary of work and non-work out-of-home activities. This allows us to classify </w:t>
      </w:r>
      <w:r w:rsidR="0053113E">
        <w:t>each workday</w:t>
      </w:r>
      <w:r w:rsidR="00680F54">
        <w:t xml:space="preserve"> as </w:t>
      </w:r>
      <w:r w:rsidR="0053113E">
        <w:t xml:space="preserve">(a) fully in-person, (b) fully remote, or (c) part-day telework, where work is split between in-person and remote </w:t>
      </w:r>
      <w:r w:rsidR="007654CA">
        <w:t xml:space="preserve">locations. </w:t>
      </w:r>
      <w:r w:rsidR="00A62A57">
        <w:t>We then model this split of workplace choices</w:t>
      </w:r>
      <w:r w:rsidR="008170D4">
        <w:t xml:space="preserve">, </w:t>
      </w:r>
      <w:r w:rsidR="008F6224">
        <w:t>considering a binary outcome for whether each individual ever teleworks as well as the counts of part-day and full-day telework days</w:t>
      </w:r>
      <w:r w:rsidR="008170D4">
        <w:t xml:space="preserve">. </w:t>
      </w:r>
      <w:r w:rsidR="0091118A">
        <w:t xml:space="preserve">Jointly with these workplace location decisions, we model </w:t>
      </w:r>
      <w:r w:rsidR="009E46DA">
        <w:t>the worker’s commute distance, allowing us to determine the effect of commute distance on weekly work location choices</w:t>
      </w:r>
      <w:r w:rsidR="001E16B6">
        <w:t>,</w:t>
      </w:r>
      <w:r w:rsidR="009E46DA">
        <w:t xml:space="preserve"> </w:t>
      </w:r>
      <w:r w:rsidR="001E16B6">
        <w:t xml:space="preserve">while simultaneously </w:t>
      </w:r>
      <w:r w:rsidR="00CC3EF7">
        <w:t>account</w:t>
      </w:r>
      <w:r w:rsidR="001E16B6">
        <w:t>ing</w:t>
      </w:r>
      <w:r w:rsidR="00CC3EF7">
        <w:t xml:space="preserve"> for unobserved factors that may influence both commute distance and work arrangement preferences (for instance, </w:t>
      </w:r>
      <w:r w:rsidR="00C44F6A">
        <w:t xml:space="preserve">an unobserved individual preference for schedule </w:t>
      </w:r>
      <w:r w:rsidR="00C44F6A" w:rsidRPr="00C44F6A">
        <w:t xml:space="preserve">predictability </w:t>
      </w:r>
      <w:r w:rsidR="00C44F6A">
        <w:t>and daily travel control</w:t>
      </w:r>
      <w:r w:rsidR="00C44F6A" w:rsidRPr="00C44F6A">
        <w:t xml:space="preserve"> may lead individuals to locate closer to employment centers while </w:t>
      </w:r>
      <w:r w:rsidR="001E16B6">
        <w:t>also</w:t>
      </w:r>
      <w:r w:rsidR="00C44F6A" w:rsidRPr="00C44F6A">
        <w:t xml:space="preserve"> favoring flexible work arrangements</w:t>
      </w:r>
      <w:r w:rsidR="00CC3EF7">
        <w:t>)</w:t>
      </w:r>
      <w:r w:rsidR="00DB5F6C">
        <w:t>. After accounting for such unobserved factors, we then estimate a more</w:t>
      </w:r>
      <w:r w:rsidR="004911BB">
        <w:t xml:space="preserve"> “cleansed” </w:t>
      </w:r>
      <w:r w:rsidR="001E16B6">
        <w:t xml:space="preserve">structural </w:t>
      </w:r>
      <w:r w:rsidR="00CC3EF7">
        <w:t xml:space="preserve">causal </w:t>
      </w:r>
      <w:r w:rsidR="00C44F6A">
        <w:t>relationship</w:t>
      </w:r>
      <w:r w:rsidR="00CC3EF7">
        <w:t xml:space="preserve"> between commute distance and work arrangement.</w:t>
      </w:r>
      <w:r w:rsidR="00C44F6A">
        <w:t xml:space="preserve"> Finally, b</w:t>
      </w:r>
      <w:r w:rsidR="00EC39E7" w:rsidRPr="00AA7459">
        <w:t xml:space="preserve">y </w:t>
      </w:r>
      <w:r w:rsidR="002D081C">
        <w:t xml:space="preserve">jointly </w:t>
      </w:r>
      <w:r w:rsidR="00A77464" w:rsidRPr="00AA7459">
        <w:t xml:space="preserve">modeling </w:t>
      </w:r>
      <w:r w:rsidR="002D081C">
        <w:t>workplace location choices alongside</w:t>
      </w:r>
      <w:r w:rsidR="008962D2" w:rsidRPr="00AA7459">
        <w:t xml:space="preserve"> commute distance, we </w:t>
      </w:r>
      <w:r w:rsidR="008A763B" w:rsidRPr="00AA7459">
        <w:t xml:space="preserve">translate the </w:t>
      </w:r>
      <w:r w:rsidR="00EC39E7" w:rsidRPr="00AA7459">
        <w:t xml:space="preserve">results to quantify the impacts of the telework choices on </w:t>
      </w:r>
      <w:r w:rsidR="002D081C">
        <w:t xml:space="preserve">aggregate </w:t>
      </w:r>
      <w:r w:rsidR="00EC39E7" w:rsidRPr="00AA7459">
        <w:t>commute VMT</w:t>
      </w:r>
      <w:r w:rsidR="002D081C">
        <w:t xml:space="preserve"> at a weekly level</w:t>
      </w:r>
      <w:r w:rsidR="00EC39E7" w:rsidRPr="00AA7459">
        <w:t xml:space="preserve">. </w:t>
      </w:r>
      <w:r w:rsidR="00C251FE" w:rsidRPr="00AA7459">
        <w:t xml:space="preserve">This investigation has substantial importance for transportation planners, as the continued evolution of telework habits, including growing adoption of part-day telework, will influence the spatial and temporal distributions of travel demand, the future of residential choices and employment centers, and the structure of time-use and non-work travel decisions. </w:t>
      </w:r>
    </w:p>
    <w:p w14:paraId="29A04B02" w14:textId="39040C5B" w:rsidR="00A52629" w:rsidRPr="00AA7459" w:rsidRDefault="00520B95" w:rsidP="001D6510">
      <w:r w:rsidRPr="00AA7459">
        <w:tab/>
        <w:t xml:space="preserve">The remainder of this paper is organized as follows. The following section </w:t>
      </w:r>
      <w:r w:rsidR="008B72C2" w:rsidRPr="00AA7459">
        <w:t>presents an overview of existing literature examining the adoption of part-day telework</w:t>
      </w:r>
      <w:r w:rsidR="00FC1A6E" w:rsidRPr="00AA7459">
        <w:t xml:space="preserve">. Section 3 presents the details of the data used </w:t>
      </w:r>
      <w:r w:rsidR="002701BD" w:rsidRPr="00AA7459">
        <w:t xml:space="preserve">and the modeling methodology employed. The model results </w:t>
      </w:r>
      <w:r w:rsidR="006C4ADE" w:rsidRPr="00AA7459">
        <w:t xml:space="preserve">are presented in </w:t>
      </w:r>
      <w:r w:rsidR="001B170D">
        <w:t>S</w:t>
      </w:r>
      <w:r w:rsidR="006C4ADE" w:rsidRPr="00AA7459">
        <w:t xml:space="preserve">ection 4, while Section 5 presents the </w:t>
      </w:r>
      <w:r w:rsidR="008F7F84" w:rsidRPr="00AA7459">
        <w:t xml:space="preserve">method used to quantify the effects of telework on commute VMT. Finally, Section 6 concludes the paper with a </w:t>
      </w:r>
      <w:r w:rsidR="000678EB" w:rsidRPr="00AA7459">
        <w:t>discussion</w:t>
      </w:r>
      <w:r w:rsidR="008F7F84" w:rsidRPr="00AA7459">
        <w:t xml:space="preserve"> of the major implications </w:t>
      </w:r>
      <w:r w:rsidR="000678EB" w:rsidRPr="00AA7459">
        <w:t xml:space="preserve">of the study. </w:t>
      </w:r>
    </w:p>
    <w:p w14:paraId="655C1F9F" w14:textId="7D5DEAF3" w:rsidR="005E1EB8" w:rsidRPr="00AA7459" w:rsidRDefault="005E1EB8" w:rsidP="001D6510"/>
    <w:p w14:paraId="0ECA0B1D" w14:textId="3BAFE8B1" w:rsidR="005E1EB8" w:rsidRPr="001D6510" w:rsidRDefault="005E1EB8" w:rsidP="001D6510">
      <w:pPr>
        <w:rPr>
          <w:b/>
          <w:bCs/>
        </w:rPr>
      </w:pPr>
      <w:r w:rsidRPr="001D6510">
        <w:rPr>
          <w:b/>
          <w:bCs/>
        </w:rPr>
        <w:t>2. LITERATURE OVERVIEW</w:t>
      </w:r>
    </w:p>
    <w:p w14:paraId="0700383E" w14:textId="3AF5E2B0" w:rsidR="00040829" w:rsidRDefault="005A1FCF" w:rsidP="001D6510">
      <w:r w:rsidRPr="00AA7459">
        <w:t xml:space="preserve">While a large body of recent literature has </w:t>
      </w:r>
      <w:r w:rsidR="00891FF0" w:rsidRPr="00AA7459">
        <w:t>examined</w:t>
      </w:r>
      <w:r w:rsidRPr="00AA7459">
        <w:t xml:space="preserve"> the adoption of telework </w:t>
      </w:r>
      <w:r w:rsidR="00426BC3" w:rsidRPr="00AA7459">
        <w:t xml:space="preserve">and </w:t>
      </w:r>
      <w:r w:rsidR="00E14AAE">
        <w:t xml:space="preserve">the </w:t>
      </w:r>
      <w:r w:rsidR="00426BC3" w:rsidRPr="00AA7459">
        <w:t xml:space="preserve">frequency of telework in general, </w:t>
      </w:r>
      <w:r w:rsidRPr="00AA7459">
        <w:t xml:space="preserve">we focus </w:t>
      </w:r>
      <w:r w:rsidR="00426BC3" w:rsidRPr="00AA7459">
        <w:t xml:space="preserve">this review </w:t>
      </w:r>
      <w:r w:rsidRPr="00AA7459">
        <w:t>on the adoption of part-day telework</w:t>
      </w:r>
      <w:r w:rsidR="00D91F74">
        <w:t>, a work arrangement that</w:t>
      </w:r>
      <w:r w:rsidR="00426BC3" w:rsidRPr="00AA7459">
        <w:t xml:space="preserve"> has received less attention</w:t>
      </w:r>
      <w:r w:rsidR="00E143EA" w:rsidRPr="00AA7459">
        <w:t xml:space="preserve"> overall</w:t>
      </w:r>
      <w:r w:rsidR="00172E5B" w:rsidRPr="00AA7459">
        <w:t xml:space="preserve">. </w:t>
      </w:r>
      <w:r w:rsidR="00616F5E" w:rsidRPr="00AA7459">
        <w:t>Due to the changing trends in telework</w:t>
      </w:r>
      <w:r w:rsidR="00D82C7F">
        <w:t xml:space="preserve">, </w:t>
      </w:r>
      <w:r w:rsidR="00616F5E" w:rsidRPr="00AA7459">
        <w:lastRenderedPageBreak/>
        <w:t xml:space="preserve">different ways of measuring working patterns over the last several years, </w:t>
      </w:r>
      <w:r w:rsidR="00D82C7F">
        <w:t>and</w:t>
      </w:r>
      <w:r w:rsidR="00616F5E" w:rsidRPr="00AA7459">
        <w:t xml:space="preserve"> the relatively small number of studies examining part-day telework since the pandemic, we begin by briefly reviewing pre-pandemic literature o</w:t>
      </w:r>
      <w:r w:rsidR="00E321BC">
        <w:t>n</w:t>
      </w:r>
      <w:r w:rsidR="00616F5E" w:rsidRPr="00AA7459">
        <w:t xml:space="preserve"> part-day telework, before turning to post-pandemic trends.</w:t>
      </w:r>
      <w:r w:rsidR="00D11746" w:rsidRPr="00AA7459">
        <w:t xml:space="preserve"> </w:t>
      </w:r>
      <w:r w:rsidR="004016D6">
        <w:t xml:space="preserve">In doing so, we focus on the dimensions relevant to the current paper, including only studies that have </w:t>
      </w:r>
      <w:r w:rsidR="001E16B6">
        <w:t xml:space="preserve">(a) </w:t>
      </w:r>
      <w:r w:rsidR="004016D6">
        <w:t>expressly modeled part-day teleworking (either with full-day teleworking as another separate outcome o</w:t>
      </w:r>
      <w:r w:rsidR="001E16B6">
        <w:t>r including</w:t>
      </w:r>
      <w:r w:rsidR="004016D6">
        <w:t xml:space="preserve"> part-day and full-day teleworking </w:t>
      </w:r>
      <w:r w:rsidR="001E16B6">
        <w:t>as</w:t>
      </w:r>
      <w:r w:rsidR="004016D6">
        <w:t xml:space="preserve"> one consolidated outcome)</w:t>
      </w:r>
      <w:r w:rsidR="0012559C">
        <w:t xml:space="preserve">, </w:t>
      </w:r>
      <w:r w:rsidR="003B10C0">
        <w:t>and (b) considered</w:t>
      </w:r>
      <w:r w:rsidR="0012559C">
        <w:t xml:space="preserve"> </w:t>
      </w:r>
      <w:r w:rsidR="004016D6">
        <w:t>commute distance</w:t>
      </w:r>
      <w:r w:rsidR="003B10C0">
        <w:t xml:space="preserve"> </w:t>
      </w:r>
      <w:r w:rsidR="004016D6">
        <w:t>in the</w:t>
      </w:r>
      <w:r w:rsidR="003B10C0">
        <w:t xml:space="preserve"> analysis</w:t>
      </w:r>
      <w:r w:rsidR="004016D6">
        <w:t xml:space="preserve">. We do not dwell on studies that have considered part-day or full-day teleworking as predetermined and modeled </w:t>
      </w:r>
      <w:r w:rsidR="00040829">
        <w:t xml:space="preserve">travel behaviors as the outcome of these predetermined teleworking </w:t>
      </w:r>
      <w:r w:rsidR="0072443B">
        <w:t>choices</w:t>
      </w:r>
      <w:r w:rsidR="00040829">
        <w:t>.</w:t>
      </w:r>
      <w:r w:rsidR="00040829">
        <w:rPr>
          <w:rStyle w:val="FootnoteReference"/>
        </w:rPr>
        <w:footnoteReference w:id="1"/>
      </w:r>
      <w:r w:rsidR="00040829">
        <w:t xml:space="preserve"> </w:t>
      </w:r>
      <w:r w:rsidR="004016D6">
        <w:t xml:space="preserve"> </w:t>
      </w:r>
    </w:p>
    <w:p w14:paraId="45EFC6C1" w14:textId="68FB07EE" w:rsidR="00BB65FD" w:rsidRDefault="00040829" w:rsidP="001F613B">
      <w:pPr>
        <w:ind w:firstLine="720"/>
      </w:pPr>
      <w:r>
        <w:t>A</w:t>
      </w:r>
      <w:r w:rsidR="00C44F6A">
        <w:t>n overview of studies</w:t>
      </w:r>
      <w:r>
        <w:t xml:space="preserve"> considering and analyzing </w:t>
      </w:r>
      <w:r w:rsidR="00C44F6A">
        <w:t xml:space="preserve">part-day telework is presented in Table 1, providing </w:t>
      </w:r>
      <w:r w:rsidR="0010195B">
        <w:t xml:space="preserve">(1) </w:t>
      </w:r>
      <w:r w:rsidR="00C44F6A">
        <w:t xml:space="preserve">the </w:t>
      </w:r>
      <w:r w:rsidR="0010195B">
        <w:t xml:space="preserve">study context (data source and location), (2) the </w:t>
      </w:r>
      <w:r w:rsidR="00E24BAD">
        <w:t>elicitation method</w:t>
      </w:r>
      <w:r w:rsidR="0010195B">
        <w:t xml:space="preserve"> (retrospective responses or time-use/activity/travel diary) (3) </w:t>
      </w:r>
      <w:r w:rsidR="00DE0769">
        <w:t>the data resolution (</w:t>
      </w:r>
      <w:r w:rsidR="0010195B">
        <w:t xml:space="preserve">the </w:t>
      </w:r>
      <w:r w:rsidR="009C6CE5">
        <w:t xml:space="preserve">number of days </w:t>
      </w:r>
      <w:r w:rsidR="0010195B">
        <w:t xml:space="preserve">used </w:t>
      </w:r>
      <w:r w:rsidR="00C44F6A">
        <w:t xml:space="preserve">to identify </w:t>
      </w:r>
      <w:r w:rsidR="009C6CE5">
        <w:t>tele</w:t>
      </w:r>
      <w:r w:rsidR="00C44F6A">
        <w:t>work arrangements</w:t>
      </w:r>
      <w:r w:rsidR="00DE0769">
        <w:t xml:space="preserve">; </w:t>
      </w:r>
      <w:r w:rsidR="0010195B">
        <w:t xml:space="preserve">single day or multi-day), (4) the </w:t>
      </w:r>
      <w:r w:rsidR="00C44F6A">
        <w:t xml:space="preserve">definition of part-day telework </w:t>
      </w:r>
      <w:r w:rsidR="0010195B">
        <w:t>employed</w:t>
      </w:r>
      <w:r w:rsidR="00C44F6A">
        <w:t xml:space="preserve">, </w:t>
      </w:r>
      <w:r w:rsidR="00EA139C">
        <w:t xml:space="preserve">and </w:t>
      </w:r>
      <w:r w:rsidR="0010195B">
        <w:t xml:space="preserve">(5) </w:t>
      </w:r>
      <w:r w:rsidR="00286A1B">
        <w:t>the modeling approach</w:t>
      </w:r>
      <w:r w:rsidR="0099406C">
        <w:t>. Within the modeling approach, we list multiple dimensions: (a) full-day telework model</w:t>
      </w:r>
      <w:r w:rsidR="00B313AE">
        <w:t>ed</w:t>
      </w:r>
      <w:r w:rsidR="0099406C">
        <w:t>?, (b) part-day telework</w:t>
      </w:r>
      <w:r w:rsidR="005244BD">
        <w:t xml:space="preserve"> </w:t>
      </w:r>
      <w:r w:rsidR="0099406C">
        <w:t xml:space="preserve">modeled?, (c) </w:t>
      </w:r>
      <w:r w:rsidR="006952C1">
        <w:t xml:space="preserve">consideration of </w:t>
      </w:r>
      <w:r w:rsidR="0099406C">
        <w:t xml:space="preserve">both full-day and part-day telework </w:t>
      </w:r>
      <w:r w:rsidR="0099406C" w:rsidRPr="005244BD">
        <w:rPr>
          <w:i/>
          <w:iCs/>
        </w:rPr>
        <w:t>frequencies</w:t>
      </w:r>
      <w:r w:rsidR="0099406C">
        <w:t xml:space="preserve">?, (d) </w:t>
      </w:r>
      <w:r w:rsidR="007605D3">
        <w:t xml:space="preserve">telework adoption, </w:t>
      </w:r>
      <w:r w:rsidR="0099406C">
        <w:t xml:space="preserve">full-day </w:t>
      </w:r>
      <w:r w:rsidR="007605D3">
        <w:t xml:space="preserve">telework frequency, </w:t>
      </w:r>
      <w:r w:rsidR="0099406C">
        <w:t>and part-day telework frequenc</w:t>
      </w:r>
      <w:r w:rsidR="007605D3">
        <w:t>y</w:t>
      </w:r>
      <w:r w:rsidR="0099406C">
        <w:t xml:space="preserve"> </w:t>
      </w:r>
      <w:r w:rsidR="007605D3">
        <w:t xml:space="preserve">all </w:t>
      </w:r>
      <w:r w:rsidR="0099406C">
        <w:t>modeled jointly?</w:t>
      </w:r>
      <w:r w:rsidR="00B313AE">
        <w:t xml:space="preserve">, </w:t>
      </w:r>
      <w:r w:rsidR="00AA326B">
        <w:t xml:space="preserve">and </w:t>
      </w:r>
      <w:r w:rsidR="00B313AE">
        <w:t xml:space="preserve">(e) </w:t>
      </w:r>
      <w:r w:rsidR="00AA326B">
        <w:t>commute distance considered endogenous to telework arrangements?</w:t>
      </w:r>
      <w:r w:rsidR="0099406C">
        <w:t xml:space="preserve"> </w:t>
      </w:r>
      <w:r w:rsidR="00B313AE">
        <w:t xml:space="preserve">In </w:t>
      </w:r>
      <w:r w:rsidR="00AA326B">
        <w:t>part (d) above</w:t>
      </w:r>
      <w:r w:rsidR="00B313AE">
        <w:t xml:space="preserve">, note that there are </w:t>
      </w:r>
      <w:r w:rsidR="007605D3">
        <w:t>four</w:t>
      </w:r>
      <w:r w:rsidR="00B313AE">
        <w:t xml:space="preserve"> issues involved. The </w:t>
      </w:r>
      <w:r w:rsidR="00B313AE" w:rsidRPr="003E509C">
        <w:rPr>
          <w:u w:val="single"/>
        </w:rPr>
        <w:t>first</w:t>
      </w:r>
      <w:r w:rsidR="00B313AE">
        <w:t xml:space="preserve"> </w:t>
      </w:r>
      <w:r w:rsidR="00C24C1F">
        <w:t xml:space="preserve">is </w:t>
      </w:r>
      <w:r w:rsidR="00570648">
        <w:t>whether</w:t>
      </w:r>
      <w:r w:rsidR="005D6635">
        <w:t xml:space="preserve"> telework adoption is modeled jointly with the frequencies of part-day and full-day telework</w:t>
      </w:r>
      <w:r w:rsidR="00B631C3">
        <w:t xml:space="preserve"> to accommodate </w:t>
      </w:r>
      <w:r w:rsidR="003B10C0">
        <w:t xml:space="preserve">common unobserved effects </w:t>
      </w:r>
      <w:r w:rsidR="005E0ED6">
        <w:t xml:space="preserve">(through error correlations) </w:t>
      </w:r>
      <w:r w:rsidR="003B10C0">
        <w:t>that influence these propensities. For instance, unobserved individual preferences favoring sustained, uninterrupted remote work</w:t>
      </w:r>
      <w:r w:rsidR="007F6843">
        <w:t xml:space="preserve"> and </w:t>
      </w:r>
      <w:r w:rsidR="003B10C0">
        <w:t>stronger</w:t>
      </w:r>
      <w:r w:rsidR="007F6843">
        <w:t xml:space="preserve"> work-from-home</w:t>
      </w:r>
      <w:r w:rsidR="003B10C0">
        <w:t xml:space="preserve"> self-efficacy</w:t>
      </w:r>
      <w:r w:rsidR="007F6843">
        <w:t xml:space="preserve"> may result in </w:t>
      </w:r>
      <w:r w:rsidR="003B10C0">
        <w:t xml:space="preserve">a stronger desire to </w:t>
      </w:r>
      <w:r w:rsidR="007F6843">
        <w:t xml:space="preserve">adopt teleworking, but </w:t>
      </w:r>
      <w:r w:rsidR="003B10C0">
        <w:t>as complete work-from-home days rather than split-day arrangements.</w:t>
      </w:r>
      <w:r w:rsidR="007F6843">
        <w:t xml:space="preserve"> This wou</w:t>
      </w:r>
      <w:r w:rsidR="00214394">
        <w:t>l</w:t>
      </w:r>
      <w:r w:rsidR="007F6843">
        <w:t>d lead to a positive correlation between teleworking adoption and full-day telework frequency, but a negative correlation between telework adoption and part-day telework frequency</w:t>
      </w:r>
      <w:r w:rsidR="00214394">
        <w:t xml:space="preserve"> (as we noticed in our own empirical analysis later)</w:t>
      </w:r>
      <w:r w:rsidR="007F6843">
        <w:t xml:space="preserve">. </w:t>
      </w:r>
      <w:r w:rsidR="007605D3">
        <w:t xml:space="preserve">The </w:t>
      </w:r>
      <w:r w:rsidR="007605D3" w:rsidRPr="00ED3933">
        <w:rPr>
          <w:u w:val="single"/>
        </w:rPr>
        <w:t>second</w:t>
      </w:r>
      <w:r w:rsidR="007605D3">
        <w:t xml:space="preserve"> is </w:t>
      </w:r>
      <w:r w:rsidR="00B313AE">
        <w:t xml:space="preserve">whether </w:t>
      </w:r>
      <w:r w:rsidR="005E0ED6">
        <w:t xml:space="preserve">part-day and full-day telework frequencies themselves are modeled jointly to accommodate common unobserved factors (again through </w:t>
      </w:r>
      <w:r w:rsidR="00B313AE">
        <w:t>error correlations</w:t>
      </w:r>
      <w:r w:rsidR="005E0ED6">
        <w:t xml:space="preserve">, </w:t>
      </w:r>
      <w:r w:rsidR="00B313AE">
        <w:t xml:space="preserve">such as an introverted person avoiding contact with co-workers as much as possible while also wanting to show up occasionally at the workplace for professional visibility purposes). The </w:t>
      </w:r>
      <w:r w:rsidR="007605D3" w:rsidRPr="004D5C1B">
        <w:rPr>
          <w:u w:val="single"/>
        </w:rPr>
        <w:t>third</w:t>
      </w:r>
      <w:r w:rsidR="00B313AE">
        <w:t xml:space="preserve"> is whether </w:t>
      </w:r>
      <w:r w:rsidR="00C24C1F">
        <w:t xml:space="preserve">intrinsic clustering effects among specific intensities of part-day and full-day telework, unrelated to individual-level employee effects, are accommodated. Such effects may originate because of unobserved employer policies that elevate or depress specific combinations of part-day and </w:t>
      </w:r>
      <w:r w:rsidR="00B4371D">
        <w:t xml:space="preserve">full-day </w:t>
      </w:r>
      <w:r w:rsidR="00C24C1F">
        <w:t>telework intensities. For example, a certain fraction of employe</w:t>
      </w:r>
      <w:r w:rsidR="005E0ED6">
        <w:t>rs</w:t>
      </w:r>
      <w:r w:rsidR="00C24C1F">
        <w:t xml:space="preserve"> may uniformly promote hybrid </w:t>
      </w:r>
      <w:r w:rsidR="00BC4CAC">
        <w:t>work arrangements</w:t>
      </w:r>
      <w:r w:rsidR="00C24C1F">
        <w:t>, may have strict “in-person work” policies</w:t>
      </w:r>
      <w:r w:rsidR="00BC4CAC">
        <w:t>,</w:t>
      </w:r>
      <w:r w:rsidR="00C24C1F">
        <w:t xml:space="preserve"> or may not have a physical </w:t>
      </w:r>
      <w:r w:rsidR="00B4371D">
        <w:t>workspace</w:t>
      </w:r>
      <w:r w:rsidR="00C24C1F">
        <w:t xml:space="preserve"> available. The </w:t>
      </w:r>
      <w:r w:rsidR="007605D3" w:rsidRPr="004D5C1B">
        <w:rPr>
          <w:u w:val="single"/>
        </w:rPr>
        <w:t>fourth</w:t>
      </w:r>
      <w:r w:rsidR="00C24C1F">
        <w:t xml:space="preserve"> is whether or not </w:t>
      </w:r>
      <w:r w:rsidR="00B313AE">
        <w:t xml:space="preserve">the basic identity that the number of part-day telework and full-day telework cannot exceed the total number of </w:t>
      </w:r>
      <w:r w:rsidR="00B4371D">
        <w:t>workdays</w:t>
      </w:r>
      <w:r w:rsidR="00B313AE">
        <w:t xml:space="preserve"> is accommodated. </w:t>
      </w:r>
      <w:r w:rsidR="006952C1">
        <w:t xml:space="preserve">In part (e) under modeling approach, the issue is whether commute distance </w:t>
      </w:r>
      <w:r w:rsidR="005E0ED6">
        <w:t>i</w:t>
      </w:r>
      <w:r w:rsidR="006952C1">
        <w:t xml:space="preserve">s considered as an exogenous pre-determined variable or </w:t>
      </w:r>
      <w:r w:rsidR="005E0ED6">
        <w:t>i</w:t>
      </w:r>
      <w:r w:rsidR="006952C1">
        <w:t>s modeled jointly with telework arrangements to account for unobserved factors that may influence both commute distance and work arrangement preferences</w:t>
      </w:r>
      <w:r w:rsidR="004016D6">
        <w:t xml:space="preserve"> (as discussed in the previous section). </w:t>
      </w:r>
    </w:p>
    <w:p w14:paraId="6EFA47C9" w14:textId="77777777" w:rsidR="007C4F88" w:rsidRPr="00AA7459" w:rsidRDefault="007C4F88" w:rsidP="001D6510"/>
    <w:p w14:paraId="0F9B9E10" w14:textId="013B65BB" w:rsidR="00C36462" w:rsidRPr="001D6510" w:rsidRDefault="00BB65FD" w:rsidP="000B4E6A">
      <w:pPr>
        <w:keepNext/>
        <w:rPr>
          <w:b/>
          <w:bCs/>
        </w:rPr>
      </w:pPr>
      <w:r w:rsidRPr="001D6510">
        <w:rPr>
          <w:b/>
          <w:bCs/>
        </w:rPr>
        <w:t xml:space="preserve">2.1 </w:t>
      </w:r>
      <w:r w:rsidR="008D6FEA" w:rsidRPr="001D6510">
        <w:rPr>
          <w:b/>
          <w:bCs/>
        </w:rPr>
        <w:t xml:space="preserve">Studies of </w:t>
      </w:r>
      <w:r w:rsidR="00C36462" w:rsidRPr="001D6510">
        <w:rPr>
          <w:b/>
          <w:bCs/>
        </w:rPr>
        <w:t>Part-Day Telework</w:t>
      </w:r>
      <w:r w:rsidR="007A4343" w:rsidRPr="001D6510">
        <w:rPr>
          <w:b/>
          <w:bCs/>
        </w:rPr>
        <w:t xml:space="preserve"> Before the Pandemic</w:t>
      </w:r>
    </w:p>
    <w:p w14:paraId="72154688" w14:textId="5CA68E86" w:rsidR="00061899" w:rsidRDefault="00C44F6A" w:rsidP="001D6510">
      <w:r>
        <w:t xml:space="preserve">The </w:t>
      </w:r>
      <w:r w:rsidR="00040829">
        <w:t xml:space="preserve">top panel </w:t>
      </w:r>
      <w:r>
        <w:t xml:space="preserve">of Table 1 shows </w:t>
      </w:r>
      <w:r w:rsidR="00040829">
        <w:t xml:space="preserve">two </w:t>
      </w:r>
      <w:r>
        <w:t xml:space="preserve">pre-pandemic studies of part-day telework. </w:t>
      </w:r>
      <w:r w:rsidR="006979BB" w:rsidRPr="00AA7459">
        <w:t xml:space="preserve">Haddad et al. </w:t>
      </w:r>
      <w:r w:rsidR="006979BB" w:rsidRPr="00AA7459">
        <w:fldChar w:fldCharType="begin"/>
      </w:r>
      <w:r w:rsidR="006979BB" w:rsidRPr="00AA7459">
        <w:instrText xml:space="preserve"> ADDIN ZOTERO_ITEM CSL_CITATION {"citationID":"bSs2iPci","properties":{"formattedCitation":"(2009)","plainCitation":"(2009)","noteIndex":0},"citationItems":[{"id":272,"uris":["http://zotero.org/users/12832277/items/HBK4QNSF"],"itemData":{"id":272,"type":"article-journal","abstract":"This paper presents findings and analysis based upon the third wave of a national longitudinal survey in the UK which is examining part-day homeworking and comparing it with whole-day homeworking. Survey results confirm earlier findings that there is a higher incidence, amongst full-time paid employees, of part-day homeworking than whole-day homeworking. The paper then separately examines determinants of the desire to part-day homework and whole-day homework and determinants of the reported frequency of part-day homeworking and whole-day homeworking. The determinants considered are socio-demographic characteristics of the respondents and belief statements relating to homeworking. Four statements are found to be relevant to desire to part-day and to whole-day homework: avoiding interruptions at work; avoiding wasted time in traffic; other household members appreciating the employee homeworking; and working longer hours. A similar comparison concerning actual frequency of homeworking finds that employer support is relevant for both homeworking practices, with part-day homeworking being associated with avoiding interruptions at work and whole-day homeworking frequency also being associated with commute struggle. For both forms of working practice, the belief statements are better able to explain desire to homework (more) than to explain frequency of homeworking. This is perhaps not surprising given the variability of work patterns at the level of the individual that can occur from week-to-week. The better performance of desire models for whole-day homeworking compared to those for part-day homeworking suggest that other factors are at play that remain to be identified in future examination of part-day homeworking.","collection-title":"ICT and the Shaping of Access, Mobility and Everyday Life","container-title":"Journal of Transport Geography","DOI":"10.1016/j.jtrangeo.2008.11.008","ISSN":"0966-6923","issue":"2","language":"en","page":"124-133","source":"ScienceDirect","title":"An Examination of Determinants Influencing the Desire for and Frequency of Part-Day and Whole-Day Homeworking","volume":"17","author":[{"family":"Haddad","given":"Hebba"},{"family":"Lyons","given":"Glenn"},{"family":"Chatterjee","given":"Kiron"}],"issued":{"date-parts":[["2009",3,1]]}},"label":"page","suppress-author":true}],"schema":"https://github.com/citation-style-language/schema/raw/master/csl-citation.json"} </w:instrText>
      </w:r>
      <w:r w:rsidR="006979BB" w:rsidRPr="00AA7459">
        <w:fldChar w:fldCharType="separate"/>
      </w:r>
      <w:r w:rsidR="00AA606C" w:rsidRPr="00AA606C">
        <w:t>(2009)</w:t>
      </w:r>
      <w:r w:rsidR="006979BB" w:rsidRPr="00AA7459">
        <w:fldChar w:fldCharType="end"/>
      </w:r>
      <w:r w:rsidR="007B1E94">
        <w:t xml:space="preserve">, in their </w:t>
      </w:r>
      <w:r w:rsidR="00455C70">
        <w:t>study</w:t>
      </w:r>
      <w:r w:rsidR="007B1E94">
        <w:t xml:space="preserve"> using a 2007 United Kingdom national multi-day survey, analyzed the number of full-day and part-day telework days </w:t>
      </w:r>
      <w:r w:rsidR="006979BB" w:rsidRPr="00AA7459">
        <w:t>reported during a one</w:t>
      </w:r>
      <w:r w:rsidR="007B1E94">
        <w:t xml:space="preserve"> work</w:t>
      </w:r>
      <w:r w:rsidR="00F41F64">
        <w:t>-</w:t>
      </w:r>
      <w:r w:rsidR="006979BB" w:rsidRPr="00AA7459">
        <w:t>week reference period</w:t>
      </w:r>
      <w:r w:rsidR="007B1E94">
        <w:t xml:space="preserve">. They </w:t>
      </w:r>
      <w:r w:rsidR="00240560" w:rsidRPr="00AA7459">
        <w:t>defin</w:t>
      </w:r>
      <w:r w:rsidR="007B1E94">
        <w:t xml:space="preserve">ed </w:t>
      </w:r>
      <w:r w:rsidR="00240560" w:rsidRPr="00AA7459">
        <w:t xml:space="preserve">part-day telework as those who </w:t>
      </w:r>
      <w:r w:rsidR="002B41F9">
        <w:t>indicated</w:t>
      </w:r>
      <w:r w:rsidR="00240560" w:rsidRPr="00AA7459">
        <w:t xml:space="preserve"> that they had “</w:t>
      </w:r>
      <w:r w:rsidR="00ED4799" w:rsidRPr="00AA7459">
        <w:t>worked at home and then at my workplace,” “worked at my workplace and then at home,” or “worked at home then my workplace then at home”</w:t>
      </w:r>
      <w:r w:rsidR="009C6CE5">
        <w:t xml:space="preserve"> </w:t>
      </w:r>
      <w:r w:rsidR="007B1E94">
        <w:t>(</w:t>
      </w:r>
      <w:r w:rsidR="009C6CE5">
        <w:t xml:space="preserve">a 30-minute threshold work duration cut off </w:t>
      </w:r>
      <w:r w:rsidR="007B1E94">
        <w:t xml:space="preserve">was used </w:t>
      </w:r>
      <w:r w:rsidR="009C6CE5">
        <w:t>to designate if a person worked from home on a workday</w:t>
      </w:r>
      <w:r w:rsidR="00ED4799" w:rsidRPr="00AA7459">
        <w:t>)</w:t>
      </w:r>
      <w:r w:rsidR="00B7094E">
        <w:t xml:space="preserve">, finding that </w:t>
      </w:r>
      <w:r w:rsidR="00B7094E" w:rsidRPr="00AA7459">
        <w:t>17.2% of respondents engaged in part-day telework</w:t>
      </w:r>
      <w:r w:rsidR="006979BB" w:rsidRPr="00AA7459">
        <w:t>. Th</w:t>
      </w:r>
      <w:r w:rsidR="00C8256E" w:rsidRPr="00AA7459">
        <w:t>ese part-day</w:t>
      </w:r>
      <w:r w:rsidR="006979BB" w:rsidRPr="00AA7459">
        <w:t xml:space="preserve"> remote work arrangement</w:t>
      </w:r>
      <w:r w:rsidR="00C8256E" w:rsidRPr="00AA7459">
        <w:t>s</w:t>
      </w:r>
      <w:r w:rsidR="006979BB" w:rsidRPr="00AA7459">
        <w:t xml:space="preserve"> w</w:t>
      </w:r>
      <w:r w:rsidR="00C8256E" w:rsidRPr="00AA7459">
        <w:t>ere</w:t>
      </w:r>
      <w:r w:rsidR="006979BB" w:rsidRPr="00AA7459">
        <w:t xml:space="preserve"> more prevalent than full-day telework, with only 9.8% of respondents teleworking at least one full day</w:t>
      </w:r>
      <w:r w:rsidR="00C8256E" w:rsidRPr="00AA7459">
        <w:t xml:space="preserve"> (full-day telework was defined as the response “worked at home only”)</w:t>
      </w:r>
      <w:r w:rsidR="006979BB" w:rsidRPr="00AA7459">
        <w:t xml:space="preserve">. Additionally, part-day telework was </w:t>
      </w:r>
      <w:r w:rsidR="002B41F9">
        <w:t>undertaken</w:t>
      </w:r>
      <w:r w:rsidR="006979BB" w:rsidRPr="00AA7459">
        <w:t xml:space="preserve"> </w:t>
      </w:r>
      <w:r w:rsidR="000E3631">
        <w:t xml:space="preserve">at </w:t>
      </w:r>
      <w:r w:rsidR="006979BB" w:rsidRPr="00AA7459">
        <w:t xml:space="preserve">slightly </w:t>
      </w:r>
      <w:r w:rsidR="000E3631">
        <w:t>higher</w:t>
      </w:r>
      <w:r w:rsidR="006979BB" w:rsidRPr="00AA7459">
        <w:t xml:space="preserve"> frequen</w:t>
      </w:r>
      <w:r w:rsidR="000E3631">
        <w:t>cies</w:t>
      </w:r>
      <w:r w:rsidR="006979BB" w:rsidRPr="00AA7459">
        <w:t xml:space="preserve">, </w:t>
      </w:r>
      <w:r w:rsidR="0075489B">
        <w:t xml:space="preserve">with </w:t>
      </w:r>
      <w:r w:rsidR="006979BB" w:rsidRPr="00AA7459">
        <w:t>an average of 2.02 days per week compared to an average of 1.96 days per week of full-day telework</w:t>
      </w:r>
      <w:r w:rsidR="00C8256E" w:rsidRPr="00AA7459">
        <w:t>,</w:t>
      </w:r>
      <w:r w:rsidR="006979BB" w:rsidRPr="00AA7459">
        <w:t xml:space="preserve"> among those who adopted each working modality.</w:t>
      </w:r>
      <w:r w:rsidR="0051070F">
        <w:t xml:space="preserve"> </w:t>
      </w:r>
      <w:r w:rsidR="00701227">
        <w:t>At a more disaggregate-level, they observed that being in a white collar occupation was the most important variable in explaining both full-day and part-day telework frequency</w:t>
      </w:r>
      <w:r w:rsidR="007B1E94">
        <w:t>, w</w:t>
      </w:r>
      <w:r w:rsidR="00061899">
        <w:t>hile</w:t>
      </w:r>
      <w:r w:rsidR="007B1E94">
        <w:t xml:space="preserve"> commute distance and other demographic characteristics play</w:t>
      </w:r>
      <w:r w:rsidR="006B304B">
        <w:t>ed</w:t>
      </w:r>
      <w:r w:rsidR="007B1E94">
        <w:t xml:space="preserve"> little role</w:t>
      </w:r>
      <w:r w:rsidR="00701227">
        <w:t>.</w:t>
      </w:r>
      <w:r w:rsidR="00061899">
        <w:t xml:space="preserve"> But full-day and part-day telework frequencies were modeled independently, without the constraint that the sum of the two frequencies cannot exceed the number of work days. </w:t>
      </w:r>
    </w:p>
    <w:p w14:paraId="50E202F2" w14:textId="10741C47" w:rsidR="0045690D" w:rsidRDefault="006B304B" w:rsidP="00A86EF1">
      <w:r>
        <w:tab/>
      </w:r>
      <w:r w:rsidR="00566C83" w:rsidRPr="00566C83">
        <w:t xml:space="preserve">Deng et al. </w:t>
      </w:r>
      <w:r w:rsidR="00AD34C7">
        <w:fldChar w:fldCharType="begin"/>
      </w:r>
      <w:r w:rsidR="00AD34C7">
        <w:instrText xml:space="preserve"> ADDIN ZOTERO_ITEM CSL_CITATION {"citationID":"L09OCPsL","properties":{"unsorted":false,"formattedCitation":"(2015)","plainCitation":"(2015)","noteIndex":0},"citationItems":[{"id":4478,"uris":["http://zotero.org/users/12832277/items/KXKJ93W4"],"itemData":{"id":4478,"type":"article-journal","abstract":"This paper investigates the impact of several factors on the adoption of telecommuting, using empirical data collected from 1,864 commuters in Northern California. We distinguish three types of telecommuting – full-day, part-day, and overtime – as they might affect travel behavior in very different ways. We develop binary logit models and a trivariate probit model of the adoption of each form of telecommuting, using non-centered factor scores to identify pro-high- vs. pro-low-density workers. We test the hypothesis that the impact of the built environment on the decision to adopt telecommuting differs between those two segments. The results support the hypothesis, with numerous variables significant to one of those segments but not the other; in the case of the binary logit model for overtime telecommuting, employment density in the home area even has opposite influences for pro-high-density (positive) compared to pro-low-density people (negative). Other groups of variables, including personal attitudes and demographic traits, also significantly affect individuals’ decisions on whether and how to telecommute, if at all. For example (consistent with other studies), education and household income are strong (positive) predictors of the decision to telecommute. Compared to the separate binary logit models, the trivariate probit model better predicts the joint probabilities of adopting the various forms of telecommuting, and better models the correlated adoption of the three types of telecommuting.","language":"en","source":"escholarship.org","title":"Modeling the Adoption of Full-day, Part-day and Overtime Telecommuting: An Investigation of Northern California Workers Using Non-Mean-Centered Factor Scores to Segment on Built Environment Attitudes","URL":"https://escholarship.org/uc/item/67q1r3bk","author":[{"family":"Deng","given":"Huijing"},{"family":"Mokhtarian","given":"Patricia"},{"family":"Circella","given":"Giovanni"}],"accessed":{"date-parts":[["2025",5,12]]},"issued":{"date-parts":[["2015"]]}},"suppress-author":true}],"schema":"https://github.com/citation-style-language/schema/raw/master/csl-citation.json"} </w:instrText>
      </w:r>
      <w:r w:rsidR="00AD34C7">
        <w:fldChar w:fldCharType="separate"/>
      </w:r>
      <w:r w:rsidR="00AD34C7" w:rsidRPr="00AD34C7">
        <w:t>(2015)</w:t>
      </w:r>
      <w:r w:rsidR="00AD34C7">
        <w:fldChar w:fldCharType="end"/>
      </w:r>
      <w:r w:rsidR="00566C83" w:rsidRPr="00566C83">
        <w:t xml:space="preserve"> us</w:t>
      </w:r>
      <w:r w:rsidR="00566C83">
        <w:t>ed</w:t>
      </w:r>
      <w:r w:rsidR="00566C83" w:rsidRPr="00566C83">
        <w:t xml:space="preserve"> a 2009 survey of commuters in Northern California</w:t>
      </w:r>
      <w:r w:rsidR="000924E0">
        <w:t xml:space="preserve"> to </w:t>
      </w:r>
      <w:r w:rsidR="00C60866">
        <w:t xml:space="preserve">identify frequencies of full-day, part-day, and overtime telework </w:t>
      </w:r>
      <w:r w:rsidR="00623DE0">
        <w:t xml:space="preserve">in a typical month. </w:t>
      </w:r>
      <w:r w:rsidR="00D45275">
        <w:t xml:space="preserve">They define </w:t>
      </w:r>
      <w:r w:rsidR="00B4481C">
        <w:t>full-day telework as “w</w:t>
      </w:r>
      <w:r w:rsidR="00B4481C" w:rsidRPr="00B4481C">
        <w:t>ork at home for basically a full day without commuting at all that day</w:t>
      </w:r>
      <w:r w:rsidR="00B4481C">
        <w:t xml:space="preserve">,” </w:t>
      </w:r>
      <w:r w:rsidR="00D45275">
        <w:t xml:space="preserve">part-day telework as </w:t>
      </w:r>
      <w:r w:rsidR="00D45275" w:rsidRPr="00D45275">
        <w:t>“work at home and change the time you commute to or from work</w:t>
      </w:r>
      <w:r w:rsidR="00D45275">
        <w:t>,</w:t>
      </w:r>
      <w:r w:rsidR="00D45275" w:rsidRPr="00D45275">
        <w:t>”</w:t>
      </w:r>
      <w:r w:rsidR="009B2347">
        <w:t xml:space="preserve"> and overtime telework as “</w:t>
      </w:r>
      <w:r w:rsidR="009B2347" w:rsidRPr="009B2347">
        <w:t>work at home for part of the day without changing your normal commute.”</w:t>
      </w:r>
      <w:r w:rsidR="00B4481C">
        <w:t xml:space="preserve"> </w:t>
      </w:r>
      <w:r w:rsidR="002F6131">
        <w:t xml:space="preserve">They then collapsed these three frequencies into </w:t>
      </w:r>
      <w:r w:rsidR="00437B76">
        <w:t>a set of three binary outcomes for the adoption of each type of telework (those who indicated they used each mode at least “1-3 times a month”).</w:t>
      </w:r>
      <w:r w:rsidR="00AF280C">
        <w:t xml:space="preserve"> </w:t>
      </w:r>
      <w:r w:rsidR="00B4481C" w:rsidRPr="00566C83">
        <w:t xml:space="preserve">They found overtime </w:t>
      </w:r>
      <w:r w:rsidR="009F0976">
        <w:t>telework</w:t>
      </w:r>
      <w:r w:rsidR="00B4481C">
        <w:t xml:space="preserve"> was</w:t>
      </w:r>
      <w:r w:rsidR="00B4481C" w:rsidRPr="00566C83">
        <w:t xml:space="preserve"> the most commonly adopted form</w:t>
      </w:r>
      <w:r w:rsidR="00437B76">
        <w:t xml:space="preserve"> of telework</w:t>
      </w:r>
      <w:r w:rsidR="009F0976">
        <w:t xml:space="preserve"> (</w:t>
      </w:r>
      <w:r w:rsidR="00B4481C" w:rsidRPr="00566C83">
        <w:t>24.8% of respondents</w:t>
      </w:r>
      <w:r w:rsidR="009F0976">
        <w:t>)</w:t>
      </w:r>
      <w:r w:rsidR="00B4481C" w:rsidRPr="00566C83">
        <w:t xml:space="preserve">, followed by part-day </w:t>
      </w:r>
      <w:r w:rsidR="00AF280C">
        <w:t>telework</w:t>
      </w:r>
      <w:r w:rsidR="00B4481C" w:rsidRPr="00566C83">
        <w:t xml:space="preserve"> (16.0%</w:t>
      </w:r>
      <w:r w:rsidR="009F0976">
        <w:t xml:space="preserve"> of respondents</w:t>
      </w:r>
      <w:r w:rsidR="00B4481C" w:rsidRPr="00566C83">
        <w:t>)</w:t>
      </w:r>
      <w:r w:rsidR="009F0976">
        <w:t>, with</w:t>
      </w:r>
      <w:r w:rsidR="00B4481C" w:rsidRPr="00566C83">
        <w:t xml:space="preserve"> full-day </w:t>
      </w:r>
      <w:r w:rsidR="009F0976">
        <w:t>telework being least commonly adopted</w:t>
      </w:r>
      <w:r w:rsidR="00B4481C" w:rsidRPr="00566C83">
        <w:t xml:space="preserve"> (13.9%</w:t>
      </w:r>
      <w:r w:rsidR="009F0976">
        <w:t xml:space="preserve"> of respondents</w:t>
      </w:r>
      <w:r w:rsidR="00B4481C" w:rsidRPr="00566C83">
        <w:t>).</w:t>
      </w:r>
      <w:r w:rsidR="00036832">
        <w:t xml:space="preserve"> </w:t>
      </w:r>
      <w:r w:rsidR="00BC48EA">
        <w:t xml:space="preserve">They also examined adoption of these three </w:t>
      </w:r>
      <w:r w:rsidR="00AD4C08">
        <w:t xml:space="preserve">telework modalities using a </w:t>
      </w:r>
      <w:proofErr w:type="spellStart"/>
      <w:r w:rsidR="00AD4C08">
        <w:t>trivariate</w:t>
      </w:r>
      <w:proofErr w:type="spellEnd"/>
      <w:r w:rsidR="00AD4C08">
        <w:t xml:space="preserve"> binary </w:t>
      </w:r>
      <w:proofErr w:type="spellStart"/>
      <w:r w:rsidR="00AD4C08">
        <w:t>probit</w:t>
      </w:r>
      <w:proofErr w:type="spellEnd"/>
      <w:r w:rsidR="00AD4C08">
        <w:t xml:space="preserve"> modeling system, finding </w:t>
      </w:r>
      <w:r w:rsidR="00C7381C">
        <w:t>strong positive correlations among the three dimensions</w:t>
      </w:r>
      <w:r w:rsidR="00287069">
        <w:t xml:space="preserve"> (although they do not model an overall telework adoption dimension </w:t>
      </w:r>
      <w:r w:rsidR="007D2C8F">
        <w:t>jointly with these three telework modalities, nor do they consider the actual frequencies of use of each telework option)</w:t>
      </w:r>
      <w:r w:rsidR="00C7381C">
        <w:t xml:space="preserve">. </w:t>
      </w:r>
      <w:r w:rsidR="00A86EF1">
        <w:t>They observed that higher levels of h</w:t>
      </w:r>
      <w:r w:rsidR="00566C83" w:rsidRPr="00566C83">
        <w:t xml:space="preserve">ousehold income </w:t>
      </w:r>
      <w:r w:rsidR="00A86EF1">
        <w:t>as well as</w:t>
      </w:r>
      <w:r w:rsidR="00566C83" w:rsidRPr="00566C83">
        <w:t xml:space="preserve"> college education were positively associated with adoption across all three tele</w:t>
      </w:r>
      <w:r w:rsidR="00A86EF1">
        <w:t>work</w:t>
      </w:r>
      <w:r w:rsidR="00566C83" w:rsidRPr="00566C83">
        <w:t xml:space="preserve"> types, while clerical occupations were consistently negatively associated with adoption, </w:t>
      </w:r>
      <w:r w:rsidR="00EA139C">
        <w:t>reinforcing</w:t>
      </w:r>
      <w:r w:rsidR="00566C83" w:rsidRPr="00566C83">
        <w:t xml:space="preserve"> the occupation-based findings of Haddad et al. (2009). </w:t>
      </w:r>
      <w:r w:rsidR="008F021D">
        <w:t>They also</w:t>
      </w:r>
      <w:r w:rsidR="0045690D">
        <w:t xml:space="preserve"> found that </w:t>
      </w:r>
      <w:r w:rsidR="007301F3">
        <w:t xml:space="preserve">attitudes (including orientation towards different levels of residential density) significantly influenced </w:t>
      </w:r>
      <w:r w:rsidR="00AE6CB3">
        <w:t xml:space="preserve">telework </w:t>
      </w:r>
      <w:r w:rsidR="003B08D9">
        <w:t>preferences</w:t>
      </w:r>
      <w:r w:rsidR="00AE6CB3">
        <w:t xml:space="preserve">, as well as finding that adoption of all three telework </w:t>
      </w:r>
      <w:r w:rsidR="003B08D9">
        <w:t xml:space="preserve">types was more common among those with longer commute distances (and particularly so for full-day telework; although they </w:t>
      </w:r>
      <w:r w:rsidR="009F5195">
        <w:t>do not consider commute distance to be endogenous to telework choices</w:t>
      </w:r>
      <w:r w:rsidR="008950F6">
        <w:t xml:space="preserve">). </w:t>
      </w:r>
    </w:p>
    <w:p w14:paraId="40F36FBB" w14:textId="77777777" w:rsidR="00DA2AFC" w:rsidRPr="00AA7459" w:rsidRDefault="00DA2AFC" w:rsidP="00DA2AFC">
      <w:pPr>
        <w:ind w:firstLine="720"/>
      </w:pPr>
    </w:p>
    <w:p w14:paraId="2D1FD7F2" w14:textId="12790E24" w:rsidR="008D6FEA" w:rsidRPr="001D6510" w:rsidRDefault="008D6FEA" w:rsidP="007C249C">
      <w:pPr>
        <w:keepNext/>
        <w:rPr>
          <w:b/>
          <w:bCs/>
        </w:rPr>
      </w:pPr>
      <w:r w:rsidRPr="001D6510">
        <w:rPr>
          <w:b/>
          <w:bCs/>
        </w:rPr>
        <w:t>2.2 Studies of Part-Day Telework After the Pandemic</w:t>
      </w:r>
    </w:p>
    <w:p w14:paraId="6A56ED06" w14:textId="1E2BE261" w:rsidR="00015891" w:rsidRDefault="006E21EC" w:rsidP="001D6510">
      <w:r w:rsidRPr="00AA7459">
        <w:t xml:space="preserve">Although </w:t>
      </w:r>
      <w:r w:rsidR="006D28B9">
        <w:t xml:space="preserve">we are aware of </w:t>
      </w:r>
      <w:r w:rsidR="00313875">
        <w:t xml:space="preserve">only </w:t>
      </w:r>
      <w:r w:rsidR="006D28B9">
        <w:t>two</w:t>
      </w:r>
      <w:r w:rsidR="00313875">
        <w:t xml:space="preserve"> peer-reviewed published </w:t>
      </w:r>
      <w:r w:rsidR="00337EE3">
        <w:t xml:space="preserve">studies </w:t>
      </w:r>
      <w:r w:rsidRPr="00AA7459">
        <w:t xml:space="preserve">that have </w:t>
      </w:r>
      <w:r w:rsidR="00D94417">
        <w:t>examined</w:t>
      </w:r>
      <w:r w:rsidRPr="00AA7459">
        <w:t xml:space="preserve"> part-day telework </w:t>
      </w:r>
      <w:r w:rsidR="00D94417">
        <w:t xml:space="preserve">with data collected during or </w:t>
      </w:r>
      <w:r w:rsidRPr="00AA7459">
        <w:t>since the pandemic</w:t>
      </w:r>
      <w:r w:rsidR="006D28B9">
        <w:t xml:space="preserve"> (see the bottom panel of Table 1)</w:t>
      </w:r>
      <w:r w:rsidRPr="00AA7459">
        <w:t>, there is a large body of evidence that t</w:t>
      </w:r>
      <w:r w:rsidR="008D6FEA" w:rsidRPr="00AA7459">
        <w:t>elework behaviors</w:t>
      </w:r>
      <w:r w:rsidR="00756D11" w:rsidRPr="00AA7459">
        <w:t xml:space="preserve"> in general have</w:t>
      </w:r>
      <w:r w:rsidR="008D6FEA" w:rsidRPr="00AA7459">
        <w:t xml:space="preserve"> shifted significantly following the onset of the COVID-19 pandemic</w:t>
      </w:r>
      <w:r w:rsidRPr="00AA7459">
        <w:t xml:space="preserve"> </w:t>
      </w:r>
      <w:r w:rsidR="00DD6669">
        <w:fldChar w:fldCharType="begin"/>
      </w:r>
      <w:r w:rsidR="009F27BF">
        <w:instrText xml:space="preserve"> ADDIN ZOTERO_ITEM CSL_CITATION {"citationID":"xzWdjiqH","properties":{"unsorted":true,"formattedCitation":"(Asmussen et al., 2023; McNally et al., 2023; Webber et al., 2023; Asmussen et al., 2024; Astroza et al., 2025; Anik and Habib, 2025; Asmussen et al., 2026)","plainCitation":"(Asmussen et al., 2023; McNally et al., 2023; Webber et al., 2023; Asmussen et al., 2024; Astroza et al., 2025; Anik and Habib, 2025; Asmussen et al., 2026)","dontUpdate":true,"noteIndex":0},"citationItems":[{"id":804,"uris":["http://zotero.org/users/12832277/items/8WZHU6BW"],"itemData":{"id":804,"type":"article-journal","abstract":"In this paper, we examine work place location (WPL) preferences of workers in an unpredictable and evolving future by investigating how workers would prefer to allocate their monthly working days among the three WPL alternatives of working from home, from the work office, and from a variable third WPL. In contrast to earlier studies that typically focus on telework as a binary of whether an individual is a teleworker or not, we focus our attention on workers’ preferences for specific combinations of all three WPLs over a period of a month (including, but not limited to, only selecting one WPL for all days of the month). In our analysis, we employ the multiple discrete–continuous extreme value (MDCEV) model, using a 2022 stated preference survey of future work preferences of employees residing in the state of Texas. The results indicate that single young women with very young children, those with long commutes and “intolerable” traffic congestion to the work office, individuals with a private study in their homes, self-employed workers, and those in non-essential service occupations have the highest preference for working from home. On the other hand, older men, individuals from low income households, those residing in rural areas, and workers in essential service occupations have the highest preference for the work office. And, for the third WPL, young non-single women with very young children, individuals from low income households, part-time employees, and those in professional, managerial or finance occupations have the highest predisposition. These results should provide valuable insights to urban planners, homebuilders, employers, travel demand modelers, and a whole host of other businesses to achieve specific desired end states. From a data collection standpoint, our study underscores the need to collect detailed information about work patterns in future activity-travel surveys.","container-title":"Transportation Research Part A: Policy and Practice","DOI":"10.1016/j.tra.2023.103671","ISSN":"0965-8564","language":"en","source":"ScienceDirect","title":"On Modeling Future Workplace Location Decisions: An Analysis of Texas Employees","URL":"https://www.sciencedirect.com/science/article/pii/S0965856423000915","volume":"172","author":[{"family":"Asmussen","given":"Katherine"},{"family":"Mondal","given":"Aupal"},{"family":"Bhat","given":"Chandra R."},{"family":"Pendyala","given":"Ram M."}],"accessed":{"date-parts":[["2023",6,12]]},"issued":{"date-parts":[["2023",6,1]]}}},{"id":5372,"uris":["http://zotero.org/users/12832277/items/CC784TF5"],"itemData":{"id":5372,"type":"chapter","abstract":"This chapter examines changes in telecommuting and the resulting activity-travel behavior during the COVID-19 pandemic, with a particular focus on California. A geographical approach was taken to “zoom in” to the county level and to major regions in California and to “zoom out” to comparable states (New York, Texas, Florida). Nearly one-third of the domestic workforce worked from home during the pandemic, a rate almost six times higher than the pre-pandemic level. At least one member from 35% of U.S. households replaced in-person work with telework; these individuals tended to belong to higher income, White, and Asian households. Workplace visits have continued to remain below pre-pandemic levels, but visits to non-work locations initially declined but gradually increased over the first nine months of the pandemic. During this period, the total number of trips in all distance categories except long-distance travel decreased considerably. Among the selected states, California experienced a higher reduction in both work and non-workplace visits and the State’s urban counties had higher reductions in workplace visits than rural counties. The findings of this study provide insights to improve our understanding of the impact of telecommuting on travel behavior during the pandemic.","container-title":"Pandemic in the Metropolis: Transportation Impacts and Recovery","DOI":"10.1007/978-3-031-00148-2_14","ISBN":"978-3-031-00148-2","language":"en","page":"217-232","publisher":"Springer International Publishing","publisher-place":"Cham","source":"Springer Link","title":"Impacts of the COVID-19 Pandemic on Telecommuting and Travel","URL":"https://doi.org/10.1007/978-3-031-00148-2_14","author":[{"family":"McNally","given":"Michael G."},{"family":"Rafiq","given":"Rezwana"},{"family":"Uddin","given":"Md. Yusuf Sarwar"}],"editor":[{"family":"Loukaitou-Sideris","given":"Anastasia"},{"family":"Bayen","given":"Alexandre M."},{"family":"Circella","given":"Giovanni"},{"family":"Jayakrishnan","given":"R."}],"accessed":{"date-parts":[["2025",9,22]]},"issued":{"date-parts":[["2023"]]}}},{"id":5369,"uris":["http://zotero.org/users/12832277/items/ZKZ6N3MT"],"itemData":{"id":5369,"type":"article-journal","abstract":"Objective \n          The aim of the study is to determine the prevalence of perceived decreases in three physical activity (PA) behaviors and meeting the PA guideline, by changes in telework.\n          Methods \n          US workers (N = 2393) reported teleworking and PA behaviors before and after COVID-19 emergence. Those reporting more and less telework were compared with those reporting stable telework on prevalence of (1) decreasing behaviors and (2) meeting the aerobic guideline (≥150 min/wk of moderate-intensity PA).\n          Results \n          Compared with workers with stable telework, those with increased telework were more likely to report decreases in any PA (by 61%), active transportation (65%), and park use (52%). Workers who deceased telework were also more likely to report decreases in these behaviors. Groups were equally likely to meet the guideline.\n          Conclusions \n          Changes in teleworking status—either more or less—may be associated with decreased participation in PA behaviors.","container-title":"Journal of Occupational and Environmental Medicine","DOI":"10.1097/JOM.0000000000002897","ISSN":"1076-2752","issue":"10","language":"en-US","page":"826","source":"journals.lww.com","title":"Changes in Teleworking and Physical Activity Behaviors in the United States Before and After Emergence of COVID-19","volume":"65","author":[{"family":"Webber","given":"Bryant J."},{"family":"Soto","given":"Graycie W."},{"family":"Smith","given":"Akimi"},{"family":"Whitfield","given":"Geoffrey P."}],"issued":{"date-parts":[["2023",10]]}}},{"id":1944,"uris":["http://zotero.org/users/12832277/items/Y3TQLUZT"],"itemData":{"id":1944,"type":"article-journal","container-title":"Transportation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R."}],"issued":{"date-parts":[["2024",8]]}}},{"id":5374,"uris":["http://zotero.org/users/12832277/items/MLANXFA8"],"itemData":{"id":5374,"type":"article-journal","abstract":"The COVID-19 pandemic triggered an unprecedented increase in telework, a trend expected to have lasting effects on the labor market and commuting patterns, including location preferences. Understanding the demand for telework is critical to face the challenges that may come in present and future scenarios with hybrid work arrangements. In this paper, a model for the probability of telework is proposed and estimated with data collected during two different periods of the COVID-19 pandemic, in 2020, in Chile. The model measures the correlation between several socioeconomic characteristics, and latent variables related to concerns about health and the economy, with the probability of teleworking. We find that low-income workers are less likely to telework, and that females are more likely to work from home. Latent variables also played a relevant role at the beginning of the pandemic: a greater concern about health issues increased the probability of teleworking. In comparison, a greater concern about the economic effects of the pandemic had the opposite impact. However, these effects shifted 10 weeks into the pandemic, when a total lockdown was imposed in the largest city. The implications of our findings for both policy and research after the pandemic are discussed.","container-title":"Transportation Research Record","DOI":"10.1177/03611981241278352","ISSN":"0361-1981","issue":"3","language":"EN","page":"1076-1090","publisher":"SAGE Publications Inc","source":"SAGE Journals","title":"Analyzing the Determinants of Teleworking during the COVID-19 Pandemic in Chile","volume":"2679","author":[{"family":"Astroza","given":"Sebastian"},{"family":"Hurtubia","given":"Ricardo"},{"family":"Tirachini","given":"Alejandro"},{"family":"Guevara","given":"C. Angelo"},{"family":"Carrasco","given":"Juan Antonio"},{"family":"Salas","given":"Patricio"},{"family":"Munizaga","given":"Marcela"}],"issued":{"date-parts":[["2025",3,1]]}}},{"id":4364,"uris":["http://zotero.org/users/12832277/items/PH4EPHU4"],"itemData":{"id":4364,"type":"article-journal","abstract":"Information and communication technologies (ICTs) have spurred new work arrangements, yet factors influencing these choices remain unclear. This study employs mixed-logit modeling to investigate the determinants of work arrangements—’fully work-from-home (WFH),’ ‘hybrid,’ and ‘no WFH’ – and their impact on activity-travel behavior. Conducted in Halifax Regional Municipality, Nova Scotia, Canada, the study combines travel survey data with Census and built-environment data for analysis. Significant differences are found in activity count, work duration, vehicle kilometers traveled, and commute time among the work-arrangement groups. ‘Hybrid’ and ‘no WFH’ individuals tend to reside closer to downtown, while ‘full WFH’ individuals prefer suburban and rural areas. Results identify individual, household, and accessibility attributes as key determinants, confirming random heterogeneity among respondents. Results suggest shorter auto commute times correlate with higher likelihood of ‘no WFH’ and lower likelihood of ‘full WFH.’ This research aids policymakers and transportation professionals in developing effective travel demand management strategies.","container-title":"Transportation Letters","DOI":"10.1080/19427867.2025.2456364","ISSN":"1942-7867","note":"_eprint: https://doi.org/10.1080/19427867.2025.2456364","page":"1-17","publisher":"Taylor &amp; Francis","source":"Taylor and Francis+NEJM","title":"Understanding Work-Arrangement Choices: Factors and Implications","author":[{"family":"Anik","given":"Md Asif Hasan"},{"family":"Habib","given":"Muhammad Ahsanul"}],"issued":{"date-parts":[["2025"]]}}},{"id":7387,"uris":["http://zotero.org/groups/6217546/items/Q3UZCLVZ"],"itemData":{"id":7387,"type":"article-journal","abstract":"This study explores the intricate interrelationship between teleworking and weekly participation in two types of nonwork activities – maintenance episodes and leisure episodes. We employ a latent segmentation model to categorize the population into two segments: (1) those for whom nonwork activity participation influences telework frequency (“players”), and (2) those for whom telework frequency impacts nonwork activity participation (“workers”). Within each segment, to reduce any spurious association effects, we model teleworking and nonwork stop-making as a package by accommodating correlations in unobserved factors across the outcomes. The data for this analysis is drawn from a 2021–2022 weekly travel survey of Minnesotan workers in the Twin City region. The results reveal significant heterogeneity in the causal directionality of effect, with nonwork activity participation influencing telework intensity levels for about two-thirds of individuals (the “player” or NT segment), and telework levels influencing nonwork activity participation for the rest (the “worker” or TN segment). This result is in contrast to earlier studies that have predominantly assumed that all individuals belong to the TN or “worker” segment, which according to our analysis, is actually the case only for a minority of the population. Our analysis also indicates that, rather than asking the typical question of “does telework increase or decrease stop-making?”, the more pertinent question is “how does the number of nonwork stops relate to the intensity of teleworking?”. Our findings reveal an inverted U-shaped curve, with the highest number of nonstops occurring when individuals telework a few days a month or about one day per week. This, combined with the finding from the Asmussen et al. (2024a) study, indicates that low levels of teleworking (a day per week or less) actually increases both commute vehicle miles traveled (VMT) and nonwork VMT. Therefore, to achieve VMT reduction through teleworking, promoting moderate to high levels of telework appears important.","container-title":"Transportation Research Part A: Policy and Practice","DOI":"10.1016/j.tra.2025.104857","ISSN":"0965-8564","journalAbbreviation":"Transportation Research Part A: Policy and Practice","page":"104857","source":"ScienceDirect","title":"Telework-to-Play or Play-to-Telework? Investigating the directional relationship between telework and nonwork travel","title-short":"Telework-to-Play or Play-to-Telework?","volume":"206","author":[{"family":"Asmussen","given":"Katherine E."},{"family":"Haddad","given":"Angela J."},{"family":"Bhat","given":"Chandra R."}],"issued":{"date-parts":[["2026",4,1]]}}}],"schema":"https://github.com/citation-style-language/schema/raw/master/csl-citation.json"} </w:instrText>
      </w:r>
      <w:r w:rsidR="00DD6669">
        <w:fldChar w:fldCharType="separate"/>
      </w:r>
      <w:r w:rsidR="004718DC" w:rsidRPr="004718DC">
        <w:t>(</w:t>
      </w:r>
      <w:r w:rsidR="004718DC">
        <w:t xml:space="preserve">see, for example, </w:t>
      </w:r>
      <w:r w:rsidR="004718DC" w:rsidRPr="004718DC">
        <w:t xml:space="preserve">Asmussen et al., 2023; McNally et al., </w:t>
      </w:r>
      <w:r w:rsidR="004718DC" w:rsidRPr="004718DC">
        <w:lastRenderedPageBreak/>
        <w:t>2023; Webber et al., 2023; Asmussen et al., 2024; Astroza et al., 2025; Anik and Habib, 2025; Asmussen et al., 2026)</w:t>
      </w:r>
      <w:r w:rsidR="00DD6669">
        <w:fldChar w:fldCharType="end"/>
      </w:r>
      <w:r w:rsidR="008D6FEA" w:rsidRPr="00AA7459">
        <w:t xml:space="preserve">. </w:t>
      </w:r>
    </w:p>
    <w:p w14:paraId="2B22046B" w14:textId="6B7696D2" w:rsidR="00AE42C1" w:rsidRPr="004D25E5" w:rsidRDefault="006E21EC" w:rsidP="00CC5B4C">
      <w:pPr>
        <w:ind w:firstLine="720"/>
      </w:pPr>
      <w:r w:rsidRPr="00AA7459">
        <w:t xml:space="preserve">Regarding specific part-day </w:t>
      </w:r>
      <w:r w:rsidR="00015891">
        <w:t xml:space="preserve">post-pandemic </w:t>
      </w:r>
      <w:r w:rsidRPr="00AA7459">
        <w:t>telework behavior</w:t>
      </w:r>
      <w:r w:rsidR="00015891">
        <w:t xml:space="preserve"> studies as listed in Table 1</w:t>
      </w:r>
      <w:r w:rsidRPr="00AA7459">
        <w:t>, u</w:t>
      </w:r>
      <w:r w:rsidR="008D6FEA" w:rsidRPr="00AA7459">
        <w:t>sing data from the summer of 2021</w:t>
      </w:r>
      <w:r w:rsidR="00E14AAE">
        <w:t xml:space="preserve"> across three major European cities</w:t>
      </w:r>
      <w:r w:rsidR="008D6FEA" w:rsidRPr="00AA7459">
        <w:t xml:space="preserve">, Kappler and de Abreu e Silva </w:t>
      </w:r>
      <w:r w:rsidR="008D6FEA" w:rsidRPr="00AA7459">
        <w:fldChar w:fldCharType="begin"/>
      </w:r>
      <w:r w:rsidR="00E2656A">
        <w:instrText xml:space="preserve"> ADDIN ZOTERO_ITEM CSL_CITATION {"citationID":"VdlOdp6j","properties":{"formattedCitation":"(2025)","plainCitation":"(2025)","noteIndex":0},"citationItems":[{"id":4368,"uris":["http://zotero.org/users/12832277/items/XMETQNB6"],"itemData":{"id":4368,"type":"article-journal","abstract":"Several social distancing measures were adopted during the pandemic (including curfews and mandatory telework) that resulted in substantial changes in travel patterns. Although several studies show that telework does not reduce travel, empirical evidence has been mixed. This work aims to study how telework adoption impacts the number of trips by mode in different metropolitan areas during the later stages of the COVID-19 pandemic. We applied online surveys focused on a 5-day travel-telework diary in the Lisbon (Portugal), Istanbul (Turkey), and Porto Alegre (Brazil) Metropolitan Areas in the early summer of 2021. We build a structural equation model (SEM) to study the influence of previous telework experience on perceptions about telework, and these on telework frequency and the number of trips by mode, and ultimately if is affected by commuting burden, sociodemographic characteristics, and attitudinal issues. The results indicate that more frequent full-day telework reduces the number of trips by all modes (but more by motorised modes) while teleworking part-day increases travel. Moreover, there is no evidence that teleworkers could be undertaking discretionary or maintenance trips from other household members. Finally, these results need to be analysed in the context of the pandemic since social distancing measures were in place.","container-title":"Journal of Transport Geography","DOI":"10.1016/j.jtrangeo.2024.104102","ISSN":"0966-6923","source":"ScienceDirect","title":"Telework Frequency and Travel Behaviour During the Later Stages of the Covid-19 Pandemic. a Study Across Different Metropolitan Areas: Lisbon, Istanbul, and Porto Alegre","URL":"https://www.sciencedirect.com/science/article/pii/S0966692324003119","volume":"123","author":[{"family":"Kappler","given":"Laísa Braga"},{"family":"Abreu e Silva","given":"João","non-dropping-particle":"de"}],"accessed":{"date-parts":[["2025",4,26]]},"issued":{"date-parts":[["2025",2,1]]}},"label":"page","suppress-author":true}],"schema":"https://github.com/citation-style-language/schema/raw/master/csl-citation.json"} </w:instrText>
      </w:r>
      <w:r w:rsidR="008D6FEA" w:rsidRPr="00AA7459">
        <w:fldChar w:fldCharType="separate"/>
      </w:r>
      <w:r w:rsidR="00E2656A" w:rsidRPr="00E2656A">
        <w:t>(2025)</w:t>
      </w:r>
      <w:r w:rsidR="008D6FEA" w:rsidRPr="00AA7459">
        <w:fldChar w:fldCharType="end"/>
      </w:r>
      <w:r w:rsidR="008D6FEA" w:rsidRPr="00AA7459">
        <w:t xml:space="preserve"> </w:t>
      </w:r>
      <w:r w:rsidR="00EE451C" w:rsidRPr="00AA7459">
        <w:t>asked respondents to report</w:t>
      </w:r>
      <w:r w:rsidR="00C2249C" w:rsidRPr="00AA7459">
        <w:t xml:space="preserve">, </w:t>
      </w:r>
      <w:r w:rsidR="007203DE" w:rsidRPr="00AA7459">
        <w:t xml:space="preserve">for each of </w:t>
      </w:r>
      <w:r w:rsidR="00C2249C" w:rsidRPr="00AA7459">
        <w:t>5</w:t>
      </w:r>
      <w:r w:rsidR="007203DE" w:rsidRPr="00AA7459">
        <w:t xml:space="preserve"> </w:t>
      </w:r>
      <w:r w:rsidR="00C2249C" w:rsidRPr="00AA7459">
        <w:t>weekday</w:t>
      </w:r>
      <w:r w:rsidR="007203DE" w:rsidRPr="00AA7459">
        <w:t xml:space="preserve">s, whether they had teleworked for the full day, teleworked part-day in the morning, teleworked part-day in the afternoon, or </w:t>
      </w:r>
      <w:r w:rsidR="0085771A" w:rsidRPr="00AA7459">
        <w:t>not teleworked at all on that day</w:t>
      </w:r>
      <w:r w:rsidR="00986E68">
        <w:t xml:space="preserve"> (</w:t>
      </w:r>
      <w:r w:rsidR="007C6D59">
        <w:t>no specific duration thresholds were defined for telework)</w:t>
      </w:r>
      <w:r w:rsidR="0085771A" w:rsidRPr="00AA7459">
        <w:t xml:space="preserve">. They </w:t>
      </w:r>
      <w:r w:rsidR="008D6FEA" w:rsidRPr="00AA7459">
        <w:t xml:space="preserve">observed that part-day telework had become significantly less prevalent than full-day telework, with </w:t>
      </w:r>
      <w:r w:rsidR="00F62FD5">
        <w:t xml:space="preserve">the rate of </w:t>
      </w:r>
      <w:r w:rsidR="008D6FEA" w:rsidRPr="00AA7459">
        <w:t xml:space="preserve">part-day telework averaging between 0.25-0.60 days per week compared with </w:t>
      </w:r>
      <w:r w:rsidR="00F62FD5">
        <w:t xml:space="preserve">a rate of </w:t>
      </w:r>
      <w:r w:rsidR="008D6FEA" w:rsidRPr="00AA7459">
        <w:t xml:space="preserve">full-day telework averaging between 2.14-3.38 days per week. </w:t>
      </w:r>
      <w:r w:rsidR="006952C1">
        <w:t>While not modeling part-day and full-day telework behaviors jointly through unobserved error correlation ef</w:t>
      </w:r>
      <w:r w:rsidR="006952C1" w:rsidRPr="00475644">
        <w:t>fects, they</w:t>
      </w:r>
      <w:r w:rsidR="006952C1">
        <w:t xml:space="preserve"> do consider pre-determined individual attitudinal constructs of “reticence to engage in telework” and “positive to telework” as exogenous variables affecting the frequencies of part-day and full-day telework. </w:t>
      </w:r>
      <w:r w:rsidR="007E524F">
        <w:t>They observe a strong state-dependence effect in that the pre-pandemic telework frequency in 2019</w:t>
      </w:r>
      <w:r w:rsidR="00F22C26">
        <w:t xml:space="preserve"> (undifferentiated between full-day and part-</w:t>
      </w:r>
      <w:r w:rsidR="00F22C26" w:rsidRPr="0050075A">
        <w:t>day telework)</w:t>
      </w:r>
      <w:r w:rsidR="007E524F" w:rsidRPr="0050075A">
        <w:t xml:space="preserve"> ha</w:t>
      </w:r>
      <w:r w:rsidR="00F22C26" w:rsidRPr="0050075A">
        <w:t>d</w:t>
      </w:r>
      <w:r w:rsidR="007E524F" w:rsidRPr="0050075A">
        <w:t xml:space="preserve"> a strong positive effect on both full-day and part-day post-pandemic telework frequencies. </w:t>
      </w:r>
      <w:r w:rsidR="006952C1" w:rsidRPr="0050075A">
        <w:t>As with a</w:t>
      </w:r>
      <w:r w:rsidR="006952C1">
        <w:t xml:space="preserve">ll other part-day-related studies we are aware of, </w:t>
      </w:r>
      <w:r w:rsidR="006952C1" w:rsidRPr="00AA7459">
        <w:t xml:space="preserve">Kappler and de Abreu e Silva </w:t>
      </w:r>
      <w:r w:rsidR="006952C1" w:rsidRPr="00AA7459">
        <w:fldChar w:fldCharType="begin"/>
      </w:r>
      <w:r w:rsidR="00820016">
        <w:instrText xml:space="preserve"> ADDIN ZOTERO_ITEM CSL_CITATION {"citationID":"sPZARc6i","properties":{"formattedCitation":"(2025)","plainCitation":"(2025)","noteIndex":0},"citationItems":[{"id":4368,"uris":["http://zotero.org/users/12832277/items/XMETQNB6"],"itemData":{"id":4368,"type":"article-journal","abstract":"Several social distancing measures were adopted during the pandemic (including curfews and mandatory telework) that resulted in substantial changes in travel patterns. Although several studies show that telework does not reduce travel, empirical evidence has been mixed. This work aims to study how telework adoption impacts the number of trips by mode in different metropolitan areas during the later stages of the COVID-19 pandemic. We applied online surveys focused on a 5-day travel-telework diary in the Lisbon (Portugal), Istanbul (Turkey), and Porto Alegre (Brazil) Metropolitan Areas in the early summer of 2021. We build a structural equation model (SEM) to study the influence of previous telework experience on perceptions about telework, and these on telework frequency and the number of trips by mode, and ultimately if is affected by commuting burden, sociodemographic characteristics, and attitudinal issues. The results indicate that more frequent full-day telework reduces the number of trips by all modes (but more by motorised modes) while teleworking part-day increases travel. Moreover, there is no evidence that teleworkers could be undertaking discretionary or maintenance trips from other household members. Finally, these results need to be analysed in the context of the pandemic since social distancing measures were in place.","container-title":"Journal of Transport Geography","DOI":"10.1016/j.jtrangeo.2024.104102","ISSN":"0966-6923","source":"ScienceDirect","title":"Telework Frequency and Travel Behaviour During the Later Stages of the Covid-19 Pandemic. a Study Across Different Metropolitan Areas: Lisbon, Istanbul, and Porto Alegre","URL":"https://www.sciencedirect.com/science/article/pii/S0966692324003119","volume":"123","author":[{"family":"Kappler","given":"Laísa Braga"},{"family":"Abreu e Silva","given":"João","non-dropping-particle":"de"}],"accessed":{"date-parts":[["2025",4,26]]},"issued":{"date-parts":[["2025",2,1]]}},"label":"page","suppress-author":true}],"schema":"https://github.com/citation-style-language/schema/raw/master/csl-citation.json"} </w:instrText>
      </w:r>
      <w:r w:rsidR="006952C1" w:rsidRPr="00AA7459">
        <w:fldChar w:fldCharType="separate"/>
      </w:r>
      <w:r w:rsidR="006952C1" w:rsidRPr="00E2656A">
        <w:t>(2025)</w:t>
      </w:r>
      <w:r w:rsidR="006952C1" w:rsidRPr="00AA7459">
        <w:fldChar w:fldCharType="end"/>
      </w:r>
      <w:r w:rsidR="006952C1">
        <w:t xml:space="preserve"> </w:t>
      </w:r>
      <w:r w:rsidR="00127DCE">
        <w:t xml:space="preserve">also </w:t>
      </w:r>
      <w:r w:rsidR="006952C1">
        <w:t xml:space="preserve">do not </w:t>
      </w:r>
      <w:r w:rsidR="00313875">
        <w:t xml:space="preserve">maintain the identity </w:t>
      </w:r>
      <w:r w:rsidR="006952C1">
        <w:t>that the sum of part-d</w:t>
      </w:r>
      <w:r w:rsidR="006952C1" w:rsidRPr="004D25E5">
        <w:t xml:space="preserve">ay and full-day telework across the days of the week cannot exceed the total number of work days in the week. </w:t>
      </w:r>
      <w:r w:rsidR="0046259A" w:rsidRPr="004D25E5">
        <w:t xml:space="preserve">They also consider commute distance to be a predictor of telework choices, finding </w:t>
      </w:r>
      <w:r w:rsidR="00004BCD" w:rsidRPr="004D25E5">
        <w:t xml:space="preserve">that those with short commutes </w:t>
      </w:r>
      <w:r w:rsidR="002E170C" w:rsidRPr="004D25E5">
        <w:t>have a greater propensity for part-day telework</w:t>
      </w:r>
      <w:r w:rsidR="00015891">
        <w:t xml:space="preserve"> (</w:t>
      </w:r>
      <w:r w:rsidR="002E170C" w:rsidRPr="004D25E5">
        <w:t>they do not consider commute distance to be endogenous to telework choices</w:t>
      </w:r>
      <w:r w:rsidR="00015891">
        <w:t>)</w:t>
      </w:r>
      <w:r w:rsidR="002E170C" w:rsidRPr="004D25E5">
        <w:t xml:space="preserve">. </w:t>
      </w:r>
    </w:p>
    <w:p w14:paraId="32FEB5C6" w14:textId="6CFC4BA3" w:rsidR="001966B0" w:rsidRPr="00AA7459" w:rsidRDefault="009A06A2" w:rsidP="00ED0B54">
      <w:pPr>
        <w:ind w:firstLine="720"/>
      </w:pPr>
      <w:r w:rsidRPr="004D25E5">
        <w:t>In another recent study</w:t>
      </w:r>
      <w:r w:rsidR="008575D6" w:rsidRPr="004D25E5">
        <w:t xml:space="preserve"> usin</w:t>
      </w:r>
      <w:r w:rsidR="008575D6" w:rsidRPr="00AA7459">
        <w:t>g data collected in 2023 and 2024 in Flanders, Belgium</w:t>
      </w:r>
      <w:r w:rsidR="006D0FDE" w:rsidRPr="00AA7459">
        <w:t>,</w:t>
      </w:r>
      <w:r w:rsidRPr="00AA7459">
        <w:t xml:space="preserve"> </w:t>
      </w:r>
      <w:proofErr w:type="spellStart"/>
      <w:r w:rsidRPr="00AA7459">
        <w:t>Versigghel</w:t>
      </w:r>
      <w:proofErr w:type="spellEnd"/>
      <w:r w:rsidRPr="00AA7459">
        <w:t xml:space="preserve"> et al. </w:t>
      </w:r>
      <w:r w:rsidRPr="00AA7459">
        <w:fldChar w:fldCharType="begin"/>
      </w:r>
      <w:r w:rsidR="00A64F11">
        <w:instrText xml:space="preserve"> ADDIN ZOTERO_ITEM CSL_CITATION {"citationID":"ODV4y3TE","properties":{"formattedCitation":"(2025)","plainCitation":"(2025)","noteIndex":0},"citationItems":[{"id":4557,"uris":["http://zotero.org/users/12832277/items/VGAZXDHZ"],"itemData":{"id":4557,"type":"article-journal","abstract":"Teleworking, increasingly adopted in recent years, is often presented as a sustainable alternative work arrangement, but its long-term effects on travel remain inconclusive. This study examined the relationship between teleworking behaviour and travel patterns among workers in East Flanders, Belgium, using data from an online survey conducted between October 2023 and January 2024. First, factors influencing teleworking frequency were identified using Poisson regression. The results showed that teleworking frequency is associated with attitudes and constraints related to teleworking and commuting, as well as with age and work frequency. Next, the commuting characteristics of non-teleworkers were compared with those of infrequent and frequent teleworkers. Given teleworking’s potential to reduce travel, the effect of teleworking frequency on commute distance, duration, travel mode, and the number of commute trips was analysed using Welch ANOVA and chi-square test. Our findings reveal that while teleworkers make fewer weekly commute trips, their commutes are longer in both distance and duration compared to non-teleworkers. Teleworkers also tend to make less sustainable commute trips, although this effect was not statistically significant. These results suggest a possible rebound effect that could offset the positive effects of teleworking on travel and liveability, such as reducing traffic congestion, greenhouse gas emissions, and peak-hour travel.","container-title":"Journal of Urban Mobility","DOI":"10.1016/j.urbmob.2025.100125","ISSN":"2667-0917","source":"ScienceDirect","title":"Telework and Commuting Patterns. an Empirical Study of Workers in Flanders, Belgium","URL":"https://www.sciencedirect.com/science/article/pii/S2667091725000275","volume":"7","author":[{"family":"Versigghel","given":"Jente"},{"family":"De Vos","given":"Jonas"},{"family":"Witlox","given":"Frank"}],"accessed":{"date-parts":[["2025",5,19]]},"issued":{"date-parts":[["2025",6,1]]}},"suppress-author":true}],"schema":"https://github.com/citation-style-language/schema/raw/master/csl-citation.json"} </w:instrText>
      </w:r>
      <w:r w:rsidRPr="00AA7459">
        <w:fldChar w:fldCharType="separate"/>
      </w:r>
      <w:r w:rsidR="00AA606C" w:rsidRPr="00AA606C">
        <w:t>(2025)</w:t>
      </w:r>
      <w:r w:rsidRPr="00AA7459">
        <w:fldChar w:fldCharType="end"/>
      </w:r>
      <w:r w:rsidR="006D0FDE" w:rsidRPr="00AA7459">
        <w:t xml:space="preserve"> </w:t>
      </w:r>
      <w:r w:rsidR="00EF04D2" w:rsidRPr="00AA7459">
        <w:t>found</w:t>
      </w:r>
      <w:r w:rsidR="006D6103">
        <w:t>, in their descriptive analysis,</w:t>
      </w:r>
      <w:r w:rsidR="00EF04D2" w:rsidRPr="00AA7459">
        <w:t xml:space="preserve"> that </w:t>
      </w:r>
      <w:r w:rsidR="00550AF2" w:rsidRPr="00AA7459">
        <w:t xml:space="preserve">part-day telework was less prevalent than full-day telework, although they combined these categories into a single “telework” </w:t>
      </w:r>
      <w:r w:rsidR="00AF7641">
        <w:t>variable</w:t>
      </w:r>
      <w:r w:rsidR="00550AF2" w:rsidRPr="00AA7459">
        <w:t xml:space="preserve"> for their main </w:t>
      </w:r>
      <w:r w:rsidR="006D6103">
        <w:t xml:space="preserve">modeling </w:t>
      </w:r>
      <w:r w:rsidR="00550AF2" w:rsidRPr="00AA7459">
        <w:t>analysis.</w:t>
      </w:r>
      <w:r w:rsidR="004D25E5">
        <w:t xml:space="preserve"> They found that longer commute durations reduced telework propensities, but did not separate this effect between part-day and full-day telework propensities</w:t>
      </w:r>
      <w:r w:rsidR="003E7BCD">
        <w:t xml:space="preserve">, nor did they model commute distance as being endogenous to telework choices (see the “Modeling Approach” column of Table 1). </w:t>
      </w:r>
    </w:p>
    <w:p w14:paraId="222BE366" w14:textId="77777777" w:rsidR="00C36462" w:rsidRPr="00AA7459" w:rsidRDefault="00C36462" w:rsidP="001D6510"/>
    <w:p w14:paraId="726E60DF" w14:textId="571C0B68" w:rsidR="006D22E6" w:rsidRPr="001D6510" w:rsidRDefault="006D22E6" w:rsidP="001D6510">
      <w:pPr>
        <w:rPr>
          <w:b/>
          <w:bCs/>
        </w:rPr>
      </w:pPr>
      <w:r w:rsidRPr="001D6510">
        <w:rPr>
          <w:b/>
          <w:bCs/>
        </w:rPr>
        <w:t xml:space="preserve">2.3 </w:t>
      </w:r>
      <w:r w:rsidR="0056641A" w:rsidRPr="001D6510">
        <w:rPr>
          <w:b/>
          <w:bCs/>
        </w:rPr>
        <w:t>Study in Context</w:t>
      </w:r>
      <w:r w:rsidR="00BF19F2" w:rsidRPr="001D6510">
        <w:rPr>
          <w:b/>
          <w:bCs/>
        </w:rPr>
        <w:t xml:space="preserve"> </w:t>
      </w:r>
    </w:p>
    <w:p w14:paraId="514112A0" w14:textId="564CF682" w:rsidR="006D22E6" w:rsidRPr="00CE2591" w:rsidRDefault="005A1DEF" w:rsidP="001D6510">
      <w:r w:rsidRPr="00AA7459">
        <w:t xml:space="preserve">The current study examines the joint adoption of part-day and full-day telework </w:t>
      </w:r>
      <w:r w:rsidR="00C95C2A">
        <w:t>as well as</w:t>
      </w:r>
      <w:r w:rsidRPr="00AA7459">
        <w:t xml:space="preserve"> the relationship between these telework decisions and commute distance to quantify the impact of telework choices on </w:t>
      </w:r>
      <w:r w:rsidR="001B6DD9">
        <w:t xml:space="preserve">weekly </w:t>
      </w:r>
      <w:r w:rsidRPr="00AA7459">
        <w:t xml:space="preserve">commute VMT. </w:t>
      </w:r>
      <w:r w:rsidR="00A90DCA" w:rsidRPr="00AA7459">
        <w:t>The</w:t>
      </w:r>
      <w:r w:rsidR="00EF4C38" w:rsidRPr="00AA7459">
        <w:t xml:space="preserve">re are several salient aspects of the current study in the context of the </w:t>
      </w:r>
      <w:r w:rsidR="001966B0">
        <w:t xml:space="preserve">extant </w:t>
      </w:r>
      <w:r w:rsidR="00EF4C38" w:rsidRPr="00AA7459">
        <w:t xml:space="preserve">literature. </w:t>
      </w:r>
      <w:r w:rsidR="00EF4C38" w:rsidRPr="00AA7459">
        <w:rPr>
          <w:u w:val="single"/>
        </w:rPr>
        <w:t>First</w:t>
      </w:r>
      <w:r w:rsidR="00EF4C38" w:rsidRPr="00AA7459">
        <w:t xml:space="preserve">, </w:t>
      </w:r>
      <w:r w:rsidR="0021352A" w:rsidRPr="00AA7459">
        <w:t xml:space="preserve">we consider </w:t>
      </w:r>
      <w:r w:rsidR="00DD0434">
        <w:t>the relationship between work arrangement choices and commute distance</w:t>
      </w:r>
      <w:r w:rsidR="00E14AAE">
        <w:t xml:space="preserve"> in the context of a major city in the United States </w:t>
      </w:r>
      <w:r w:rsidR="001966B0">
        <w:t xml:space="preserve">(U.S.) </w:t>
      </w:r>
      <w:r w:rsidR="00E14AAE">
        <w:t>several years after the pandemic</w:t>
      </w:r>
      <w:r w:rsidR="003361E7" w:rsidRPr="00AA7459">
        <w:t>. As discussed above, the consideration of part-day telework is rare in the post-pandemic literature on telework choices,</w:t>
      </w:r>
      <w:r w:rsidR="00AB6531">
        <w:t xml:space="preserve"> </w:t>
      </w:r>
      <w:r w:rsidR="001966B0">
        <w:t xml:space="preserve">with both the studies that have considered part-day telework being undertaken outside the U.S. </w:t>
      </w:r>
      <w:r w:rsidR="00155242" w:rsidRPr="00AA7459">
        <w:t>Given evidence of significantly different mobility patterns between part-day</w:t>
      </w:r>
      <w:r w:rsidR="00FD0E62">
        <w:t xml:space="preserve"> teleworkers, full-day teleworkers and full-day in-person workers</w:t>
      </w:r>
      <w:r w:rsidR="008B7425" w:rsidRPr="00AA7459">
        <w:t xml:space="preserve">, the </w:t>
      </w:r>
      <w:r w:rsidR="000E2F3F" w:rsidRPr="00AA7459">
        <w:t xml:space="preserve">nature of these </w:t>
      </w:r>
      <w:r w:rsidR="005B7281" w:rsidRPr="00AA7459">
        <w:t>decisions</w:t>
      </w:r>
      <w:r w:rsidR="000E2F3F" w:rsidRPr="00AA7459">
        <w:t xml:space="preserve"> need</w:t>
      </w:r>
      <w:r w:rsidR="005B7281" w:rsidRPr="00AA7459">
        <w:t>s</w:t>
      </w:r>
      <w:r w:rsidR="000E2F3F" w:rsidRPr="00AA7459">
        <w:t xml:space="preserve"> additional study</w:t>
      </w:r>
      <w:r w:rsidR="00AB6531">
        <w:t xml:space="preserve"> in a variety of geographic contexts</w:t>
      </w:r>
      <w:r w:rsidR="000E2F3F" w:rsidRPr="00AA7459">
        <w:t xml:space="preserve">. </w:t>
      </w:r>
      <w:r w:rsidR="00AB6531">
        <w:rPr>
          <w:u w:val="single"/>
        </w:rPr>
        <w:t>Second</w:t>
      </w:r>
      <w:r w:rsidR="00432C66">
        <w:t xml:space="preserve">, </w:t>
      </w:r>
      <w:r w:rsidR="00603C57">
        <w:t xml:space="preserve">unlike earlier studies, </w:t>
      </w:r>
      <w:r w:rsidR="00432C66">
        <w:t xml:space="preserve">we </w:t>
      </w:r>
      <w:r w:rsidR="00AB6531">
        <w:t xml:space="preserve">model </w:t>
      </w:r>
      <w:r w:rsidR="00C703E9">
        <w:t xml:space="preserve">telework adoption (whether part-day or full-day), </w:t>
      </w:r>
      <w:r w:rsidR="00AB6531">
        <w:t xml:space="preserve">part-day telework </w:t>
      </w:r>
      <w:r w:rsidR="00C703E9">
        <w:t xml:space="preserve">frequency per week, </w:t>
      </w:r>
      <w:r w:rsidR="00AB6531">
        <w:t xml:space="preserve">and full-day telework </w:t>
      </w:r>
      <w:r w:rsidR="00C703E9">
        <w:t xml:space="preserve">frequency per week using </w:t>
      </w:r>
      <w:r w:rsidR="003E7C14">
        <w:t xml:space="preserve">an efficient </w:t>
      </w:r>
      <w:r w:rsidR="00AB6531">
        <w:t>joint</w:t>
      </w:r>
      <w:r w:rsidR="003E7C14">
        <w:t xml:space="preserve"> </w:t>
      </w:r>
      <w:proofErr w:type="spellStart"/>
      <w:r w:rsidR="00C703E9">
        <w:t>tr</w:t>
      </w:r>
      <w:r w:rsidR="003E7C14">
        <w:t>ivariate</w:t>
      </w:r>
      <w:proofErr w:type="spellEnd"/>
      <w:r w:rsidR="003E7C14">
        <w:t xml:space="preserve"> ordered-response model system that simultaneously accommodates </w:t>
      </w:r>
      <w:r w:rsidR="007605D3">
        <w:t xml:space="preserve">all the </w:t>
      </w:r>
      <w:r w:rsidR="00C703E9">
        <w:t xml:space="preserve">four </w:t>
      </w:r>
      <w:r w:rsidR="003E7C14">
        <w:t>considerations</w:t>
      </w:r>
      <w:r w:rsidR="007605D3">
        <w:t xml:space="preserve"> listed </w:t>
      </w:r>
      <w:r w:rsidR="00544B67">
        <w:t>in the second paragraph of Section 2</w:t>
      </w:r>
      <w:r w:rsidR="003E7C14">
        <w:t xml:space="preserve">: </w:t>
      </w:r>
      <w:r w:rsidR="00C703E9">
        <w:t xml:space="preserve">(a) </w:t>
      </w:r>
      <w:r w:rsidR="00544B67">
        <w:t>unobserved error correlation between</w:t>
      </w:r>
      <w:r w:rsidR="001966B0">
        <w:t xml:space="preserve"> </w:t>
      </w:r>
      <w:r w:rsidR="00544B67">
        <w:t xml:space="preserve">telework adoption and the frequencies of part-day and full-day telework, </w:t>
      </w:r>
      <w:r w:rsidR="003E7C14">
        <w:t>(</w:t>
      </w:r>
      <w:r w:rsidR="007605D3">
        <w:t>b</w:t>
      </w:r>
      <w:r w:rsidR="003E7C14">
        <w:t xml:space="preserve">) </w:t>
      </w:r>
      <w:r w:rsidR="00C24C1F">
        <w:t xml:space="preserve">unobserved error correlations to accommodate </w:t>
      </w:r>
      <w:r w:rsidR="003E7C14">
        <w:t>unobserved employee preferences, (</w:t>
      </w:r>
      <w:r w:rsidR="007605D3">
        <w:t>c</w:t>
      </w:r>
      <w:r w:rsidR="003E7C14">
        <w:t xml:space="preserve">) clustering  effects in the combinations of </w:t>
      </w:r>
      <w:r w:rsidR="003E7C14">
        <w:lastRenderedPageBreak/>
        <w:t>part-day and full-day telework through an innovative threshold-shifting strategy that allows specific combinations to be elevated or depressed (for example, because of employer-side considerations, as discussed in the paragraph just before Section 2.1), and (</w:t>
      </w:r>
      <w:r w:rsidR="007605D3">
        <w:t>d</w:t>
      </w:r>
      <w:r w:rsidR="003E7C14">
        <w:t xml:space="preserve">) </w:t>
      </w:r>
      <w:r w:rsidR="00603C57">
        <w:t>the integrity of the identity that weekly frequency of part-day and full-day telework days cannot exceed the number of workdays in the week (which also implicitly guarantees that the predicted number of days of in-person work cannot be negative</w:t>
      </w:r>
      <w:r w:rsidR="00455334">
        <w:t>)</w:t>
      </w:r>
      <w:r w:rsidR="00DA0A63">
        <w:t xml:space="preserve"> </w:t>
      </w:r>
      <w:r w:rsidR="001966B0">
        <w:t xml:space="preserve">and cannot also </w:t>
      </w:r>
      <w:r w:rsidR="00DA0A63">
        <w:t>both be equal to zero for telewor</w:t>
      </w:r>
      <w:r w:rsidR="00DA0A63" w:rsidRPr="00DA0A63">
        <w:t>kers</w:t>
      </w:r>
      <w:r w:rsidR="00A311E7" w:rsidRPr="00DA0A63">
        <w:t>.</w:t>
      </w:r>
      <w:r w:rsidR="00A311E7">
        <w:t xml:space="preserve"> </w:t>
      </w:r>
      <w:r w:rsidR="00603C57">
        <w:rPr>
          <w:u w:val="single"/>
        </w:rPr>
        <w:t>Third</w:t>
      </w:r>
      <w:r w:rsidR="00EE3129">
        <w:t xml:space="preserve">, </w:t>
      </w:r>
      <w:r w:rsidR="00603C57">
        <w:t>in</w:t>
      </w:r>
      <w:r w:rsidR="00C703E9">
        <w:t xml:space="preserve"> </w:t>
      </w:r>
      <w:r w:rsidR="00603C57">
        <w:t>addit</w:t>
      </w:r>
      <w:r w:rsidR="00544B67">
        <w:t>i</w:t>
      </w:r>
      <w:r w:rsidR="00603C57">
        <w:t xml:space="preserve">on to the joint modeling of </w:t>
      </w:r>
      <w:r w:rsidR="00544B67">
        <w:t xml:space="preserve">telework adoption and the frequencies of </w:t>
      </w:r>
      <w:r w:rsidR="00603C57">
        <w:t xml:space="preserve">part-day and full-day </w:t>
      </w:r>
      <w:r w:rsidR="00EE3129">
        <w:t>telework choices</w:t>
      </w:r>
      <w:r w:rsidR="00603C57">
        <w:t xml:space="preserve">, we also model </w:t>
      </w:r>
      <w:r w:rsidR="00544B67">
        <w:t xml:space="preserve">all </w:t>
      </w:r>
      <w:r w:rsidR="00603C57">
        <w:t xml:space="preserve">these telework choices jointly with </w:t>
      </w:r>
      <w:r w:rsidR="00EE3129">
        <w:t xml:space="preserve">commute distance </w:t>
      </w:r>
      <w:r w:rsidR="00C703E9">
        <w:t>to accommodate the potential endogeneity of commute distance to telework choices</w:t>
      </w:r>
      <w:r w:rsidR="00EE3129">
        <w:t xml:space="preserve">. </w:t>
      </w:r>
      <w:r w:rsidR="008A0DAC" w:rsidRPr="00AA7459">
        <w:t>That is, we accommodate unobserved individual preferences</w:t>
      </w:r>
      <w:r w:rsidR="00037BF2">
        <w:t xml:space="preserve"> such as for schedule </w:t>
      </w:r>
      <w:r w:rsidR="00037BF2" w:rsidRPr="00C44F6A">
        <w:t xml:space="preserve">predictability </w:t>
      </w:r>
      <w:r w:rsidR="00037BF2">
        <w:t>and daily travel control (see the penultimate paragraph of Section 1</w:t>
      </w:r>
      <w:r w:rsidR="008A0DAC" w:rsidRPr="00AA7459">
        <w:t xml:space="preserve">) that may </w:t>
      </w:r>
      <w:r w:rsidR="00544B67">
        <w:t xml:space="preserve">simultaneously </w:t>
      </w:r>
      <w:r w:rsidR="008A0DAC" w:rsidRPr="00AA7459">
        <w:t xml:space="preserve">impact </w:t>
      </w:r>
      <w:r w:rsidR="001517C8" w:rsidRPr="00AA7459">
        <w:t xml:space="preserve">telework adoption, </w:t>
      </w:r>
      <w:r w:rsidR="00EE3129">
        <w:t xml:space="preserve">the </w:t>
      </w:r>
      <w:r w:rsidR="001517C8" w:rsidRPr="00AA7459">
        <w:t xml:space="preserve">frequency of participation in full-day or part-day telework, and commute distance. </w:t>
      </w:r>
      <w:r w:rsidR="000D45FB" w:rsidRPr="00CE2591">
        <w:rPr>
          <w:u w:val="single"/>
        </w:rPr>
        <w:t>Finally</w:t>
      </w:r>
      <w:r w:rsidR="000D45FB" w:rsidRPr="00CE2591">
        <w:t xml:space="preserve">, we use the model results to quantify the effects of telework choices on weekly commute VMT, accounting for the </w:t>
      </w:r>
      <w:r w:rsidR="00C91BD8" w:rsidRPr="00CE2591">
        <w:t>reduced frequency of commut</w:t>
      </w:r>
      <w:r w:rsidR="00DF3E32" w:rsidRPr="00CE2591">
        <w:t>ing</w:t>
      </w:r>
      <w:r w:rsidR="00C91BD8" w:rsidRPr="00CE2591">
        <w:t xml:space="preserve"> due to full-day</w:t>
      </w:r>
      <w:r w:rsidR="000D45FB" w:rsidRPr="00CE2591">
        <w:t xml:space="preserve"> telework </w:t>
      </w:r>
      <w:r w:rsidR="00C91BD8" w:rsidRPr="00CE2591">
        <w:t xml:space="preserve">(that do not occur for part-day telework) as well as commute distance differences for those with different levels of part-day and full-day telework adoption. </w:t>
      </w:r>
      <w:r w:rsidR="00DF3E32" w:rsidRPr="00CE2591">
        <w:t xml:space="preserve">These results reveal important implications from a policy standpoint, demonstrating </w:t>
      </w:r>
      <w:r w:rsidR="00DF3E32" w:rsidRPr="00CE2591">
        <w:rPr>
          <w:rFonts w:eastAsia="Times New Roman"/>
        </w:rPr>
        <w:t>how hybrid work arrangements influence travel demand and supporting more effective design of congestion mitigation strategies.</w:t>
      </w:r>
      <w:r w:rsidR="005C42B7" w:rsidRPr="00CE2591">
        <w:t xml:space="preserve"> </w:t>
      </w:r>
    </w:p>
    <w:p w14:paraId="2B70D4A7" w14:textId="77777777" w:rsidR="0056641A" w:rsidRPr="00CE2591" w:rsidRDefault="0056641A" w:rsidP="001D6510"/>
    <w:p w14:paraId="3E922C6D" w14:textId="75A533E1" w:rsidR="005E1EB8" w:rsidRPr="00CE2591" w:rsidRDefault="005E1EB8" w:rsidP="00C70CB1">
      <w:pPr>
        <w:keepNext/>
        <w:rPr>
          <w:b/>
          <w:bCs/>
        </w:rPr>
      </w:pPr>
      <w:r w:rsidRPr="00CE2591">
        <w:rPr>
          <w:b/>
          <w:bCs/>
        </w:rPr>
        <w:t xml:space="preserve">3. </w:t>
      </w:r>
      <w:r w:rsidR="002454CE" w:rsidRPr="00CE2591">
        <w:rPr>
          <w:b/>
          <w:bCs/>
        </w:rPr>
        <w:t>METHODOLOGY</w:t>
      </w:r>
    </w:p>
    <w:p w14:paraId="11CD6DA3" w14:textId="30866D15" w:rsidR="005828C0" w:rsidRPr="00551AC4" w:rsidRDefault="005828C0" w:rsidP="00C70CB1">
      <w:pPr>
        <w:keepNext/>
        <w:rPr>
          <w:b/>
          <w:bCs/>
        </w:rPr>
      </w:pPr>
      <w:r w:rsidRPr="00551AC4">
        <w:rPr>
          <w:b/>
          <w:bCs/>
        </w:rPr>
        <w:t>3.1 Data Description</w:t>
      </w:r>
    </w:p>
    <w:p w14:paraId="4C2E1B31" w14:textId="550DF0CC" w:rsidR="002454CE" w:rsidRPr="00AA7459" w:rsidRDefault="007D5C30" w:rsidP="001D6510">
      <w:r w:rsidRPr="00551AC4">
        <w:t>The</w:t>
      </w:r>
      <w:r w:rsidR="00D264E1" w:rsidRPr="00AA7459">
        <w:t xml:space="preserve"> primary data source used for this study is the 2023 </w:t>
      </w:r>
      <w:r w:rsidRPr="00AA7459">
        <w:t xml:space="preserve">Puget Sound Regional Household Travel Survey </w:t>
      </w:r>
      <w:r w:rsidR="00D02ED3">
        <w:fldChar w:fldCharType="begin"/>
      </w:r>
      <w:r w:rsidR="00D02ED3">
        <w:instrText xml:space="preserve"> ADDIN ZOTERO_ITEM CSL_CITATION {"citationID":"P8vac4Wh","properties":{"unsorted":false,"formattedCitation":"(Puget Sound Regional Council, 2024)","plainCitation":"(Puget Sound Regional Council, 2024)","noteIndex":0},"citationItems":[{"id":4267,"uris":["http://zotero.org/users/12832277/items/Z7TDMKDV"],"itemData":{"id":4267,"type":"dataset","language":"en","source":"Zotero","title":"2023 Puget Sound Regional Travel Study","author":[{"family":"Puget Sound Regional Council","given":""}],"issued":{"date-parts":[["2024",3,18]]}}}],"schema":"https://github.com/citation-style-language/schema/raw/master/csl-citation.json"} </w:instrText>
      </w:r>
      <w:r w:rsidR="00D02ED3">
        <w:fldChar w:fldCharType="separate"/>
      </w:r>
      <w:r w:rsidR="00AA606C" w:rsidRPr="00AA606C">
        <w:t>(Puget Sound Regional Council, 2024)</w:t>
      </w:r>
      <w:r w:rsidR="00D02ED3">
        <w:fldChar w:fldCharType="end"/>
      </w:r>
      <w:r w:rsidRPr="00AA7459">
        <w:t xml:space="preserve">. </w:t>
      </w:r>
      <w:r w:rsidR="00152A5E" w:rsidRPr="00AA7459">
        <w:t>The survey was administered between</w:t>
      </w:r>
      <w:r w:rsidRPr="00AA7459">
        <w:t xml:space="preserve"> March </w:t>
      </w:r>
      <w:r w:rsidR="00152A5E" w:rsidRPr="00AA7459">
        <w:t>and</w:t>
      </w:r>
      <w:r w:rsidRPr="00AA7459">
        <w:t xml:space="preserve"> </w:t>
      </w:r>
      <w:r w:rsidR="003F352B" w:rsidRPr="00AA7459">
        <w:t>June</w:t>
      </w:r>
      <w:r w:rsidRPr="00AA7459">
        <w:t xml:space="preserve"> 2023</w:t>
      </w:r>
      <w:r w:rsidR="00152A5E" w:rsidRPr="00AA7459">
        <w:t xml:space="preserve"> using an address-based sampling approach</w:t>
      </w:r>
      <w:r w:rsidRPr="00AA7459">
        <w:t xml:space="preserve">. </w:t>
      </w:r>
      <w:r w:rsidR="003F352B" w:rsidRPr="00AA7459">
        <w:t xml:space="preserve">The sampling frame was stratified to oversample individuals living in census blocks with more racial and ethnic minorities and low-income individuals (see </w:t>
      </w:r>
      <w:r w:rsidR="00076FD8">
        <w:fldChar w:fldCharType="begin"/>
      </w:r>
      <w:r w:rsidR="001D7708">
        <w:instrText xml:space="preserve"> ADDIN ZOTERO_ITEM CSL_CITATION {"citationID":"MHt8n9Th","properties":{"unsorted":false,"formattedCitation":"(RSG, 2024)","plainCitation":"(RSG, 2024)","dontUpdate":true,"noteIndex":0},"citationItems":[{"id":4269,"uris":["http://zotero.org/users/12832277/items/ASFM2YWG"],"itemData":{"id":4269,"type":"report","number":"Final Report","publisher":"Puget Sound Regional Council","title":"2023 Puget Sound Regional Travel Survey","URL":"https://www.psrc.org/sites/default/files/2024-05/2023-Puget-Sound-Regional-Travel-Study-Final-Report.pdf","author":[{"family":"RSG","given":""}],"issued":{"date-parts":[["2024",3,18]]}}}],"schema":"https://github.com/citation-style-language/schema/raw/master/csl-citation.json"} </w:instrText>
      </w:r>
      <w:r w:rsidR="00076FD8">
        <w:fldChar w:fldCharType="separate"/>
      </w:r>
      <w:r w:rsidR="00076FD8" w:rsidRPr="00076FD8">
        <w:t>RSG, 2024</w:t>
      </w:r>
      <w:r w:rsidR="00076FD8">
        <w:fldChar w:fldCharType="end"/>
      </w:r>
      <w:r w:rsidR="003F352B" w:rsidRPr="00AA7459">
        <w:t xml:space="preserve"> for additional details of the survey administration procedure). </w:t>
      </w:r>
      <w:r w:rsidRPr="00AA7459">
        <w:t>The study area was the Puget Sound (Greater Seattle, Washington) region, encompassing the King, Kitsap, Pierce, and Snohomish counties, a region including 82 cities and towns with a total population of over 1.</w:t>
      </w:r>
      <w:r w:rsidR="00C0299F" w:rsidRPr="00AA7459">
        <w:t>6</w:t>
      </w:r>
      <w:r w:rsidRPr="00AA7459">
        <w:t xml:space="preserve"> million households. </w:t>
      </w:r>
      <w:r w:rsidR="00482578" w:rsidRPr="00AA7459">
        <w:t xml:space="preserve">The survey </w:t>
      </w:r>
      <w:r w:rsidR="00E012F8" w:rsidRPr="00AA7459">
        <w:t xml:space="preserve">elicited information about general travel behaviors and mobility choices, </w:t>
      </w:r>
      <w:r w:rsidR="00243E1D" w:rsidRPr="00AA7459">
        <w:t>vehicle ownership and use, home location preferences, and detailed demographic and socioeconomic information about respondents. In addition, a travel diary was requested from each individual from each sampled household</w:t>
      </w:r>
      <w:r w:rsidR="00B61F13" w:rsidRPr="00AA7459">
        <w:t xml:space="preserve">. Those completing the survey online </w:t>
      </w:r>
      <w:r w:rsidR="005B2E20" w:rsidRPr="00AA7459">
        <w:t xml:space="preserve">or via the call center were asked to provide a one-day travel diary, while those completing the survey using the </w:t>
      </w:r>
      <w:proofErr w:type="spellStart"/>
      <w:r w:rsidR="005B2E20" w:rsidRPr="00AA7459">
        <w:t>rMove</w:t>
      </w:r>
      <w:proofErr w:type="spellEnd"/>
      <w:r w:rsidR="005B2E20" w:rsidRPr="00AA7459">
        <w:t xml:space="preserve"> smartphone app were asked to complete a travel diary for </w:t>
      </w:r>
      <w:r w:rsidR="00F07CAD" w:rsidRPr="00AA7459">
        <w:t>a period of up to seven days</w:t>
      </w:r>
      <w:r w:rsidR="00243E1D" w:rsidRPr="00AA7459">
        <w:t xml:space="preserve">. </w:t>
      </w:r>
    </w:p>
    <w:p w14:paraId="479DF0CA" w14:textId="06A3388E" w:rsidR="005B2E20" w:rsidRPr="00AA7459" w:rsidRDefault="005B2E20" w:rsidP="001D6510">
      <w:r w:rsidRPr="00AA7459">
        <w:tab/>
      </w:r>
      <w:r w:rsidR="00B6603B" w:rsidRPr="00AA7459">
        <w:t>For the curr</w:t>
      </w:r>
      <w:r w:rsidR="00B6603B" w:rsidRPr="00917545">
        <w:t xml:space="preserve">ent study, we consider only employed individuals </w:t>
      </w:r>
      <w:r w:rsidR="00D458C6" w:rsidRPr="00917545">
        <w:t xml:space="preserve">who </w:t>
      </w:r>
      <w:r w:rsidR="003F1DB8" w:rsidRPr="00917545">
        <w:t xml:space="preserve">worked </w:t>
      </w:r>
      <w:r w:rsidR="00917545" w:rsidRPr="00917545">
        <w:t>on</w:t>
      </w:r>
      <w:r w:rsidR="003F1DB8" w:rsidRPr="00917545">
        <w:t xml:space="preserve"> at least three </w:t>
      </w:r>
      <w:r w:rsidR="00917545" w:rsidRPr="00917545">
        <w:t>week</w:t>
      </w:r>
      <w:r w:rsidR="003F1DB8" w:rsidRPr="00917545">
        <w:t xml:space="preserve">days </w:t>
      </w:r>
      <w:r w:rsidR="00917545" w:rsidRPr="00917545">
        <w:t>during their reporting period</w:t>
      </w:r>
      <w:r w:rsidR="00B6603B" w:rsidRPr="00917545">
        <w:t xml:space="preserve">. </w:t>
      </w:r>
      <w:r w:rsidR="00463502" w:rsidRPr="00917545">
        <w:t xml:space="preserve">The consideration of individuals with multiple </w:t>
      </w:r>
      <w:r w:rsidR="006A7BA4" w:rsidRPr="00917545">
        <w:t>working days</w:t>
      </w:r>
      <w:r w:rsidR="00463502" w:rsidRPr="00917545">
        <w:t xml:space="preserve"> allows us to determine how they split th</w:t>
      </w:r>
      <w:r w:rsidR="00463502" w:rsidRPr="00AA7459">
        <w:t>eir time between different working modalities across the week</w:t>
      </w:r>
      <w:r w:rsidR="00463502">
        <w:t>, providing frequencies of full-day and part-day telework adoption over a multi-day period rather than considering only the use of these work arrangements on a single day (as discussed in more detail in the following section). The resulting sample consists of</w:t>
      </w:r>
      <w:r w:rsidR="00D8003A" w:rsidRPr="00AA7459">
        <w:t xml:space="preserve"> 699 individuals </w:t>
      </w:r>
      <w:r w:rsidR="004803F5" w:rsidRPr="00AA7459">
        <w:t xml:space="preserve">(out of a total of </w:t>
      </w:r>
      <w:r w:rsidR="003F5EAF" w:rsidRPr="00AA7459">
        <w:t>1218</w:t>
      </w:r>
      <w:r w:rsidR="004803F5" w:rsidRPr="00AA7459">
        <w:t xml:space="preserve"> individuals </w:t>
      </w:r>
      <w:r w:rsidR="003F5EAF" w:rsidRPr="00AA7459">
        <w:t xml:space="preserve">who completed the survey using the </w:t>
      </w:r>
      <w:proofErr w:type="spellStart"/>
      <w:r w:rsidR="003F5EAF" w:rsidRPr="00AA7459">
        <w:t>rMove</w:t>
      </w:r>
      <w:proofErr w:type="spellEnd"/>
      <w:r w:rsidR="003F5EAF" w:rsidRPr="00AA7459">
        <w:t xml:space="preserve"> smartphone app). </w:t>
      </w:r>
      <w:r w:rsidR="00B77283">
        <w:t xml:space="preserve">The majority of the excluded individuals (75.3%) were unemployed, while the remaining </w:t>
      </w:r>
      <w:r w:rsidR="0068537B">
        <w:t xml:space="preserve">24.7% of the excluded individuals were employed but reported working less than three days during their travel diary. </w:t>
      </w:r>
    </w:p>
    <w:p w14:paraId="7865E0F0" w14:textId="77777777" w:rsidR="005828C0" w:rsidRPr="00AA7459" w:rsidRDefault="005828C0" w:rsidP="001D6510"/>
    <w:p w14:paraId="1EC9EAA1" w14:textId="4F13E2A2" w:rsidR="005828C0" w:rsidRPr="00551AC4" w:rsidRDefault="005828C0" w:rsidP="001D6510">
      <w:pPr>
        <w:rPr>
          <w:b/>
          <w:bCs/>
        </w:rPr>
      </w:pPr>
      <w:r w:rsidRPr="00551AC4">
        <w:rPr>
          <w:b/>
          <w:bCs/>
        </w:rPr>
        <w:lastRenderedPageBreak/>
        <w:t>3.1.1 Endogenous Outcome Variables</w:t>
      </w:r>
    </w:p>
    <w:p w14:paraId="5C74D8E6" w14:textId="534AD297" w:rsidR="00ED4791" w:rsidRDefault="006D01B5" w:rsidP="001D6510">
      <w:r w:rsidRPr="00551AC4">
        <w:t xml:space="preserve">The main outcomes considered in the current study </w:t>
      </w:r>
      <w:r w:rsidR="00B87976" w:rsidRPr="00551AC4">
        <w:t>include the commute distance and the set of tele</w:t>
      </w:r>
      <w:r w:rsidR="00B87976" w:rsidRPr="00AA7459">
        <w:t>work choices across the surveyed travel days.</w:t>
      </w:r>
      <w:r w:rsidR="00ED4791">
        <w:t xml:space="preserve"> Descriptive statistics for these outcomes are shown in Table 2, based on the number of working days for each individual.</w:t>
      </w:r>
      <w:r w:rsidR="00B87976" w:rsidRPr="00AA7459">
        <w:t xml:space="preserve"> </w:t>
      </w:r>
      <w:r w:rsidR="0089025D" w:rsidRPr="00AA7459">
        <w:t xml:space="preserve">The first outcome, commute distance, is considered as a continuous variable in our analysis. </w:t>
      </w:r>
      <w:r w:rsidR="00350EED" w:rsidRPr="00AA7459">
        <w:t xml:space="preserve">The </w:t>
      </w:r>
      <w:r w:rsidR="00BD0ABF" w:rsidRPr="00AA7459">
        <w:t xml:space="preserve">mean one-way commute distance </w:t>
      </w:r>
      <w:r w:rsidR="00854442" w:rsidRPr="00AA7459">
        <w:t xml:space="preserve">(between a respondent’s home and primary out-of-home workplace) </w:t>
      </w:r>
      <w:r w:rsidR="00854442">
        <w:t xml:space="preserve">across all individuals in the dataset </w:t>
      </w:r>
      <w:r w:rsidR="00854442" w:rsidRPr="00AA7459">
        <w:t xml:space="preserve">is </w:t>
      </w:r>
      <w:r w:rsidR="00BD0ABF">
        <w:t>9</w:t>
      </w:r>
      <w:r w:rsidR="00BD0ABF" w:rsidRPr="00AA7459">
        <w:t>.0</w:t>
      </w:r>
      <w:r w:rsidR="00BD0ABF">
        <w:t>2</w:t>
      </w:r>
      <w:r w:rsidR="00BD0ABF" w:rsidRPr="00AA7459">
        <w:t xml:space="preserve"> miles</w:t>
      </w:r>
      <w:r w:rsidR="00854442">
        <w:t>, and the</w:t>
      </w:r>
      <w:r w:rsidR="00BD0ABF">
        <w:t xml:space="preserve"> </w:t>
      </w:r>
      <w:r w:rsidR="00350EED" w:rsidRPr="00AA7459">
        <w:t xml:space="preserve">median one-way commute distance </w:t>
      </w:r>
      <w:r w:rsidR="00854442">
        <w:t xml:space="preserve">is </w:t>
      </w:r>
      <w:r w:rsidR="00C72D82" w:rsidRPr="00AA7459">
        <w:t>6.15 miles</w:t>
      </w:r>
      <w:r w:rsidR="00CA7364">
        <w:t xml:space="preserve"> </w:t>
      </w:r>
      <w:r w:rsidR="005340C7">
        <w:t xml:space="preserve">(see the last row of the third </w:t>
      </w:r>
      <w:r w:rsidR="00EA139C">
        <w:t xml:space="preserve">main </w:t>
      </w:r>
      <w:r w:rsidR="005340C7">
        <w:t>column of Table 2)</w:t>
      </w:r>
      <w:r w:rsidR="0080374F" w:rsidRPr="00AA7459">
        <w:t>. Given the rightward skew</w:t>
      </w:r>
      <w:r w:rsidR="00CA4461">
        <w:t xml:space="preserve"> and positivity</w:t>
      </w:r>
      <w:r w:rsidR="0080374F" w:rsidRPr="00AA7459">
        <w:t xml:space="preserve"> of this outcome, we use the logarithm of the commute distance as the outcome in the model.</w:t>
      </w:r>
      <w:r w:rsidR="005340C7">
        <w:t xml:space="preserve"> Across the different numbers of workdays in the week, the mean/median commute distances do not vary too substantially, though these are lowest for individuals who work three days a week. </w:t>
      </w:r>
    </w:p>
    <w:p w14:paraId="6D963732" w14:textId="6A464579" w:rsidR="0080374F" w:rsidRPr="00551AC4" w:rsidRDefault="0080374F" w:rsidP="001D6510">
      <w:r w:rsidRPr="00AA7459">
        <w:tab/>
      </w:r>
      <w:r w:rsidR="00D97509" w:rsidRPr="00AA7459">
        <w:t>Regarding telework arrangements</w:t>
      </w:r>
      <w:r w:rsidR="005F0341">
        <w:t>,</w:t>
      </w:r>
      <w:r w:rsidR="00D97509" w:rsidRPr="00AA7459">
        <w:t xml:space="preserve"> </w:t>
      </w:r>
      <w:r w:rsidR="00C850D1" w:rsidRPr="00AA7459">
        <w:t>we consider three aspects. First, we</w:t>
      </w:r>
      <w:r w:rsidR="00203FD1" w:rsidRPr="00AA7459">
        <w:t xml:space="preserve"> consider a</w:t>
      </w:r>
      <w:r w:rsidR="00C850D1" w:rsidRPr="00AA7459">
        <w:t>n overall adoption dimension (a</w:t>
      </w:r>
      <w:r w:rsidR="00203FD1" w:rsidRPr="00AA7459">
        <w:t xml:space="preserve"> binary outcome</w:t>
      </w:r>
      <w:r w:rsidR="00C850D1" w:rsidRPr="00AA7459">
        <w:t>),</w:t>
      </w:r>
      <w:r w:rsidR="00203FD1" w:rsidRPr="00AA7459">
        <w:t xml:space="preserve"> indicating whether an individual teleworked at all during the reported period. </w:t>
      </w:r>
      <w:r w:rsidR="007C7CF6" w:rsidRPr="00AA7459">
        <w:t>Notably, the definition of telework used in the survey includes time spent working at home or remotely (anywhere besides the primary workplace) both during and outside regular business hours on each travel day.</w:t>
      </w:r>
      <w:r w:rsidR="002275A1" w:rsidRPr="00AA7459">
        <w:t xml:space="preserve"> Further</w:t>
      </w:r>
      <w:r w:rsidR="00B214AA" w:rsidRPr="00AA7459">
        <w:t>,</w:t>
      </w:r>
      <w:r w:rsidR="002275A1" w:rsidRPr="00AA7459">
        <w:t xml:space="preserve"> to accommodate the fact that many individuals may undertake small work-related tasks on a regular basis </w:t>
      </w:r>
      <w:r w:rsidR="00483F32" w:rsidRPr="00AA7459">
        <w:t xml:space="preserve">outside of work hours </w:t>
      </w:r>
      <w:r w:rsidR="002275A1" w:rsidRPr="00AA7459">
        <w:t xml:space="preserve">that do not </w:t>
      </w:r>
      <w:r w:rsidR="00EA139C">
        <w:t xml:space="preserve">quite </w:t>
      </w:r>
      <w:r w:rsidR="002275A1" w:rsidRPr="00AA7459">
        <w:t xml:space="preserve">replace </w:t>
      </w:r>
      <w:r w:rsidR="00854442">
        <w:t xml:space="preserve">work tasks at </w:t>
      </w:r>
      <w:r w:rsidR="002275A1" w:rsidRPr="00AA7459">
        <w:t xml:space="preserve">the office, </w:t>
      </w:r>
      <w:r w:rsidR="00483F32" w:rsidRPr="00AA7459">
        <w:t xml:space="preserve">we do not consider an individual to have undertaken telework on any given day unless they spent </w:t>
      </w:r>
      <w:r w:rsidR="003109C9" w:rsidRPr="00AA7459">
        <w:t xml:space="preserve">more than 30 minutes </w:t>
      </w:r>
      <w:r w:rsidR="005C5F34">
        <w:t>working remotely</w:t>
      </w:r>
      <w:r w:rsidR="003109C9" w:rsidRPr="00AA7459">
        <w:t xml:space="preserve"> on that day</w:t>
      </w:r>
      <w:r w:rsidR="00440431" w:rsidRPr="00AA7459">
        <w:t>.</w:t>
      </w:r>
      <w:r w:rsidR="009949F0" w:rsidRPr="00EC4391">
        <w:rPr>
          <w:rStyle w:val="FootnoteReference"/>
        </w:rPr>
        <w:footnoteReference w:id="2"/>
      </w:r>
      <w:r w:rsidR="003109C9" w:rsidRPr="00AA7459">
        <w:t xml:space="preserve"> </w:t>
      </w:r>
      <w:r w:rsidR="00C850D1" w:rsidRPr="00AA7459">
        <w:t xml:space="preserve">Second, </w:t>
      </w:r>
      <w:r w:rsidR="00E91113" w:rsidRPr="00AA7459">
        <w:t>for those who teleworked at all, we consider the frequency of full-day telework</w:t>
      </w:r>
      <w:r w:rsidR="00EA139C">
        <w:t>; t</w:t>
      </w:r>
      <w:r w:rsidR="00E91113" w:rsidRPr="00AA7459">
        <w:t>hat is, the number of days that the individual completed all of their work for the day remotely</w:t>
      </w:r>
      <w:r w:rsidR="003109C9" w:rsidRPr="00AA7459">
        <w:t xml:space="preserve"> (using the same definition of telework)</w:t>
      </w:r>
      <w:r w:rsidR="00E91113" w:rsidRPr="00AA7459">
        <w:t xml:space="preserve">, without any commute to their out-of-home workplace. Third, again for those who teleworked at all, we consider the frequency of part-day telework as the number of days that the individual completed </w:t>
      </w:r>
      <w:r w:rsidR="001C2682">
        <w:t>a substantive</w:t>
      </w:r>
      <w:r w:rsidR="00E91113" w:rsidRPr="00AA7459">
        <w:t xml:space="preserve"> portion of their work remotely </w:t>
      </w:r>
      <w:r w:rsidR="005A4121">
        <w:t xml:space="preserve">(reported more than 30 minutes of telework) </w:t>
      </w:r>
      <w:r w:rsidR="00E91113" w:rsidRPr="00AA7459">
        <w:t xml:space="preserve">while also making a commute to their primary workplace </w:t>
      </w:r>
      <w:r w:rsidR="00955DFD">
        <w:t>during the same day</w:t>
      </w:r>
      <w:r w:rsidR="00E91113" w:rsidRPr="00AA7459">
        <w:t xml:space="preserve">. </w:t>
      </w:r>
      <w:r w:rsidR="00662EBC" w:rsidRPr="00AA7459">
        <w:t>By identifying these two frequencies, the number of days that an individual works entirely from their primary workplace location without any telework is implicitly identified as the remaining r</w:t>
      </w:r>
      <w:r w:rsidR="00662EBC" w:rsidRPr="00551AC4">
        <w:t xml:space="preserve">eported </w:t>
      </w:r>
      <w:r w:rsidR="00E15995" w:rsidRPr="00551AC4">
        <w:t xml:space="preserve">working </w:t>
      </w:r>
      <w:r w:rsidR="00662EBC" w:rsidRPr="00551AC4">
        <w:t xml:space="preserve">days. </w:t>
      </w:r>
    </w:p>
    <w:p w14:paraId="47D51FE1" w14:textId="6658CDA3" w:rsidR="00942E52" w:rsidRDefault="002229F1" w:rsidP="001D6510">
      <w:r w:rsidRPr="00551AC4">
        <w:tab/>
      </w:r>
      <w:r w:rsidR="006C2BB9">
        <w:t>As shown in Table 2</w:t>
      </w:r>
      <w:r w:rsidR="0021099C" w:rsidRPr="00551AC4">
        <w:t xml:space="preserve">, </w:t>
      </w:r>
      <w:r w:rsidR="00B204D6" w:rsidRPr="00551AC4">
        <w:t>7</w:t>
      </w:r>
      <w:r w:rsidR="0021099C" w:rsidRPr="00551AC4">
        <w:t>1.8% of individuals</w:t>
      </w:r>
      <w:r w:rsidR="0071350A" w:rsidRPr="00551AC4">
        <w:t xml:space="preserve"> </w:t>
      </w:r>
      <w:r w:rsidR="005340C7">
        <w:t xml:space="preserve">(see </w:t>
      </w:r>
      <w:r w:rsidR="00AD1540">
        <w:t xml:space="preserve">the </w:t>
      </w:r>
      <w:r w:rsidR="005340C7">
        <w:t xml:space="preserve">last row of the fourth </w:t>
      </w:r>
      <w:r w:rsidR="00EA139C">
        <w:t xml:space="preserve">main </w:t>
      </w:r>
      <w:r w:rsidR="005340C7">
        <w:t xml:space="preserve">column) </w:t>
      </w:r>
      <w:r w:rsidR="0071350A" w:rsidRPr="00551AC4">
        <w:t>in the sample</w:t>
      </w:r>
      <w:r w:rsidR="0021099C" w:rsidRPr="00551AC4">
        <w:t xml:space="preserve"> </w:t>
      </w:r>
      <w:r w:rsidR="004A4661" w:rsidRPr="00551AC4">
        <w:t>reported teleworking at least once during their reporting period</w:t>
      </w:r>
      <w:r w:rsidR="0021099C" w:rsidRPr="00551AC4">
        <w:t>, while the remaining 28.2% report</w:t>
      </w:r>
      <w:r w:rsidR="004A4661" w:rsidRPr="00551AC4">
        <w:t>ed that they did</w:t>
      </w:r>
      <w:r w:rsidR="0021099C" w:rsidRPr="00551AC4">
        <w:t xml:space="preserve"> </w:t>
      </w:r>
      <w:r w:rsidR="00F92162" w:rsidRPr="00551AC4">
        <w:t xml:space="preserve">not </w:t>
      </w:r>
      <w:r w:rsidR="0021099C" w:rsidRPr="00551AC4">
        <w:t>telework</w:t>
      </w:r>
      <w:r w:rsidR="00F92162" w:rsidRPr="00551AC4">
        <w:t xml:space="preserve"> </w:t>
      </w:r>
      <w:r w:rsidR="00C73590" w:rsidRPr="00551AC4">
        <w:t>more than the 30 minute cutoff on any reported day</w:t>
      </w:r>
      <w:r w:rsidR="004D3379">
        <w:t xml:space="preserve"> from home (note that a teleworker is one for whom the sum of the number of days of full-day telework and part-day telework is more than zero). </w:t>
      </w:r>
      <w:r w:rsidR="006C2BB9">
        <w:t xml:space="preserve">Not surprisingly, </w:t>
      </w:r>
      <w:r w:rsidR="006845E6">
        <w:t xml:space="preserve">the rate of telework adoption increases substantially with the number of days worked, with only </w:t>
      </w:r>
      <w:r w:rsidR="008436D5">
        <w:t>49.5% of those working three days choosing telework</w:t>
      </w:r>
      <w:r w:rsidR="00854442">
        <w:t xml:space="preserve"> </w:t>
      </w:r>
      <w:r w:rsidR="008436D5">
        <w:t>at least on</w:t>
      </w:r>
      <w:r w:rsidR="00854442">
        <w:t>ce</w:t>
      </w:r>
      <w:r w:rsidR="008436D5">
        <w:t>, while 81.2% of those working five days cho</w:t>
      </w:r>
      <w:r w:rsidR="00854442">
        <w:t>o</w:t>
      </w:r>
      <w:r w:rsidR="008436D5">
        <w:t xml:space="preserve">se telework at least </w:t>
      </w:r>
      <w:r w:rsidR="008436D5">
        <w:lastRenderedPageBreak/>
        <w:t xml:space="preserve">once. </w:t>
      </w:r>
      <w:r w:rsidR="00165E76" w:rsidRPr="00551AC4">
        <w:t xml:space="preserve">Descriptive statistics for the frequencies </w:t>
      </w:r>
      <w:r w:rsidR="001267F1">
        <w:t>of full-day and part-day telework</w:t>
      </w:r>
      <w:r w:rsidR="000A7D38">
        <w:t>, among those who telework,</w:t>
      </w:r>
      <w:r w:rsidR="001267F1">
        <w:t xml:space="preserve"> </w:t>
      </w:r>
      <w:r w:rsidR="00165E76" w:rsidRPr="00551AC4">
        <w:t>are also presented in Tab</w:t>
      </w:r>
      <w:r w:rsidR="00165E76">
        <w:t>le 2. Overall</w:t>
      </w:r>
      <w:r w:rsidR="0008786D" w:rsidRPr="00AA7459">
        <w:t xml:space="preserve">, </w:t>
      </w:r>
      <w:r w:rsidR="001A4CC0" w:rsidRPr="00AA7459">
        <w:t>there is wide variation in telework routines</w:t>
      </w:r>
      <w:r w:rsidR="00D242AF" w:rsidRPr="00AA7459">
        <w:t xml:space="preserve">. In general, </w:t>
      </w:r>
      <w:r w:rsidR="000A7D38">
        <w:t xml:space="preserve">across all numbers of workdays, </w:t>
      </w:r>
      <w:r w:rsidR="00046722" w:rsidRPr="00AA7459">
        <w:t>full-</w:t>
      </w:r>
      <w:r w:rsidR="00F92162">
        <w:t>day</w:t>
      </w:r>
      <w:r w:rsidR="00046722" w:rsidRPr="00AA7459">
        <w:t xml:space="preserve"> telework is more common than part-</w:t>
      </w:r>
      <w:r w:rsidR="00F92162">
        <w:t>day</w:t>
      </w:r>
      <w:r w:rsidR="00046722" w:rsidRPr="00AA7459">
        <w:t xml:space="preserve"> telework, with </w:t>
      </w:r>
      <w:r w:rsidR="000A7D38">
        <w:t xml:space="preserve">only 18.5% of teleworkers reporting zero full-day telework compared to 46.6% of teleworkers </w:t>
      </w:r>
      <w:r w:rsidR="0078631C">
        <w:t xml:space="preserve">reporting </w:t>
      </w:r>
      <w:r w:rsidR="000A7D38">
        <w:t xml:space="preserve">zero part-day telework (see the </w:t>
      </w:r>
      <w:r w:rsidR="004D3379">
        <w:t>last rows of the sub-</w:t>
      </w:r>
      <w:r w:rsidR="000A7D38">
        <w:t xml:space="preserve">columns corresponding to “0 days” </w:t>
      </w:r>
      <w:r w:rsidR="004D3379">
        <w:t>in the full-day and part-day telework frequency columns)</w:t>
      </w:r>
      <w:r w:rsidR="004A51BB" w:rsidRPr="00AA7459">
        <w:t xml:space="preserve">. </w:t>
      </w:r>
      <w:r w:rsidR="006013BA">
        <w:t xml:space="preserve">Additionally, it </w:t>
      </w:r>
      <w:r w:rsidR="000A7D38">
        <w:t xml:space="preserve">is </w:t>
      </w:r>
      <w:r w:rsidR="006013BA">
        <w:t>relatively more common for individuals to work all of their working days as full-day telework</w:t>
      </w:r>
      <w:r w:rsidR="004D3379">
        <w:t xml:space="preserve">, </w:t>
      </w:r>
      <w:r w:rsidR="006013BA">
        <w:t xml:space="preserve">while </w:t>
      </w:r>
      <w:r w:rsidR="004D3379">
        <w:t xml:space="preserve">it is </w:t>
      </w:r>
      <w:r w:rsidR="006013BA">
        <w:t>more common to p</w:t>
      </w:r>
      <w:r w:rsidR="0025181E">
        <w:t>artake in part-day telework for only a single day</w:t>
      </w:r>
      <w:r w:rsidR="005B5C86">
        <w:t xml:space="preserve"> or not at all</w:t>
      </w:r>
      <w:r w:rsidR="004D3379">
        <w:t xml:space="preserve"> (as may be observed in the percentages in the rows corresponding to each number of workdays in the telework frequency columns; for example, 34% of teleworkers with three working days telework fully remote on all three days)</w:t>
      </w:r>
      <w:r w:rsidR="0025181E">
        <w:t xml:space="preserve">. </w:t>
      </w:r>
      <w:r w:rsidR="00942E52">
        <w:t>Also, consistent with the trend for overall telework adoption, full-</w:t>
      </w:r>
      <w:r w:rsidR="008F3640">
        <w:t>day</w:t>
      </w:r>
      <w:r w:rsidR="00942E52">
        <w:t xml:space="preserve"> telework adoption and part-</w:t>
      </w:r>
      <w:r w:rsidR="008F3640">
        <w:t>day</w:t>
      </w:r>
      <w:r w:rsidR="00942E52">
        <w:t xml:space="preserve"> telework adoption percentages are highest for those with five working days. </w:t>
      </w:r>
    </w:p>
    <w:p w14:paraId="34128E34" w14:textId="44337694" w:rsidR="0001299D" w:rsidRDefault="00942E52" w:rsidP="00942E52">
      <w:pPr>
        <w:ind w:firstLine="720"/>
      </w:pPr>
      <w:r>
        <w:t>Table 3 proceeds to present t</w:t>
      </w:r>
      <w:r w:rsidR="001B786E">
        <w:t xml:space="preserve">he joint distribution of full-day and part-day telework. </w:t>
      </w:r>
      <w:r>
        <w:t>For conciseness and absorption ease, as well as to recognize that the joint distribution is constrained by the total number of work days, we present th</w:t>
      </w:r>
      <w:r w:rsidR="00854442">
        <w:t>e</w:t>
      </w:r>
      <w:r>
        <w:t xml:space="preserve"> distribution in seven discrete categories. </w:t>
      </w:r>
      <w:r w:rsidR="00315FB8">
        <w:t>Th</w:t>
      </w:r>
      <w:r w:rsidR="00854442">
        <w:t>e</w:t>
      </w:r>
      <w:r w:rsidR="00315FB8">
        <w:t xml:space="preserve"> </w:t>
      </w:r>
      <w:r w:rsidR="00B1525B">
        <w:t>table</w:t>
      </w:r>
      <w:r w:rsidR="00315FB8">
        <w:t xml:space="preserve"> highlights that </w:t>
      </w:r>
      <w:r w:rsidR="00422A14">
        <w:t>among those who telework</w:t>
      </w:r>
      <w:r w:rsidR="007E3B8F">
        <w:t>, the most common</w:t>
      </w:r>
      <w:r w:rsidR="00DE4977">
        <w:t xml:space="preserve"> work arrangement</w:t>
      </w:r>
      <w:r w:rsidR="007E3B8F">
        <w:t xml:space="preserve"> is full-day telework on all workdays, followed by a combination of </w:t>
      </w:r>
      <w:r w:rsidR="0001299D">
        <w:t xml:space="preserve">only full-day and part-day (with no days in the work week of only work at the primary workplace). The </w:t>
      </w:r>
      <w:r w:rsidR="00DE4977">
        <w:t>work</w:t>
      </w:r>
      <w:r w:rsidR="0001299D">
        <w:t xml:space="preserve"> arrangement </w:t>
      </w:r>
      <w:r w:rsidR="00DE4977">
        <w:t xml:space="preserve">selected least often </w:t>
      </w:r>
      <w:r w:rsidR="0001299D">
        <w:t xml:space="preserve">corresponds to “part-day telework </w:t>
      </w:r>
      <w:r w:rsidR="00854442">
        <w:t>o</w:t>
      </w:r>
      <w:r w:rsidR="005667A2">
        <w:t>nly</w:t>
      </w:r>
      <w:r w:rsidR="005E5B81">
        <w:t>,</w:t>
      </w:r>
      <w:r w:rsidR="0001299D">
        <w:t xml:space="preserve">” which implies that the individual commutes every day to a physical workplace and supplements that with work at home on each of those days. </w:t>
      </w:r>
      <w:r w:rsidR="00423A75">
        <w:t>It is also relatively less common to combine all three work modalities (full-day in-person, full-day telework, and part-day telework)</w:t>
      </w:r>
      <w:r w:rsidR="005667A2">
        <w:t xml:space="preserve"> across workdays</w:t>
      </w:r>
      <w:r w:rsidR="00423A75">
        <w:t xml:space="preserve">. </w:t>
      </w:r>
    </w:p>
    <w:p w14:paraId="29BB6C7C" w14:textId="23C25743" w:rsidR="00FD6B51" w:rsidRDefault="001708E7" w:rsidP="00E02C86">
      <w:r>
        <w:tab/>
        <w:t xml:space="preserve">Finally, </w:t>
      </w:r>
      <w:r w:rsidR="0038747D">
        <w:t xml:space="preserve">Figure 1 presents the relationship between </w:t>
      </w:r>
      <w:r w:rsidR="00045944">
        <w:t>commute distance and work</w:t>
      </w:r>
      <w:r w:rsidR="0038747D">
        <w:t xml:space="preserve"> arrangement </w:t>
      </w:r>
      <w:r w:rsidR="00045944">
        <w:t>participation</w:t>
      </w:r>
      <w:r w:rsidR="00A0329F">
        <w:t xml:space="preserve">, indicating </w:t>
      </w:r>
      <w:r w:rsidR="00E0177A">
        <w:t xml:space="preserve">the </w:t>
      </w:r>
      <w:r w:rsidR="00A0329F">
        <w:t xml:space="preserve">proportion of individuals </w:t>
      </w:r>
      <w:r w:rsidR="00E0177A">
        <w:t xml:space="preserve">in each of four commute distance ranges who belong to </w:t>
      </w:r>
      <w:r w:rsidR="00A0329F">
        <w:t xml:space="preserve">each </w:t>
      </w:r>
      <w:r w:rsidR="00E0177A">
        <w:t xml:space="preserve">of the seven </w:t>
      </w:r>
      <w:r w:rsidR="00A0329F">
        <w:t>work arrangement</w:t>
      </w:r>
      <w:r w:rsidR="00E0177A">
        <w:t>s</w:t>
      </w:r>
      <w:r w:rsidR="00A0329F">
        <w:t xml:space="preserve"> </w:t>
      </w:r>
      <w:r w:rsidR="00E0177A">
        <w:t xml:space="preserve">listed </w:t>
      </w:r>
      <w:r w:rsidR="00423A75">
        <w:t xml:space="preserve">in Table 3. </w:t>
      </w:r>
      <w:r w:rsidR="00E0177A">
        <w:t>Several observations may be drawn. First, as expected, the “</w:t>
      </w:r>
      <w:r w:rsidR="00407041">
        <w:t>f</w:t>
      </w:r>
      <w:r w:rsidR="006C438E">
        <w:t>u</w:t>
      </w:r>
      <w:r w:rsidR="00407041">
        <w:t xml:space="preserve">ll-day </w:t>
      </w:r>
      <w:r w:rsidR="00E0177A">
        <w:t xml:space="preserve">in-person </w:t>
      </w:r>
      <w:r w:rsidR="005667A2">
        <w:t>only</w:t>
      </w:r>
      <w:r w:rsidR="00E0177A">
        <w:t xml:space="preserve">” </w:t>
      </w:r>
      <w:r w:rsidR="00854442">
        <w:t xml:space="preserve">(with no telework of any kind) </w:t>
      </w:r>
      <w:r w:rsidR="00E0177A">
        <w:t xml:space="preserve">arrangement </w:t>
      </w:r>
      <w:r w:rsidR="00EA139C">
        <w:t xml:space="preserve">is </w:t>
      </w:r>
      <w:r w:rsidR="00C20740">
        <w:t xml:space="preserve">negatively </w:t>
      </w:r>
      <w:r w:rsidR="00EA139C">
        <w:t xml:space="preserve">associated </w:t>
      </w:r>
      <w:r w:rsidR="00E0177A">
        <w:t xml:space="preserve">with increasing </w:t>
      </w:r>
      <w:r w:rsidR="006F39BF">
        <w:t xml:space="preserve">commute </w:t>
      </w:r>
      <w:r w:rsidR="00E0177A">
        <w:t xml:space="preserve">distance, but only up to the distance of 15 miles. Beyond that distance, the percentage of </w:t>
      </w:r>
      <w:r w:rsidR="00D43FC8">
        <w:t xml:space="preserve">respondents </w:t>
      </w:r>
      <w:r w:rsidR="00E0177A">
        <w:t xml:space="preserve">working only in-person reaches close to the percentage working only in-person in the distance range of less than five miles. In other words, the percentage of employees living very far away from their </w:t>
      </w:r>
      <w:r w:rsidR="00DA01A7">
        <w:t>workplace</w:t>
      </w:r>
      <w:r w:rsidR="00E0177A">
        <w:t xml:space="preserve"> who go into the office each and every </w:t>
      </w:r>
      <w:r w:rsidR="00854442">
        <w:t>work</w:t>
      </w:r>
      <w:r w:rsidR="00E0177A">
        <w:t xml:space="preserve">day is about the same as the percentage of employees living very close to their </w:t>
      </w:r>
      <w:r w:rsidR="002C6BCB">
        <w:t>workplace</w:t>
      </w:r>
      <w:r w:rsidR="00E0177A">
        <w:t xml:space="preserve"> who go into the office each and every day. </w:t>
      </w:r>
      <w:r w:rsidR="00F967AB">
        <w:t xml:space="preserve">This is a similar finding as in the study by Asmussen et al. (2024). Second, and in reverse, the percentage of employees </w:t>
      </w:r>
      <w:r w:rsidR="004A0760">
        <w:t>engaging</w:t>
      </w:r>
      <w:r w:rsidR="001E061B">
        <w:t xml:space="preserve"> in </w:t>
      </w:r>
      <w:r w:rsidR="00F967AB">
        <w:t xml:space="preserve">full-day telework </w:t>
      </w:r>
      <w:r w:rsidR="005667A2">
        <w:t>on all workdays</w:t>
      </w:r>
      <w:r w:rsidR="00F967AB">
        <w:t xml:space="preserve"> (that is, work every </w:t>
      </w:r>
      <w:r w:rsidR="00D003F9">
        <w:t>workday</w:t>
      </w:r>
      <w:r w:rsidR="00F967AB">
        <w:t xml:space="preserve"> </w:t>
      </w:r>
      <w:r w:rsidR="005667A2">
        <w:t xml:space="preserve">fully </w:t>
      </w:r>
      <w:r w:rsidR="00F967AB">
        <w:t>from home) increases with commute distance, but only up to a commute distance of 15 miles, after which this percentage drops (though still markedly higher than for the commute distance of 10 miles o</w:t>
      </w:r>
      <w:r w:rsidR="001E061B">
        <w:t>r</w:t>
      </w:r>
      <w:r w:rsidR="00F967AB">
        <w:t xml:space="preserve"> lower). Third, and similar to in-person work </w:t>
      </w:r>
      <w:r w:rsidR="005667A2">
        <w:t>only</w:t>
      </w:r>
      <w:r w:rsidR="00F967AB">
        <w:t xml:space="preserve">, part-day teleworkers only (that is, individuals who commute to work every day and also work at home every day of the week) are the most highly represented among those who live very close to their workplace. And fourth, a clear trend is visible </w:t>
      </w:r>
      <w:r w:rsidR="003741B7">
        <w:t>in the representation of individuals who have a combination of full</w:t>
      </w:r>
      <w:r w:rsidR="002C6BCB">
        <w:t>-</w:t>
      </w:r>
      <w:r w:rsidR="003741B7">
        <w:t>day and part-day</w:t>
      </w:r>
      <w:r w:rsidR="002C6BCB">
        <w:t xml:space="preserve"> telework</w:t>
      </w:r>
      <w:r w:rsidR="003741B7">
        <w:t xml:space="preserve"> (these are individuals who, across their workdays, work some days entirely from home and work other days at both the </w:t>
      </w:r>
      <w:r w:rsidR="002C6BCB">
        <w:t>workplace</w:t>
      </w:r>
      <w:r w:rsidR="003741B7">
        <w:t xml:space="preserve"> and home). Such individuals are most represented in the pool of individuals who reside closest to their </w:t>
      </w:r>
      <w:r w:rsidR="002C6BCB">
        <w:t>workplace</w:t>
      </w:r>
      <w:r w:rsidR="003741B7">
        <w:t xml:space="preserve">, and this percentage progressively decreases with commute distance. Overall, it does seem that </w:t>
      </w:r>
      <w:r w:rsidR="00E02C86">
        <w:t xml:space="preserve">any amount of </w:t>
      </w:r>
      <w:r w:rsidR="003741B7">
        <w:t xml:space="preserve">part-day telework </w:t>
      </w:r>
      <w:r w:rsidR="00E02C86">
        <w:t xml:space="preserve">is generally associated with short commute distances, while the reverse is the case with full-day </w:t>
      </w:r>
      <w:r w:rsidR="00E02C86">
        <w:lastRenderedPageBreak/>
        <w:t xml:space="preserve">telework (at least until the commute distance of 15 miles). These variations demonstrate the importance of distinguishing between full-day and part-day telework arrangements, especially as the relationship with commute distance differs systematically between these two types of work arrangements. Of course, </w:t>
      </w:r>
      <w:r w:rsidR="006A4511">
        <w:t xml:space="preserve">it is also </w:t>
      </w:r>
      <w:r w:rsidR="00E02C86">
        <w:t>important to note that the descriptive statistics in Tables</w:t>
      </w:r>
      <w:r w:rsidR="006A4511">
        <w:t xml:space="preserve"> </w:t>
      </w:r>
      <w:r w:rsidR="00E02C86">
        <w:t>2</w:t>
      </w:r>
      <w:r w:rsidR="006A4511">
        <w:t xml:space="preserve"> and </w:t>
      </w:r>
      <w:r w:rsidR="00E02C86">
        <w:t xml:space="preserve">3 and Figure 1 </w:t>
      </w:r>
      <w:r w:rsidR="008E14C7">
        <w:t xml:space="preserve">do not provide any sense of heterogeneity across individuals in these preferences, </w:t>
      </w:r>
      <w:r w:rsidR="00221F47">
        <w:t xml:space="preserve">or the </w:t>
      </w:r>
      <w:r w:rsidR="00E02C86">
        <w:t xml:space="preserve">nature of the </w:t>
      </w:r>
      <w:r w:rsidR="00221F47">
        <w:t xml:space="preserve">joint relationship </w:t>
      </w:r>
      <w:r w:rsidR="00E02C86">
        <w:t xml:space="preserve">(whether the relationships observed are pure associations through unobserved individual-related factors, or </w:t>
      </w:r>
      <w:r w:rsidR="00EA139C">
        <w:t xml:space="preserve">structural </w:t>
      </w:r>
      <w:r w:rsidR="00E02C86">
        <w:t>causal effects</w:t>
      </w:r>
      <w:r w:rsidR="00667310">
        <w:t>)</w:t>
      </w:r>
      <w:r w:rsidR="00E02C86">
        <w:t>.</w:t>
      </w:r>
    </w:p>
    <w:p w14:paraId="72F09546" w14:textId="77777777" w:rsidR="00895877" w:rsidRPr="00AA7459" w:rsidRDefault="00895877" w:rsidP="006538B8"/>
    <w:p w14:paraId="7741FA7B" w14:textId="0497DF99" w:rsidR="005828C0" w:rsidRPr="00551AC4" w:rsidRDefault="005828C0" w:rsidP="001D6510">
      <w:pPr>
        <w:rPr>
          <w:b/>
          <w:bCs/>
        </w:rPr>
      </w:pPr>
      <w:r w:rsidRPr="00551AC4">
        <w:rPr>
          <w:b/>
          <w:bCs/>
        </w:rPr>
        <w:t xml:space="preserve">3.1.2 Exogenous Variables </w:t>
      </w:r>
    </w:p>
    <w:p w14:paraId="2D26E6AD" w14:textId="2DB5BD27" w:rsidR="00482578" w:rsidRDefault="00DD5365" w:rsidP="001D6510">
      <w:r w:rsidRPr="00551AC4">
        <w:t xml:space="preserve">Descriptive statistics </w:t>
      </w:r>
      <w:r w:rsidR="0061174B" w:rsidRPr="00551AC4">
        <w:t>for individual</w:t>
      </w:r>
      <w:r w:rsidR="00280661" w:rsidRPr="00551AC4">
        <w:t xml:space="preserve"> demographics, </w:t>
      </w:r>
      <w:r w:rsidR="0061174B" w:rsidRPr="00551AC4">
        <w:t>household characteristics</w:t>
      </w:r>
      <w:r w:rsidR="00280661" w:rsidRPr="00551AC4">
        <w:t xml:space="preserve"> and location</w:t>
      </w:r>
      <w:r w:rsidR="0061174B" w:rsidRPr="00551AC4">
        <w:t>,</w:t>
      </w:r>
      <w:r w:rsidR="00280661" w:rsidRPr="00551AC4">
        <w:t xml:space="preserve"> and</w:t>
      </w:r>
      <w:r w:rsidR="0061174B" w:rsidRPr="00AA7459">
        <w:t xml:space="preserve"> employment details are shown for the sample in Table </w:t>
      </w:r>
      <w:r w:rsidR="00B1525B">
        <w:t>4</w:t>
      </w:r>
      <w:r w:rsidR="00C43C87">
        <w:t xml:space="preserve">, which </w:t>
      </w:r>
      <w:r w:rsidR="009D1824" w:rsidRPr="00AA7459">
        <w:t>also provides comparisons with data from the</w:t>
      </w:r>
      <w:r w:rsidR="00D63931" w:rsidRPr="00AA7459">
        <w:t xml:space="preserve"> 2023</w:t>
      </w:r>
      <w:r w:rsidR="009D1824" w:rsidRPr="00AA7459">
        <w:t xml:space="preserve"> American Community Survey</w:t>
      </w:r>
      <w:r w:rsidR="001F259A" w:rsidRPr="00AA7459">
        <w:t xml:space="preserve"> (ACS)</w:t>
      </w:r>
      <w:r w:rsidR="009D1824" w:rsidRPr="00AA7459">
        <w:t xml:space="preserve"> </w:t>
      </w:r>
      <w:r w:rsidR="001F259A" w:rsidRPr="00AA7459">
        <w:t>for the Puget Sound region</w:t>
      </w:r>
      <w:r w:rsidR="00972E56" w:rsidRPr="00AA7459">
        <w:t xml:space="preserve"> </w:t>
      </w:r>
      <w:r w:rsidR="00972E56" w:rsidRPr="00AA7459">
        <w:fldChar w:fldCharType="begin"/>
      </w:r>
      <w:r w:rsidR="00972E56" w:rsidRPr="00AA7459">
        <w:instrText xml:space="preserve"> ADDIN ZOTERO_ITEM CSL_CITATION {"citationID":"HdtPNr3o","properties":{"formattedCitation":"(U.S. Census Bureau, 2024)","plainCitation":"(U.S. Census Bureau, 2024)","noteIndex":0},"citationItems":[{"id":4354,"uris":["http://zotero.org/users/12832277/items/QJ4YJ6ML"],"itemData":{"id":4354,"type":"document","abstract":"Data Dictionary - Survey ACS 2023 (5-Year Estimates)","language":"en","title":"American Community Survey 2023 (5-Year Estimates)","URL":"https://www.socialexplorer.com/data/ACS2023_5yr/metadata/?ds=ACS23_5yr","author":[{"family":"U.S. Census Bureau","given":""}],"accessed":{"date-parts":[["2025",3,27]]},"issued":{"date-parts":[["2024"]]}}}],"schema":"https://github.com/citation-style-language/schema/raw/master/csl-citation.json"} </w:instrText>
      </w:r>
      <w:r w:rsidR="00972E56" w:rsidRPr="00AA7459">
        <w:fldChar w:fldCharType="separate"/>
      </w:r>
      <w:r w:rsidR="00AA606C" w:rsidRPr="00AA606C">
        <w:t>(U.S. Census Bureau, 2024)</w:t>
      </w:r>
      <w:r w:rsidR="00972E56" w:rsidRPr="00AA7459">
        <w:fldChar w:fldCharType="end"/>
      </w:r>
      <w:r w:rsidR="001F259A" w:rsidRPr="00AA7459">
        <w:t xml:space="preserve">. Although these statistics are not directly comparable for the demographic variables, as most ACS variables </w:t>
      </w:r>
      <w:r w:rsidR="00895877">
        <w:t xml:space="preserve">correspond </w:t>
      </w:r>
      <w:r w:rsidR="001F259A" w:rsidRPr="00AA7459">
        <w:t xml:space="preserve">to the entire population rather than employed individuals, </w:t>
      </w:r>
      <w:r w:rsidR="00972E56" w:rsidRPr="00AA7459">
        <w:t xml:space="preserve">they are </w:t>
      </w:r>
      <w:r w:rsidR="005667A2">
        <w:t>presented</w:t>
      </w:r>
      <w:r w:rsidR="00972E56" w:rsidRPr="00AA7459">
        <w:t xml:space="preserve"> to provide a sense of the representation of the survey in the region. </w:t>
      </w:r>
      <w:r w:rsidR="008D4A83" w:rsidRPr="00AA7459">
        <w:t>The sample includes a relatively even split between men and women</w:t>
      </w:r>
      <w:r w:rsidR="00194F15" w:rsidRPr="00AA7459">
        <w:t xml:space="preserve">, while </w:t>
      </w:r>
      <w:r w:rsidR="00390F1C" w:rsidRPr="00AA7459">
        <w:t>approximately 4.9% of respondents identify as non-binary</w:t>
      </w:r>
      <w:r w:rsidR="00194F15" w:rsidRPr="00AA7459">
        <w:t xml:space="preserve"> (the ACS includes only two gender classifications). </w:t>
      </w:r>
      <w:r w:rsidR="00C10254">
        <w:t>The majority of the sa</w:t>
      </w:r>
      <w:r w:rsidR="00895877">
        <w:t>mple</w:t>
      </w:r>
      <w:r w:rsidR="00C10254">
        <w:t xml:space="preserve"> is also made up of relatively young adults (</w:t>
      </w:r>
      <w:r w:rsidR="00C339E7">
        <w:t xml:space="preserve">65.5% of the sample is </w:t>
      </w:r>
      <w:r w:rsidR="0060141E">
        <w:t>aged</w:t>
      </w:r>
      <w:r w:rsidR="00B12006">
        <w:t xml:space="preserve"> 25-44). The large share of younger adults compared to the ACS data </w:t>
      </w:r>
      <w:r w:rsidR="009E0CCF" w:rsidRPr="00AA7459">
        <w:t>is unsurprising, given that this is a sample of workers</w:t>
      </w:r>
      <w:r w:rsidR="0060141E">
        <w:t>. Similarly</w:t>
      </w:r>
      <w:r w:rsidR="006C0526">
        <w:t>,</w:t>
      </w:r>
      <w:r w:rsidR="0060141E">
        <w:t xml:space="preserve"> the fact that </w:t>
      </w:r>
      <w:r w:rsidR="000118D7">
        <w:t xml:space="preserve">the sample includes a large share of individuals with high levels of educational attainment likely reflects the same sampling effect. </w:t>
      </w:r>
      <w:r w:rsidR="007F0629" w:rsidRPr="00AA7459">
        <w:t>Non-</w:t>
      </w:r>
      <w:r w:rsidR="007F0629">
        <w:t>white</w:t>
      </w:r>
      <w:r w:rsidR="00F20ABC" w:rsidRPr="00AA7459">
        <w:t xml:space="preserve"> individuals and individuals with disabilities that impact their travel are also underrepresented in the current sample compared with the overall ACS data for the region. </w:t>
      </w:r>
    </w:p>
    <w:p w14:paraId="1725102E" w14:textId="4D992068" w:rsidR="00F20ABC" w:rsidRPr="00AA7459" w:rsidRDefault="00F20ABC" w:rsidP="001D6510">
      <w:r w:rsidRPr="00AA7459">
        <w:tab/>
      </w:r>
      <w:r w:rsidR="00895877">
        <w:t>With r</w:t>
      </w:r>
      <w:r w:rsidRPr="00AA7459">
        <w:t>egard</w:t>
      </w:r>
      <w:r w:rsidR="00895877">
        <w:t xml:space="preserve"> to</w:t>
      </w:r>
      <w:r w:rsidRPr="00AA7459">
        <w:t xml:space="preserve"> household demographics</w:t>
      </w:r>
      <w:r w:rsidR="00444605">
        <w:t xml:space="preserve"> (see middle panel of Table 4)</w:t>
      </w:r>
      <w:r w:rsidRPr="00AA7459">
        <w:t xml:space="preserve">, </w:t>
      </w:r>
      <w:r w:rsidR="00503386">
        <w:t>household</w:t>
      </w:r>
      <w:r w:rsidR="00A96558">
        <w:t xml:space="preserve"> composition and income mirror the overall distributions in the Puget Sound region</w:t>
      </w:r>
      <w:r w:rsidR="00503386">
        <w:t xml:space="preserve">, despite reflecting only the working population. </w:t>
      </w:r>
      <w:r w:rsidR="00DC3F3E" w:rsidRPr="00AA7459">
        <w:t xml:space="preserve">In addition to the household-level variables included in the survey, several additional geographic variables were appended from the </w:t>
      </w:r>
      <w:r w:rsidR="00490381" w:rsidRPr="00AA7459">
        <w:t>U.S. EPA Smart Location Database</w:t>
      </w:r>
      <w:r w:rsidR="006B3C6E" w:rsidRPr="00AA7459">
        <w:t xml:space="preserve"> </w:t>
      </w:r>
      <w:r w:rsidR="006B3C6E" w:rsidRPr="00AA7459">
        <w:fldChar w:fldCharType="begin"/>
      </w:r>
      <w:r w:rsidR="006B3C6E" w:rsidRPr="00AA7459">
        <w:instrText xml:space="preserve"> ADDIN ZOTERO_ITEM CSL_CITATION {"citationID":"P6fvvACQ","properties":{"formattedCitation":"(Chapman et al., 2021)","plainCitation":"(Chapman et al., 2021)","noteIndex":0},"citationItems":[{"id":3548,"uris":["http://zotero.org/groups/5228574/items/BBU4HZH3"],"itemData":{"id":3548,"type":"report","language":"en","publisher":"U.S. Environment Protection Agency","source":"Zotero","title":"Smart Location Database Technical Documentation and User Guide Version 3.0","URL":"https://www.epa.gov/sites/default/files/2021-06/documents/epa_sld_3.0_technicaldocumentationuserguide_may2021.pdf","author":[{"family":"Chapman","given":"Jim"},{"family":"Fox","given":"Eric"},{"family":"Bachman","given":"William"},{"family":"Frank","given":"Lawrence"}],"issued":{"date-parts":[["2021",6]]}}}],"schema":"https://github.com/citation-style-language/schema/raw/master/csl-citation.json"} </w:instrText>
      </w:r>
      <w:r w:rsidR="006B3C6E" w:rsidRPr="00AA7459">
        <w:fldChar w:fldCharType="separate"/>
      </w:r>
      <w:r w:rsidR="00AA606C" w:rsidRPr="00AA606C">
        <w:t>(Chapman et al., 2021)</w:t>
      </w:r>
      <w:r w:rsidR="006B3C6E" w:rsidRPr="00AA7459">
        <w:fldChar w:fldCharType="end"/>
      </w:r>
      <w:r w:rsidR="009645A3" w:rsidRPr="00AA7459">
        <w:t xml:space="preserve"> based on the census tract of </w:t>
      </w:r>
      <w:r w:rsidR="00895877">
        <w:t xml:space="preserve">respondents’ </w:t>
      </w:r>
      <w:r w:rsidR="009645A3" w:rsidRPr="00AA7459">
        <w:t>home location</w:t>
      </w:r>
      <w:r w:rsidR="00895877">
        <w:t>s</w:t>
      </w:r>
      <w:r w:rsidR="00AB4669" w:rsidRPr="00AA7459">
        <w:t xml:space="preserve">. Most respondents live in relatively </w:t>
      </w:r>
      <w:r w:rsidR="00E72130" w:rsidRPr="00AA7459">
        <w:t>high-density</w:t>
      </w:r>
      <w:r w:rsidR="00AB4669" w:rsidRPr="00AA7459">
        <w:t xml:space="preserve"> areas</w:t>
      </w:r>
      <w:r w:rsidR="009645A3" w:rsidRPr="00AA7459">
        <w:t xml:space="preserve">, with 77.0% of respondents living in areas with population densities of at least 2,000 people per square mile. </w:t>
      </w:r>
      <w:r w:rsidR="004C529C" w:rsidRPr="00AA7459">
        <w:t xml:space="preserve">Additionally, </w:t>
      </w:r>
      <w:r w:rsidR="009B653A" w:rsidRPr="00AA7459">
        <w:t xml:space="preserve">70.7% of respondents live </w:t>
      </w:r>
      <w:r w:rsidR="00920F98" w:rsidRPr="00AA7459">
        <w:t xml:space="preserve">in areas where there is no employment in their census tract within 0.5 miles of a fixed-guideway transit stop, while the remainder have </w:t>
      </w:r>
      <w:r w:rsidR="00900E2E" w:rsidRPr="00AA7459">
        <w:t>at least some access to employment via public transportation within their census tract. F</w:t>
      </w:r>
      <w:r w:rsidR="00895877">
        <w:t>urther</w:t>
      </w:r>
      <w:r w:rsidR="00900E2E" w:rsidRPr="00AA7459">
        <w:t>,</w:t>
      </w:r>
      <w:r w:rsidR="003009B6" w:rsidRPr="00AA7459">
        <w:t xml:space="preserve"> most respondents live in areas with relatively high levels of walkability</w:t>
      </w:r>
      <w:r w:rsidR="00D62656" w:rsidRPr="00AA7459">
        <w:t xml:space="preserve">, with 52.1% of respondents living in areas with </w:t>
      </w:r>
      <w:r w:rsidR="003443F7" w:rsidRPr="00AA7459">
        <w:t xml:space="preserve">a </w:t>
      </w:r>
      <w:r w:rsidR="00D62656" w:rsidRPr="00AA7459">
        <w:t xml:space="preserve">National Walkability Index of 15 or greater (on a scale from 1 to 20). </w:t>
      </w:r>
    </w:p>
    <w:p w14:paraId="26B1788E" w14:textId="0CDEB921" w:rsidR="003443F7" w:rsidRPr="00AA7459" w:rsidRDefault="003443F7" w:rsidP="001D6510">
      <w:r w:rsidRPr="00AA7459">
        <w:tab/>
        <w:t>Finally, in terms of employment variables</w:t>
      </w:r>
      <w:r w:rsidR="00444605">
        <w:t xml:space="preserve"> (the bottom panel of Table </w:t>
      </w:r>
      <w:r w:rsidR="00B538A5">
        <w:t>4</w:t>
      </w:r>
      <w:r w:rsidR="00444605">
        <w:t>)</w:t>
      </w:r>
      <w:r w:rsidRPr="00AA7459">
        <w:t xml:space="preserve">, the vast majority of respondents are employed full-time. This is in part due to the requirement that </w:t>
      </w:r>
      <w:r w:rsidR="00895877">
        <w:t xml:space="preserve">only </w:t>
      </w:r>
      <w:r w:rsidRPr="00AA7459">
        <w:t xml:space="preserve">individuals </w:t>
      </w:r>
      <w:r w:rsidR="00895877">
        <w:t xml:space="preserve">with </w:t>
      </w:r>
      <w:r w:rsidRPr="00AA7459">
        <w:t xml:space="preserve">three or more working weekdays </w:t>
      </w:r>
      <w:r w:rsidR="00895877">
        <w:t xml:space="preserve">are </w:t>
      </w:r>
      <w:r w:rsidRPr="00AA7459">
        <w:t>included in the sampl</w:t>
      </w:r>
      <w:r w:rsidR="00895877">
        <w:t>e</w:t>
      </w:r>
      <w:r w:rsidRPr="00AA7459">
        <w:t>.</w:t>
      </w:r>
      <w:r w:rsidR="00386C53">
        <w:t xml:space="preserve"> Of the retained individuals, </w:t>
      </w:r>
      <w:r w:rsidR="001609EF">
        <w:t>most individuals have a complete set of five working weekdays (</w:t>
      </w:r>
      <w:r w:rsidR="00E83E0E" w:rsidRPr="00AA7459">
        <w:t>15.3%</w:t>
      </w:r>
      <w:r w:rsidR="001609EF">
        <w:t xml:space="preserve"> have</w:t>
      </w:r>
      <w:r w:rsidR="00E83E0E" w:rsidRPr="00AA7459">
        <w:t xml:space="preserve"> three working weekdays, 27.6%</w:t>
      </w:r>
      <w:r w:rsidR="001609EF">
        <w:t xml:space="preserve"> have</w:t>
      </w:r>
      <w:r w:rsidR="00E83E0E" w:rsidRPr="00AA7459">
        <w:t xml:space="preserve"> four working weekdays, and 57.1% have a complete set of five working weekdays</w:t>
      </w:r>
      <w:r w:rsidR="001609EF">
        <w:t>)</w:t>
      </w:r>
      <w:r w:rsidR="00E83E0E" w:rsidRPr="00AA7459">
        <w:t xml:space="preserve">. </w:t>
      </w:r>
      <w:r w:rsidR="001609EF">
        <w:t>However, despite the differences in the shares of full-time and part-time work, t</w:t>
      </w:r>
      <w:r w:rsidR="001609EF" w:rsidRPr="00AA7459">
        <w:t xml:space="preserve">he distribution of workers across industry types matches the worker participation statistics for workers from the ACS closely. </w:t>
      </w:r>
      <w:r w:rsidR="009C2CDD" w:rsidRPr="00AA7459">
        <w:t xml:space="preserve">Finally, 41.1% of respondents report that their employer provides a free or subsidized transit pass and 36.9% report that their employer provides free or subsidized parking at work. </w:t>
      </w:r>
    </w:p>
    <w:p w14:paraId="4CCDE4F2" w14:textId="77777777" w:rsidR="008738E1" w:rsidRPr="00AA7459" w:rsidRDefault="008738E1" w:rsidP="001D6510"/>
    <w:p w14:paraId="52F81C83" w14:textId="00AF5223" w:rsidR="00425749" w:rsidRPr="001D6510" w:rsidRDefault="00C57D77" w:rsidP="00AD34C7">
      <w:pPr>
        <w:keepNext/>
        <w:rPr>
          <w:b/>
          <w:bCs/>
        </w:rPr>
      </w:pPr>
      <w:r w:rsidRPr="00E07BA4">
        <w:rPr>
          <w:b/>
          <w:bCs/>
        </w:rPr>
        <w:lastRenderedPageBreak/>
        <w:t>3.2 Modeling Framework</w:t>
      </w:r>
    </w:p>
    <w:p w14:paraId="2AFEF086" w14:textId="7FDC8252" w:rsidR="002B0DC2" w:rsidRDefault="00D03DCE" w:rsidP="001D6510">
      <w:r w:rsidRPr="00AA7459">
        <w:t>As mentioned in the previous section, t</w:t>
      </w:r>
      <w:r w:rsidR="001F61DC" w:rsidRPr="00AA7459">
        <w:t xml:space="preserve">he </w:t>
      </w:r>
      <w:r w:rsidR="00E67046" w:rsidRPr="00AA7459">
        <w:t xml:space="preserve">modeling framework consists of a continuous variable for the </w:t>
      </w:r>
      <w:r w:rsidR="00EF06CC" w:rsidRPr="00AA7459">
        <w:t xml:space="preserve">commute distance dimension (included as the logarithm of an individual’s one-way commute distance to their primary out of home workplace), </w:t>
      </w:r>
      <w:r w:rsidRPr="00AA7459">
        <w:t>a binary outcome</w:t>
      </w:r>
      <w:r w:rsidR="00793D43" w:rsidRPr="00AA7459">
        <w:t xml:space="preserve"> (included as an ordinal response with two levels in the model formulation)</w:t>
      </w:r>
      <w:r w:rsidRPr="00AA7459">
        <w:t xml:space="preserve"> indicating whether an individual teleworks </w:t>
      </w:r>
      <w:r w:rsidR="00EA1564" w:rsidRPr="00AA7459">
        <w:t xml:space="preserve">at all, and two </w:t>
      </w:r>
      <w:r w:rsidR="004A4661">
        <w:t xml:space="preserve">(additional) </w:t>
      </w:r>
      <w:r w:rsidR="00EA1564" w:rsidRPr="00AA7459">
        <w:t xml:space="preserve">ordinal outcomes corresponding to the number of days that an individual </w:t>
      </w:r>
      <w:r w:rsidR="00583BEC" w:rsidRPr="00AA7459">
        <w:t>teleworks either part-day or full-day for each weekday in their travel diary.</w:t>
      </w:r>
      <w:r w:rsidR="00C50730">
        <w:t xml:space="preserve"> This structure is depicted visually in Figure </w:t>
      </w:r>
      <w:r w:rsidR="003D472A">
        <w:t>2</w:t>
      </w:r>
      <w:r w:rsidR="00C50730">
        <w:t xml:space="preserve"> (in the figure</w:t>
      </w:r>
      <w:r w:rsidR="00010F79">
        <w:t>,</w:t>
      </w:r>
      <w:r w:rsidR="00C50730">
        <w:t xml:space="preserve"> the one-headed arrows indicate direct effects while the two headed arrows indicate correlations among the endogenous outcomes</w:t>
      </w:r>
      <w:r w:rsidR="00010F79">
        <w:t>;</w:t>
      </w:r>
      <w:r w:rsidR="00C50730">
        <w:t xml:space="preserve"> the notations in the figure align with the mathematical formulation discussed in the following subsection).</w:t>
      </w:r>
      <w:r w:rsidR="00583BEC" w:rsidRPr="00AA7459">
        <w:t xml:space="preserve"> </w:t>
      </w:r>
    </w:p>
    <w:p w14:paraId="5955C7D4" w14:textId="75A6A91E" w:rsidR="005D03D0" w:rsidRDefault="005667A2" w:rsidP="00AF402C">
      <w:pPr>
        <w:ind w:firstLine="720"/>
      </w:pPr>
      <w:r>
        <w:t xml:space="preserve">Within the ordinal modeling framework for the number of days of part-day and full-day telework, </w:t>
      </w:r>
      <w:r w:rsidR="00BF264F">
        <w:t xml:space="preserve">we incorporate threshold shifters </w:t>
      </w:r>
      <w:r w:rsidR="00653457">
        <w:t xml:space="preserve">to address the strong interdependence between the </w:t>
      </w:r>
      <w:r>
        <w:t>number</w:t>
      </w:r>
      <w:r w:rsidR="00653457">
        <w:t xml:space="preserve"> of full-day and part-day telework days. </w:t>
      </w:r>
      <w:r w:rsidR="002960D6">
        <w:t xml:space="preserve">These shifters </w:t>
      </w:r>
      <w:r>
        <w:t xml:space="preserve">adjust the threshold for part-day telework propensity based on the chosen discrete category for full-day telework, after controlling for the error correlation across the part-day and full-day telework propensities. </w:t>
      </w:r>
      <w:r w:rsidR="00DB156B">
        <w:t>This account</w:t>
      </w:r>
      <w:r w:rsidR="00EA0078">
        <w:t>s</w:t>
      </w:r>
      <w:r w:rsidR="00DB156B">
        <w:t xml:space="preserve"> for factors</w:t>
      </w:r>
      <w:r w:rsidR="00377FF9">
        <w:t xml:space="preserve"> </w:t>
      </w:r>
      <w:r w:rsidR="00EA0078">
        <w:t xml:space="preserve">that </w:t>
      </w:r>
      <w:r>
        <w:t xml:space="preserve">elevate or depress </w:t>
      </w:r>
      <w:r w:rsidR="0011741E">
        <w:t xml:space="preserve">specific </w:t>
      </w:r>
      <w:r>
        <w:t xml:space="preserve">combination </w:t>
      </w:r>
      <w:r w:rsidR="0011741E">
        <w:t xml:space="preserve">levels of full-day </w:t>
      </w:r>
      <w:r>
        <w:t>and</w:t>
      </w:r>
      <w:r w:rsidR="0011741E">
        <w:t xml:space="preserve"> part-day telework frequencies</w:t>
      </w:r>
      <w:r w:rsidR="002C4BD0">
        <w:t xml:space="preserve">, such as employer policies that </w:t>
      </w:r>
      <w:r w:rsidR="00503C43">
        <w:t xml:space="preserve">promote all forms of telework (or discourage all forms of telework) </w:t>
      </w:r>
      <w:r w:rsidR="00EB66F6">
        <w:t>and</w:t>
      </w:r>
      <w:r w:rsidR="002667E3">
        <w:t xml:space="preserve"> </w:t>
      </w:r>
      <w:r w:rsidR="000A64F2">
        <w:t xml:space="preserve">specific </w:t>
      </w:r>
      <w:r w:rsidR="00EB66F6">
        <w:t xml:space="preserve">combination </w:t>
      </w:r>
      <w:r w:rsidR="000A64F2">
        <w:t xml:space="preserve">preferences among </w:t>
      </w:r>
      <w:r w:rsidR="00EB66F6">
        <w:t xml:space="preserve">certain </w:t>
      </w:r>
      <w:r w:rsidR="00B968B8">
        <w:t>demographic groups</w:t>
      </w:r>
      <w:r w:rsidR="00EB66F6">
        <w:t xml:space="preserve">. </w:t>
      </w:r>
      <w:r w:rsidR="00326861" w:rsidRPr="00916AD4">
        <w:t xml:space="preserve">Figure </w:t>
      </w:r>
      <w:r w:rsidR="003D472A">
        <w:t>3</w:t>
      </w:r>
      <w:r w:rsidR="00326861" w:rsidRPr="00916AD4">
        <w:t xml:space="preserve"> provides</w:t>
      </w:r>
      <w:r w:rsidR="00326861">
        <w:t xml:space="preserve"> an example of </w:t>
      </w:r>
      <w:r w:rsidR="00EB66F6">
        <w:t>such</w:t>
      </w:r>
      <w:r w:rsidR="00326861">
        <w:t xml:space="preserve"> shifter effects</w:t>
      </w:r>
      <w:r w:rsidR="00EB66F6">
        <w:t>,</w:t>
      </w:r>
      <w:r w:rsidR="00A46885">
        <w:t xml:space="preserve"> with </w:t>
      </w:r>
      <w:r w:rsidR="00630477">
        <w:t xml:space="preserve">the upper panel showing the baseline case of an individual selecting zero days of full-day telework and the lower panel showing the shift effects based on </w:t>
      </w:r>
      <w:r w:rsidR="00745193">
        <w:t>selecting a single day of full-day telework</w:t>
      </w:r>
      <w:r w:rsidR="00326861">
        <w:t>.</w:t>
      </w:r>
      <w:r w:rsidR="00716C8A">
        <w:t xml:space="preserve"> In the figure, the blue lines show the latent propensity for full-day telework. In both the upper and lower panels, this </w:t>
      </w:r>
      <w:r w:rsidR="00A46885">
        <w:t>formulation takes the same structure</w:t>
      </w:r>
      <w:r w:rsidR="00716C8A">
        <w:t>, with identical thresholds (</w:t>
      </w:r>
      <w:r w:rsidR="00452C84">
        <w:t xml:space="preserve">labeled </w:t>
      </w:r>
      <w:r w:rsidR="00D040E4" w:rsidRPr="0062201F">
        <w:rPr>
          <w:position w:val="-14"/>
        </w:rPr>
        <w:object w:dxaOrig="400" w:dyaOrig="380" w14:anchorId="76B26F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15pt;height:18.85pt" o:ole="">
            <v:imagedata r:id="rId8" o:title=""/>
          </v:shape>
          <o:OLEObject Type="Embed" ProgID="Equation.DSMT4" ShapeID="_x0000_i1025" DrawAspect="Content" ObjectID="_1846406882" r:id="rId9"/>
        </w:object>
      </w:r>
      <w:r w:rsidR="001F3046">
        <w:t xml:space="preserve"> through </w:t>
      </w:r>
      <w:r w:rsidR="00F61DDD" w:rsidRPr="0062201F">
        <w:rPr>
          <w:position w:val="-14"/>
        </w:rPr>
        <w:object w:dxaOrig="420" w:dyaOrig="380" w14:anchorId="1F127B12">
          <v:shape id="_x0000_i1026" type="#_x0000_t75" style="width:21pt;height:18.85pt" o:ole="">
            <v:imagedata r:id="rId10" o:title=""/>
          </v:shape>
          <o:OLEObject Type="Embed" ProgID="Equation.DSMT4" ShapeID="_x0000_i1026" DrawAspect="Content" ObjectID="_1846406883" r:id="rId11"/>
        </w:object>
      </w:r>
      <w:r w:rsidR="001F3046">
        <w:t xml:space="preserve"> to align with the notation in the following section</w:t>
      </w:r>
      <w:r w:rsidR="00452C84">
        <w:t>)</w:t>
      </w:r>
      <w:r w:rsidR="00271F16">
        <w:t xml:space="preserve">. </w:t>
      </w:r>
      <w:r w:rsidR="00A32FAE">
        <w:t>However, the part-day telework propensity (shown with black lines in the figure) is discretized with a different set of thresholds based on the number of full-day telework days selected. When zero days of full</w:t>
      </w:r>
      <w:r w:rsidR="001342D1">
        <w:t>-</w:t>
      </w:r>
      <w:r w:rsidR="00A32FAE">
        <w:t xml:space="preserve">day telework are selected (upper panel) the thresholds </w:t>
      </w:r>
      <w:r w:rsidR="001342D1">
        <w:t>that discretize the latent propensity for part-day telework</w:t>
      </w:r>
      <w:r w:rsidR="009B5B42">
        <w:t xml:space="preserve"> take a set of baseline values </w:t>
      </w:r>
      <w:r w:rsidR="006E1528">
        <w:t xml:space="preserve">(labeled </w:t>
      </w:r>
      <w:r w:rsidR="00F61DDD" w:rsidRPr="0062201F">
        <w:rPr>
          <w:position w:val="-14"/>
        </w:rPr>
        <w:object w:dxaOrig="380" w:dyaOrig="380" w14:anchorId="07D7D859">
          <v:shape id="_x0000_i1027" type="#_x0000_t75" style="width:18.85pt;height:18.85pt" o:ole="">
            <v:imagedata r:id="rId12" o:title=""/>
          </v:shape>
          <o:OLEObject Type="Embed" ProgID="Equation.DSMT4" ShapeID="_x0000_i1027" DrawAspect="Content" ObjectID="_1846406884" r:id="rId13"/>
        </w:object>
      </w:r>
      <w:r w:rsidR="006E1528">
        <w:t xml:space="preserve"> through </w:t>
      </w:r>
      <w:r w:rsidR="00F61DDD" w:rsidRPr="0062201F">
        <w:rPr>
          <w:position w:val="-14"/>
        </w:rPr>
        <w:object w:dxaOrig="400" w:dyaOrig="380" w14:anchorId="7E937AB0">
          <v:shape id="_x0000_i1028" type="#_x0000_t75" style="width:20.15pt;height:18.85pt" o:ole="">
            <v:imagedata r:id="rId14" o:title=""/>
          </v:shape>
          <o:OLEObject Type="Embed" ProgID="Equation.DSMT4" ShapeID="_x0000_i1028" DrawAspect="Content" ObjectID="_1846406885" r:id="rId15"/>
        </w:object>
      </w:r>
      <w:r w:rsidR="006E1528">
        <w:t>)</w:t>
      </w:r>
      <w:r w:rsidR="004219D3">
        <w:t xml:space="preserve">. Then, </w:t>
      </w:r>
      <w:r w:rsidR="009F7CC0">
        <w:t xml:space="preserve">threshold shifters are defined that adjust these thresholds when </w:t>
      </w:r>
      <w:r w:rsidR="00AA014B">
        <w:t xml:space="preserve">other values of full-day telework are selected. Thus, </w:t>
      </w:r>
      <w:r w:rsidR="00F158C3">
        <w:t xml:space="preserve">as shown </w:t>
      </w:r>
      <w:r w:rsidR="00AA014B">
        <w:t xml:space="preserve">in the lower panel of Figure </w:t>
      </w:r>
      <w:r w:rsidR="003D472A">
        <w:t>3</w:t>
      </w:r>
      <w:r w:rsidR="00AA014B">
        <w:t xml:space="preserve">, three shifters are defined </w:t>
      </w:r>
      <w:r w:rsidR="003F6629">
        <w:t>(</w:t>
      </w:r>
      <w:r w:rsidR="00F61DDD" w:rsidRPr="0062201F">
        <w:rPr>
          <w:position w:val="-14"/>
        </w:rPr>
        <w:object w:dxaOrig="380" w:dyaOrig="380" w14:anchorId="7F21C6D7">
          <v:shape id="_x0000_i1029" type="#_x0000_t75" style="width:18.85pt;height:18.85pt" o:ole="">
            <v:imagedata r:id="rId16" o:title=""/>
          </v:shape>
          <o:OLEObject Type="Embed" ProgID="Equation.DSMT4" ShapeID="_x0000_i1029" DrawAspect="Content" ObjectID="_1846406886" r:id="rId17"/>
        </w:object>
      </w:r>
      <w:r w:rsidR="003F6629">
        <w:t xml:space="preserve"> through </w:t>
      </w:r>
      <w:r w:rsidR="008075FE" w:rsidRPr="0062201F">
        <w:rPr>
          <w:position w:val="-14"/>
        </w:rPr>
        <w:object w:dxaOrig="380" w:dyaOrig="380" w14:anchorId="2ED5F660">
          <v:shape id="_x0000_i1030" type="#_x0000_t75" style="width:18.85pt;height:18.85pt" o:ole="">
            <v:imagedata r:id="rId18" o:title=""/>
          </v:shape>
          <o:OLEObject Type="Embed" ProgID="Equation.DSMT4" ShapeID="_x0000_i1030" DrawAspect="Content" ObjectID="_1846406887" r:id="rId19"/>
        </w:object>
      </w:r>
      <w:r w:rsidR="008C79F6">
        <w:t xml:space="preserve">) </w:t>
      </w:r>
      <w:r w:rsidR="003F6629">
        <w:t xml:space="preserve">when a single day of full-day telework is selected that shift the thresholds </w:t>
      </w:r>
      <w:r w:rsidR="008C79F6">
        <w:t>for the part-day telework propensity</w:t>
      </w:r>
      <w:r w:rsidR="00036EEA">
        <w:t xml:space="preserve">. </w:t>
      </w:r>
      <w:r w:rsidR="00237B5F">
        <w:t xml:space="preserve">For instance, if there is a particularly large concentration of individuals selecting a single day of full-day telework </w:t>
      </w:r>
      <w:r w:rsidR="00237B5F">
        <w:rPr>
          <w:i/>
          <w:iCs/>
        </w:rPr>
        <w:t>and</w:t>
      </w:r>
      <w:r w:rsidR="00237B5F">
        <w:t xml:space="preserve"> three days of part-day telework, with relatively fewer individuals selecting a single day of full-day telework </w:t>
      </w:r>
      <w:r w:rsidR="00237B5F">
        <w:rPr>
          <w:i/>
          <w:iCs/>
        </w:rPr>
        <w:t xml:space="preserve">and </w:t>
      </w:r>
      <w:r w:rsidR="00237B5F">
        <w:t xml:space="preserve">one or four days of part-day telework, the thresholds would shift as shown in the lower panel of Figure </w:t>
      </w:r>
      <w:r w:rsidR="001B1ACD">
        <w:t>3</w:t>
      </w:r>
      <w:r w:rsidR="00237B5F">
        <w:t xml:space="preserve"> (</w:t>
      </w:r>
      <w:r w:rsidR="002B786D">
        <w:t xml:space="preserve">widening the region for three days of part-day telework while shrinking the area for one and four days, when a single day of full-day telework is selected). </w:t>
      </w:r>
      <w:r w:rsidR="00E60BE0">
        <w:t xml:space="preserve">These shifter terms can also be a function of </w:t>
      </w:r>
      <w:r w:rsidR="00EB66F6">
        <w:t xml:space="preserve">exogenous variables </w:t>
      </w:r>
      <w:r w:rsidR="004B613C">
        <w:t xml:space="preserve">and commute distance </w:t>
      </w:r>
      <w:r w:rsidR="00EB66F6">
        <w:t xml:space="preserve">to accommodate behavioral heterogeneity </w:t>
      </w:r>
      <w:r w:rsidR="00E60BE0">
        <w:t>in the frequency choice combinations of full-day and part-day teleworking</w:t>
      </w:r>
      <w:r w:rsidR="00EB66F6">
        <w:t>.</w:t>
      </w:r>
      <w:r w:rsidR="00E60BE0">
        <w:t xml:space="preserve"> </w:t>
      </w:r>
    </w:p>
    <w:p w14:paraId="4E49B7D5" w14:textId="0C345BAE" w:rsidR="003E146C" w:rsidRDefault="003F03EA" w:rsidP="00AF402C">
      <w:pPr>
        <w:ind w:firstLine="720"/>
      </w:pPr>
      <w:r w:rsidRPr="00AA7459">
        <w:t>This brings up a</w:t>
      </w:r>
      <w:r w:rsidR="00AF402C">
        <w:t xml:space="preserve">nother </w:t>
      </w:r>
      <w:r w:rsidRPr="00AA7459">
        <w:t>issue</w:t>
      </w:r>
      <w:r w:rsidR="00956FC2">
        <w:t xml:space="preserve">, </w:t>
      </w:r>
      <w:r w:rsidR="00E60BE0">
        <w:t xml:space="preserve">which is </w:t>
      </w:r>
      <w:r w:rsidR="00956FC2">
        <w:t xml:space="preserve">that </w:t>
      </w:r>
      <w:r w:rsidR="001E2518" w:rsidRPr="00AA7459">
        <w:t xml:space="preserve">not all combinations of ordered outcomes (with a range of each ordinal variable between zero and five) are possible for a </w:t>
      </w:r>
      <w:r w:rsidR="008838C4" w:rsidRPr="00AA7459">
        <w:t>five-day</w:t>
      </w:r>
      <w:r w:rsidR="001E2518" w:rsidRPr="00AA7459">
        <w:t xml:space="preserve"> reporting period</w:t>
      </w:r>
      <w:r w:rsidR="008838C4" w:rsidRPr="00AA7459">
        <w:t xml:space="preserve"> (and some individuals report fewer than five working weekdays)</w:t>
      </w:r>
      <w:r w:rsidR="001E2518" w:rsidRPr="00AA7459">
        <w:t>.</w:t>
      </w:r>
      <w:r w:rsidR="00C8595B">
        <w:t xml:space="preserve"> Specifically, given that an individual is categorized as a teleworker, it is impossible for them to report zero days of both full-day and part-day telework, and it is impossible for the sum of their days of full-day and part-day telework to exceed </w:t>
      </w:r>
      <w:r w:rsidR="00444605">
        <w:t>the total number of workdays</w:t>
      </w:r>
      <w:r w:rsidR="00C8595B">
        <w:t xml:space="preserve">. For instance, see in Figure </w:t>
      </w:r>
      <w:r w:rsidR="00713BF0">
        <w:t>3</w:t>
      </w:r>
      <w:r w:rsidR="00C8595B">
        <w:t xml:space="preserve"> that an individual </w:t>
      </w:r>
      <w:r w:rsidR="00C8595B">
        <w:lastRenderedPageBreak/>
        <w:t xml:space="preserve">who selects zero days of full-day telework is not able to also select zero days of part-day telework and that an individual who selects one day of full-day telework is not also able to select five days of part-day telework (these regions of the respective latent propensities are shown in red in the figure). </w:t>
      </w:r>
      <w:r w:rsidR="008838C4" w:rsidRPr="00AA7459">
        <w:t xml:space="preserve">Thus, an additional normalization is needed to </w:t>
      </w:r>
      <w:r w:rsidR="00E2344D" w:rsidRPr="00AA7459">
        <w:t xml:space="preserve">account for these specific impossible combinations of outcomes. </w:t>
      </w:r>
      <w:r w:rsidR="002303C3" w:rsidRPr="00AA7459">
        <w:t xml:space="preserve">To accommodate this, we calculate </w:t>
      </w:r>
      <w:r w:rsidR="00497D81" w:rsidRPr="00AA7459">
        <w:t xml:space="preserve">the likelihood of each individual selecting their chosen </w:t>
      </w:r>
      <w:r w:rsidR="00F4219D" w:rsidRPr="00AA7459">
        <w:t xml:space="preserve">combination of alternatives </w:t>
      </w:r>
      <w:r w:rsidR="0058622A" w:rsidRPr="00AA7459">
        <w:t xml:space="preserve">from among all combinations of alternatives (including those that are </w:t>
      </w:r>
      <w:r w:rsidR="000604DD">
        <w:t>i</w:t>
      </w:r>
      <w:r w:rsidR="0058622A" w:rsidRPr="00AA7459">
        <w:t xml:space="preserve">nfeasible), then divide this by the likelihood of each individual selecting any feasible alternative </w:t>
      </w:r>
      <w:r w:rsidR="00834E30" w:rsidRPr="00AA7459">
        <w:t>from among all combinations of alternative</w:t>
      </w:r>
      <w:r w:rsidR="00150D48">
        <w:t xml:space="preserve">s. </w:t>
      </w:r>
      <w:r w:rsidR="00834E30" w:rsidRPr="00AA7459">
        <w:t xml:space="preserve">This normalization gives the individual’s likelihood of selecting their chosen alternative given that only a subset of </w:t>
      </w:r>
      <w:r w:rsidR="00AD2A4B" w:rsidRPr="00AA7459">
        <w:t xml:space="preserve">possible outcome combinations are </w:t>
      </w:r>
      <w:r w:rsidR="007E78FD">
        <w:t>available</w:t>
      </w:r>
      <w:r w:rsidR="00AD2A4B" w:rsidRPr="00AA7459">
        <w:t xml:space="preserve"> to them. </w:t>
      </w:r>
      <w:r w:rsidR="003E146C" w:rsidRPr="00AA7459">
        <w:t xml:space="preserve">The mathematical formulation of the model, including this normalization, </w:t>
      </w:r>
      <w:r w:rsidR="00AB4669" w:rsidRPr="00AA7459">
        <w:t>is</w:t>
      </w:r>
      <w:r w:rsidR="003E146C" w:rsidRPr="00AA7459">
        <w:t xml:space="preserve"> discussed next. </w:t>
      </w:r>
    </w:p>
    <w:p w14:paraId="0DE5A6C2" w14:textId="77777777" w:rsidR="003E146C" w:rsidRPr="00AA7459" w:rsidRDefault="003E146C" w:rsidP="001D6510"/>
    <w:p w14:paraId="1543B348" w14:textId="5BC98C9E" w:rsidR="00C57D77" w:rsidRPr="001D6510" w:rsidRDefault="003E146C" w:rsidP="001D6510">
      <w:pPr>
        <w:rPr>
          <w:b/>
          <w:bCs/>
        </w:rPr>
      </w:pPr>
      <w:r w:rsidRPr="001D6510">
        <w:rPr>
          <w:b/>
          <w:bCs/>
        </w:rPr>
        <w:t>3.2.1</w:t>
      </w:r>
      <w:r w:rsidR="001E2518" w:rsidRPr="001D6510">
        <w:rPr>
          <w:b/>
          <w:bCs/>
        </w:rPr>
        <w:t xml:space="preserve"> </w:t>
      </w:r>
      <w:r w:rsidR="00787DC6" w:rsidRPr="001D6510">
        <w:rPr>
          <w:b/>
          <w:bCs/>
        </w:rPr>
        <w:t xml:space="preserve">Mathematical Formulation </w:t>
      </w:r>
    </w:p>
    <w:p w14:paraId="6E0E8D9F" w14:textId="43BDAB38" w:rsidR="003B0F9B" w:rsidRPr="00AA7459" w:rsidRDefault="009946DF" w:rsidP="001D6510">
      <w:r w:rsidRPr="00AA7459">
        <w:t xml:space="preserve">To begin, </w:t>
      </w:r>
      <w:r w:rsidR="0043552B" w:rsidRPr="00AA7459">
        <w:t>consider the continuous outcome (representing the logarithm of commute distance</w:t>
      </w:r>
      <w:r w:rsidR="00C50730">
        <w:t xml:space="preserve">; see the central portion of Figure </w:t>
      </w:r>
      <w:r w:rsidR="00713BF0">
        <w:t>2</w:t>
      </w:r>
      <w:r w:rsidR="0043552B" w:rsidRPr="00AA7459">
        <w:t xml:space="preserve">). </w:t>
      </w:r>
      <w:r w:rsidR="00F27FFE" w:rsidRPr="00AA7459">
        <w:t xml:space="preserve">For ease in presentation, we will suppress the index for decision-makers and assume that all error terms are independent and identically distributed across decision-makers. </w:t>
      </w:r>
      <w:r w:rsidR="005A2981" w:rsidRPr="00AA7459">
        <w:t>For the continuous outcome, we can write, i</w:t>
      </w:r>
      <w:r w:rsidR="00886DCF" w:rsidRPr="00AA7459">
        <w:t xml:space="preserve">n the usual </w:t>
      </w:r>
      <w:r w:rsidR="00213A67" w:rsidRPr="00AA7459">
        <w:t>form</w:t>
      </w:r>
      <w:r w:rsidR="005A2981" w:rsidRPr="00AA7459">
        <w:t xml:space="preserve"> of </w:t>
      </w:r>
      <w:r w:rsidR="00886DCF" w:rsidRPr="00AA7459">
        <w:t>linear regression:</w:t>
      </w:r>
    </w:p>
    <w:p w14:paraId="468492D8" w14:textId="666CB568" w:rsidR="003B0F9B" w:rsidRPr="00AA7459" w:rsidRDefault="00923338" w:rsidP="00F04583">
      <w:pPr>
        <w:pStyle w:val="MTDisplayEquation"/>
        <w:spacing w:before="120" w:after="120"/>
      </w:pPr>
      <w:r w:rsidRPr="00AA7459">
        <w:rPr>
          <w:position w:val="-10"/>
        </w:rPr>
        <w:object w:dxaOrig="1120" w:dyaOrig="320" w14:anchorId="156082E8">
          <v:shape id="_x0000_i1031" type="#_x0000_t75" style="width:57pt;height:15.85pt" o:ole="">
            <v:imagedata r:id="rId20" o:title=""/>
          </v:shape>
          <o:OLEObject Type="Embed" ProgID="Equation.DSMT4" ShapeID="_x0000_i1031" DrawAspect="Content" ObjectID="_1846406888" r:id="rId21"/>
        </w:object>
      </w:r>
      <w:r w:rsidR="003B0F9B" w:rsidRPr="00AA7459">
        <w:t>,</w:t>
      </w:r>
      <w:r w:rsidR="003B0F9B" w:rsidRPr="00AA7459">
        <w:tab/>
      </w:r>
      <w:r w:rsidR="003B0F9B" w:rsidRPr="00AA7459">
        <w:tab/>
      </w:r>
      <w:r w:rsidR="003B0F9B" w:rsidRPr="00AA7459">
        <w:fldChar w:fldCharType="begin"/>
      </w:r>
      <w:r w:rsidR="003B0F9B" w:rsidRPr="00AA7459">
        <w:instrText xml:space="preserve"> MACROBUTTON MTPlaceRef \* MERGEFORMAT </w:instrText>
      </w:r>
      <w:r w:rsidR="003B0F9B" w:rsidRPr="00AA7459">
        <w:fldChar w:fldCharType="begin"/>
      </w:r>
      <w:r w:rsidR="003B0F9B" w:rsidRPr="00AA7459">
        <w:instrText xml:space="preserve"> SEQ MTEqn \h \* MERGEFORMAT </w:instrText>
      </w:r>
      <w:r w:rsidR="003B0F9B" w:rsidRPr="00AA7459">
        <w:fldChar w:fldCharType="end"/>
      </w:r>
      <w:r w:rsidR="003B0F9B" w:rsidRPr="00AA7459">
        <w:instrText>(</w:instrText>
      </w:r>
      <w:r w:rsidR="003C4525">
        <w:fldChar w:fldCharType="begin"/>
      </w:r>
      <w:r w:rsidR="003C4525">
        <w:instrText xml:space="preserve"> SEQ MTEqn \c \* Arabic \* MERGEFORMAT </w:instrText>
      </w:r>
      <w:r w:rsidR="003C4525">
        <w:fldChar w:fldCharType="separate"/>
      </w:r>
      <w:r w:rsidR="00F04583">
        <w:rPr>
          <w:noProof/>
        </w:rPr>
        <w:instrText>1</w:instrText>
      </w:r>
      <w:r w:rsidR="003C4525">
        <w:rPr>
          <w:noProof/>
        </w:rPr>
        <w:fldChar w:fldCharType="end"/>
      </w:r>
      <w:r w:rsidR="003B0F9B" w:rsidRPr="00AA7459">
        <w:instrText>)</w:instrText>
      </w:r>
      <w:r w:rsidR="003B0F9B" w:rsidRPr="00AA7459">
        <w:fldChar w:fldCharType="end"/>
      </w:r>
    </w:p>
    <w:p w14:paraId="01042D2F" w14:textId="3EC9C15B" w:rsidR="00886DCF" w:rsidRPr="00AA7459" w:rsidRDefault="003B0F9B" w:rsidP="001D6510">
      <w:r w:rsidRPr="00AA7459">
        <w:t>w</w:t>
      </w:r>
      <w:r w:rsidR="00DA35F6" w:rsidRPr="00AA7459">
        <w:t xml:space="preserve">here </w:t>
      </w:r>
      <w:r w:rsidR="00DA35F6" w:rsidRPr="00AA7459">
        <w:rPr>
          <w:position w:val="-6"/>
        </w:rPr>
        <w:object w:dxaOrig="220" w:dyaOrig="220" w14:anchorId="53EE2567">
          <v:shape id="_x0000_i1032" type="#_x0000_t75" style="width:10.7pt;height:10.7pt" o:ole="">
            <v:imagedata r:id="rId22" o:title=""/>
          </v:shape>
          <o:OLEObject Type="Embed" ProgID="Equation.DSMT4" ShapeID="_x0000_i1032" DrawAspect="Content" ObjectID="_1846406889" r:id="rId23"/>
        </w:object>
      </w:r>
      <w:r w:rsidR="00DA35F6" w:rsidRPr="00AA7459">
        <w:t xml:space="preserve"> is an </w:t>
      </w:r>
      <w:r w:rsidR="00DA35F6" w:rsidRPr="00AA7459">
        <w:rPr>
          <w:position w:val="-10"/>
        </w:rPr>
        <w:object w:dxaOrig="660" w:dyaOrig="320" w14:anchorId="721DD5AE">
          <v:shape id="_x0000_i1033" type="#_x0000_t75" style="width:33.85pt;height:15.85pt" o:ole="">
            <v:imagedata r:id="rId24" o:title=""/>
          </v:shape>
          <o:OLEObject Type="Embed" ProgID="Equation.DSMT4" ShapeID="_x0000_i1033" DrawAspect="Content" ObjectID="_1846406890" r:id="rId25"/>
        </w:object>
      </w:r>
      <w:r w:rsidR="00DA35F6" w:rsidRPr="00AA7459">
        <w:t xml:space="preserve"> vector of exogenous variables (</w:t>
      </w:r>
      <w:r w:rsidR="00F0190D" w:rsidRPr="00AA7459">
        <w:t>including</w:t>
      </w:r>
      <w:r w:rsidR="00DA35F6" w:rsidRPr="00AA7459">
        <w:t xml:space="preserve"> a constant)</w:t>
      </w:r>
      <w:r w:rsidR="005A33BF" w:rsidRPr="00AA7459">
        <w:t xml:space="preserve"> and</w:t>
      </w:r>
      <w:r w:rsidR="00DA35F6" w:rsidRPr="00AA7459">
        <w:t xml:space="preserve"> </w:t>
      </w:r>
      <w:r w:rsidR="001B2AA7" w:rsidRPr="00AA7459">
        <w:rPr>
          <w:position w:val="-10"/>
        </w:rPr>
        <w:object w:dxaOrig="240" w:dyaOrig="320" w14:anchorId="7D9B5850">
          <v:shape id="_x0000_i1034" type="#_x0000_t75" style="width:11.15pt;height:15.85pt" o:ole="">
            <v:imagedata r:id="rId26" o:title=""/>
          </v:shape>
          <o:OLEObject Type="Embed" ProgID="Equation.DSMT4" ShapeID="_x0000_i1034" DrawAspect="Content" ObjectID="_1846406891" r:id="rId27"/>
        </w:object>
      </w:r>
      <w:r w:rsidR="00DA35F6" w:rsidRPr="00AA7459">
        <w:t xml:space="preserve"> is an </w:t>
      </w:r>
      <w:r w:rsidR="00DA35F6" w:rsidRPr="00AA7459">
        <w:rPr>
          <w:position w:val="-10"/>
        </w:rPr>
        <w:object w:dxaOrig="660" w:dyaOrig="320" w14:anchorId="4B97E8AD">
          <v:shape id="_x0000_i1035" type="#_x0000_t75" style="width:33.85pt;height:15.85pt" o:ole="">
            <v:imagedata r:id="rId24" o:title=""/>
          </v:shape>
          <o:OLEObject Type="Embed" ProgID="Equation.DSMT4" ShapeID="_x0000_i1035" DrawAspect="Content" ObjectID="_1846406892" r:id="rId28"/>
        </w:object>
      </w:r>
      <w:r w:rsidR="00DA35F6" w:rsidRPr="00AA7459">
        <w:t xml:space="preserve"> column vector of the coefficients associated with </w:t>
      </w:r>
      <w:r w:rsidR="00DA35F6" w:rsidRPr="00AA7459">
        <w:rPr>
          <w:position w:val="-6"/>
        </w:rPr>
        <w:object w:dxaOrig="220" w:dyaOrig="220" w14:anchorId="1DC6192E">
          <v:shape id="_x0000_i1036" type="#_x0000_t75" style="width:10.7pt;height:10.7pt" o:ole="">
            <v:imagedata r:id="rId22" o:title=""/>
          </v:shape>
          <o:OLEObject Type="Embed" ProgID="Equation.DSMT4" ShapeID="_x0000_i1036" DrawAspect="Content" ObjectID="_1846406893" r:id="rId29"/>
        </w:object>
      </w:r>
      <w:r w:rsidR="005A33BF" w:rsidRPr="00AA7459">
        <w:t xml:space="preserve">. </w:t>
      </w:r>
      <w:r w:rsidR="005A33BF" w:rsidRPr="00AA7459">
        <w:rPr>
          <w:position w:val="-6"/>
        </w:rPr>
        <w:object w:dxaOrig="200" w:dyaOrig="220" w14:anchorId="22FFEDC2">
          <v:shape id="_x0000_i1037" type="#_x0000_t75" style="width:9.45pt;height:10.7pt" o:ole="">
            <v:imagedata r:id="rId30" o:title=""/>
          </v:shape>
          <o:OLEObject Type="Embed" ProgID="Equation.DSMT4" ShapeID="_x0000_i1037" DrawAspect="Content" ObjectID="_1846406894" r:id="rId31"/>
        </w:object>
      </w:r>
      <w:r w:rsidR="00DA35F6" w:rsidRPr="00AA7459">
        <w:t xml:space="preserve"> </w:t>
      </w:r>
      <w:r w:rsidR="005A33BF" w:rsidRPr="00AA7459">
        <w:t>represents</w:t>
      </w:r>
      <w:r w:rsidR="00DA35F6" w:rsidRPr="00AA7459">
        <w:t xml:space="preserve"> a normally distributed error term </w:t>
      </w:r>
      <w:r w:rsidR="005869F5" w:rsidRPr="00AA7459">
        <w:t xml:space="preserve">centered at zero with </w:t>
      </w:r>
      <w:r w:rsidR="00CF7A16" w:rsidRPr="00AA7459">
        <w:t>scale</w:t>
      </w:r>
      <w:r w:rsidR="00ED72B4" w:rsidRPr="00AA7459">
        <w:t xml:space="preserve"> </w:t>
      </w:r>
      <w:r w:rsidR="00401B52" w:rsidRPr="00AA7459">
        <w:rPr>
          <w:position w:val="-6"/>
        </w:rPr>
        <w:object w:dxaOrig="240" w:dyaOrig="220" w14:anchorId="6183C08E">
          <v:shape id="_x0000_i1038" type="#_x0000_t75" style="width:12.85pt;height:10.7pt" o:ole="">
            <v:imagedata r:id="rId32" o:title=""/>
          </v:shape>
          <o:OLEObject Type="Embed" ProgID="Equation.DSMT4" ShapeID="_x0000_i1038" DrawAspect="Content" ObjectID="_1846406895" r:id="rId33"/>
        </w:object>
      </w:r>
      <w:r w:rsidR="00ED72B4" w:rsidRPr="00AA7459">
        <w:t xml:space="preserve">. </w:t>
      </w:r>
    </w:p>
    <w:p w14:paraId="2C389EAD" w14:textId="6596E0D4" w:rsidR="00035DAD" w:rsidRPr="00AA7459" w:rsidRDefault="0049452B" w:rsidP="001D6510">
      <w:r w:rsidRPr="00AA7459">
        <w:tab/>
      </w:r>
      <w:r w:rsidR="00875C18" w:rsidRPr="00AA7459">
        <w:t xml:space="preserve">Next, consider the </w:t>
      </w:r>
      <w:r w:rsidR="00793D43" w:rsidRPr="00AA7459">
        <w:t>three</w:t>
      </w:r>
      <w:r w:rsidR="00875C18" w:rsidRPr="00AA7459">
        <w:t xml:space="preserve"> ordinal outcomes</w:t>
      </w:r>
      <w:r w:rsidR="009E28D6" w:rsidRPr="00AA7459">
        <w:t xml:space="preserve"> (the binary outcome and two count outcomes are all included here as ordinal outcomes as discussed above</w:t>
      </w:r>
      <w:r w:rsidR="00C50730">
        <w:t xml:space="preserve">; see the right side of Figure </w:t>
      </w:r>
      <w:r w:rsidR="00713BF0">
        <w:t>2</w:t>
      </w:r>
      <w:r w:rsidR="009E28D6" w:rsidRPr="00AA7459">
        <w:t>)</w:t>
      </w:r>
      <w:r w:rsidR="00875C18" w:rsidRPr="00AA7459">
        <w:t>. Let</w:t>
      </w:r>
      <w:r w:rsidR="00F215D1" w:rsidRPr="00AA7459">
        <w:t xml:space="preserve"> </w:t>
      </w:r>
      <w:r w:rsidR="00F215D1" w:rsidRPr="00AA7459">
        <w:rPr>
          <w:i/>
        </w:rPr>
        <w:t>n</w:t>
      </w:r>
      <w:r w:rsidR="00F215D1" w:rsidRPr="00AA7459">
        <w:t xml:space="preserve"> be the index for the ordinal outcomes </w:t>
      </w:r>
      <w:r w:rsidR="00F215D1" w:rsidRPr="00AA7459">
        <w:rPr>
          <w:position w:val="-10"/>
        </w:rPr>
        <w:object w:dxaOrig="1480" w:dyaOrig="320" w14:anchorId="5AC35312">
          <v:shape id="_x0000_i1039" type="#_x0000_t75" style="width:78.85pt;height:15pt" o:ole="" o:preferrelative="f">
            <v:imagedata r:id="rId34" o:title=""/>
            <o:lock v:ext="edit" aspectratio="f"/>
          </v:shape>
          <o:OLEObject Type="Embed" ProgID="Equation.3" ShapeID="_x0000_i1039" DrawAspect="Content" ObjectID="_1846406896" r:id="rId35"/>
        </w:object>
      </w:r>
      <w:r w:rsidR="00F215D1" w:rsidRPr="00AA7459">
        <w:t xml:space="preserve">, with </w:t>
      </w:r>
      <w:r w:rsidR="006B49AB" w:rsidRPr="00AA7459">
        <w:rPr>
          <w:position w:val="-6"/>
        </w:rPr>
        <w:object w:dxaOrig="620" w:dyaOrig="279" w14:anchorId="089A0356">
          <v:shape id="_x0000_i1040" type="#_x0000_t75" style="width:30.85pt;height:15pt" o:ole="">
            <v:imagedata r:id="rId36" o:title=""/>
          </v:shape>
          <o:OLEObject Type="Embed" ProgID="Equation.DSMT4" ShapeID="_x0000_i1040" DrawAspect="Content" ObjectID="_1846406897" r:id="rId37"/>
        </w:object>
      </w:r>
      <w:r w:rsidR="000F75D3" w:rsidRPr="00AA7459">
        <w:t xml:space="preserve"> in ou</w:t>
      </w:r>
      <w:r w:rsidR="006D3C98">
        <w:t>r</w:t>
      </w:r>
      <w:r w:rsidR="000F75D3" w:rsidRPr="00AA7459">
        <w:t xml:space="preserve"> </w:t>
      </w:r>
      <w:r w:rsidR="00F0190D" w:rsidRPr="00AA7459">
        <w:t>empirical</w:t>
      </w:r>
      <w:r w:rsidR="000F75D3" w:rsidRPr="00AA7459">
        <w:t xml:space="preserve"> </w:t>
      </w:r>
      <w:r w:rsidR="00F0190D" w:rsidRPr="00AA7459">
        <w:t>application</w:t>
      </w:r>
      <w:r w:rsidR="000F75D3" w:rsidRPr="00AA7459">
        <w:t xml:space="preserve"> representing the </w:t>
      </w:r>
      <w:r w:rsidR="006B49AB" w:rsidRPr="00AA7459">
        <w:t xml:space="preserve">overall telework adoption dimension, the </w:t>
      </w:r>
      <w:r w:rsidR="000F75D3" w:rsidRPr="00AA7459">
        <w:t xml:space="preserve">count of full-day </w:t>
      </w:r>
      <w:proofErr w:type="gramStart"/>
      <w:r w:rsidR="000F75D3" w:rsidRPr="00AA7459">
        <w:t>telework</w:t>
      </w:r>
      <w:proofErr w:type="gramEnd"/>
      <w:r w:rsidR="000F75D3" w:rsidRPr="00AA7459">
        <w:t xml:space="preserve"> days</w:t>
      </w:r>
      <w:r w:rsidR="006B49AB" w:rsidRPr="00AA7459">
        <w:t>,</w:t>
      </w:r>
      <w:r w:rsidR="000F75D3" w:rsidRPr="00AA7459">
        <w:t xml:space="preserve"> and the count</w:t>
      </w:r>
      <w:r w:rsidR="00195328" w:rsidRPr="00AA7459">
        <w:t xml:space="preserve"> of</w:t>
      </w:r>
      <w:r w:rsidR="000F75D3" w:rsidRPr="00AA7459">
        <w:t xml:space="preserve"> part-day telework days. </w:t>
      </w:r>
      <w:r w:rsidR="002A259F" w:rsidRPr="00AA7459">
        <w:t>As mentioned above, we consider these counts in the form of a standard ordered response probit framework</w:t>
      </w:r>
      <w:r w:rsidR="00611F08" w:rsidRPr="00AA7459">
        <w:t>. To do so, let</w:t>
      </w:r>
      <w:r w:rsidR="00870F57" w:rsidRPr="00AA7459">
        <w:t xml:space="preserve"> </w:t>
      </w:r>
      <w:r w:rsidR="00870F57" w:rsidRPr="00AA7459">
        <w:rPr>
          <w:noProof/>
          <w:position w:val="-11"/>
        </w:rPr>
        <w:drawing>
          <wp:inline distT="0" distB="0" distL="0" distR="0" wp14:anchorId="2147EDFA" wp14:editId="5F814DB6">
            <wp:extent cx="129059" cy="164757"/>
            <wp:effectExtent l="0" t="0" r="0" b="0"/>
            <wp:docPr id="748515821" name="Picture 748515821" descr="{&quot;mathml&quot;:&quot;&lt;math style=\&quot;font-family:Times New Roman;font-size:16px;\&quot; xmlns=\&quot;http://www.w3.org/1998/Math/MathML\&quot;&gt;&lt;mstyle mathsize=\&quot;16px\&quot;&gt;&lt;msub&gt;&lt;mi&gt;J&lt;/mi&gt;&lt;mi&gt;n&lt;/mi&gt;&lt;/msub&gt;&lt;/mstyle&gt;&lt;/math&gt;&quot;}" title="J subscript 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uot;mathml&quot;:&quot;&lt;math style=\&quot;font-family:Times New Roman;font-size:16px;\&quot; xmlns=\&quot;http://www.w3.org/1998/Math/MathML\&quot;&gt;&lt;mstyle mathsize=\&quot;16px\&quot;&gt;&lt;msub&gt;&lt;mi&gt;J&lt;/mi&gt;&lt;mi&gt;n&lt;/mi&gt;&lt;/msub&gt;&lt;/mstyle&gt;&lt;/math&gt;&quot;}" title="J subscript n"/>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29059" cy="164757"/>
                    </a:xfrm>
                    <a:prstGeom prst="rect">
                      <a:avLst/>
                    </a:prstGeom>
                  </pic:spPr>
                </pic:pic>
              </a:graphicData>
            </a:graphic>
          </wp:inline>
        </w:drawing>
      </w:r>
      <w:r w:rsidR="009E28D6" w:rsidRPr="00AA7459">
        <w:rPr>
          <w:position w:val="-12"/>
        </w:rPr>
        <w:t xml:space="preserve"> </w:t>
      </w:r>
      <w:r w:rsidR="00870F57" w:rsidRPr="00AA7459">
        <w:t xml:space="preserve">be the number of categories for the </w:t>
      </w:r>
      <w:r w:rsidR="00870F57" w:rsidRPr="00AA7459">
        <w:rPr>
          <w:i/>
        </w:rPr>
        <w:t>n</w:t>
      </w:r>
      <w:r w:rsidR="00870F57" w:rsidRPr="00AA7459">
        <w:rPr>
          <w:i/>
          <w:vertAlign w:val="superscript"/>
        </w:rPr>
        <w:t>th</w:t>
      </w:r>
      <w:r w:rsidR="00870F57" w:rsidRPr="00AA7459">
        <w:t xml:space="preserve"> ordinal outcome</w:t>
      </w:r>
      <w:r w:rsidR="005957DB" w:rsidRPr="00AA7459">
        <w:t xml:space="preserve"> (in our case </w:t>
      </w:r>
      <w:r w:rsidR="00C25BB3" w:rsidRPr="00AA7459">
        <w:rPr>
          <w:position w:val="-12"/>
        </w:rPr>
        <w:object w:dxaOrig="639" w:dyaOrig="360" w14:anchorId="2EF5C262">
          <v:shape id="_x0000_i1041" type="#_x0000_t75" style="width:32.15pt;height:18.85pt" o:ole="">
            <v:imagedata r:id="rId39" o:title=""/>
          </v:shape>
          <o:OLEObject Type="Embed" ProgID="Equation.DSMT4" ShapeID="_x0000_i1041" DrawAspect="Content" ObjectID="_1846406898" r:id="rId40"/>
        </w:object>
      </w:r>
      <w:r w:rsidR="005957DB" w:rsidRPr="00AA7459">
        <w:t xml:space="preserve"> for </w:t>
      </w:r>
      <w:r w:rsidR="00446F63" w:rsidRPr="00AA7459">
        <w:t xml:space="preserve">the binary telework adoption </w:t>
      </w:r>
      <w:r w:rsidR="009239FF" w:rsidRPr="00AA7459">
        <w:t>dimension</w:t>
      </w:r>
      <w:r w:rsidR="00446F63" w:rsidRPr="00AA7459">
        <w:t xml:space="preserve"> and </w:t>
      </w:r>
      <w:r w:rsidR="005C047E" w:rsidRPr="00AA7459">
        <w:rPr>
          <w:position w:val="-12"/>
        </w:rPr>
        <w:object w:dxaOrig="1120" w:dyaOrig="360" w14:anchorId="49BC929D">
          <v:shape id="_x0000_i1042" type="#_x0000_t75" style="width:57pt;height:18.85pt" o:ole="">
            <v:imagedata r:id="rId41" o:title=""/>
          </v:shape>
          <o:OLEObject Type="Embed" ProgID="Equation.DSMT4" ShapeID="_x0000_i1042" DrawAspect="Content" ObjectID="_1846406899" r:id="rId42"/>
        </w:object>
      </w:r>
      <w:r w:rsidR="00446F63" w:rsidRPr="00AA7459">
        <w:t xml:space="preserve"> for the count of </w:t>
      </w:r>
      <w:r w:rsidR="005C047E">
        <w:t>full</w:t>
      </w:r>
      <w:r w:rsidR="00446F63" w:rsidRPr="00AA7459">
        <w:t xml:space="preserve">-day telework days and count of </w:t>
      </w:r>
      <w:r w:rsidR="005C047E">
        <w:t>part</w:t>
      </w:r>
      <w:r w:rsidR="00446F63" w:rsidRPr="00AA7459">
        <w:t>-day telework days</w:t>
      </w:r>
      <w:r w:rsidR="004A4661">
        <w:t xml:space="preserve"> corresponding to counts from zero to </w:t>
      </w:r>
      <w:r w:rsidR="006C72A4">
        <w:t>five</w:t>
      </w:r>
      <w:r w:rsidR="005957DB" w:rsidRPr="00AA7459">
        <w:t>)</w:t>
      </w:r>
      <w:r w:rsidR="00870F57" w:rsidRPr="00AA7459">
        <w:rPr>
          <w:position w:val="-12"/>
        </w:rPr>
        <w:t xml:space="preserve"> </w:t>
      </w:r>
      <w:r w:rsidR="00870F57" w:rsidRPr="00AA7459">
        <w:t xml:space="preserve">and let the corresponding index be </w:t>
      </w:r>
      <w:r w:rsidR="00870F57" w:rsidRPr="00AA7459">
        <w:rPr>
          <w:position w:val="-12"/>
        </w:rPr>
        <w:object w:dxaOrig="260" w:dyaOrig="360" w14:anchorId="252EEDF0">
          <v:shape id="_x0000_i1043" type="#_x0000_t75" style="width:12.85pt;height:18.85pt" o:ole="">
            <v:imagedata r:id="rId43" o:title=""/>
          </v:shape>
          <o:OLEObject Type="Embed" ProgID="Equation.DSMT4" ShapeID="_x0000_i1043" DrawAspect="Content" ObjectID="_1846406900" r:id="rId44"/>
        </w:object>
      </w:r>
      <w:r w:rsidR="00870F57" w:rsidRPr="00AA7459">
        <w:rPr>
          <w:position w:val="-12"/>
        </w:rPr>
        <w:object w:dxaOrig="1780" w:dyaOrig="360" w14:anchorId="146ADCD8">
          <v:shape id="_x0000_i1044" type="#_x0000_t75" style="width:87pt;height:18.85pt" o:ole="">
            <v:imagedata r:id="rId45" o:title=""/>
          </v:shape>
          <o:OLEObject Type="Embed" ProgID="Equation.DSMT4" ShapeID="_x0000_i1044" DrawAspect="Content" ObjectID="_1846406901" r:id="rId46"/>
        </w:object>
      </w:r>
      <w:r w:rsidR="00870F57" w:rsidRPr="00AA7459">
        <w:t xml:space="preserve"> </w:t>
      </w:r>
      <w:r w:rsidR="002E7777" w:rsidRPr="00AA7459">
        <w:t>Then, for these ordinal variables we can write the underlying latent propensity</w:t>
      </w:r>
      <w:r w:rsidR="00870F57" w:rsidRPr="00AA7459">
        <w:t xml:space="preserve"> </w:t>
      </w:r>
      <w:r w:rsidR="00870F57" w:rsidRPr="00AA7459">
        <w:rPr>
          <w:position w:val="-12"/>
        </w:rPr>
        <w:object w:dxaOrig="279" w:dyaOrig="380" w14:anchorId="62A6F6F9">
          <v:shape id="_x0000_i1045" type="#_x0000_t75" style="width:15pt;height:18.85pt" o:ole="">
            <v:imagedata r:id="rId47" o:title=""/>
          </v:shape>
          <o:OLEObject Type="Embed" ProgID="Equation.DSMT4" ShapeID="_x0000_i1045" DrawAspect="Content" ObjectID="_1846406902" r:id="rId48"/>
        </w:object>
      </w:r>
      <w:r w:rsidR="003B4D43" w:rsidRPr="00AA7459">
        <w:t xml:space="preserve"> in </w:t>
      </w:r>
      <w:r w:rsidR="00870F57" w:rsidRPr="00AA7459">
        <w:t xml:space="preserve">the usual ordered response formulation, </w:t>
      </w:r>
      <w:r w:rsidR="003B4D43" w:rsidRPr="00AA7459">
        <w:t>as</w:t>
      </w:r>
      <w:r w:rsidR="00870F57" w:rsidRPr="00AA7459">
        <w:t xml:space="preserve">: </w:t>
      </w:r>
    </w:p>
    <w:p w14:paraId="3464458B" w14:textId="4DBCF00F" w:rsidR="00FB57D8" w:rsidRPr="00AA7459" w:rsidRDefault="00BE17DE" w:rsidP="00F04583">
      <w:pPr>
        <w:pStyle w:val="MTDisplayEquation"/>
        <w:spacing w:before="120" w:after="120"/>
      </w:pPr>
      <w:r w:rsidRPr="00AA7459">
        <w:rPr>
          <w:position w:val="-12"/>
        </w:rPr>
        <w:object w:dxaOrig="1280" w:dyaOrig="400" w14:anchorId="240E46EA">
          <v:shape id="_x0000_i1046" type="#_x0000_t75" style="width:62.55pt;height:20.15pt" o:ole="">
            <v:imagedata r:id="rId49" o:title=""/>
          </v:shape>
          <o:OLEObject Type="Embed" ProgID="Equation.DSMT4" ShapeID="_x0000_i1046" DrawAspect="Content" ObjectID="_1846406903" r:id="rId50"/>
        </w:object>
      </w:r>
      <w:r w:rsidR="00FB57D8" w:rsidRPr="00AA7459">
        <w:tab/>
      </w:r>
      <w:r w:rsidR="00FB57D8" w:rsidRPr="00AA7459">
        <w:tab/>
      </w:r>
      <w:r w:rsidR="00FB57D8" w:rsidRPr="00AA7459">
        <w:fldChar w:fldCharType="begin"/>
      </w:r>
      <w:r w:rsidR="00FB57D8" w:rsidRPr="00AA7459">
        <w:instrText xml:space="preserve"> MACROBUTTON MTPlaceRef \* MERGEFORMAT </w:instrText>
      </w:r>
      <w:r w:rsidR="00FB57D8" w:rsidRPr="00AA7459">
        <w:fldChar w:fldCharType="begin"/>
      </w:r>
      <w:r w:rsidR="00FB57D8" w:rsidRPr="00AA7459">
        <w:instrText xml:space="preserve"> SEQ MTEqn \h \* MERGEFORMAT </w:instrText>
      </w:r>
      <w:r w:rsidR="00FB57D8" w:rsidRPr="00AA7459">
        <w:fldChar w:fldCharType="end"/>
      </w:r>
      <w:r w:rsidR="00FB57D8" w:rsidRPr="00AA7459">
        <w:instrText>(</w:instrText>
      </w:r>
      <w:r w:rsidR="003C4525">
        <w:fldChar w:fldCharType="begin"/>
      </w:r>
      <w:r w:rsidR="003C4525">
        <w:instrText xml:space="preserve"> SEQ MTEqn \c \* Arabic \* MERGEFORMAT </w:instrText>
      </w:r>
      <w:r w:rsidR="003C4525">
        <w:fldChar w:fldCharType="separate"/>
      </w:r>
      <w:r w:rsidR="00F04583">
        <w:rPr>
          <w:noProof/>
        </w:rPr>
        <w:instrText>2</w:instrText>
      </w:r>
      <w:r w:rsidR="003C4525">
        <w:rPr>
          <w:noProof/>
        </w:rPr>
        <w:fldChar w:fldCharType="end"/>
      </w:r>
      <w:r w:rsidR="00FB57D8" w:rsidRPr="00AA7459">
        <w:instrText>)</w:instrText>
      </w:r>
      <w:r w:rsidR="00FB57D8" w:rsidRPr="00AA7459">
        <w:fldChar w:fldCharType="end"/>
      </w:r>
    </w:p>
    <w:p w14:paraId="05100543" w14:textId="49831A69" w:rsidR="00610098" w:rsidRDefault="00870F57" w:rsidP="001D6510">
      <w:r w:rsidRPr="00AA7459">
        <w:t xml:space="preserve">where </w:t>
      </w:r>
      <w:r w:rsidR="00BE17DE" w:rsidRPr="00AA7459">
        <w:rPr>
          <w:position w:val="-6"/>
        </w:rPr>
        <w:object w:dxaOrig="180" w:dyaOrig="220" w14:anchorId="2D921E79">
          <v:shape id="_x0000_i1047" type="#_x0000_t75" style="width:9.45pt;height:10.7pt" o:ole="">
            <v:imagedata r:id="rId51" o:title=""/>
          </v:shape>
          <o:OLEObject Type="Embed" ProgID="Equation.DSMT4" ShapeID="_x0000_i1047" DrawAspect="Content" ObjectID="_1846406904" r:id="rId52"/>
        </w:object>
      </w:r>
      <w:r w:rsidRPr="00AA7459">
        <w:t xml:space="preserve"> is a</w:t>
      </w:r>
      <w:r w:rsidR="005307AB" w:rsidRPr="00AA7459">
        <w:t xml:space="preserve"> </w:t>
      </w:r>
      <w:r w:rsidR="00487454" w:rsidRPr="00AA7459">
        <w:rPr>
          <w:position w:val="-10"/>
        </w:rPr>
        <w:object w:dxaOrig="680" w:dyaOrig="320" w14:anchorId="59A7C1F3">
          <v:shape id="_x0000_i1048" type="#_x0000_t75" style="width:35.15pt;height:15.85pt" o:ole="">
            <v:imagedata r:id="rId53" o:title=""/>
          </v:shape>
          <o:OLEObject Type="Embed" ProgID="Equation.DSMT4" ShapeID="_x0000_i1048" DrawAspect="Content" ObjectID="_1846406905" r:id="rId54"/>
        </w:object>
      </w:r>
      <w:r w:rsidR="005307AB" w:rsidRPr="00AA7459">
        <w:t xml:space="preserve"> </w:t>
      </w:r>
      <w:r w:rsidRPr="00AA7459">
        <w:t>vector of exogenous variables (</w:t>
      </w:r>
      <w:r w:rsidR="00FB57D8" w:rsidRPr="00AA7459">
        <w:t>excluding</w:t>
      </w:r>
      <w:r w:rsidRPr="00AA7459">
        <w:t xml:space="preserve"> a constant</w:t>
      </w:r>
      <w:r w:rsidR="006461E4">
        <w:t xml:space="preserve"> </w:t>
      </w:r>
      <w:r w:rsidR="00487454">
        <w:t>but</w:t>
      </w:r>
      <w:r w:rsidR="006461E4">
        <w:t xml:space="preserve"> potentially </w:t>
      </w:r>
      <w:r w:rsidR="00487454">
        <w:t xml:space="preserve">including </w:t>
      </w:r>
      <w:r w:rsidR="006461E4">
        <w:t xml:space="preserve">the </w:t>
      </w:r>
      <w:r w:rsidR="00B91DF1">
        <w:t xml:space="preserve">values of </w:t>
      </w:r>
      <w:r w:rsidR="0056397A">
        <w:t>commute distance</w:t>
      </w:r>
      <w:r w:rsidRPr="00AA7459">
        <w:t xml:space="preserve">), </w:t>
      </w:r>
      <w:r w:rsidR="005650E6" w:rsidRPr="00AA7459">
        <w:rPr>
          <w:position w:val="-12"/>
        </w:rPr>
        <w:object w:dxaOrig="300" w:dyaOrig="400" w14:anchorId="4B12038C">
          <v:shape id="_x0000_i1049" type="#_x0000_t75" style="width:15pt;height:20.15pt" o:ole="">
            <v:imagedata r:id="rId55" o:title=""/>
          </v:shape>
          <o:OLEObject Type="Embed" ProgID="Equation.DSMT4" ShapeID="_x0000_i1049" DrawAspect="Content" ObjectID="_1846406906" r:id="rId56"/>
        </w:object>
      </w:r>
      <w:r w:rsidRPr="00AA7459">
        <w:rPr>
          <w:position w:val="-12"/>
        </w:rPr>
        <w:t xml:space="preserve"> </w:t>
      </w:r>
      <w:r w:rsidRPr="00AA7459">
        <w:t xml:space="preserve">is a corresponding vector of coefficients to be estimated, and </w:t>
      </w:r>
      <w:r w:rsidRPr="00AA7459">
        <w:rPr>
          <w:position w:val="-12"/>
        </w:rPr>
        <w:object w:dxaOrig="260" w:dyaOrig="360" w14:anchorId="3A7CBBC7">
          <v:shape id="_x0000_i1050" type="#_x0000_t75" style="width:12.85pt;height:18.85pt" o:ole="">
            <v:imagedata r:id="rId57" o:title=""/>
          </v:shape>
          <o:OLEObject Type="Embed" ProgID="Equation.DSMT4" ShapeID="_x0000_i1050" DrawAspect="Content" ObjectID="_1846406907" r:id="rId58"/>
        </w:object>
      </w:r>
      <w:r w:rsidRPr="00AA7459">
        <w:t xml:space="preserve"> is the standard normal random error for the </w:t>
      </w:r>
      <w:r w:rsidRPr="00AA7459">
        <w:rPr>
          <w:i/>
        </w:rPr>
        <w:t>n</w:t>
      </w:r>
      <w:r w:rsidRPr="00AA7459">
        <w:rPr>
          <w:i/>
          <w:vertAlign w:val="superscript"/>
        </w:rPr>
        <w:t>th</w:t>
      </w:r>
      <w:r w:rsidRPr="00AA7459">
        <w:rPr>
          <w:i/>
        </w:rPr>
        <w:t xml:space="preserve"> </w:t>
      </w:r>
      <w:r w:rsidRPr="00AA7459">
        <w:t>ordinal outcome</w:t>
      </w:r>
      <w:r w:rsidR="00EC2115" w:rsidRPr="00AA7459">
        <w:t xml:space="preserve">. </w:t>
      </w:r>
      <w:r w:rsidR="001F5730" w:rsidRPr="00AA7459">
        <w:t>Also, for each ordinal outcome, define</w:t>
      </w:r>
      <w:r w:rsidR="00F96ABF">
        <w:t xml:space="preserve"> the thresholds</w:t>
      </w:r>
      <w:r w:rsidR="001F5730" w:rsidRPr="00AA7459">
        <w:t xml:space="preserve"> </w:t>
      </w:r>
      <w:r w:rsidR="0059231E" w:rsidRPr="00AA7459">
        <w:rPr>
          <w:position w:val="-14"/>
        </w:rPr>
        <w:object w:dxaOrig="3360" w:dyaOrig="380" w14:anchorId="74CFB8DF">
          <v:shape id="_x0000_i1051" type="#_x0000_t75" style="width:168.85pt;height:18.85pt" o:ole="">
            <v:imagedata r:id="rId59" o:title=""/>
          </v:shape>
          <o:OLEObject Type="Embed" ProgID="Equation.DSMT4" ShapeID="_x0000_i1051" DrawAspect="Content" ObjectID="_1846406908" r:id="rId60"/>
        </w:object>
      </w:r>
      <w:r w:rsidR="00B05353" w:rsidRPr="00AA7459">
        <w:t xml:space="preserve"> where</w:t>
      </w:r>
      <w:r w:rsidR="001F5730" w:rsidRPr="00AA7459">
        <w:t xml:space="preserve"> </w:t>
      </w:r>
      <w:r w:rsidR="001F5730" w:rsidRPr="00AA7459">
        <w:rPr>
          <w:position w:val="-14"/>
        </w:rPr>
        <w:object w:dxaOrig="980" w:dyaOrig="380" w14:anchorId="5FF4356D">
          <v:shape id="_x0000_i1052" type="#_x0000_t75" style="width:49.3pt;height:18.85pt" o:ole="">
            <v:imagedata r:id="rId61" o:title=""/>
          </v:shape>
          <o:OLEObject Type="Embed" ProgID="Equation.DSMT4" ShapeID="_x0000_i1052" DrawAspect="Content" ObjectID="_1846406909" r:id="rId62"/>
        </w:object>
      </w:r>
      <w:r w:rsidR="001F5730" w:rsidRPr="00AA7459">
        <w:t xml:space="preserve"> and </w:t>
      </w:r>
      <w:r w:rsidR="001F5730" w:rsidRPr="00AA7459">
        <w:rPr>
          <w:position w:val="-14"/>
        </w:rPr>
        <w:object w:dxaOrig="1060" w:dyaOrig="380" w14:anchorId="78ACB20B">
          <v:shape id="_x0000_i1053" type="#_x0000_t75" style="width:53.15pt;height:18.85pt" o:ole="">
            <v:imagedata r:id="rId63" o:title=""/>
          </v:shape>
          <o:OLEObject Type="Embed" ProgID="Equation.DSMT4" ShapeID="_x0000_i1053" DrawAspect="Content" ObjectID="_1846406910" r:id="rId64"/>
        </w:object>
      </w:r>
      <w:r w:rsidR="001F5730" w:rsidRPr="00AA7459">
        <w:t xml:space="preserve">. </w:t>
      </w:r>
      <w:r w:rsidR="008C4638" w:rsidRPr="00AA7459">
        <w:t xml:space="preserve">Assume that the individual under consideration chooses the </w:t>
      </w:r>
      <w:r w:rsidR="008C4638" w:rsidRPr="00AA7459">
        <w:rPr>
          <w:position w:val="-12"/>
        </w:rPr>
        <w:object w:dxaOrig="320" w:dyaOrig="380" w14:anchorId="5009649A">
          <v:shape id="_x0000_i1054" type="#_x0000_t75" style="width:15.85pt;height:18.85pt" o:ole="">
            <v:imagedata r:id="rId65" o:title=""/>
          </v:shape>
          <o:OLEObject Type="Embed" ProgID="Equation.DSMT4" ShapeID="_x0000_i1054" DrawAspect="Content" ObjectID="_1846406911" r:id="rId66"/>
        </w:object>
      </w:r>
      <w:r w:rsidR="008C4638" w:rsidRPr="00AA7459">
        <w:t xml:space="preserve"> ordinal category. </w:t>
      </w:r>
      <w:r w:rsidR="00583C65" w:rsidRPr="00AA7459">
        <w:t xml:space="preserve">Then each individual can be assumed to select </w:t>
      </w:r>
      <w:r w:rsidR="0052593F" w:rsidRPr="00AA7459">
        <w:rPr>
          <w:position w:val="-12"/>
        </w:rPr>
        <w:object w:dxaOrig="740" w:dyaOrig="360" w14:anchorId="24729C0E">
          <v:shape id="_x0000_i1055" type="#_x0000_t75" style="width:38.15pt;height:18.85pt" o:ole="">
            <v:imagedata r:id="rId67" o:title=""/>
          </v:shape>
          <o:OLEObject Type="Embed" ProgID="Equation.DSMT4" ShapeID="_x0000_i1055" DrawAspect="Content" ObjectID="_1846406912" r:id="rId68"/>
        </w:object>
      </w:r>
      <w:r w:rsidR="00583C65" w:rsidRPr="00AA7459">
        <w:t xml:space="preserve"> if </w:t>
      </w:r>
      <w:r w:rsidR="001E04D3" w:rsidRPr="00AA7459">
        <w:rPr>
          <w:position w:val="-14"/>
        </w:rPr>
        <w:object w:dxaOrig="1760" w:dyaOrig="400" w14:anchorId="5BD98A05">
          <v:shape id="_x0000_i1056" type="#_x0000_t75" style="width:87pt;height:20.15pt" o:ole="">
            <v:imagedata r:id="rId69" o:title=""/>
          </v:shape>
          <o:OLEObject Type="Embed" ProgID="Equation.DSMT4" ShapeID="_x0000_i1056" DrawAspect="Content" ObjectID="_1846406913" r:id="rId70"/>
        </w:object>
      </w:r>
      <w:r w:rsidR="00145906" w:rsidRPr="00AA7459">
        <w:t xml:space="preserve">. </w:t>
      </w:r>
    </w:p>
    <w:p w14:paraId="49A9453B" w14:textId="06B4A206" w:rsidR="00287C75" w:rsidRDefault="00610098" w:rsidP="001D6510">
      <w:r>
        <w:lastRenderedPageBreak/>
        <w:tab/>
        <w:t xml:space="preserve">As discussed in Section 3.2, we </w:t>
      </w:r>
      <w:r w:rsidR="00974EDC">
        <w:t xml:space="preserve">also allow the thresholds for the ordinal outcomes to be shifted based </w:t>
      </w:r>
      <w:r w:rsidR="0053520A">
        <w:t>on the values of other exogenous and endogenous variables.</w:t>
      </w:r>
      <w:r w:rsidR="00287C75">
        <w:t xml:space="preserve"> </w:t>
      </w:r>
      <w:r w:rsidR="005C3307">
        <w:t>To do so, we define each of the thresholds using a series of shift effects so that each threshold is defined as:</w:t>
      </w:r>
    </w:p>
    <w:p w14:paraId="14A5B215" w14:textId="0674AB58" w:rsidR="005C3307" w:rsidRDefault="00FE5746" w:rsidP="00F04583">
      <w:pPr>
        <w:pStyle w:val="MTDisplayEquation"/>
        <w:spacing w:before="120" w:after="120"/>
      </w:pPr>
      <w:r w:rsidRPr="001A05BE">
        <w:rPr>
          <w:position w:val="-14"/>
        </w:rPr>
        <w:object w:dxaOrig="3620" w:dyaOrig="380" w14:anchorId="09015EFC">
          <v:shape id="_x0000_i1057" type="#_x0000_t75" style="width:180.85pt;height:18.85pt" o:ole="">
            <v:imagedata r:id="rId71" o:title=""/>
          </v:shape>
          <o:OLEObject Type="Embed" ProgID="Equation.DSMT4" ShapeID="_x0000_i1057" DrawAspect="Content" ObjectID="_1846406914" r:id="rId72"/>
        </w:object>
      </w:r>
      <w:r w:rsidR="005C3307">
        <w:tab/>
      </w:r>
      <w:r w:rsidR="005C3307">
        <w:tab/>
      </w:r>
      <w:r w:rsidR="005C3307">
        <w:fldChar w:fldCharType="begin"/>
      </w:r>
      <w:r w:rsidR="005C3307">
        <w:instrText xml:space="preserve"> MACROBUTTON MTPlaceRef \* MERGEFORMAT </w:instrText>
      </w:r>
      <w:r w:rsidR="005C3307">
        <w:fldChar w:fldCharType="begin"/>
      </w:r>
      <w:r w:rsidR="005C3307">
        <w:instrText xml:space="preserve"> SEQ MTEqn \h \* MERGEFORMAT </w:instrText>
      </w:r>
      <w:r w:rsidR="005C3307">
        <w:fldChar w:fldCharType="end"/>
      </w:r>
      <w:r w:rsidR="005C3307">
        <w:instrText>(</w:instrText>
      </w:r>
      <w:r w:rsidR="003C4525">
        <w:fldChar w:fldCharType="begin"/>
      </w:r>
      <w:r w:rsidR="003C4525">
        <w:instrText xml:space="preserve"> SEQ MTEqn \c \* Arabic \* MERGEFORMAT </w:instrText>
      </w:r>
      <w:r w:rsidR="003C4525">
        <w:fldChar w:fldCharType="separate"/>
      </w:r>
      <w:r w:rsidR="00F04583">
        <w:rPr>
          <w:noProof/>
        </w:rPr>
        <w:instrText>3</w:instrText>
      </w:r>
      <w:r w:rsidR="003C4525">
        <w:rPr>
          <w:noProof/>
        </w:rPr>
        <w:fldChar w:fldCharType="end"/>
      </w:r>
      <w:r w:rsidR="005C3307">
        <w:instrText>)</w:instrText>
      </w:r>
      <w:r w:rsidR="005C3307">
        <w:fldChar w:fldCharType="end"/>
      </w:r>
    </w:p>
    <w:p w14:paraId="7314105D" w14:textId="43536F8E" w:rsidR="005C3307" w:rsidRDefault="007F40E5" w:rsidP="001D6510">
      <w:r>
        <w:t xml:space="preserve">where </w:t>
      </w:r>
      <w:r w:rsidR="004B183C" w:rsidRPr="004B183C">
        <w:rPr>
          <w:position w:val="-14"/>
        </w:rPr>
        <w:object w:dxaOrig="460" w:dyaOrig="380" w14:anchorId="19717B3C">
          <v:shape id="_x0000_i1058" type="#_x0000_t75" style="width:22.7pt;height:18.85pt" o:ole="">
            <v:imagedata r:id="rId73" o:title=""/>
          </v:shape>
          <o:OLEObject Type="Embed" ProgID="Equation.DSMT4" ShapeID="_x0000_i1058" DrawAspect="Content" ObjectID="_1846406915" r:id="rId74"/>
        </w:object>
      </w:r>
      <w:r w:rsidR="004B183C">
        <w:t xml:space="preserve"> represents a baseline (unshifted) threshold level and </w:t>
      </w:r>
      <w:r w:rsidR="004B183C" w:rsidRPr="004B183C">
        <w:rPr>
          <w:position w:val="-14"/>
        </w:rPr>
        <w:object w:dxaOrig="420" w:dyaOrig="380" w14:anchorId="266545D2">
          <v:shape id="_x0000_i1059" type="#_x0000_t75" style="width:21pt;height:18.85pt" o:ole="">
            <v:imagedata r:id="rId75" o:title=""/>
          </v:shape>
          <o:OLEObject Type="Embed" ProgID="Equation.DSMT4" ShapeID="_x0000_i1059" DrawAspect="Content" ObjectID="_1846406916" r:id="rId76"/>
        </w:object>
      </w:r>
      <w:r w:rsidR="00080872">
        <w:t xml:space="preserve"> is the total shift effect. </w:t>
      </w:r>
      <w:r w:rsidR="00144F3C">
        <w:t xml:space="preserve">This total shift effect may be defined as: </w:t>
      </w:r>
    </w:p>
    <w:p w14:paraId="3798B1B8" w14:textId="75D59F78" w:rsidR="00080872" w:rsidRDefault="00CD3237" w:rsidP="00F04583">
      <w:pPr>
        <w:pStyle w:val="MTDisplayEquation"/>
        <w:spacing w:before="120" w:after="120"/>
      </w:pPr>
      <w:r w:rsidRPr="007C0387">
        <w:rPr>
          <w:position w:val="-28"/>
        </w:rPr>
        <w:object w:dxaOrig="4300" w:dyaOrig="700" w14:anchorId="2E4E0C07">
          <v:shape id="_x0000_i1060" type="#_x0000_t75" style="width:3in;height:35.15pt" o:ole="">
            <v:imagedata r:id="rId77" o:title=""/>
          </v:shape>
          <o:OLEObject Type="Embed" ProgID="Equation.DSMT4" ShapeID="_x0000_i1060" DrawAspect="Content" ObjectID="_1846406917" r:id="rId78"/>
        </w:object>
      </w:r>
      <w:r w:rsidR="002512B2">
        <w:tab/>
      </w:r>
      <w:r w:rsidR="007C0387">
        <w:tab/>
      </w:r>
      <w:r w:rsidR="007C0387">
        <w:fldChar w:fldCharType="begin"/>
      </w:r>
      <w:r w:rsidR="007C0387">
        <w:instrText xml:space="preserve"> MACROBUTTON MTPlaceRef \* MERGEFORMAT </w:instrText>
      </w:r>
      <w:r w:rsidR="007C0387">
        <w:fldChar w:fldCharType="begin"/>
      </w:r>
      <w:r w:rsidR="007C0387">
        <w:instrText xml:space="preserve"> SEQ MTEqn \h \* MERGEFORMAT </w:instrText>
      </w:r>
      <w:r w:rsidR="007C0387">
        <w:fldChar w:fldCharType="end"/>
      </w:r>
      <w:bookmarkStart w:id="0" w:name="ZEqnNum372073"/>
      <w:r w:rsidR="007C0387">
        <w:instrText>(</w:instrText>
      </w:r>
      <w:r w:rsidR="003C4525">
        <w:fldChar w:fldCharType="begin"/>
      </w:r>
      <w:r w:rsidR="003C4525">
        <w:instrText xml:space="preserve"> S</w:instrText>
      </w:r>
      <w:r w:rsidR="003C4525">
        <w:instrText xml:space="preserve">EQ MTEqn \c \* Arabic \* MERGEFORMAT </w:instrText>
      </w:r>
      <w:r w:rsidR="003C4525">
        <w:fldChar w:fldCharType="separate"/>
      </w:r>
      <w:r w:rsidR="00F04583">
        <w:rPr>
          <w:noProof/>
        </w:rPr>
        <w:instrText>4</w:instrText>
      </w:r>
      <w:r w:rsidR="003C4525">
        <w:rPr>
          <w:noProof/>
        </w:rPr>
        <w:fldChar w:fldCharType="end"/>
      </w:r>
      <w:r w:rsidR="007C0387">
        <w:instrText>)</w:instrText>
      </w:r>
      <w:bookmarkEnd w:id="0"/>
      <w:r w:rsidR="007C0387">
        <w:fldChar w:fldCharType="end"/>
      </w:r>
    </w:p>
    <w:p w14:paraId="7A5074C7" w14:textId="2A21CD08" w:rsidR="00806034" w:rsidRDefault="006304F9" w:rsidP="00D62FB8">
      <w:r>
        <w:t xml:space="preserve">where  </w:t>
      </w:r>
      <w:r w:rsidR="00857BA5" w:rsidRPr="00C16E7D">
        <w:rPr>
          <w:position w:val="-14"/>
        </w:rPr>
        <w:object w:dxaOrig="400" w:dyaOrig="380" w14:anchorId="08EAC5A6">
          <v:shape id="_x0000_i1061" type="#_x0000_t75" style="width:20.15pt;height:18.85pt" o:ole="">
            <v:imagedata r:id="rId79" o:title=""/>
          </v:shape>
          <o:OLEObject Type="Embed" ProgID="Equation.DSMT4" ShapeID="_x0000_i1061" DrawAspect="Content" ObjectID="_1846406918" r:id="rId80"/>
        </w:object>
      </w:r>
      <w:r>
        <w:t xml:space="preserve"> is a </w:t>
      </w:r>
      <w:r w:rsidRPr="002D1E68">
        <w:rPr>
          <w:position w:val="-10"/>
        </w:rPr>
        <w:object w:dxaOrig="680" w:dyaOrig="320" w14:anchorId="31AD1C9D">
          <v:shape id="_x0000_i1062" type="#_x0000_t75" style="width:33.85pt;height:15.85pt" o:ole="">
            <v:imagedata r:id="rId81" o:title=""/>
          </v:shape>
          <o:OLEObject Type="Embed" ProgID="Equation.DSMT4" ShapeID="_x0000_i1062" DrawAspect="Content" ObjectID="_1846406919" r:id="rId82"/>
        </w:object>
      </w:r>
      <w:r>
        <w:t xml:space="preserve">vector of shift effects corresponding to the vector </w:t>
      </w:r>
      <w:r w:rsidRPr="00521401">
        <w:rPr>
          <w:position w:val="-6"/>
        </w:rPr>
        <w:object w:dxaOrig="180" w:dyaOrig="220" w14:anchorId="592F8C6C">
          <v:shape id="_x0000_i1063" type="#_x0000_t75" style="width:9.45pt;height:10.7pt" o:ole="">
            <v:imagedata r:id="rId83" o:title=""/>
          </v:shape>
          <o:OLEObject Type="Embed" ProgID="Equation.DSMT4" ShapeID="_x0000_i1063" DrawAspect="Content" ObjectID="_1846406920" r:id="rId84"/>
        </w:object>
      </w:r>
      <w:r>
        <w:t xml:space="preserve"> of exogenous variables (</w:t>
      </w:r>
      <w:r w:rsidR="00857BA5">
        <w:t>and including</w:t>
      </w:r>
      <w:r>
        <w:t xml:space="preserve"> the individual’s commute distance</w:t>
      </w:r>
      <w:proofErr w:type="gramStart"/>
      <w:r>
        <w:t>).</w:t>
      </w:r>
      <w:proofErr w:type="gramEnd"/>
      <w:r>
        <w:t xml:space="preserve"> </w:t>
      </w:r>
      <w:r w:rsidR="00857BA5">
        <w:t xml:space="preserve">Thus, the first term refers to direct effects of exogenous variables and commute distance on the thresholds for each telework frequency outcome. Of course, an identification restriction is needed such that </w:t>
      </w:r>
      <w:r w:rsidR="00653920">
        <w:t xml:space="preserve">variables already appearing in the latent propensity equation for </w:t>
      </w:r>
      <w:r w:rsidR="006A3603">
        <w:t xml:space="preserve">each ordinal outcome </w:t>
      </w:r>
      <w:r w:rsidR="006A3603" w:rsidRPr="006A3603">
        <w:rPr>
          <w:position w:val="-6"/>
        </w:rPr>
        <w:object w:dxaOrig="200" w:dyaOrig="220" w14:anchorId="57DBFE60">
          <v:shape id="_x0000_i1064" type="#_x0000_t75" style="width:9.85pt;height:10.7pt" o:ole="">
            <v:imagedata r:id="rId85" o:title=""/>
          </v:shape>
          <o:OLEObject Type="Embed" ProgID="Equation.DSMT4" ShapeID="_x0000_i1064" DrawAspect="Content" ObjectID="_1846406921" r:id="rId86"/>
        </w:object>
      </w:r>
      <w:r w:rsidR="003525F6">
        <w:t xml:space="preserve"> may </w:t>
      </w:r>
      <w:r w:rsidR="00F319F1">
        <w:t xml:space="preserve">have </w:t>
      </w:r>
      <w:r w:rsidR="00F319F1" w:rsidRPr="000F007F">
        <w:rPr>
          <w:position w:val="-12"/>
        </w:rPr>
        <w:object w:dxaOrig="639" w:dyaOrig="360" w14:anchorId="1CBECD1D">
          <v:shape id="_x0000_i1065" type="#_x0000_t75" style="width:32.15pt;height:18.85pt" o:ole="">
            <v:imagedata r:id="rId87" o:title=""/>
          </v:shape>
          <o:OLEObject Type="Embed" ProgID="Equation.DSMT4" ShapeID="_x0000_i1065" DrawAspect="Content" ObjectID="_1846406922" r:id="rId88"/>
        </w:object>
      </w:r>
      <w:r w:rsidR="00F319F1">
        <w:t xml:space="preserve"> additional direct threshold shift effects</w:t>
      </w:r>
      <w:r w:rsidR="00FE4575">
        <w:t xml:space="preserve"> (immediately implying that no shift effects are defined for the overall telework adoption dimension</w:t>
      </w:r>
      <w:r w:rsidR="008E01D5">
        <w:t>)</w:t>
      </w:r>
      <w:r w:rsidR="00F319F1">
        <w:t xml:space="preserve">. </w:t>
      </w:r>
      <w:r w:rsidR="00014BD1">
        <w:t xml:space="preserve">The next term in equation </w:t>
      </w:r>
      <w:r w:rsidR="00014BD1">
        <w:rPr>
          <w:iCs/>
        </w:rPr>
        <w:fldChar w:fldCharType="begin"/>
      </w:r>
      <w:r w:rsidR="00014BD1">
        <w:rPr>
          <w:iCs/>
        </w:rPr>
        <w:instrText xml:space="preserve"> GOTOBUTTON ZEqnNum372073  \* MERGEFORMAT </w:instrText>
      </w:r>
      <w:r w:rsidR="00014BD1">
        <w:rPr>
          <w:iCs/>
        </w:rPr>
        <w:fldChar w:fldCharType="begin"/>
      </w:r>
      <w:r w:rsidR="00014BD1">
        <w:rPr>
          <w:iCs/>
        </w:rPr>
        <w:instrText xml:space="preserve"> REF ZEqnNum372073 \* Charformat \! \* MERGEFORMAT </w:instrText>
      </w:r>
      <w:r w:rsidR="00014BD1">
        <w:rPr>
          <w:iCs/>
        </w:rPr>
        <w:fldChar w:fldCharType="separate"/>
      </w:r>
      <w:r w:rsidR="00F04583" w:rsidRPr="00F04583">
        <w:rPr>
          <w:iCs/>
        </w:rPr>
        <w:instrText>(4)</w:instrText>
      </w:r>
      <w:r w:rsidR="00014BD1">
        <w:rPr>
          <w:iCs/>
        </w:rPr>
        <w:fldChar w:fldCharType="end"/>
      </w:r>
      <w:r w:rsidR="00014BD1">
        <w:rPr>
          <w:iCs/>
        </w:rPr>
        <w:fldChar w:fldCharType="end"/>
      </w:r>
      <w:r w:rsidR="00032D8D">
        <w:rPr>
          <w:iCs/>
        </w:rPr>
        <w:t xml:space="preserve"> refers to shift effects activated by the specific levels of other </w:t>
      </w:r>
      <w:r w:rsidR="00E14A33">
        <w:rPr>
          <w:iCs/>
        </w:rPr>
        <w:t xml:space="preserve">ordinal outcomes. As described in Section 3.2 we consider the selected level of full-day telework frequency to impact the thresholds for part-day telework frequency. </w:t>
      </w:r>
      <w:r w:rsidR="0072284C">
        <w:rPr>
          <w:iCs/>
        </w:rPr>
        <w:t>Thus, for identification</w:t>
      </w:r>
      <w:r w:rsidR="008E01D5">
        <w:rPr>
          <w:iCs/>
        </w:rPr>
        <w:t>,</w:t>
      </w:r>
      <w:r w:rsidR="0072284C">
        <w:rPr>
          <w:iCs/>
        </w:rPr>
        <w:t xml:space="preserve"> these terms are set to zero for the first and second ordinal outcomes and only cause shifts for the part-day telework frequency thresholds. </w:t>
      </w:r>
      <w:r w:rsidR="00572CFC">
        <w:rPr>
          <w:iCs/>
        </w:rPr>
        <w:t xml:space="preserve">In this second term, </w:t>
      </w:r>
      <w:r w:rsidR="003F165C" w:rsidRPr="00BA56BB">
        <w:rPr>
          <w:iCs/>
          <w:position w:val="-12"/>
        </w:rPr>
        <w:object w:dxaOrig="1460" w:dyaOrig="360" w14:anchorId="4C9C1742">
          <v:shape id="_x0000_i1066" type="#_x0000_t75" style="width:72.85pt;height:18pt" o:ole="" o:preferrelative="f">
            <v:imagedata r:id="rId89" o:title=""/>
            <o:lock v:ext="edit" aspectratio="f"/>
          </v:shape>
          <o:OLEObject Type="Embed" ProgID="Equation.DSMT4" ShapeID="_x0000_i1066" DrawAspect="Content" ObjectID="_1846406923" r:id="rId90"/>
        </w:object>
      </w:r>
      <w:r w:rsidR="00572CFC">
        <w:rPr>
          <w:iCs/>
        </w:rPr>
        <w:t xml:space="preserve"> is an indicator function that takes the value 1 when the selected category for full-day telework is equal to the level b</w:t>
      </w:r>
      <w:r w:rsidR="00120B69">
        <w:rPr>
          <w:iCs/>
        </w:rPr>
        <w:t xml:space="preserve"> and</w:t>
      </w:r>
      <w:r w:rsidR="00C1378D">
        <w:rPr>
          <w:iCs/>
        </w:rPr>
        <w:t xml:space="preserve"> the threshold of interest applies to the part-day telework outcome (and takes the value zero otherwise)</w:t>
      </w:r>
      <w:r w:rsidR="00572CFC">
        <w:rPr>
          <w:iCs/>
        </w:rPr>
        <w:t xml:space="preserve">, </w:t>
      </w:r>
      <w:r w:rsidR="00572CFC" w:rsidRPr="00DE066E">
        <w:rPr>
          <w:iCs/>
          <w:position w:val="-14"/>
        </w:rPr>
        <w:object w:dxaOrig="420" w:dyaOrig="380" w14:anchorId="6DEB70D1">
          <v:shape id="_x0000_i1067" type="#_x0000_t75" style="width:21pt;height:18.85pt" o:ole="">
            <v:imagedata r:id="rId91" o:title=""/>
          </v:shape>
          <o:OLEObject Type="Embed" ProgID="Equation.DSMT4" ShapeID="_x0000_i1067" DrawAspect="Content" ObjectID="_1846406924" r:id="rId92"/>
        </w:object>
      </w:r>
      <w:r w:rsidR="00572CFC">
        <w:rPr>
          <w:iCs/>
        </w:rPr>
        <w:t xml:space="preserve"> represents the direct shift effect to the threshold</w:t>
      </w:r>
      <w:r w:rsidR="00CC168B">
        <w:rPr>
          <w:iCs/>
        </w:rPr>
        <w:t xml:space="preserve"> </w:t>
      </w:r>
      <w:r w:rsidR="00963924" w:rsidRPr="00963924">
        <w:rPr>
          <w:iCs/>
          <w:position w:val="-12"/>
        </w:rPr>
        <w:object w:dxaOrig="200" w:dyaOrig="360" w14:anchorId="23B40A06">
          <v:shape id="_x0000_i1068" type="#_x0000_t75" style="width:9.85pt;height:18.85pt" o:ole="">
            <v:imagedata r:id="rId93" o:title=""/>
          </v:shape>
          <o:OLEObject Type="Embed" ProgID="Equation.DSMT4" ShapeID="_x0000_i1068" DrawAspect="Content" ObjectID="_1846406925" r:id="rId94"/>
        </w:object>
      </w:r>
      <w:r w:rsidR="00572CFC">
        <w:rPr>
          <w:iCs/>
        </w:rPr>
        <w:t xml:space="preserve"> based on the selected category of full-day telework, and </w:t>
      </w:r>
      <w:r w:rsidR="00963924" w:rsidRPr="009D1DC9">
        <w:rPr>
          <w:iCs/>
          <w:position w:val="-14"/>
        </w:rPr>
        <w:object w:dxaOrig="420" w:dyaOrig="380" w14:anchorId="5F02FBBA">
          <v:shape id="_x0000_i1069" type="#_x0000_t75" style="width:21pt;height:18.85pt" o:ole="">
            <v:imagedata r:id="rId95" o:title=""/>
          </v:shape>
          <o:OLEObject Type="Embed" ProgID="Equation.DSMT4" ShapeID="_x0000_i1069" DrawAspect="Content" ObjectID="_1846406926" r:id="rId96"/>
        </w:object>
      </w:r>
      <w:r w:rsidR="00572CFC">
        <w:rPr>
          <w:iCs/>
        </w:rPr>
        <w:t xml:space="preserve"> is a </w:t>
      </w:r>
      <w:r w:rsidR="00572CFC" w:rsidRPr="005117B9">
        <w:rPr>
          <w:iCs/>
          <w:position w:val="-10"/>
        </w:rPr>
        <w:object w:dxaOrig="680" w:dyaOrig="320" w14:anchorId="107FEC16">
          <v:shape id="_x0000_i1070" type="#_x0000_t75" style="width:33.85pt;height:15.85pt" o:ole="">
            <v:imagedata r:id="rId97" o:title=""/>
          </v:shape>
          <o:OLEObject Type="Embed" ProgID="Equation.DSMT4" ShapeID="_x0000_i1070" DrawAspect="Content" ObjectID="_1846406927" r:id="rId98"/>
        </w:object>
      </w:r>
      <w:r w:rsidR="00572CFC">
        <w:rPr>
          <w:iCs/>
        </w:rPr>
        <w:t xml:space="preserve"> vector of moderating effects based on the values of other exogenous variables.</w:t>
      </w:r>
      <w:r w:rsidR="00963924">
        <w:rPr>
          <w:iCs/>
        </w:rPr>
        <w:t xml:space="preserve"> </w:t>
      </w:r>
      <w:r w:rsidR="0055534E">
        <w:rPr>
          <w:iCs/>
        </w:rPr>
        <w:t>Again,</w:t>
      </w:r>
      <w:r w:rsidR="00755A0C">
        <w:rPr>
          <w:iCs/>
        </w:rPr>
        <w:t xml:space="preserve"> an identification restriction is needed to account for the </w:t>
      </w:r>
      <w:r w:rsidR="00E9772E">
        <w:rPr>
          <w:iCs/>
        </w:rPr>
        <w:t>constraint that not all combinations of full-day and part-day telework are possible (as discussed more next</w:t>
      </w:r>
      <w:r w:rsidR="007549DF">
        <w:rPr>
          <w:iCs/>
        </w:rPr>
        <w:t xml:space="preserve">, we </w:t>
      </w:r>
      <w:r w:rsidR="00055A04">
        <w:rPr>
          <w:iCs/>
        </w:rPr>
        <w:t>use another normalization later to eliminate these infeasible outcome combinations, so threshold shifts cannot be defined among these infeasible outcome combinations</w:t>
      </w:r>
      <w:r w:rsidR="00E9772E">
        <w:rPr>
          <w:iCs/>
        </w:rPr>
        <w:t xml:space="preserve">). Specifically, </w:t>
      </w:r>
      <w:r w:rsidR="006C4973">
        <w:t xml:space="preserve">no shift effects are defined based on combinations of outcomes that lead to more than five days of total work or zero days of both full-day and part-day telework (which is separately accounted for by the binary outcome). </w:t>
      </w:r>
      <w:r w:rsidR="006825D6">
        <w:t xml:space="preserve"> </w:t>
      </w:r>
    </w:p>
    <w:p w14:paraId="40CF5E92" w14:textId="4A815D1D" w:rsidR="00DC1C21" w:rsidRPr="00AA7459" w:rsidRDefault="00913720" w:rsidP="00F04583">
      <w:pPr>
        <w:ind w:firstLine="720"/>
      </w:pPr>
      <w:r w:rsidRPr="00AA7459">
        <w:t>For later use,</w:t>
      </w:r>
      <w:r w:rsidR="001557E1">
        <w:t xml:space="preserve"> </w:t>
      </w:r>
      <w:r w:rsidR="001557E1" w:rsidRPr="00AA7459">
        <w:t xml:space="preserve">stack the lower thresholds for each decision maker into an </w:t>
      </w:r>
      <w:r w:rsidR="001557E1" w:rsidRPr="00AA7459">
        <w:rPr>
          <w:position w:val="-10"/>
        </w:rPr>
        <w:object w:dxaOrig="700" w:dyaOrig="320" w14:anchorId="75E5418F">
          <v:shape id="_x0000_i1071" type="#_x0000_t75" style="width:35.15pt;height:15.85pt" o:ole="">
            <v:imagedata r:id="rId99" o:title=""/>
          </v:shape>
          <o:OLEObject Type="Embed" ProgID="Equation.DSMT4" ShapeID="_x0000_i1071" DrawAspect="Content" ObjectID="_1846406928" r:id="rId100"/>
        </w:object>
      </w:r>
      <w:r w:rsidR="001557E1" w:rsidRPr="00AA7459">
        <w:t xml:space="preserve"> vector </w:t>
      </w:r>
      <w:r w:rsidR="00042ED7" w:rsidRPr="00AA7459">
        <w:rPr>
          <w:position w:val="-14"/>
        </w:rPr>
        <w:object w:dxaOrig="3040" w:dyaOrig="380" w14:anchorId="7710FFD6">
          <v:shape id="_x0000_i1072" type="#_x0000_t75" style="width:153.45pt;height:18.85pt" o:ole="">
            <v:imagedata r:id="rId101" o:title=""/>
          </v:shape>
          <o:OLEObject Type="Embed" ProgID="Equation.DSMT4" ShapeID="_x0000_i1072" DrawAspect="Content" ObjectID="_1846406929" r:id="rId102"/>
        </w:object>
      </w:r>
      <w:r w:rsidR="001557E1" w:rsidRPr="00AA7459">
        <w:t xml:space="preserve">and the upper thresholds for each decision maker into a second </w:t>
      </w:r>
      <w:r w:rsidR="001557E1" w:rsidRPr="00AA7459">
        <w:rPr>
          <w:position w:val="-10"/>
        </w:rPr>
        <w:object w:dxaOrig="700" w:dyaOrig="320" w14:anchorId="62339C5E">
          <v:shape id="_x0000_i1073" type="#_x0000_t75" style="width:35.15pt;height:15.85pt" o:ole="">
            <v:imagedata r:id="rId99" o:title=""/>
          </v:shape>
          <o:OLEObject Type="Embed" ProgID="Equation.DSMT4" ShapeID="_x0000_i1073" DrawAspect="Content" ObjectID="_1846406930" r:id="rId103"/>
        </w:object>
      </w:r>
      <w:r w:rsidR="001557E1" w:rsidRPr="00AA7459">
        <w:t xml:space="preserve"> vector </w:t>
      </w:r>
      <w:r w:rsidR="00042ED7" w:rsidRPr="00AA7459">
        <w:rPr>
          <w:position w:val="-14"/>
        </w:rPr>
        <w:object w:dxaOrig="2580" w:dyaOrig="380" w14:anchorId="7102A414">
          <v:shape id="_x0000_i1074" type="#_x0000_t75" style="width:129pt;height:18.85pt" o:ole="">
            <v:imagedata r:id="rId104" o:title=""/>
          </v:shape>
          <o:OLEObject Type="Embed" ProgID="Equation.DSMT4" ShapeID="_x0000_i1074" DrawAspect="Content" ObjectID="_1846406931" r:id="rId105"/>
        </w:object>
      </w:r>
      <w:r w:rsidR="001557E1" w:rsidRPr="00AA7459">
        <w:t xml:space="preserve">. </w:t>
      </w:r>
      <w:r w:rsidR="001557E1">
        <w:t xml:space="preserve">Then, stack the set of fixed threshold components </w:t>
      </w:r>
      <w:r w:rsidR="00727C2B">
        <w:t xml:space="preserve">for each outcome as </w:t>
      </w:r>
      <w:r w:rsidR="00727C2B" w:rsidRPr="00AA7459">
        <w:rPr>
          <w:position w:val="-14"/>
        </w:rPr>
        <w:object w:dxaOrig="2520" w:dyaOrig="380" w14:anchorId="155B6D25">
          <v:shape id="_x0000_i1075" type="#_x0000_t75" style="width:126.85pt;height:18.85pt" o:ole="">
            <v:imagedata r:id="rId106" o:title=""/>
          </v:shape>
          <o:OLEObject Type="Embed" ProgID="Equation.DSMT4" ShapeID="_x0000_i1075" DrawAspect="Content" ObjectID="_1846406932" r:id="rId107"/>
        </w:object>
      </w:r>
      <w:r w:rsidR="00727C2B">
        <w:t xml:space="preserve"> and </w:t>
      </w:r>
      <w:r w:rsidR="002B1B03">
        <w:t xml:space="preserve">define the set of fixed thresholds as </w:t>
      </w:r>
      <w:r w:rsidR="00D27178" w:rsidRPr="00AA7459">
        <w:rPr>
          <w:position w:val="-12"/>
        </w:rPr>
        <w:object w:dxaOrig="1900" w:dyaOrig="360" w14:anchorId="40780BA9">
          <v:shape id="_x0000_i1076" type="#_x0000_t75" style="width:94.7pt;height:18.85pt" o:ole="">
            <v:imagedata r:id="rId108" o:title=""/>
          </v:shape>
          <o:OLEObject Type="Embed" ProgID="Equation.DSMT4" ShapeID="_x0000_i1076" DrawAspect="Content" ObjectID="_1846406933" r:id="rId109"/>
        </w:object>
      </w:r>
      <w:r w:rsidR="00D27178">
        <w:t xml:space="preserve"> Also, stack the coefficients for the </w:t>
      </w:r>
      <w:r w:rsidR="004356D9">
        <w:t xml:space="preserve">direct </w:t>
      </w:r>
      <w:r w:rsidR="00D27178">
        <w:t xml:space="preserve">shift effects </w:t>
      </w:r>
      <w:r w:rsidR="004356D9">
        <w:t xml:space="preserve">of exogenous variables </w:t>
      </w:r>
      <w:r w:rsidR="005A667C">
        <w:t xml:space="preserve">into the </w:t>
      </w:r>
      <w:r w:rsidR="00E15237">
        <w:t>matrix</w:t>
      </w:r>
      <w:r w:rsidR="00D27178">
        <w:t xml:space="preserve"> </w:t>
      </w:r>
      <w:r w:rsidR="003F165C" w:rsidRPr="00281AB9">
        <w:rPr>
          <w:position w:val="-14"/>
        </w:rPr>
        <w:object w:dxaOrig="3860" w:dyaOrig="380" w14:anchorId="2CC76A13">
          <v:shape id="_x0000_i1155" type="#_x0000_t75" style="width:192pt;height:18.85pt" o:ole="">
            <v:imagedata r:id="rId110" o:title=""/>
          </v:shape>
          <o:OLEObject Type="Embed" ProgID="Equation.DSMT4" ShapeID="_x0000_i1155" DrawAspect="Content" ObjectID="_1846406934" r:id="rId111"/>
        </w:object>
      </w:r>
      <w:r w:rsidR="004356D9">
        <w:t xml:space="preserve">, the coefficients for the </w:t>
      </w:r>
      <w:r w:rsidR="00434729">
        <w:t xml:space="preserve">shift effects based on the number of days of full-day telework into the vector </w:t>
      </w:r>
      <w:r w:rsidR="005D54BC" w:rsidRPr="00511C9E">
        <w:rPr>
          <w:position w:val="-14"/>
        </w:rPr>
        <w:object w:dxaOrig="3340" w:dyaOrig="380" w14:anchorId="5B5A45D7">
          <v:shape id="_x0000_i1078" type="#_x0000_t75" style="width:165.85pt;height:18.85pt" o:ole="">
            <v:imagedata r:id="rId112" o:title=""/>
          </v:shape>
          <o:OLEObject Type="Embed" ProgID="Equation.DSMT4" ShapeID="_x0000_i1078" DrawAspect="Content" ObjectID="_1846406935" r:id="rId113"/>
        </w:object>
      </w:r>
      <w:r w:rsidR="00335603">
        <w:t xml:space="preserve"> and the moderating effects of exogenous variables into the </w:t>
      </w:r>
      <w:r w:rsidR="00E477B9">
        <w:t>matrix</w:t>
      </w:r>
      <w:r w:rsidR="00C8217C">
        <w:t xml:space="preserve"> </w:t>
      </w:r>
      <w:r w:rsidR="00007AB0" w:rsidRPr="00511C9E">
        <w:rPr>
          <w:position w:val="-14"/>
        </w:rPr>
        <w:object w:dxaOrig="3500" w:dyaOrig="380" w14:anchorId="670E1792">
          <v:shape id="_x0000_i1079" type="#_x0000_t75" style="width:175.3pt;height:18.85pt" o:ole="">
            <v:imagedata r:id="rId114" o:title=""/>
          </v:shape>
          <o:OLEObject Type="Embed" ProgID="Equation.DSMT4" ShapeID="_x0000_i1079" DrawAspect="Content" ObjectID="_1846406936" r:id="rId115"/>
        </w:object>
      </w:r>
      <w:r w:rsidR="00007AB0">
        <w:t xml:space="preserve"> </w:t>
      </w:r>
      <w:r w:rsidR="00F67E84">
        <w:lastRenderedPageBreak/>
        <w:t>F</w:t>
      </w:r>
      <w:r w:rsidR="00557636" w:rsidRPr="00AA7459">
        <w:t>inally</w:t>
      </w:r>
      <w:r w:rsidRPr="00AA7459">
        <w:t xml:space="preserve">, stack the </w:t>
      </w:r>
      <w:r w:rsidRPr="00AA7459">
        <w:rPr>
          <w:i/>
        </w:rPr>
        <w:t xml:space="preserve">N </w:t>
      </w:r>
      <w:r w:rsidRPr="00AA7459">
        <w:t>underlying continuous</w:t>
      </w:r>
      <w:r w:rsidRPr="00AA7459">
        <w:rPr>
          <w:i/>
        </w:rPr>
        <w:t xml:space="preserve"> </w:t>
      </w:r>
      <w:r w:rsidRPr="00AA7459">
        <w:t xml:space="preserve">variables </w:t>
      </w:r>
      <w:r w:rsidRPr="00AA7459">
        <w:rPr>
          <w:position w:val="-12"/>
        </w:rPr>
        <w:object w:dxaOrig="279" w:dyaOrig="380" w14:anchorId="39CB10D8">
          <v:shape id="_x0000_i1080" type="#_x0000_t75" style="width:15pt;height:18.85pt" o:ole="">
            <v:imagedata r:id="rId116" o:title=""/>
          </v:shape>
          <o:OLEObject Type="Embed" ProgID="Equation.DSMT4" ShapeID="_x0000_i1080" DrawAspect="Content" ObjectID="_1846406937" r:id="rId117"/>
        </w:object>
      </w:r>
      <w:r w:rsidRPr="00AA7459">
        <w:t xml:space="preserve"> into an </w:t>
      </w:r>
      <w:r w:rsidRPr="00AA7459">
        <w:rPr>
          <w:position w:val="-10"/>
        </w:rPr>
        <w:object w:dxaOrig="700" w:dyaOrig="320" w14:anchorId="3E51F7F9">
          <v:shape id="_x0000_i1081" type="#_x0000_t75" style="width:35.15pt;height:15.85pt" o:ole="">
            <v:imagedata r:id="rId99" o:title=""/>
          </v:shape>
          <o:OLEObject Type="Embed" ProgID="Equation.DSMT4" ShapeID="_x0000_i1081" DrawAspect="Content" ObjectID="_1846406938" r:id="rId118"/>
        </w:object>
      </w:r>
      <w:r w:rsidRPr="00AA7459">
        <w:t xml:space="preserve"> vector </w:t>
      </w:r>
      <w:r w:rsidRPr="00AA7459">
        <w:rPr>
          <w:position w:val="-10"/>
        </w:rPr>
        <w:object w:dxaOrig="300" w:dyaOrig="360" w14:anchorId="69A2EC90">
          <v:shape id="_x0000_i1082" type="#_x0000_t75" style="width:15.85pt;height:18.85pt" o:ole="">
            <v:imagedata r:id="rId119" o:title=""/>
          </v:shape>
          <o:OLEObject Type="Embed" ProgID="Equation.DSMT4" ShapeID="_x0000_i1082" DrawAspect="Content" ObjectID="_1846406939" r:id="rId120"/>
        </w:object>
      </w:r>
      <w:r w:rsidRPr="00AA7459">
        <w:t xml:space="preserve"> and the </w:t>
      </w:r>
      <w:r w:rsidRPr="00AA7459">
        <w:rPr>
          <w:i/>
        </w:rPr>
        <w:t>N</w:t>
      </w:r>
      <w:r w:rsidRPr="00AA7459">
        <w:t xml:space="preserve"> error terms </w:t>
      </w:r>
      <w:r w:rsidRPr="00AA7459">
        <w:rPr>
          <w:position w:val="-12"/>
        </w:rPr>
        <w:object w:dxaOrig="260" w:dyaOrig="360" w14:anchorId="2A5A39BD">
          <v:shape id="_x0000_i1083" type="#_x0000_t75" style="width:12.85pt;height:18.85pt" o:ole="">
            <v:imagedata r:id="rId57" o:title=""/>
          </v:shape>
          <o:OLEObject Type="Embed" ProgID="Equation.DSMT4" ShapeID="_x0000_i1083" DrawAspect="Content" ObjectID="_1846406940" r:id="rId121"/>
        </w:object>
      </w:r>
      <w:r w:rsidRPr="00AA7459">
        <w:t xml:space="preserve"> into another </w:t>
      </w:r>
      <w:r w:rsidRPr="00AA7459">
        <w:rPr>
          <w:position w:val="-10"/>
        </w:rPr>
        <w:object w:dxaOrig="700" w:dyaOrig="320" w14:anchorId="6265D0F0">
          <v:shape id="_x0000_i1084" type="#_x0000_t75" style="width:35.15pt;height:15.85pt" o:ole="">
            <v:imagedata r:id="rId99" o:title=""/>
          </v:shape>
          <o:OLEObject Type="Embed" ProgID="Equation.DSMT4" ShapeID="_x0000_i1084" DrawAspect="Content" ObjectID="_1846406941" r:id="rId122"/>
        </w:object>
      </w:r>
      <w:r w:rsidRPr="00AA7459">
        <w:t xml:space="preserve"> vector </w:t>
      </w:r>
      <w:r w:rsidRPr="00AA7459">
        <w:rPr>
          <w:position w:val="-6"/>
        </w:rPr>
        <w:object w:dxaOrig="200" w:dyaOrig="279" w14:anchorId="770D79C0">
          <v:shape id="_x0000_i1085" type="#_x0000_t75" style="width:10.7pt;height:15pt" o:ole="">
            <v:imagedata r:id="rId123" o:title=""/>
          </v:shape>
          <o:OLEObject Type="Embed" ProgID="Equation.DSMT4" ShapeID="_x0000_i1085" DrawAspect="Content" ObjectID="_1846406942" r:id="rId124"/>
        </w:object>
      </w:r>
      <w:r w:rsidRPr="00AA7459">
        <w:t xml:space="preserve">, and define the </w:t>
      </w:r>
      <w:r w:rsidR="00E117AC" w:rsidRPr="00AA7459">
        <w:rPr>
          <w:position w:val="-10"/>
        </w:rPr>
        <w:object w:dxaOrig="800" w:dyaOrig="320" w14:anchorId="5B04B089">
          <v:shape id="_x0000_i1086" type="#_x0000_t75" style="width:39.85pt;height:15.85pt" o:ole="">
            <v:imagedata r:id="rId125" o:title=""/>
          </v:shape>
          <o:OLEObject Type="Embed" ProgID="Equation.DSMT4" ShapeID="_x0000_i1086" DrawAspect="Content" ObjectID="_1846406943" r:id="rId126"/>
        </w:object>
      </w:r>
      <w:r w:rsidRPr="00AA7459">
        <w:t xml:space="preserve"> matrix </w:t>
      </w:r>
      <w:r w:rsidR="003F165C" w:rsidRPr="00AA7459">
        <w:rPr>
          <w:position w:val="-12"/>
        </w:rPr>
        <w:object w:dxaOrig="1860" w:dyaOrig="400" w14:anchorId="5DF5664A">
          <v:shape id="_x0000_i1157" type="#_x0000_t75" style="width:93pt;height:20.15pt" o:ole="">
            <v:imagedata r:id="rId127" o:title=""/>
          </v:shape>
          <o:OLEObject Type="Embed" ProgID="Equation.DSMT4" ShapeID="_x0000_i1157" DrawAspect="Content" ObjectID="_1846406944" r:id="rId128"/>
        </w:object>
      </w:r>
      <w:r w:rsidRPr="00AA7459">
        <w:t xml:space="preserve">. </w:t>
      </w:r>
      <w:r w:rsidR="00E9207F" w:rsidRPr="00AA7459">
        <w:t xml:space="preserve">To accommodate the </w:t>
      </w:r>
      <w:r w:rsidR="008A6AA9" w:rsidRPr="00AA7459">
        <w:t xml:space="preserve">correlations between the ordinal variables, the error vector </w:t>
      </w:r>
      <w:r w:rsidR="008A6AA9" w:rsidRPr="00AA7459">
        <w:rPr>
          <w:position w:val="-6"/>
        </w:rPr>
        <w:object w:dxaOrig="200" w:dyaOrig="279" w14:anchorId="5C79C299">
          <v:shape id="_x0000_i1088" type="#_x0000_t75" style="width:10.7pt;height:15pt" o:ole="">
            <v:imagedata r:id="rId123" o:title=""/>
          </v:shape>
          <o:OLEObject Type="Embed" ProgID="Equation.DSMT4" ShapeID="_x0000_i1088" DrawAspect="Content" ObjectID="_1846406945" r:id="rId129"/>
        </w:object>
      </w:r>
      <w:r w:rsidR="00DC1C21" w:rsidRPr="00AA7459">
        <w:t xml:space="preserve"> is assumed to be multivariate normally distributed with a mean vector of zeros and a general correlation matrix given by:</w:t>
      </w:r>
    </w:p>
    <w:p w14:paraId="2A61FBA7" w14:textId="6E5114F5" w:rsidR="00913720" w:rsidRPr="00AA7459" w:rsidRDefault="00C9625F" w:rsidP="00F04583">
      <w:pPr>
        <w:pStyle w:val="MTDisplayEquation"/>
        <w:spacing w:before="120" w:after="120"/>
      </w:pPr>
      <w:r w:rsidRPr="00C9625F">
        <w:rPr>
          <w:position w:val="-68"/>
        </w:rPr>
        <w:object w:dxaOrig="2680" w:dyaOrig="1480" w14:anchorId="61570604">
          <v:shape id="_x0000_i1089" type="#_x0000_t75" style="width:133.3pt;height:75.85pt" o:ole="">
            <v:imagedata r:id="rId130" o:title=""/>
          </v:shape>
          <o:OLEObject Type="Embed" ProgID="Equation.DSMT4" ShapeID="_x0000_i1089" DrawAspect="Content" ObjectID="_1846406946" r:id="rId131"/>
        </w:object>
      </w:r>
      <w:r w:rsidR="00DC1C21" w:rsidRPr="00AA7459">
        <w:tab/>
      </w:r>
      <w:r w:rsidR="00DC1C21" w:rsidRPr="00AA7459">
        <w:tab/>
      </w:r>
      <w:r w:rsidR="00DC1C21" w:rsidRPr="00AA7459">
        <w:fldChar w:fldCharType="begin"/>
      </w:r>
      <w:r w:rsidR="00DC1C21" w:rsidRPr="00AA7459">
        <w:instrText xml:space="preserve"> MACROBUTTON MTPlaceRef \* MERGEFORMAT </w:instrText>
      </w:r>
      <w:r w:rsidR="00DC1C21" w:rsidRPr="00AA7459">
        <w:fldChar w:fldCharType="begin"/>
      </w:r>
      <w:r w:rsidR="00DC1C21" w:rsidRPr="00AA7459">
        <w:instrText xml:space="preserve"> SEQ MTEqn \h \* MERGEFORMAT </w:instrText>
      </w:r>
      <w:r w:rsidR="00DC1C21" w:rsidRPr="00AA7459">
        <w:fldChar w:fldCharType="end"/>
      </w:r>
      <w:r w:rsidR="00DC1C21" w:rsidRPr="00AA7459">
        <w:instrText>(</w:instrText>
      </w:r>
      <w:r w:rsidR="003C4525">
        <w:fldChar w:fldCharType="begin"/>
      </w:r>
      <w:r w:rsidR="003C4525">
        <w:instrText xml:space="preserve"> SEQ MTEqn \c \* Arabic \* MERGEFORMAT </w:instrText>
      </w:r>
      <w:r w:rsidR="003C4525">
        <w:fldChar w:fldCharType="separate"/>
      </w:r>
      <w:r w:rsidR="00F04583">
        <w:rPr>
          <w:noProof/>
        </w:rPr>
        <w:instrText>5</w:instrText>
      </w:r>
      <w:r w:rsidR="003C4525">
        <w:rPr>
          <w:noProof/>
        </w:rPr>
        <w:fldChar w:fldCharType="end"/>
      </w:r>
      <w:r w:rsidR="00DC1C21" w:rsidRPr="00AA7459">
        <w:instrText>)</w:instrText>
      </w:r>
      <w:r w:rsidR="00DC1C21" w:rsidRPr="00AA7459">
        <w:fldChar w:fldCharType="end"/>
      </w:r>
    </w:p>
    <w:p w14:paraId="161606CB" w14:textId="13BB5B2D" w:rsidR="00715333" w:rsidRPr="00AA7459" w:rsidRDefault="00715333" w:rsidP="001D6510">
      <w:r w:rsidRPr="00AA7459">
        <w:t xml:space="preserve">where the off-diagonal terms </w:t>
      </w:r>
      <w:r w:rsidR="00002A99" w:rsidRPr="00AA7459">
        <w:rPr>
          <w:position w:val="-14"/>
        </w:rPr>
        <w:object w:dxaOrig="300" w:dyaOrig="380" w14:anchorId="6B6BA9BE">
          <v:shape id="_x0000_i1090" type="#_x0000_t75" style="width:15pt;height:18.85pt" o:ole="">
            <v:imagedata r:id="rId132" o:title=""/>
          </v:shape>
          <o:OLEObject Type="Embed" ProgID="Equation.DSMT4" ShapeID="_x0000_i1090" DrawAspect="Content" ObjectID="_1846406947" r:id="rId133"/>
        </w:object>
      </w:r>
      <w:r w:rsidR="00002A99" w:rsidRPr="00AA7459">
        <w:t xml:space="preserve"> capture error correlations among the underlying latent propensities for the ordinal outcomes. </w:t>
      </w:r>
      <w:r w:rsidR="00037F11" w:rsidRPr="00AA7459">
        <w:t xml:space="preserve">These correlations accommodate the presence of unobserved variables that jointly influence multiple </w:t>
      </w:r>
      <w:r w:rsidR="00634D43">
        <w:t xml:space="preserve">ordered </w:t>
      </w:r>
      <w:r w:rsidR="00037F11" w:rsidRPr="00AA7459">
        <w:t xml:space="preserve">outcomes. </w:t>
      </w:r>
      <w:r w:rsidR="009C3091" w:rsidRPr="00AA7459">
        <w:t xml:space="preserve"> Note that, for estimation, each of these </w:t>
      </w:r>
      <w:r w:rsidR="00EA2745" w:rsidRPr="00AA7459">
        <w:t xml:space="preserve">stacked </w:t>
      </w:r>
      <w:r w:rsidR="009C3091" w:rsidRPr="00AA7459">
        <w:t>vectors must be marginalized for all individuals without a complete set of outcomes</w:t>
      </w:r>
      <w:r w:rsidR="00EA2745" w:rsidRPr="00AA7459">
        <w:t xml:space="preserve">. Specifically, those individuals indicating that they never telework do not have responses to the two count outcomes. These individuals will only have the single overall telework adoption dimension (along with the continuous commute distance dimension), rather than the complete set of three ordinal outcomes. </w:t>
      </w:r>
    </w:p>
    <w:p w14:paraId="1D4AFE7A" w14:textId="76786463" w:rsidR="00AB6D5B" w:rsidRPr="00AA7459" w:rsidRDefault="002779A2" w:rsidP="001D6510">
      <w:r w:rsidRPr="00AA7459">
        <w:tab/>
        <w:t xml:space="preserve">Next, to accommodate the joint nature of the model between the </w:t>
      </w:r>
      <w:r w:rsidR="001A5EEB" w:rsidRPr="00AA7459">
        <w:t xml:space="preserve">continuous outcome and ordinal outcomes, we can define </w:t>
      </w:r>
      <w:r w:rsidR="00F17C6E" w:rsidRPr="00AA7459">
        <w:rPr>
          <w:position w:val="-28"/>
        </w:rPr>
        <w:object w:dxaOrig="1500" w:dyaOrig="780" w14:anchorId="6E2F6799">
          <v:shape id="_x0000_i1091" type="#_x0000_t75" style="width:76.3pt;height:41.15pt" o:ole="">
            <v:imagedata r:id="rId134" o:title=""/>
          </v:shape>
          <o:OLEObject Type="Embed" ProgID="Equation.DSMT4" ShapeID="_x0000_i1091" DrawAspect="Content" ObjectID="_1846406948" r:id="rId135"/>
        </w:object>
      </w:r>
      <w:r w:rsidR="00F17C6E" w:rsidRPr="00AA7459">
        <w:t xml:space="preserve"> which contains the complete set of outcomes for an individual. </w:t>
      </w:r>
      <w:r w:rsidR="00C762ED" w:rsidRPr="00AA7459">
        <w:t xml:space="preserve">Similarly, we can define </w:t>
      </w:r>
      <w:r w:rsidR="003F165C" w:rsidRPr="00AA7459">
        <w:rPr>
          <w:position w:val="-10"/>
        </w:rPr>
        <w:object w:dxaOrig="1140" w:dyaOrig="380" w14:anchorId="0AF1B1F8">
          <v:shape id="_x0000_i1160" type="#_x0000_t75" style="width:57pt;height:18.85pt" o:ole="" o:preferrelative="f">
            <v:imagedata r:id="rId136" o:title=""/>
            <o:lock v:ext="edit" aspectratio="f"/>
          </v:shape>
          <o:OLEObject Type="Embed" ProgID="Equation.DSMT4" ShapeID="_x0000_i1160" DrawAspect="Content" ObjectID="_1846406949" r:id="rId137"/>
        </w:object>
      </w:r>
      <w:r w:rsidR="006B2DE8" w:rsidRPr="00AA7459">
        <w:t xml:space="preserve"> and </w:t>
      </w:r>
      <w:r w:rsidR="006B2DE8" w:rsidRPr="00AA7459">
        <w:rPr>
          <w:position w:val="-10"/>
        </w:rPr>
        <w:object w:dxaOrig="1040" w:dyaOrig="320" w14:anchorId="7DFB42DE">
          <v:shape id="_x0000_i1093" type="#_x0000_t75" style="width:51.85pt;height:15.85pt" o:ole="">
            <v:imagedata r:id="rId138" o:title=""/>
          </v:shape>
          <o:OLEObject Type="Embed" ProgID="Equation.DSMT4" ShapeID="_x0000_i1093" DrawAspect="Content" ObjectID="_1846406950" r:id="rId139"/>
        </w:object>
      </w:r>
      <w:r w:rsidR="006B2DE8" w:rsidRPr="00AA7459">
        <w:t xml:space="preserve">. </w:t>
      </w:r>
      <w:r w:rsidR="00940E59" w:rsidRPr="00AA7459">
        <w:t xml:space="preserve">The covariance matrix of </w:t>
      </w:r>
      <w:r w:rsidR="0087775D" w:rsidRPr="00AA7459">
        <w:rPr>
          <w:position w:val="-6"/>
        </w:rPr>
        <w:object w:dxaOrig="180" w:dyaOrig="279" w14:anchorId="4D8EC140">
          <v:shape id="_x0000_i1094" type="#_x0000_t75" style="width:9.45pt;height:15pt" o:ole="">
            <v:imagedata r:id="rId140" o:title=""/>
          </v:shape>
          <o:OLEObject Type="Embed" ProgID="Equation.DSMT4" ShapeID="_x0000_i1094" DrawAspect="Content" ObjectID="_1846406951" r:id="rId141"/>
        </w:object>
      </w:r>
      <w:r w:rsidR="0087775D" w:rsidRPr="00AA7459">
        <w:t xml:space="preserve"> is given by </w:t>
      </w:r>
      <w:r w:rsidR="002A5CCF" w:rsidRPr="00AA7459">
        <w:rPr>
          <w:position w:val="-30"/>
        </w:rPr>
        <w:object w:dxaOrig="1380" w:dyaOrig="720" w14:anchorId="61115427">
          <v:shape id="_x0000_i1095" type="#_x0000_t75" style="width:67.7pt;height:36.85pt" o:ole="">
            <v:imagedata r:id="rId142" o:title=""/>
          </v:shape>
          <o:OLEObject Type="Embed" ProgID="Equation.DSMT4" ShapeID="_x0000_i1095" DrawAspect="Content" ObjectID="_1846406952" r:id="rId143"/>
        </w:object>
      </w:r>
      <w:r w:rsidR="00BC04F1" w:rsidRPr="00AA7459">
        <w:t xml:space="preserve">, where </w:t>
      </w:r>
      <w:r w:rsidR="009140F2" w:rsidRPr="00AA7459">
        <w:rPr>
          <w:position w:val="-4"/>
        </w:rPr>
        <w:object w:dxaOrig="260" w:dyaOrig="260" w14:anchorId="2A550DB5">
          <v:shape id="_x0000_i1096" type="#_x0000_t75" style="width:12.85pt;height:12.85pt" o:ole="">
            <v:imagedata r:id="rId144" o:title=""/>
          </v:shape>
          <o:OLEObject Type="Embed" ProgID="Equation.DSMT4" ShapeID="_x0000_i1096" DrawAspect="Content" ObjectID="_1846406953" r:id="rId145"/>
        </w:object>
      </w:r>
      <w:r w:rsidR="009140F2" w:rsidRPr="00AA7459">
        <w:t xml:space="preserve"> is a</w:t>
      </w:r>
      <w:r w:rsidR="005307AB" w:rsidRPr="00AA7459">
        <w:t xml:space="preserve">n </w:t>
      </w:r>
      <w:r w:rsidR="005307AB" w:rsidRPr="00AA7459">
        <w:rPr>
          <w:position w:val="-10"/>
        </w:rPr>
        <w:object w:dxaOrig="700" w:dyaOrig="320" w14:anchorId="1D38729B">
          <v:shape id="_x0000_i1097" type="#_x0000_t75" style="width:35.15pt;height:15.85pt" o:ole="">
            <v:imagedata r:id="rId146" o:title=""/>
          </v:shape>
          <o:OLEObject Type="Embed" ProgID="Equation.DSMT4" ShapeID="_x0000_i1097" DrawAspect="Content" ObjectID="_1846406954" r:id="rId147"/>
        </w:object>
      </w:r>
      <w:r w:rsidR="005307AB" w:rsidRPr="00AA7459">
        <w:t xml:space="preserve"> vector of covariance terms between the </w:t>
      </w:r>
      <w:r w:rsidR="009239FF" w:rsidRPr="00AA7459">
        <w:t>continuous</w:t>
      </w:r>
      <w:r w:rsidR="005307AB" w:rsidRPr="00AA7459">
        <w:t xml:space="preserve"> outcome and each ordinal outcome. </w:t>
      </w:r>
      <w:r w:rsidR="00642676" w:rsidRPr="00AA7459">
        <w:t xml:space="preserve">These covariance terms accommodate unobserved factors that jointly influence the </w:t>
      </w:r>
      <w:r w:rsidR="009239FF" w:rsidRPr="00AA7459">
        <w:t>continuous</w:t>
      </w:r>
      <w:r w:rsidR="00642676" w:rsidRPr="00AA7459">
        <w:t xml:space="preserve"> outcome and ordinal outcomes. </w:t>
      </w:r>
      <w:r w:rsidR="007318CF" w:rsidRPr="00AA7459">
        <w:t xml:space="preserve">Then, </w:t>
      </w:r>
      <w:r w:rsidR="003A113F" w:rsidRPr="00AA7459">
        <w:t xml:space="preserve">for the complete model system, we have </w:t>
      </w:r>
      <w:r w:rsidR="00FA3532" w:rsidRPr="00AA7459">
        <w:rPr>
          <w:position w:val="-12"/>
        </w:rPr>
        <w:object w:dxaOrig="1860" w:dyaOrig="400" w14:anchorId="58AB7602">
          <v:shape id="_x0000_i1098" type="#_x0000_t75" style="width:93.85pt;height:20.15pt" o:ole="">
            <v:imagedata r:id="rId148" o:title=""/>
          </v:shape>
          <o:OLEObject Type="Embed" ProgID="Equation.DSMT4" ShapeID="_x0000_i1098" DrawAspect="Content" ObjectID="_1846406955" r:id="rId149"/>
        </w:object>
      </w:r>
      <w:r w:rsidR="00880CAD" w:rsidRPr="00AA7459">
        <w:t xml:space="preserve">, which is the </w:t>
      </w:r>
      <w:r w:rsidR="002F7830">
        <w:t>(</w:t>
      </w:r>
      <w:r w:rsidR="00943867" w:rsidRPr="00AA7459">
        <w:t>N+1</w:t>
      </w:r>
      <w:r w:rsidR="002F7830">
        <w:t>)</w:t>
      </w:r>
      <w:r w:rsidR="00943867" w:rsidRPr="00AA7459">
        <w:t xml:space="preserve">-dimensional </w:t>
      </w:r>
      <w:r w:rsidR="00880CAD" w:rsidRPr="00AA7459">
        <w:t xml:space="preserve">multivariate normal distribution with </w:t>
      </w:r>
      <w:r w:rsidR="00943867" w:rsidRPr="00AA7459">
        <w:t xml:space="preserve">mean </w:t>
      </w:r>
      <w:r w:rsidR="00A523E2" w:rsidRPr="00A523E2">
        <w:rPr>
          <w:position w:val="-30"/>
        </w:rPr>
        <w:object w:dxaOrig="1040" w:dyaOrig="720" w14:anchorId="744F3A5C">
          <v:shape id="_x0000_i1099" type="#_x0000_t75" style="width:49.3pt;height:36pt" o:ole="">
            <v:imagedata r:id="rId150" o:title=""/>
          </v:shape>
          <o:OLEObject Type="Embed" ProgID="Equation.DSMT4" ShapeID="_x0000_i1099" DrawAspect="Content" ObjectID="_1846406956" r:id="rId151"/>
        </w:object>
      </w:r>
      <w:r w:rsidR="00943867" w:rsidRPr="00AA7459">
        <w:t xml:space="preserve"> and covariance matrix </w:t>
      </w:r>
      <w:r w:rsidR="00943867" w:rsidRPr="00AA7459">
        <w:rPr>
          <w:position w:val="-4"/>
        </w:rPr>
        <w:object w:dxaOrig="240" w:dyaOrig="320" w14:anchorId="7B8BF6A3">
          <v:shape id="_x0000_i1100" type="#_x0000_t75" style="width:12.85pt;height:15.85pt" o:ole="">
            <v:imagedata r:id="rId152" o:title=""/>
          </v:shape>
          <o:OLEObject Type="Embed" ProgID="Equation.DSMT4" ShapeID="_x0000_i1100" DrawAspect="Content" ObjectID="_1846406957" r:id="rId153"/>
        </w:object>
      </w:r>
      <w:r w:rsidR="00943867" w:rsidRPr="00AA7459">
        <w:t xml:space="preserve">. Let </w:t>
      </w:r>
      <w:r w:rsidR="007530D5" w:rsidRPr="00AA7459">
        <w:rPr>
          <w:position w:val="-6"/>
        </w:rPr>
        <w:object w:dxaOrig="200" w:dyaOrig="220" w14:anchorId="53937CB7">
          <v:shape id="_x0000_i1101" type="#_x0000_t75" style="width:10.7pt;height:12pt" o:ole="">
            <v:imagedata r:id="rId154" o:title=""/>
          </v:shape>
          <o:OLEObject Type="Embed" ProgID="Equation.DSMT4" ShapeID="_x0000_i1101" DrawAspect="Content" ObjectID="_1846406958" r:id="rId155"/>
        </w:object>
      </w:r>
      <w:r w:rsidR="00943867" w:rsidRPr="00AA7459">
        <w:rPr>
          <w:position w:val="-6"/>
        </w:rPr>
        <w:t xml:space="preserve"> </w:t>
      </w:r>
      <w:r w:rsidR="00943867" w:rsidRPr="00AA7459">
        <w:t xml:space="preserve">be the collection of parameters to be estimated: </w:t>
      </w:r>
      <w:r w:rsidR="003F165C" w:rsidRPr="00B150D4">
        <w:rPr>
          <w:position w:val="-10"/>
        </w:rPr>
        <w:object w:dxaOrig="5319" w:dyaOrig="380" w14:anchorId="5C246580">
          <v:shape id="_x0000_i1102" type="#_x0000_t75" style="width:265.7pt;height:18.85pt" o:ole="" o:preferrelative="f">
            <v:imagedata r:id="rId156" o:title=""/>
            <o:lock v:ext="edit" aspectratio="f"/>
          </v:shape>
          <o:OLEObject Type="Embed" ProgID="Equation.DSMT4" ShapeID="_x0000_i1102" DrawAspect="Content" ObjectID="_1846406959" r:id="rId157"/>
        </w:object>
      </w:r>
      <w:r w:rsidR="00943867" w:rsidRPr="00AA7459">
        <w:t xml:space="preserve">, where the operator </w:t>
      </w:r>
      <w:r w:rsidR="00943867" w:rsidRPr="00AA7459">
        <w:rPr>
          <w:position w:val="-10"/>
        </w:rPr>
        <w:object w:dxaOrig="980" w:dyaOrig="320" w14:anchorId="7B56C45A">
          <v:shape id="_x0000_i1103" type="#_x0000_t75" style="width:49.3pt;height:15.85pt" o:ole="">
            <v:imagedata r:id="rId158" o:title=""/>
          </v:shape>
          <o:OLEObject Type="Embed" ProgID="Equation.DSMT4" ShapeID="_x0000_i1103" DrawAspect="Content" ObjectID="_1846406960" r:id="rId159"/>
        </w:object>
      </w:r>
      <w:r w:rsidR="00943867" w:rsidRPr="00AA7459">
        <w:t xml:space="preserve"> vectorizes all the non-zero elements of the matrix/vector on which it operates</w:t>
      </w:r>
      <w:r w:rsidR="00C6437D">
        <w:t xml:space="preserve"> and the operator </w:t>
      </w:r>
      <w:r w:rsidR="00C6437D" w:rsidRPr="00C6437D">
        <w:rPr>
          <w:position w:val="-10"/>
        </w:rPr>
        <w:object w:dxaOrig="1219" w:dyaOrig="320" w14:anchorId="2DF33EEA">
          <v:shape id="_x0000_i1104" type="#_x0000_t75" style="width:61.3pt;height:15.85pt" o:ole="">
            <v:imagedata r:id="rId160" o:title=""/>
          </v:shape>
          <o:OLEObject Type="Embed" ProgID="Equation.DSMT4" ShapeID="_x0000_i1104" DrawAspect="Content" ObjectID="_1846406961" r:id="rId161"/>
        </w:object>
      </w:r>
      <w:r w:rsidR="00C6437D">
        <w:t xml:space="preserve"> vectorizes all the upper-diagonal non-zero elements of the matrix</w:t>
      </w:r>
      <w:r w:rsidR="00943867" w:rsidRPr="00AA7459">
        <w:t xml:space="preserve">. </w:t>
      </w:r>
    </w:p>
    <w:p w14:paraId="66693678" w14:textId="60451038" w:rsidR="006C72A4" w:rsidRDefault="00D71134" w:rsidP="001D6510">
      <w:r w:rsidRPr="00AA7459">
        <w:tab/>
        <w:t xml:space="preserve">For </w:t>
      </w:r>
      <w:r w:rsidR="002726D5" w:rsidRPr="00AA7459">
        <w:t xml:space="preserve">model </w:t>
      </w:r>
      <w:r w:rsidRPr="00AA7459">
        <w:t xml:space="preserve">estimation, let the observed value of the </w:t>
      </w:r>
      <w:r w:rsidR="009239FF" w:rsidRPr="00AA7459">
        <w:t>continuous</w:t>
      </w:r>
      <w:r w:rsidR="00AB6BE6" w:rsidRPr="00AA7459">
        <w:t xml:space="preserve"> outcome for the individual be </w:t>
      </w:r>
      <w:r w:rsidR="00AB6BE6" w:rsidRPr="00AA7459">
        <w:rPr>
          <w:position w:val="-10"/>
        </w:rPr>
        <w:object w:dxaOrig="220" w:dyaOrig="260" w14:anchorId="6983FE64">
          <v:shape id="_x0000_i1105" type="#_x0000_t75" style="width:10.7pt;height:12.85pt" o:ole="">
            <v:imagedata r:id="rId162" o:title=""/>
          </v:shape>
          <o:OLEObject Type="Embed" ProgID="Equation.DSMT4" ShapeID="_x0000_i1105" DrawAspect="Content" ObjectID="_1846406962" r:id="rId163"/>
        </w:object>
      </w:r>
      <w:r w:rsidR="00AB6BE6" w:rsidRPr="00AA7459">
        <w:t xml:space="preserve">. </w:t>
      </w:r>
      <w:r w:rsidR="00EB3EC4" w:rsidRPr="00AA7459">
        <w:t xml:space="preserve">Then, the conditional </w:t>
      </w:r>
      <w:r w:rsidR="009239FF" w:rsidRPr="00AA7459">
        <w:t>distribution</w:t>
      </w:r>
      <w:r w:rsidR="00EB3EC4" w:rsidRPr="00AA7459">
        <w:t xml:space="preserve"> of </w:t>
      </w:r>
      <w:r w:rsidR="002402E9" w:rsidRPr="00AA7459">
        <w:rPr>
          <w:position w:val="-10"/>
        </w:rPr>
        <w:object w:dxaOrig="279" w:dyaOrig="360" w14:anchorId="36DF2DA4">
          <v:shape id="_x0000_i1106" type="#_x0000_t75" style="width:15pt;height:18.85pt" o:ole="">
            <v:imagedata r:id="rId164" o:title=""/>
          </v:shape>
          <o:OLEObject Type="Embed" ProgID="Equation.DSMT4" ShapeID="_x0000_i1106" DrawAspect="Content" ObjectID="_1846406963" r:id="rId165"/>
        </w:object>
      </w:r>
      <w:r w:rsidR="002402E9" w:rsidRPr="00AA7459">
        <w:t xml:space="preserve"> for </w:t>
      </w:r>
      <w:r w:rsidR="00EB3EC4" w:rsidRPr="00AA7459">
        <w:t xml:space="preserve">the ordinal outcomes, given </w:t>
      </w:r>
      <w:r w:rsidR="00180F8E" w:rsidRPr="00AA7459">
        <w:rPr>
          <w:position w:val="-10"/>
        </w:rPr>
        <w:object w:dxaOrig="600" w:dyaOrig="260" w14:anchorId="6B1C0F93">
          <v:shape id="_x0000_i1107" type="#_x0000_t75" style="width:30pt;height:12.85pt" o:ole="">
            <v:imagedata r:id="rId166" o:title=""/>
          </v:shape>
          <o:OLEObject Type="Embed" ProgID="Equation.DSMT4" ShapeID="_x0000_i1107" DrawAspect="Content" ObjectID="_1846406964" r:id="rId167"/>
        </w:object>
      </w:r>
      <w:r w:rsidR="00180F8E" w:rsidRPr="00AA7459">
        <w:t xml:space="preserve"> is multivariate normally distributed with mean </w:t>
      </w:r>
      <w:r w:rsidR="00BA56B1" w:rsidRPr="00AA7459">
        <w:rPr>
          <w:position w:val="-10"/>
        </w:rPr>
        <w:object w:dxaOrig="2360" w:dyaOrig="380" w14:anchorId="29A51BFE">
          <v:shape id="_x0000_i1108" type="#_x0000_t75" style="width:117.85pt;height:18.85pt" o:ole="">
            <v:imagedata r:id="rId168" o:title=""/>
          </v:shape>
          <o:OLEObject Type="Embed" ProgID="Equation.DSMT4" ShapeID="_x0000_i1108" DrawAspect="Content" ObjectID="_1846406965" r:id="rId169"/>
        </w:object>
      </w:r>
      <w:r w:rsidR="00B3470C" w:rsidRPr="00AA7459">
        <w:t xml:space="preserve"> </w:t>
      </w:r>
      <w:r w:rsidR="00BB75CC" w:rsidRPr="00AA7459">
        <w:t>and variance</w:t>
      </w:r>
      <w:r w:rsidR="00B3470C" w:rsidRPr="00AA7459">
        <w:t xml:space="preserve"> </w:t>
      </w:r>
      <w:r w:rsidR="00BB31CF" w:rsidRPr="00AA7459">
        <w:rPr>
          <w:position w:val="-6"/>
        </w:rPr>
        <w:object w:dxaOrig="1640" w:dyaOrig="320" w14:anchorId="67FE88FC">
          <v:shape id="_x0000_i1109" type="#_x0000_t75" style="width:82.7pt;height:15.85pt" o:ole="">
            <v:imagedata r:id="rId170" o:title=""/>
          </v:shape>
          <o:OLEObject Type="Embed" ProgID="Equation.DSMT4" ShapeID="_x0000_i1109" DrawAspect="Content" ObjectID="_1846406966" r:id="rId171"/>
        </w:object>
      </w:r>
      <w:r w:rsidR="00BB75CC" w:rsidRPr="00AA7459">
        <w:t>.</w:t>
      </w:r>
      <w:r w:rsidR="000B41F6" w:rsidRPr="00AA7459">
        <w:t xml:space="preserve"> Also, let the number of </w:t>
      </w:r>
      <w:r w:rsidR="0092603C">
        <w:t xml:space="preserve">working </w:t>
      </w:r>
      <w:r w:rsidR="000B41F6" w:rsidRPr="00AA7459">
        <w:t xml:space="preserve">days </w:t>
      </w:r>
      <w:r w:rsidR="0092603C">
        <w:t>for</w:t>
      </w:r>
      <w:r w:rsidR="000B41F6" w:rsidRPr="00AA7459">
        <w:t xml:space="preserve"> an individual be </w:t>
      </w:r>
      <w:r w:rsidR="000B41F6" w:rsidRPr="00AA7459">
        <w:rPr>
          <w:position w:val="-6"/>
        </w:rPr>
        <w:object w:dxaOrig="220" w:dyaOrig="279" w14:anchorId="36E1691B">
          <v:shape id="_x0000_i1110" type="#_x0000_t75" style="width:10.7pt;height:15pt" o:ole="">
            <v:imagedata r:id="rId172" o:title=""/>
          </v:shape>
          <o:OLEObject Type="Embed" ProgID="Equation.DSMT4" ShapeID="_x0000_i1110" DrawAspect="Content" ObjectID="_1846406967" r:id="rId173"/>
        </w:object>
      </w:r>
      <w:r w:rsidR="000D3F9E" w:rsidRPr="00AA7459">
        <w:t xml:space="preserve"> (</w:t>
      </w:r>
      <w:r w:rsidR="000D3F9E" w:rsidRPr="00AA7459">
        <w:rPr>
          <w:position w:val="-6"/>
        </w:rPr>
        <w:object w:dxaOrig="900" w:dyaOrig="279" w14:anchorId="736FCF13">
          <v:shape id="_x0000_i1111" type="#_x0000_t75" style="width:45.85pt;height:15pt" o:ole="">
            <v:imagedata r:id="rId174" o:title=""/>
          </v:shape>
          <o:OLEObject Type="Embed" ProgID="Equation.DSMT4" ShapeID="_x0000_i1111" DrawAspect="Content" ObjectID="_1846406968" r:id="rId175"/>
        </w:object>
      </w:r>
      <w:r w:rsidR="000D3F9E" w:rsidRPr="00AA7459">
        <w:t>).</w:t>
      </w:r>
      <w:r w:rsidR="00BB75CC" w:rsidRPr="00AA7459">
        <w:t xml:space="preserve"> </w:t>
      </w:r>
      <w:r w:rsidR="006C72A4">
        <w:t xml:space="preserve">Finally, </w:t>
      </w:r>
      <w:r w:rsidR="00167A76">
        <w:t xml:space="preserve">as discussed above, not all combinations of frequencies of part-day and full-day telework are possible. </w:t>
      </w:r>
      <w:r w:rsidR="009175B9">
        <w:t>Thus, g</w:t>
      </w:r>
      <w:r w:rsidR="006C72A4">
        <w:t xml:space="preserve">iven </w:t>
      </w:r>
      <w:r w:rsidR="009175B9">
        <w:t>the number of working</w:t>
      </w:r>
      <w:r w:rsidR="006C72A4">
        <w:t xml:space="preserve"> days, </w:t>
      </w:r>
      <w:r w:rsidR="009175B9">
        <w:t xml:space="preserve">we can </w:t>
      </w:r>
      <w:r w:rsidR="006C72A4">
        <w:t>define the set of threshold level combinations that are infeasible for the individual as:</w:t>
      </w:r>
    </w:p>
    <w:p w14:paraId="61EAD66A" w14:textId="7A47E375" w:rsidR="006C72A4" w:rsidRDefault="000A33B5" w:rsidP="00F04583">
      <w:pPr>
        <w:pStyle w:val="MTDisplayEquation"/>
        <w:spacing w:before="120" w:after="120"/>
      </w:pPr>
      <w:r w:rsidRPr="000A33B5">
        <w:rPr>
          <w:position w:val="-56"/>
        </w:rPr>
        <w:object w:dxaOrig="5980" w:dyaOrig="1240" w14:anchorId="077585BC">
          <v:shape id="_x0000_i1112" type="#_x0000_t75" style="width:298.7pt;height:62.55pt" o:ole="">
            <v:imagedata r:id="rId176" o:title=""/>
          </v:shape>
          <o:OLEObject Type="Embed" ProgID="Equation.DSMT4" ShapeID="_x0000_i1112" DrawAspect="Content" ObjectID="_1846406969" r:id="rId177"/>
        </w:object>
      </w:r>
      <w:r w:rsidR="006C72A4">
        <w:tab/>
      </w:r>
      <w:r w:rsidR="006C72A4">
        <w:fldChar w:fldCharType="begin"/>
      </w:r>
      <w:r w:rsidR="006C72A4">
        <w:instrText xml:space="preserve"> MACROBUTTON MTPlaceRef \* MERGEFORMAT </w:instrText>
      </w:r>
      <w:r w:rsidR="006C72A4">
        <w:fldChar w:fldCharType="begin"/>
      </w:r>
      <w:r w:rsidR="006C72A4">
        <w:instrText xml:space="preserve"> SEQ MTEqn \h \* MERGEFORMAT </w:instrText>
      </w:r>
      <w:r w:rsidR="006C72A4">
        <w:fldChar w:fldCharType="end"/>
      </w:r>
      <w:r w:rsidR="006C72A4">
        <w:instrText>(</w:instrText>
      </w:r>
      <w:r w:rsidR="003C4525">
        <w:fldChar w:fldCharType="begin"/>
      </w:r>
      <w:r w:rsidR="003C4525">
        <w:instrText xml:space="preserve"> SEQ MTEqn \c \* Arabic \* MERGEFORMAT </w:instrText>
      </w:r>
      <w:r w:rsidR="003C4525">
        <w:fldChar w:fldCharType="separate"/>
      </w:r>
      <w:r w:rsidR="00F04583">
        <w:rPr>
          <w:noProof/>
        </w:rPr>
        <w:instrText>6</w:instrText>
      </w:r>
      <w:r w:rsidR="003C4525">
        <w:rPr>
          <w:noProof/>
        </w:rPr>
        <w:fldChar w:fldCharType="end"/>
      </w:r>
      <w:r w:rsidR="006C72A4">
        <w:instrText>)</w:instrText>
      </w:r>
      <w:r w:rsidR="006C72A4">
        <w:fldChar w:fldCharType="end"/>
      </w:r>
    </w:p>
    <w:p w14:paraId="58FF4B8E" w14:textId="62DB454E" w:rsidR="00D71134" w:rsidRPr="00AA7459" w:rsidRDefault="000A33B5" w:rsidP="000A33B5">
      <w:r>
        <w:t xml:space="preserve">where </w:t>
      </w:r>
      <w:r w:rsidRPr="004535D2">
        <w:rPr>
          <w:position w:val="-12"/>
        </w:rPr>
        <w:object w:dxaOrig="420" w:dyaOrig="380" w14:anchorId="0ECE0236">
          <v:shape id="_x0000_i1113" type="#_x0000_t75" style="width:21pt;height:18.85pt" o:ole="">
            <v:imagedata r:id="rId178" o:title=""/>
          </v:shape>
          <o:OLEObject Type="Embed" ProgID="Equation.DSMT4" ShapeID="_x0000_i1113" DrawAspect="Content" ObjectID="_1846406970" r:id="rId179"/>
        </w:object>
      </w:r>
      <w:r>
        <w:t xml:space="preserve"> is the set of all infeasible threshold combinations (with </w:t>
      </w:r>
      <w:r w:rsidRPr="004535D2">
        <w:rPr>
          <w:position w:val="-12"/>
        </w:rPr>
        <w:object w:dxaOrig="440" w:dyaOrig="380" w14:anchorId="5BB9E434">
          <v:shape id="_x0000_i1114" type="#_x0000_t75" style="width:22.7pt;height:18.85pt" o:ole="">
            <v:imagedata r:id="rId180" o:title=""/>
          </v:shape>
          <o:OLEObject Type="Embed" ProgID="Equation.DSMT4" ShapeID="_x0000_i1114" DrawAspect="Content" ObjectID="_1846406971" r:id="rId181"/>
        </w:object>
      </w:r>
      <w:r>
        <w:t xml:space="preserve"> and </w:t>
      </w:r>
      <w:r w:rsidRPr="004535D2">
        <w:rPr>
          <w:position w:val="-14"/>
        </w:rPr>
        <w:object w:dxaOrig="420" w:dyaOrig="400" w14:anchorId="4958B73F">
          <v:shape id="_x0000_i1115" type="#_x0000_t75" style="width:21pt;height:20.15pt" o:ole="">
            <v:imagedata r:id="rId182" o:title=""/>
          </v:shape>
          <o:OLEObject Type="Embed" ProgID="Equation.DSMT4" ShapeID="_x0000_i1115" DrawAspect="Content" ObjectID="_1846406972" r:id="rId183"/>
        </w:object>
      </w:r>
      <w:r>
        <w:t xml:space="preserve"> being the vectors of lower and upper thresholds, respectively, for each element in this set</w:t>
      </w:r>
      <w:proofErr w:type="gramStart"/>
      <w:r>
        <w:t>).</w:t>
      </w:r>
      <w:proofErr w:type="gramEnd"/>
      <w:r w:rsidR="00830C5E">
        <w:t xml:space="preserve"> </w:t>
      </w:r>
      <w:r w:rsidR="00830C5E" w:rsidRPr="00AA7459">
        <w:rPr>
          <w:iCs/>
        </w:rPr>
        <w:t>Specifically, it is impossible that an individual who engages in telework during the week also has zero days of part-day telework and zero days of full-day telework and impossible that the sum of days with part-day telework and full day telework is greater than the number of reported days (</w:t>
      </w:r>
      <w:r w:rsidR="00830C5E" w:rsidRPr="00AA7459">
        <w:rPr>
          <w:iCs/>
          <w:position w:val="-6"/>
        </w:rPr>
        <w:object w:dxaOrig="220" w:dyaOrig="279" w14:anchorId="75F5CE70">
          <v:shape id="_x0000_i1116" type="#_x0000_t75" style="width:10.7pt;height:15pt" o:ole="">
            <v:imagedata r:id="rId184" o:title=""/>
          </v:shape>
          <o:OLEObject Type="Embed" ProgID="Equation.DSMT4" ShapeID="_x0000_i1116" DrawAspect="Content" ObjectID="_1846406973" r:id="rId185"/>
        </w:object>
      </w:r>
      <w:r w:rsidR="00830C5E" w:rsidRPr="00AA7459">
        <w:rPr>
          <w:iCs/>
        </w:rPr>
        <w:t>).</w:t>
      </w:r>
      <w:r>
        <w:t xml:space="preserve"> This set of infeasible outcome combinations include those where an individual reports telework but has zero teleworking days </w:t>
      </w:r>
      <w:r w:rsidRPr="004535D2">
        <w:rPr>
          <w:position w:val="-10"/>
        </w:rPr>
        <w:object w:dxaOrig="999" w:dyaOrig="320" w14:anchorId="38208F02">
          <v:shape id="_x0000_i1117" type="#_x0000_t75" style="width:49.3pt;height:15.85pt" o:ole="">
            <v:imagedata r:id="rId186" o:title=""/>
          </v:shape>
          <o:OLEObject Type="Embed" ProgID="Equation.DSMT4" ShapeID="_x0000_i1117" DrawAspect="Content" ObjectID="_1846406974" r:id="rId187"/>
        </w:object>
      </w:r>
      <w:r>
        <w:t xml:space="preserve"> or reports more days of telework than </w:t>
      </w:r>
      <w:r w:rsidR="00FC6213">
        <w:t>days of work</w:t>
      </w:r>
      <w:r w:rsidR="00830C5E">
        <w:t xml:space="preserve"> </w:t>
      </w:r>
      <w:r w:rsidRPr="004535D2">
        <w:rPr>
          <w:position w:val="-10"/>
        </w:rPr>
        <w:object w:dxaOrig="1040" w:dyaOrig="320" w14:anchorId="3E058C0E">
          <v:shape id="_x0000_i1118" type="#_x0000_t75" style="width:51pt;height:15.85pt" o:ole="">
            <v:imagedata r:id="rId188" o:title=""/>
          </v:shape>
          <o:OLEObject Type="Embed" ProgID="Equation.DSMT4" ShapeID="_x0000_i1118" DrawAspect="Content" ObjectID="_1846406975" r:id="rId189"/>
        </w:object>
      </w:r>
      <w:r>
        <w:t xml:space="preserve">. As noted in the previous section, this set of outcomes is infeasible and the likelihood for each individual must be normalized to account for the fact that not all outcome combinations are available. </w:t>
      </w:r>
      <w:r w:rsidR="007F3026" w:rsidRPr="00AA7459">
        <w:t>Thus, the joint likelihood function may be written as:</w:t>
      </w:r>
    </w:p>
    <w:p w14:paraId="0CD54C20" w14:textId="4041996D" w:rsidR="007F3026" w:rsidRPr="00AA7459" w:rsidRDefault="00EA7E33" w:rsidP="00F04583">
      <w:pPr>
        <w:pStyle w:val="MTDisplayEquation"/>
        <w:spacing w:before="120" w:after="120"/>
      </w:pPr>
      <w:r w:rsidRPr="000A33B5">
        <w:rPr>
          <w:position w:val="-84"/>
        </w:rPr>
        <w:object w:dxaOrig="5280" w:dyaOrig="1320" w14:anchorId="7FF71694">
          <v:shape id="_x0000_i1119" type="#_x0000_t75" style="width:265.3pt;height:67.3pt" o:ole="">
            <v:imagedata r:id="rId190" o:title=""/>
          </v:shape>
          <o:OLEObject Type="Embed" ProgID="Equation.DSMT4" ShapeID="_x0000_i1119" DrawAspect="Content" ObjectID="_1846406976" r:id="rId191"/>
        </w:object>
      </w:r>
      <w:r w:rsidR="00992BE5" w:rsidRPr="00AA7459">
        <w:tab/>
      </w:r>
      <w:r w:rsidR="00C931C8" w:rsidRPr="00AA7459">
        <w:fldChar w:fldCharType="begin"/>
      </w:r>
      <w:r w:rsidR="00C931C8" w:rsidRPr="00AA7459">
        <w:instrText xml:space="preserve"> MACROBUTTON MTPlaceRef \* MERGEFORMAT </w:instrText>
      </w:r>
      <w:r w:rsidR="00C931C8" w:rsidRPr="00AA7459">
        <w:fldChar w:fldCharType="begin"/>
      </w:r>
      <w:r w:rsidR="00C931C8" w:rsidRPr="00AA7459">
        <w:instrText xml:space="preserve"> SEQ MTEqn \h \* MERGEFORMAT </w:instrText>
      </w:r>
      <w:r w:rsidR="00C931C8" w:rsidRPr="00AA7459">
        <w:fldChar w:fldCharType="end"/>
      </w:r>
      <w:bookmarkStart w:id="1" w:name="ZEqnNum535151"/>
      <w:r w:rsidR="00C931C8" w:rsidRPr="00AA7459">
        <w:instrText>(</w:instrText>
      </w:r>
      <w:r w:rsidR="003C4525">
        <w:fldChar w:fldCharType="begin"/>
      </w:r>
      <w:r w:rsidR="003C4525">
        <w:instrText xml:space="preserve"> SEQ MTEqn \c \* Arabic \* MERGEFORMAT </w:instrText>
      </w:r>
      <w:r w:rsidR="003C4525">
        <w:fldChar w:fldCharType="separate"/>
      </w:r>
      <w:r w:rsidR="00F04583">
        <w:rPr>
          <w:noProof/>
        </w:rPr>
        <w:instrText>7</w:instrText>
      </w:r>
      <w:r w:rsidR="003C4525">
        <w:rPr>
          <w:noProof/>
        </w:rPr>
        <w:fldChar w:fldCharType="end"/>
      </w:r>
      <w:r w:rsidR="00C931C8" w:rsidRPr="00AA7459">
        <w:instrText>)</w:instrText>
      </w:r>
      <w:bookmarkEnd w:id="1"/>
      <w:r w:rsidR="00C931C8" w:rsidRPr="00AA7459">
        <w:fldChar w:fldCharType="end"/>
      </w:r>
    </w:p>
    <w:p w14:paraId="1D38A7D5" w14:textId="4ADC47F9" w:rsidR="005B6DC1" w:rsidRPr="00AA7459" w:rsidRDefault="00765E51" w:rsidP="001D6510">
      <w:r w:rsidRPr="00AA7459">
        <w:t xml:space="preserve">where </w:t>
      </w:r>
      <w:r w:rsidRPr="00AA7459">
        <w:rPr>
          <w:position w:val="-10"/>
        </w:rPr>
        <w:object w:dxaOrig="1640" w:dyaOrig="320" w14:anchorId="2EFA0459">
          <v:shape id="_x0000_i1120" type="#_x0000_t75" style="width:82.7pt;height:15.85pt" o:ole="">
            <v:imagedata r:id="rId192" o:title=""/>
          </v:shape>
          <o:OLEObject Type="Embed" ProgID="Equation.DSMT4" ShapeID="_x0000_i1120" DrawAspect="Content" ObjectID="_1846406977" r:id="rId193"/>
        </w:object>
      </w:r>
      <w:r w:rsidRPr="00AA7459">
        <w:t xml:space="preserve"> is the normal density function with a mean of </w:t>
      </w:r>
      <w:r w:rsidR="00594531" w:rsidRPr="00AA7459">
        <w:rPr>
          <w:position w:val="-10"/>
        </w:rPr>
        <w:object w:dxaOrig="400" w:dyaOrig="320" w14:anchorId="00287ED4">
          <v:shape id="_x0000_i1121" type="#_x0000_t75" style="width:20.15pt;height:15.85pt" o:ole="">
            <v:imagedata r:id="rId194" o:title=""/>
          </v:shape>
          <o:OLEObject Type="Embed" ProgID="Equation.DSMT4" ShapeID="_x0000_i1121" DrawAspect="Content" ObjectID="_1846406978" r:id="rId195"/>
        </w:object>
      </w:r>
      <w:r w:rsidR="00594531" w:rsidRPr="00AA7459">
        <w:t xml:space="preserve"> and scale </w:t>
      </w:r>
      <w:r w:rsidR="00594531" w:rsidRPr="00AA7459">
        <w:rPr>
          <w:position w:val="-6"/>
        </w:rPr>
        <w:object w:dxaOrig="240" w:dyaOrig="220" w14:anchorId="26E71E2C">
          <v:shape id="_x0000_i1122" type="#_x0000_t75" style="width:12.85pt;height:10.7pt" o:ole="">
            <v:imagedata r:id="rId196" o:title=""/>
          </v:shape>
          <o:OLEObject Type="Embed" ProgID="Equation.DSMT4" ShapeID="_x0000_i1122" DrawAspect="Content" ObjectID="_1846406979" r:id="rId197"/>
        </w:object>
      </w:r>
      <w:r w:rsidR="00594531" w:rsidRPr="00AA7459">
        <w:t xml:space="preserve"> evaluated at the chosen continuous outcome </w:t>
      </w:r>
      <w:r w:rsidR="00594531" w:rsidRPr="00AA7459">
        <w:rPr>
          <w:position w:val="-10"/>
        </w:rPr>
        <w:object w:dxaOrig="220" w:dyaOrig="260" w14:anchorId="470751CC">
          <v:shape id="_x0000_i1123" type="#_x0000_t75" style="width:10.7pt;height:12.85pt" o:ole="">
            <v:imagedata r:id="rId198" o:title=""/>
          </v:shape>
          <o:OLEObject Type="Embed" ProgID="Equation.DSMT4" ShapeID="_x0000_i1123" DrawAspect="Content" ObjectID="_1846406980" r:id="rId199"/>
        </w:object>
      </w:r>
      <w:r w:rsidR="00594531" w:rsidRPr="00AA7459">
        <w:t xml:space="preserve">. </w:t>
      </w:r>
      <w:r w:rsidR="00E635F3" w:rsidRPr="00AA7459">
        <w:t xml:space="preserve">The probability in the numerator of equation </w:t>
      </w:r>
      <w:r w:rsidR="00E635F3" w:rsidRPr="00AA7459">
        <w:rPr>
          <w:iCs/>
        </w:rPr>
        <w:fldChar w:fldCharType="begin"/>
      </w:r>
      <w:r w:rsidR="00E635F3" w:rsidRPr="00AA7459">
        <w:rPr>
          <w:iCs/>
        </w:rPr>
        <w:instrText xml:space="preserve"> GOTOBUTTON ZEqnNum535151  \* MERGEFORMAT </w:instrText>
      </w:r>
      <w:r w:rsidR="00E635F3" w:rsidRPr="00AA7459">
        <w:rPr>
          <w:iCs/>
        </w:rPr>
        <w:fldChar w:fldCharType="begin"/>
      </w:r>
      <w:r w:rsidR="00E635F3" w:rsidRPr="00AA7459">
        <w:rPr>
          <w:iCs/>
        </w:rPr>
        <w:instrText xml:space="preserve"> REF ZEqnNum535151 \* Charformat \! \* MERGEFORMAT </w:instrText>
      </w:r>
      <w:r w:rsidR="00E635F3" w:rsidRPr="00AA7459">
        <w:rPr>
          <w:iCs/>
        </w:rPr>
        <w:fldChar w:fldCharType="separate"/>
      </w:r>
      <w:r w:rsidR="00F04583" w:rsidRPr="00F04583">
        <w:rPr>
          <w:iCs/>
        </w:rPr>
        <w:instrText>(7)</w:instrText>
      </w:r>
      <w:r w:rsidR="00E635F3" w:rsidRPr="00AA7459">
        <w:rPr>
          <w:iCs/>
        </w:rPr>
        <w:fldChar w:fldCharType="end"/>
      </w:r>
      <w:r w:rsidR="00E635F3" w:rsidRPr="00AA7459">
        <w:rPr>
          <w:iCs/>
        </w:rPr>
        <w:fldChar w:fldCharType="end"/>
      </w:r>
      <w:r w:rsidR="00E635F3" w:rsidRPr="00AA7459">
        <w:rPr>
          <w:iCs/>
        </w:rPr>
        <w:t xml:space="preserve"> is the </w:t>
      </w:r>
      <w:r w:rsidR="00C01EC9" w:rsidRPr="00AA7459">
        <w:rPr>
          <w:iCs/>
        </w:rPr>
        <w:t xml:space="preserve">conditional likelihood of selecting the chosen combination of ordinal outcomes given the chosen continuous outcome and assuming that all combinations of ordinal </w:t>
      </w:r>
      <w:r w:rsidR="000B41F6" w:rsidRPr="00AA7459">
        <w:rPr>
          <w:iCs/>
        </w:rPr>
        <w:t>outcomes</w:t>
      </w:r>
      <w:r w:rsidR="00C01EC9" w:rsidRPr="00AA7459">
        <w:rPr>
          <w:iCs/>
        </w:rPr>
        <w:t xml:space="preserve"> are available. The </w:t>
      </w:r>
      <w:r w:rsidR="009F1D2D" w:rsidRPr="00AA7459">
        <w:rPr>
          <w:iCs/>
        </w:rPr>
        <w:t xml:space="preserve">denominator normalizes the likelihood function to account for the fact that not all combinations of ordinal outcomes are possible. </w:t>
      </w:r>
      <w:r w:rsidR="007F7387" w:rsidRPr="00AA7459">
        <w:rPr>
          <w:iCs/>
        </w:rPr>
        <w:t xml:space="preserve">Then, using the conditional distribution of </w:t>
      </w:r>
      <w:r w:rsidR="007F7387" w:rsidRPr="00AA7459">
        <w:rPr>
          <w:position w:val="-10"/>
        </w:rPr>
        <w:object w:dxaOrig="279" w:dyaOrig="360" w14:anchorId="1B3B7F10">
          <v:shape id="_x0000_i1124" type="#_x0000_t75" style="width:15pt;height:18.85pt" o:ole="">
            <v:imagedata r:id="rId164" o:title=""/>
          </v:shape>
          <o:OLEObject Type="Embed" ProgID="Equation.DSMT4" ShapeID="_x0000_i1124" DrawAspect="Content" ObjectID="_1846406981" r:id="rId200"/>
        </w:object>
      </w:r>
      <w:r w:rsidR="007F7387" w:rsidRPr="00AA7459">
        <w:t>, the likelihood function can be written as:</w:t>
      </w:r>
    </w:p>
    <w:p w14:paraId="35A5BB1A" w14:textId="7C9B23C9" w:rsidR="007F7387" w:rsidRPr="00AA7459" w:rsidRDefault="00552725" w:rsidP="00F04583">
      <w:pPr>
        <w:pStyle w:val="MTDisplayEquation"/>
        <w:spacing w:before="120" w:after="120"/>
      </w:pPr>
      <w:r w:rsidRPr="00830C5E">
        <w:rPr>
          <w:position w:val="-84"/>
        </w:rPr>
        <w:object w:dxaOrig="4340" w:dyaOrig="1440" w14:anchorId="4C3F5B7D">
          <v:shape id="_x0000_i1125" type="#_x0000_t75" style="width:3in;height:69.85pt" o:ole="">
            <v:imagedata r:id="rId201" o:title=""/>
          </v:shape>
          <o:OLEObject Type="Embed" ProgID="Equation.DSMT4" ShapeID="_x0000_i1125" DrawAspect="Content" ObjectID="_1846406982" r:id="rId202"/>
        </w:object>
      </w:r>
      <w:r w:rsidR="007F7387" w:rsidRPr="00AA7459">
        <w:tab/>
      </w:r>
      <w:r w:rsidR="00830C5E">
        <w:tab/>
      </w:r>
      <w:r w:rsidR="007F7387" w:rsidRPr="00AA7459">
        <w:fldChar w:fldCharType="begin"/>
      </w:r>
      <w:r w:rsidR="007F7387" w:rsidRPr="00AA7459">
        <w:instrText xml:space="preserve"> MACROBUTTON MTPlaceRef \* MERGEFORMAT </w:instrText>
      </w:r>
      <w:r w:rsidR="007F7387" w:rsidRPr="00AA7459">
        <w:fldChar w:fldCharType="begin"/>
      </w:r>
      <w:r w:rsidR="007F7387" w:rsidRPr="00AA7459">
        <w:instrText xml:space="preserve"> SEQ MTEqn \h \* MERGEFORMAT </w:instrText>
      </w:r>
      <w:r w:rsidR="007F7387" w:rsidRPr="00AA7459">
        <w:fldChar w:fldCharType="end"/>
      </w:r>
      <w:r w:rsidR="007F7387" w:rsidRPr="00AA7459">
        <w:instrText>(</w:instrText>
      </w:r>
      <w:r w:rsidR="003C4525">
        <w:fldChar w:fldCharType="begin"/>
      </w:r>
      <w:r w:rsidR="003C4525">
        <w:instrText xml:space="preserve"> SEQ MTEqn \c \* Arabic \* MERGEFORMAT </w:instrText>
      </w:r>
      <w:r w:rsidR="003C4525">
        <w:fldChar w:fldCharType="separate"/>
      </w:r>
      <w:r w:rsidR="00F04583">
        <w:rPr>
          <w:noProof/>
        </w:rPr>
        <w:instrText>8</w:instrText>
      </w:r>
      <w:r w:rsidR="003C4525">
        <w:rPr>
          <w:noProof/>
        </w:rPr>
        <w:fldChar w:fldCharType="end"/>
      </w:r>
      <w:r w:rsidR="007F7387" w:rsidRPr="00AA7459">
        <w:instrText>)</w:instrText>
      </w:r>
      <w:r w:rsidR="007F7387" w:rsidRPr="00AA7459">
        <w:fldChar w:fldCharType="end"/>
      </w:r>
    </w:p>
    <w:p w14:paraId="22F889AD" w14:textId="436E4F36" w:rsidR="007318CF" w:rsidRPr="00AA7459" w:rsidRDefault="00557636" w:rsidP="001D6510">
      <w:r w:rsidRPr="00AA7459">
        <w:t xml:space="preserve">where the integration domain </w:t>
      </w:r>
      <w:r w:rsidR="00830C5E">
        <w:t xml:space="preserve">in the numerator </w:t>
      </w:r>
      <w:r w:rsidRPr="00AA7459">
        <w:t xml:space="preserve">is simply the multivariate region of the elements of the </w:t>
      </w:r>
      <w:r w:rsidR="003F165C" w:rsidRPr="00AA7459">
        <w:rPr>
          <w:position w:val="-10"/>
        </w:rPr>
        <w:object w:dxaOrig="300" w:dyaOrig="360" w14:anchorId="4776773A">
          <v:shape id="_x0000_i1126" type="#_x0000_t75" style="width:15pt;height:18pt" o:ole="">
            <v:imagedata r:id="rId203" o:title=""/>
          </v:shape>
          <o:OLEObject Type="Embed" ProgID="Equation.DSMT4" ShapeID="_x0000_i1126" DrawAspect="Content" ObjectID="_1846406983" r:id="rId204"/>
        </w:object>
      </w:r>
      <w:r w:rsidRPr="00AA7459">
        <w:t xml:space="preserve"> vector determined by the observed ordinal outcomes</w:t>
      </w:r>
      <w:r w:rsidR="00722B16" w:rsidRPr="00AA7459">
        <w:t xml:space="preserve"> and the integration domain</w:t>
      </w:r>
      <w:r w:rsidR="00830C5E">
        <w:t xml:space="preserve"> denominator is simply </w:t>
      </w:r>
      <w:r w:rsidR="00740C3E" w:rsidRPr="00AA7459">
        <w:t xml:space="preserve">the multivariate region of elements of the </w:t>
      </w:r>
      <w:r w:rsidR="003F165C" w:rsidRPr="00AA7459">
        <w:rPr>
          <w:position w:val="-10"/>
        </w:rPr>
        <w:object w:dxaOrig="300" w:dyaOrig="360" w14:anchorId="0EF67DBF">
          <v:shape id="_x0000_i1127" type="#_x0000_t75" style="width:15pt;height:18pt" o:ole="">
            <v:imagedata r:id="rId203" o:title=""/>
          </v:shape>
          <o:OLEObject Type="Embed" ProgID="Equation.DSMT4" ShapeID="_x0000_i1127" DrawAspect="Content" ObjectID="_1846406984" r:id="rId205"/>
        </w:object>
      </w:r>
      <w:r w:rsidR="00740C3E" w:rsidRPr="00AA7459">
        <w:t xml:space="preserve"> vector determined by </w:t>
      </w:r>
      <w:r w:rsidR="00F5394E" w:rsidRPr="00AA7459">
        <w:t xml:space="preserve">the specific </w:t>
      </w:r>
      <w:r w:rsidR="00D1770B" w:rsidRPr="00AA7459">
        <w:t>infeasible outcomes</w:t>
      </w:r>
      <w:r w:rsidRPr="00AA7459">
        <w:t xml:space="preserve">. </w:t>
      </w:r>
      <w:r w:rsidR="00191B9F" w:rsidRPr="00AA7459">
        <w:rPr>
          <w:position w:val="-12"/>
        </w:rPr>
        <w:object w:dxaOrig="1180" w:dyaOrig="380" w14:anchorId="466F3F27">
          <v:shape id="_x0000_i1128" type="#_x0000_t75" style="width:59.15pt;height:18.85pt" o:ole="">
            <v:imagedata r:id="rId206" o:title=""/>
          </v:shape>
          <o:OLEObject Type="Embed" ProgID="Equation.DSMT4" ShapeID="_x0000_i1128" DrawAspect="Content" ObjectID="_1846406985" r:id="rId207"/>
        </w:object>
      </w:r>
      <w:r w:rsidRPr="00AA7459">
        <w:t xml:space="preserve"> is the MVN density function of dimension </w:t>
      </w:r>
      <w:r w:rsidR="00191B9F" w:rsidRPr="00AA7459">
        <w:rPr>
          <w:position w:val="-6"/>
        </w:rPr>
        <w:object w:dxaOrig="279" w:dyaOrig="279" w14:anchorId="7F602D2F">
          <v:shape id="_x0000_i1129" type="#_x0000_t75" style="width:15pt;height:15pt" o:ole="">
            <v:imagedata r:id="rId208" o:title=""/>
          </v:shape>
          <o:OLEObject Type="Embed" ProgID="Equation.DSMT4" ShapeID="_x0000_i1129" DrawAspect="Content" ObjectID="_1846406986" r:id="rId209"/>
        </w:object>
      </w:r>
      <w:r w:rsidRPr="00AA7459">
        <w:t xml:space="preserve"> with a mean of </w:t>
      </w:r>
      <w:r w:rsidR="00CB7F53" w:rsidRPr="00AA7459">
        <w:rPr>
          <w:position w:val="-4"/>
        </w:rPr>
        <w:object w:dxaOrig="260" w:dyaOrig="300" w14:anchorId="27B25FB5">
          <v:shape id="_x0000_i1130" type="#_x0000_t75" style="width:12.85pt;height:15pt" o:ole="">
            <v:imagedata r:id="rId210" o:title=""/>
          </v:shape>
          <o:OLEObject Type="Embed" ProgID="Equation.DSMT4" ShapeID="_x0000_i1130" DrawAspect="Content" ObjectID="_1846406987" r:id="rId211"/>
        </w:object>
      </w:r>
      <w:r w:rsidRPr="00AA7459">
        <w:t xml:space="preserve"> and a covariance of </w:t>
      </w:r>
      <w:r w:rsidR="00CB7F53" w:rsidRPr="00AA7459">
        <w:rPr>
          <w:position w:val="-4"/>
        </w:rPr>
        <w:object w:dxaOrig="240" w:dyaOrig="300" w14:anchorId="010E7182">
          <v:shape id="_x0000_i1131" type="#_x0000_t75" style="width:12.85pt;height:15pt" o:ole="">
            <v:imagedata r:id="rId212" o:title=""/>
          </v:shape>
          <o:OLEObject Type="Embed" ProgID="Equation.DSMT4" ShapeID="_x0000_i1131" DrawAspect="Content" ObjectID="_1846406988" r:id="rId213"/>
        </w:object>
      </w:r>
      <w:r w:rsidRPr="00AA7459">
        <w:t xml:space="preserve">, and evaluated at </w:t>
      </w:r>
      <w:r w:rsidR="008048F5" w:rsidRPr="00AA7459">
        <w:rPr>
          <w:position w:val="-4"/>
        </w:rPr>
        <w:object w:dxaOrig="180" w:dyaOrig="200" w14:anchorId="19A2BEF2">
          <v:shape id="_x0000_i1132" type="#_x0000_t75" style="width:9.45pt;height:10.7pt" o:ole="">
            <v:imagedata r:id="rId214" o:title=""/>
          </v:shape>
          <o:OLEObject Type="Embed" ProgID="Equation.DSMT4" ShapeID="_x0000_i1132" DrawAspect="Content" ObjectID="_1846406989" r:id="rId215"/>
        </w:object>
      </w:r>
      <w:r w:rsidRPr="00AA7459">
        <w:t xml:space="preserve">. </w:t>
      </w:r>
      <w:r w:rsidR="001461D1" w:rsidRPr="00AA7459">
        <w:t xml:space="preserve">The likelihood function for a sample of </w:t>
      </w:r>
      <w:r w:rsidR="001461D1" w:rsidRPr="00AA7459">
        <w:rPr>
          <w:i/>
        </w:rPr>
        <w:t>Q</w:t>
      </w:r>
      <w:r w:rsidR="001461D1" w:rsidRPr="00AA7459">
        <w:t xml:space="preserve"> decision-makers is obtained as the product of the individual-level likelihood functions. </w:t>
      </w:r>
    </w:p>
    <w:p w14:paraId="42A9ADBE" w14:textId="77777777" w:rsidR="006538B8" w:rsidRPr="00AA7459" w:rsidRDefault="006538B8" w:rsidP="001D6510"/>
    <w:p w14:paraId="7E4B8B3F" w14:textId="0DE38FFE" w:rsidR="00425749" w:rsidRPr="001D6510" w:rsidRDefault="00425749" w:rsidP="00830C5E">
      <w:pPr>
        <w:keepNext/>
        <w:rPr>
          <w:b/>
          <w:bCs/>
        </w:rPr>
      </w:pPr>
      <w:r w:rsidRPr="00CB029D">
        <w:rPr>
          <w:b/>
          <w:bCs/>
        </w:rPr>
        <w:t>4. RESULTS</w:t>
      </w:r>
    </w:p>
    <w:p w14:paraId="5E66F5B3" w14:textId="59C3E3AB" w:rsidR="00B3571A" w:rsidRDefault="00162264" w:rsidP="001D6510">
      <w:r w:rsidRPr="00162264">
        <w:t xml:space="preserve">The final </w:t>
      </w:r>
      <w:r>
        <w:t xml:space="preserve">model specification is presented in Table </w:t>
      </w:r>
      <w:r w:rsidR="0078516F">
        <w:t>5</w:t>
      </w:r>
      <w:r>
        <w:t xml:space="preserve">. The specification was developed using an iterative process of including exogenous variables in various forms and testing alternative </w:t>
      </w:r>
      <w:r>
        <w:lastRenderedPageBreak/>
        <w:t>combinations of e</w:t>
      </w:r>
      <w:r w:rsidR="00146196">
        <w:t xml:space="preserve">xplanatory variables based on existing theoretical interpretations and statistical fit. </w:t>
      </w:r>
      <w:r w:rsidR="00316487" w:rsidRPr="00316487">
        <w:t xml:space="preserve">The categorical variables were considered as dummy variables in the most disaggregate form </w:t>
      </w:r>
      <w:r w:rsidR="009F4FEC" w:rsidRPr="00316487">
        <w:t>available and</w:t>
      </w:r>
      <w:r w:rsidR="00316487" w:rsidRPr="00316487">
        <w:t xml:space="preserve"> progressively combined based on statistical tests to yield parsimonious specifications. </w:t>
      </w:r>
      <w:r w:rsidR="00316487">
        <w:t>Several continuous variables were also considered (including the endogenous effect of commute distance on the telework outcomes), but in each case the best representation among those tested was in the form of dummy variables.</w:t>
      </w:r>
      <w:r w:rsidR="005402C8" w:rsidRPr="005402C8">
        <w:t xml:space="preserve"> In the model estimation process, we used a t-statistic threshold of </w:t>
      </w:r>
      <w:r w:rsidR="00462148" w:rsidRPr="00462148">
        <w:t>1.28 (corresponding to a 0.2 level of significance or 80% confidence level) to retain variables</w:t>
      </w:r>
      <w:r w:rsidR="00462148">
        <w:t xml:space="preserve">. This threshold was selected based on the relatively small sample size of 699 respondents </w:t>
      </w:r>
      <w:r w:rsidR="00CD1E17">
        <w:t xml:space="preserve">and the potential of variables included in this specification (even if at a slightly lower </w:t>
      </w:r>
      <w:r w:rsidR="009F4FEC">
        <w:t>confidence level) to inform future research with larger sample sizes.</w:t>
      </w:r>
      <w:r w:rsidR="00AF1117">
        <w:rPr>
          <w:rStyle w:val="FootnoteReference"/>
        </w:rPr>
        <w:footnoteReference w:id="3"/>
      </w:r>
      <w:r w:rsidR="00B3571A">
        <w:t xml:space="preserve"> </w:t>
      </w:r>
    </w:p>
    <w:p w14:paraId="29BB1D60" w14:textId="6E89D06B" w:rsidR="00425749" w:rsidRPr="00162264" w:rsidRDefault="002A1EC2" w:rsidP="00475F9F">
      <w:pPr>
        <w:ind w:firstLine="720"/>
      </w:pPr>
      <w:r w:rsidRPr="00027711">
        <w:t xml:space="preserve">The remainder of this section </w:t>
      </w:r>
      <w:r w:rsidR="00FC69E6" w:rsidRPr="00027711">
        <w:t>presents the model estimation results. The results for the effects of individual demographics are discussed first in Section 4.1, followed by the discussion of the effects of househ</w:t>
      </w:r>
      <w:r w:rsidR="00FC69E6">
        <w:t>old characteristics and location</w:t>
      </w:r>
      <w:r w:rsidR="00FC69E6" w:rsidRPr="0037661A">
        <w:t xml:space="preserve"> in Section 4.2</w:t>
      </w:r>
      <w:r w:rsidR="00FC69E6">
        <w:t xml:space="preserve"> and employment-related effects in Section 4.3</w:t>
      </w:r>
      <w:r w:rsidR="00FC69E6" w:rsidRPr="0037661A">
        <w:t>. Then, Section 4.</w:t>
      </w:r>
      <w:r w:rsidR="00FC69E6">
        <w:t>4</w:t>
      </w:r>
      <w:r w:rsidR="00FC69E6" w:rsidRPr="0037661A">
        <w:t xml:space="preserve"> </w:t>
      </w:r>
      <w:r w:rsidR="00DC1309">
        <w:t>presents</w:t>
      </w:r>
      <w:r w:rsidR="00C523B7">
        <w:t xml:space="preserve"> the covariance elements among the outcomes </w:t>
      </w:r>
      <w:r w:rsidR="00F91E44">
        <w:t>as well as the</w:t>
      </w:r>
      <w:r w:rsidR="00DC1309">
        <w:t xml:space="preserve"> endogenous effects of commute distance on </w:t>
      </w:r>
      <w:r w:rsidR="00027711">
        <w:t>telework choices</w:t>
      </w:r>
      <w:r w:rsidR="00437F8A">
        <w:t xml:space="preserve"> and Section 4.5 presents the </w:t>
      </w:r>
      <w:r w:rsidR="00664B18">
        <w:t xml:space="preserve">constant, </w:t>
      </w:r>
      <w:r w:rsidR="00F91E44">
        <w:t xml:space="preserve">baseline </w:t>
      </w:r>
      <w:r w:rsidR="00664B18">
        <w:t>threshold</w:t>
      </w:r>
      <w:r w:rsidR="00F91E44">
        <w:t>s</w:t>
      </w:r>
      <w:r w:rsidR="00664B18">
        <w:t>, and threshold shifter effects</w:t>
      </w:r>
      <w:r w:rsidR="00027711">
        <w:t>. Finally, Section 4.</w:t>
      </w:r>
      <w:r w:rsidR="00664B18">
        <w:t>6</w:t>
      </w:r>
      <w:r w:rsidR="00027711">
        <w:t xml:space="preserve"> presents model fit in comparison with </w:t>
      </w:r>
      <w:r w:rsidR="009830E1">
        <w:t>several restricted alternate formulations</w:t>
      </w:r>
      <w:r w:rsidR="00FC69E6" w:rsidRPr="0037661A">
        <w:t xml:space="preserve">. </w:t>
      </w:r>
    </w:p>
    <w:p w14:paraId="00836FA3" w14:textId="77777777" w:rsidR="00914C13" w:rsidRDefault="00914C13" w:rsidP="001D6510"/>
    <w:p w14:paraId="68D116D6" w14:textId="3865F68B" w:rsidR="001F0C3E" w:rsidRPr="001D6510" w:rsidRDefault="00155DFC" w:rsidP="001D6510">
      <w:pPr>
        <w:rPr>
          <w:b/>
          <w:bCs/>
        </w:rPr>
      </w:pPr>
      <w:r w:rsidRPr="001D6510">
        <w:rPr>
          <w:b/>
          <w:bCs/>
        </w:rPr>
        <w:t xml:space="preserve">4.1 Effects of Individual </w:t>
      </w:r>
      <w:r w:rsidR="00A5363A" w:rsidRPr="001D6510">
        <w:rPr>
          <w:b/>
          <w:bCs/>
        </w:rPr>
        <w:t>Demographics</w:t>
      </w:r>
    </w:p>
    <w:p w14:paraId="719AC31B" w14:textId="389DE737" w:rsidR="0079020F" w:rsidRDefault="0057246E" w:rsidP="00475F9F">
      <w:r w:rsidRPr="0057246E">
        <w:t xml:space="preserve">The model </w:t>
      </w:r>
      <w:r>
        <w:t xml:space="preserve">results </w:t>
      </w:r>
      <w:r w:rsidRPr="0057246E">
        <w:t>indicate that gender influences both commute distance and telework adoption.</w:t>
      </w:r>
      <w:r>
        <w:t xml:space="preserve"> Specifically, women </w:t>
      </w:r>
      <w:r w:rsidR="00EE6F54">
        <w:t xml:space="preserve">exhibit shorter commute distances compared to men, </w:t>
      </w:r>
      <w:r w:rsidR="00AD73CD">
        <w:t xml:space="preserve">consistent with earlier studies linking women’s residential and employment choices to </w:t>
      </w:r>
      <w:r w:rsidR="00CD5DCC" w:rsidRPr="00CD5DCC">
        <w:t>greater household and caregiving responsibilities</w:t>
      </w:r>
      <w:r w:rsidR="00EE6F54" w:rsidRPr="00AA7459">
        <w:t xml:space="preserve"> </w:t>
      </w:r>
      <w:r w:rsidR="00EE6F54" w:rsidRPr="00AA7459">
        <w:fldChar w:fldCharType="begin"/>
      </w:r>
      <w:r w:rsidR="009C2208">
        <w:instrText xml:space="preserve"> ADDIN ZOTERO_ITEM CSL_CITATION {"citationID":"eYdV4Iq4","properties":{"unsorted":true,"formattedCitation":"(Axisa et al., 2012; Hu, 2021; Casado-D\\uc0\\u237{}az et al., 2023; Asmussen et al., 2024)","plainCitation":"(Axisa et al., 2012; Hu, 2021; Casado-Díaz et al., 2023; Asmussen et al., 2024)","noteIndex":0},"citationItems":[{"id":6762,"uris":["http://zotero.org/users/12832277/items/CB7QDRHV"],"itemData":{"id":6762,"type":"article-journal","abstract":"This study examines factors that influence commute distance within the commuter shed of Toronto, Canada. The investigation uses data drawn from the 2006 Census of Canada Master File (20% sample). The findings from two multiple linear regression models indicate that being a recent migrant and/or living in the most accessible rural areas of Toronto’s commuter shed substantially increases commute distance. At the same time, employment type, sex, and age, among other factors, are also found to significantly influence commute distance.","collection-title":"Special Section on Theoretical Perspectives on Climate Change Mitigation in Transport","container-title":"Journal of Transport Geography","DOI":"10.1016/j.jtrangeo.2011.10.005","ISSN":"0966-6923","journalAbbreviation":"Journal of Transport Geography","page":"123-129","source":"ScienceDirect","title":"Factors Influencing Commute Distance: A Case Study of Toronto’s Commuter Shed","title-short":"Factors Influencing Commute Distance","volume":"24","author":[{"family":"Axisa","given":"Jeffrey J."},{"family":"Scott","given":"Darren M."},{"family":"Bruce Newbold","given":"K."}],"issued":{"date-parts":[["2012",9,1]]}}},{"id":6752,"uris":["http://zotero.org/users/12832277/items/J2VRCHS8"],"itemData":{"id":6752,"type":"article-journal","abstract":"This research investigates the interactive effects of the household structure and race/ethnicity on gender differences in commuting travel in the United States. Existing research has established that both the household structure and race/ethnicity affect the gender differences, but little has examined if and how the effects of the household structure differ across racial/ethnic groups. Using the 2017 U.S. National Household Travel Survey, I estimate gender differences in commuting distance and in the probability of automobile commute in five household types and in four racial/ethnic groups. Results suggest differing effects of household types across racial/ethnic groups: the effects are particularly large in Hispanic people and small in Black people; the effects are moderate in white and Asian people. The research provides an analytical framework that jointly considers the two important factors that explain gendered commuting travel, and it reveals nuanced findings that can inform people-based and context-sensitive transport policies.","container-title":"Transportation","DOI":"10.1007/s11116-020-10085-0","ISSN":"1572-9435","issue":"2","journalAbbreviation":"Transportation","language":"en","page":"909-929","source":"Springer Link","title":"Gender Differences in Commuting Travel in the U.S.: Interactive Effects of Race/Ethnicity and Household Structure","title-short":"Gender Differences in Commuting Travel in the U.S.","volume":"48","author":[{"family":"Hu","given":"Lingqian"}],"issued":{"date-parts":[["2021",4,1]]}}},{"id":"PfebGbxu/fZZoEwcn","uris":["http://zotero.org/users/16508888/items/68CJ5K29"],"itemData":{"id":"q4ZUdvNw/izOzbC0K","type":"article-journal","abstract":"This article examines the origins of the shorter commutes typically observed for women, a phenomenon that contributes to the poorer work outcomes they typically suffer. The analysis extends previous research on the gender gap in commuting by using econometric decomposition techniques that are novel in this field which, combined with a Spanish nationally representative survey that allows for an exhaustive control of the different elements identified in the literature as possible determinants of gender differences in commuting to work, allows quantifying the specific influence of a wide range of individual, family, territorial and work-related elements. The evidence obtained shows that the gender gap in commuting is not the result of the relative characteristics of women, but of the presence of a systematic pattern of lower mobility that emerges when women are compared with observationally similar men. Yet, this pattern of lower mobility is not observed for certain groups of women whose behavior in the labor market is generally more egalitarian, such as women with higher education, without family responsibilities or without a partner, which is consistent with the presence of cultural or social constraints that tend to limit women’s mobility.","container-title":"Social Indicators Research","DOI":"10.1007/s11205-023-03183-w","ISSN":"1573-0921","issue":"3","journalAbbreviation":"Soc Indic Res","language":"en","page":"907-941","source":"Springer Link","title":"Gender Differences in Commuting: New Evidence from Spain","title-short":"Gender Differences in Commuting","volume":"169","author":[{"family":"Casado-Díaz","given":"José M."},{"family":"Simón-Albert","given":"Raquel"},{"family":"Simón","given":"Hipólito"}],"issued":{"date-parts":[["2023",10,1]]}}},{"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R."}],"issued":{"date-parts":[["2024",8]]}}}],"schema":"https://github.com/citation-style-language/schema/raw/master/csl-citation.json"} </w:instrText>
      </w:r>
      <w:r w:rsidR="00EE6F54" w:rsidRPr="00AA7459">
        <w:fldChar w:fldCharType="separate"/>
      </w:r>
      <w:r w:rsidR="00466E18" w:rsidRPr="00466E18">
        <w:rPr>
          <w:kern w:val="0"/>
        </w:rPr>
        <w:t>(Axisa et al., 2012; Hu, 2021; Casado-Díaz et al., 2023; Asmussen et al., 2024)</w:t>
      </w:r>
      <w:r w:rsidR="00EE6F54" w:rsidRPr="00AA7459">
        <w:fldChar w:fldCharType="end"/>
      </w:r>
      <w:r w:rsidR="00CD5DCC">
        <w:t xml:space="preserve">. </w:t>
      </w:r>
      <w:r w:rsidR="00A44F40" w:rsidRPr="00A44F40">
        <w:t>Women also have a greater propensity to adopt telework</w:t>
      </w:r>
      <w:r w:rsidR="00AD73CD">
        <w:t>.</w:t>
      </w:r>
      <w:r w:rsidR="00A44F40">
        <w:t xml:space="preserve"> </w:t>
      </w:r>
      <w:r w:rsidR="00AD73CD">
        <w:t>T</w:t>
      </w:r>
      <w:r w:rsidR="006C4533" w:rsidRPr="006C4533">
        <w:t xml:space="preserve">his </w:t>
      </w:r>
      <w:r w:rsidR="00AD73CD">
        <w:t>pattern, while differing from some recent studies</w:t>
      </w:r>
      <w:r w:rsidR="006C4533">
        <w:t>,</w:t>
      </w:r>
      <w:r w:rsidR="00AD73CD">
        <w:t xml:space="preserve"> </w:t>
      </w:r>
      <w:r w:rsidR="006C4533" w:rsidRPr="006C4533">
        <w:t xml:space="preserve">is consistent with pre-pandemic evidence </w:t>
      </w:r>
      <w:r w:rsidR="006C4533" w:rsidRPr="00AA7459">
        <w:fldChar w:fldCharType="begin"/>
      </w:r>
      <w:r w:rsidR="001D7C5C">
        <w:instrText xml:space="preserve"> ADDIN ZOTERO_ITEM CSL_CITATION {"citationID":"MyhnwPbn","properties":{"formattedCitation":"(Deng et al., 2015)","plainCitation":"(Deng et al., 2015)","noteIndex":0},"citationItems":[{"id":4478,"uris":["http://zotero.org/users/12832277/items/KXKJ93W4"],"itemData":{"id":4478,"type":"article-journal","abstract":"This paper investigates the impact of several factors on the adoption of telecommuting, using empirical data collected from 1,864 commuters in Northern California. We distinguish three types of telecommuting – full-day, part-day, and overtime – as they might affect travel behavior in very different ways. We develop binary logit models and a trivariate probit model of the adoption of each form of telecommuting, using non-centered factor scores to identify pro-high- vs. pro-low-density workers. We test the hypothesis that the impact of the built environment on the decision to adopt telecommuting differs between those two segments. The results support the hypothesis, with numerous variables significant to one of those segments but not the other; in the case of the binary logit model for overtime telecommuting, employment density in the home area even has opposite influences for pro-high-density (positive) compared to pro-low-density people (negative). Other groups of variables, including personal attitudes and demographic traits, also significantly affect individuals’ decisions on whether and how to telecommute, if at all. For example (consistent with other studies), education and household income are strong (positive) predictors of the decision to telecommute. Compared to the separate binary logit models, the trivariate probit model better predicts the joint probabilities of adopting the various forms of telecommuting, and better models the correlated adoption of the three types of telecommuting.","language":"en","source":"escholarship.org","title":"Modeling the Adoption of Full-day, Part-day and Overtime Telecommuting: An Investigation of Northern California Workers Using Non-Mean-Centered Factor Scores to Segment on Built Environment Attitudes","URL":"https://escholarship.org/uc/item/67q1r3bk","author":[{"family":"Deng","given":"Huijing"},{"family":"Mokhtarian","given":"Patricia"},{"family":"Circella","given":"Giovanni"}],"accessed":{"date-parts":[["2025",5,12]]},"issued":{"date-parts":[["2015"]]}}}],"schema":"https://github.com/citation-style-language/schema/raw/master/csl-citation.json"} </w:instrText>
      </w:r>
      <w:r w:rsidR="006C4533" w:rsidRPr="00AA7459">
        <w:fldChar w:fldCharType="separate"/>
      </w:r>
      <w:r w:rsidR="001D7C5C" w:rsidRPr="001D7C5C">
        <w:t>(Deng et al., 2015)</w:t>
      </w:r>
      <w:r w:rsidR="006C4533" w:rsidRPr="00AA7459">
        <w:fldChar w:fldCharType="end"/>
      </w:r>
      <w:r w:rsidR="00AD73CD">
        <w:t xml:space="preserve">, and </w:t>
      </w:r>
      <w:r w:rsidR="001B5B60" w:rsidRPr="001B5B60">
        <w:t>may reflect the flexibility telework offers for balancing work and home responsibilities</w:t>
      </w:r>
      <w:r w:rsidR="001B5B60">
        <w:t xml:space="preserve"> </w:t>
      </w:r>
      <w:r w:rsidR="001B5B60" w:rsidRPr="00AA7459">
        <w:fldChar w:fldCharType="begin"/>
      </w:r>
      <w:r w:rsidR="001B5B60" w:rsidRPr="00AA7459">
        <w:instrText xml:space="preserve"> ADDIN ZOTERO_ITEM CSL_CITATION {"citationID":"YIZiD0BH","properties":{"formattedCitation":"(Wang et al., 2023)","plainCitation":"(Wang et al., 2023)","noteIndex":0},"citationItems":[{"id":2795,"uris":["http://zotero.org/users/12832277/items/F36GYI2U"],"itemData":{"id":2795,"type":"article-journal","abstract":"Teleworking is a major lifestyle change whose adoption expanded substantially during the COVID-19 pandemic, and which might permanently change the working habits of some. To understand how much during-COVID teleworking behavior will “stick” in the post-pandemic world, this study explores pre-, during-, and expected post-COVID teleworking frequency trajectories based on during-COVID survey responses, which were weighted to represent the population shares of non–/non-usual/usual teleworkers (TWers). Taking respondents’ self-reported expectations at face value, post-COVID teleworking frequency will be 2.6–3.3 times that of pre-COVID, but we suspect that those expectations are over-optimistic. We developed a typology based on the teleworking trajectories, and identified eight mutually exclusive and collectively exhaustive worker segments: Climbers (13.6%), Plateauers (8.4%), Cappers (12.6%), Stable unables (43.1%), Stable non-choosers (13.5%), Stable non-usual TWers (1.5%), Stable usual TWers (3.2%), and Reducers (4.0%). We conducted three exploratory factor analyses and identified latent attitudinal constructs including 11 general, 7 work-related, and 7 telework-related attitudes. We profiled the eight segments regarding various attitudes and sociodemographic traits to reveal their potential connections to teleworking behavior, and to suggest further explorations with respect to residential location, vehicle ownership, and other travel patterns. Specifically, we see research needs pertaining to residential relocation and household vehicle ownership changes for segments expecting net increases in teleworking frequency between pre- and post-COVID. We also observed heterogeneity of teleworking adoption/frequency choices, attitudes, and travel behaviors among (tele)worker segments. Overall, this study deepens our understanding of post-COVID teleworking behavior changes, and provides a starting point for understanding the heterogeneity among (tele)workers.","container-title":"Travel Behaviour and Society","DOI":"10.1016/j.tbs.2023.100628","ISSN":"2214-367X","source":"ScienceDirect","title":"Teleworking Behavior Pre-, During, and Expected Post-COVID: Identification and Empirical Description of Trajectory Types","URL":"https://www.sciencedirect.com/science/article/pii/S2214367X23000790","volume":"33","author":[{"family":"Wang","given":"Xinyi"},{"family":"Kim","given":"Sung Hoo"},{"family":"Mokhtarian","given":"Patricia L."}],"accessed":{"date-parts":[["2024",3,1]]},"issued":{"date-parts":[["2023",10,1]]}}}],"schema":"https://github.com/citation-style-language/schema/raw/master/csl-citation.json"} </w:instrText>
      </w:r>
      <w:r w:rsidR="001B5B60" w:rsidRPr="00AA7459">
        <w:fldChar w:fldCharType="separate"/>
      </w:r>
      <w:r w:rsidR="00AA606C" w:rsidRPr="00AA606C">
        <w:t>(Wang et al., 2023)</w:t>
      </w:r>
      <w:r w:rsidR="001B5B60" w:rsidRPr="00AA7459">
        <w:fldChar w:fldCharType="end"/>
      </w:r>
      <w:r w:rsidR="001B5B60" w:rsidRPr="001B5B60">
        <w:t xml:space="preserve">. </w:t>
      </w:r>
      <w:r w:rsidR="0009366F">
        <w:t xml:space="preserve">In contrast, nonbinary individuals </w:t>
      </w:r>
      <w:r w:rsidR="00AD73CD">
        <w:t>are less likely to adopt telework</w:t>
      </w:r>
      <w:r w:rsidR="0079020F">
        <w:t xml:space="preserve">, </w:t>
      </w:r>
      <w:r w:rsidR="00FA5445">
        <w:t>potentially reflect</w:t>
      </w:r>
      <w:r w:rsidR="0079020F">
        <w:t>ing</w:t>
      </w:r>
      <w:r w:rsidR="00FA5445">
        <w:t xml:space="preserve"> </w:t>
      </w:r>
      <w:r w:rsidR="0079020F">
        <w:t xml:space="preserve">lower workplace flexibility and greater </w:t>
      </w:r>
      <w:r w:rsidR="00FA5445">
        <w:t xml:space="preserve">concerns </w:t>
      </w:r>
      <w:r w:rsidR="0079020F">
        <w:t xml:space="preserve">regarding </w:t>
      </w:r>
      <w:r w:rsidR="00FA5445">
        <w:t xml:space="preserve">workplace </w:t>
      </w:r>
      <w:r w:rsidR="0079020F">
        <w:t xml:space="preserve">visibility </w:t>
      </w:r>
      <w:r w:rsidR="00FA5445">
        <w:t xml:space="preserve">or bias </w:t>
      </w:r>
      <w:r w:rsidR="00DA749D">
        <w:fldChar w:fldCharType="begin"/>
      </w:r>
      <w:r w:rsidR="00FA5445">
        <w:instrText xml:space="preserve"> ADDIN ZOTERO_ITEM CSL_CITATION {"citationID":"4T5jkcfo","properties":{"unsorted":false,"formattedCitation":"(Bai et al., 2025; Lagos et al., 2026)","plainCitation":"(Bai et al., 2025; Lagos et al., 2026)","noteIndex":0},"citationItems":[{"id":6710,"uris":["http://zotero.org/users/12832277/items/QABPVFY3"],"itemData":{"id":6710,"type":"article","abstract":"This study examines labor market disparities across gender identities in Canada using data from the 2021 Canadian Census, the first national census to identify transgender and nonbinary individuals. We analyze employment probabilities, work hours, and hourly wages among six gender groups: cisgender men, cisgender women, transgender men, transgender women, and nonbinary individuals assigned male or female at birth. Transgender and nonbinary individuals are 8-14 percentage points less likely to be employed than cisgender men and earn 20-30 percent lower hourly wages on average. After adjusting for demographic, occupational, and industrial characteristics, earnings gaps remain substantial-approximately 8-17 percentand are largest for nonbinary individuals assigned female at birth. Subgroup analyses reveal pronounced heterogeneity across occupations: wage gaps are smallest in health-related fields but largest in management and leadership positions, where gender minorities are also underrepresented. Transgender men fare relatively better in male-dominated fields such as trades and manufacturing, while nonbinary individuals show higher representation in arts and education. Oaxaca-Blinder decompositions indicate that about half of the overall wage gap is explained by differences in observable characteristics, with the remainder unexplained. The findings document persistent and uneven economic disadvantages for gender-diverse populations and highlight occupational contexts where barriers to inclusion are most pronounced.","DOI":"10.2139/ssrn.5620450","genre":"SSRN Scholarly Paper","language":"en","number":"5620450","publisher":"Social Science Research Network","publisher-place":"Rochester, NY","source":"papers.ssrn.com","title":"Beyond the Gender Binary: Wage Inequality and Occupational Segregation among Transgender and Nonbinary Workers","title-short":"Beyond the Gender Binary","URL":"https://papers.ssrn.com/abstract=5620450","author":[{"family":"Bai","given":"Yihong"},{"family":"Chum","given":"Antony"},{"family":"Liu","given":"Qian"}],"accessed":{"date-parts":[["2026",3,29]]},"issued":{"date-parts":[["2025",1,1]]}}},{"id":6705,"uris":["http://zotero.org/users/12832277/items/L8UV7QUD"],"itemData":{"id":6705,"type":"article-journal","abstract":"While several quantitative studies document significant gaps in wages between transgender and non-binary workers and their cisgender counterparts, and while qualitative work examines trans workers’ experiences across multiple dimensions of job quality, a fuller empirical testing of these theories has been constrained by a lack of data that 1) allows for detailed comparisons across gender identities, 2) contains detailed and varied measures of job quality, and 3) considers the decomposition of job quality gaps into within and between-employer components. In this study, we analyze employer-employee linked data from over 36,800 hourly retail and food service workers surveyed by the Shift Project, including 1341 transgender and non-binary respondents, along with detailed measures of job quality. We find substantial persistent inequalities in job quality persist between transgender/non- binary workers and their cisgender counterparts, even after accounting for demographic and human capital factors, alongside fixed effects for occupations and specific employers. These disparities are most pronounced in areas where employers have substantial discretion, such as scheduling instability, work-life conflict, and job satisfaction. While transgender women, transgender men, and non-binary people’s experiences of these job quality factors differed at times, none of these groups fared uniformly worse than the others.","container-title":"Social Problems","DOI":"10.1093/socpro/spag010","ISSN":"0037-7791","journalAbbreviation":"Soc Probl","page":"spag010","source":"Silverchair","title":"Do Transgender and Non-Binary Workers in the U.S. Retail and Service Sectors Have Lower Quality Jobs Than Their Cisgender Counterparts?","author":[{"family":"Lagos","given":"Danya"},{"family":"Wolfe","given":"Rebecca"},{"family":"Schneider","given":"Daniel"}],"issued":{"date-parts":[["2026",2,18]]}}}],"schema":"https://github.com/citation-style-language/schema/raw/master/csl-citation.json"} </w:instrText>
      </w:r>
      <w:r w:rsidR="00DA749D">
        <w:fldChar w:fldCharType="separate"/>
      </w:r>
      <w:r w:rsidR="00FA5445" w:rsidRPr="00FA5445">
        <w:t>(Bai et al., 2025; Lagos et al., 2026)</w:t>
      </w:r>
      <w:r w:rsidR="00DA749D">
        <w:fldChar w:fldCharType="end"/>
      </w:r>
      <w:r w:rsidR="0080023A">
        <w:t>.</w:t>
      </w:r>
    </w:p>
    <w:p w14:paraId="3029CD6F" w14:textId="353C98C5" w:rsidR="008F0EAC" w:rsidRPr="00F62F8D" w:rsidRDefault="006A547E" w:rsidP="001D6510">
      <w:r>
        <w:tab/>
      </w:r>
      <w:r w:rsidR="00A5363A" w:rsidRPr="00AA7459">
        <w:t xml:space="preserve">Age </w:t>
      </w:r>
      <w:r w:rsidR="0079020F">
        <w:t xml:space="preserve">exhibits a pronounced nonlinear relationship with both </w:t>
      </w:r>
      <w:r w:rsidR="00E978A1">
        <w:t xml:space="preserve">commute distance and </w:t>
      </w:r>
      <w:r w:rsidR="00A5363A" w:rsidRPr="00AA7459">
        <w:t xml:space="preserve">telework preferences. </w:t>
      </w:r>
      <w:r w:rsidR="0079020F">
        <w:t xml:space="preserve">Individuals aged 25-54 commute farther than younger adults, </w:t>
      </w:r>
      <w:r w:rsidR="00A5363A" w:rsidRPr="00AA7459">
        <w:t xml:space="preserve">likely </w:t>
      </w:r>
      <w:r w:rsidR="0079020F">
        <w:t xml:space="preserve">reflecting residential preferences for </w:t>
      </w:r>
      <w:r w:rsidR="00A5363A" w:rsidRPr="00AA7459">
        <w:t>larger homes or quieter neighborhoods f</w:t>
      </w:r>
      <w:r w:rsidR="0079020F">
        <w:t>a</w:t>
      </w:r>
      <w:r w:rsidR="00A5363A" w:rsidRPr="00AA7459">
        <w:t xml:space="preserve">rther from employment </w:t>
      </w:r>
      <w:r w:rsidR="0079020F">
        <w:t>centers</w:t>
      </w:r>
      <w:r w:rsidR="00A5363A" w:rsidRPr="00AA7459">
        <w:t xml:space="preserve"> </w:t>
      </w:r>
      <w:r w:rsidR="00A5363A" w:rsidRPr="00AA7459">
        <w:fldChar w:fldCharType="begin"/>
      </w:r>
      <w:r w:rsidR="00971CDB">
        <w:instrText xml:space="preserve"> ADDIN ZOTERO_ITEM CSL_CITATION {"citationID":"hrHtd0si","properties":{"formattedCitation":"(Asmussen et al., 2024)","plainCitation":"(Asmussen et al., 2024)","noteIndex":0},"citationItems":[{"id":1944,"uris":["http://zotero.org/users/12832277/items/Y3TQLUZT"],"itemData":{"id":1944,"type":"article-journal","container-title":"Transportation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R."}],"issued":{"date-parts":[["2024",8]]}}}],"schema":"https://github.com/citation-style-language/schema/raw/master/csl-citation.json"} </w:instrText>
      </w:r>
      <w:r w:rsidR="00A5363A" w:rsidRPr="00AA7459">
        <w:fldChar w:fldCharType="separate"/>
      </w:r>
      <w:r w:rsidR="00AA606C" w:rsidRPr="00AA606C">
        <w:t>(Asmussen et al., 2024)</w:t>
      </w:r>
      <w:r w:rsidR="00A5363A" w:rsidRPr="00AA7459">
        <w:fldChar w:fldCharType="end"/>
      </w:r>
      <w:r w:rsidR="00A5363A" w:rsidRPr="00AA7459">
        <w:t xml:space="preserve">. </w:t>
      </w:r>
      <w:r w:rsidR="0079020F">
        <w:t xml:space="preserve">Telework adoption, however, is highest among the </w:t>
      </w:r>
      <w:r w:rsidR="000E50EB">
        <w:t>y</w:t>
      </w:r>
      <w:r w:rsidR="00A5363A" w:rsidRPr="00AA7459">
        <w:t>oung</w:t>
      </w:r>
      <w:r w:rsidR="0079020F">
        <w:t xml:space="preserve">est </w:t>
      </w:r>
      <w:r w:rsidR="00A5363A" w:rsidRPr="00AA7459">
        <w:t xml:space="preserve">(ages 18-24) </w:t>
      </w:r>
      <w:r w:rsidR="00A72BF8">
        <w:t>a</w:t>
      </w:r>
      <w:r w:rsidR="0079020F">
        <w:t>nd oldest (</w:t>
      </w:r>
      <w:r w:rsidR="00A72BF8">
        <w:t>55</w:t>
      </w:r>
      <w:r w:rsidR="0079020F">
        <w:t>+) workers</w:t>
      </w:r>
      <w:r w:rsidR="00A5363A" w:rsidRPr="00AA7459">
        <w:t xml:space="preserve">, supporting previous research that young </w:t>
      </w:r>
      <w:r w:rsidR="0079020F">
        <w:t>individuals</w:t>
      </w:r>
      <w:r w:rsidR="00A5363A" w:rsidRPr="00AA7459">
        <w:t xml:space="preserve"> are more likely to have positive attitudes </w:t>
      </w:r>
      <w:r w:rsidR="00EA2DB4">
        <w:t>towards</w:t>
      </w:r>
      <w:r w:rsidR="00A5363A" w:rsidRPr="00AA7459">
        <w:t xml:space="preserve"> telework </w:t>
      </w:r>
      <w:r w:rsidR="00A5363A" w:rsidRPr="00AA7459">
        <w:fldChar w:fldCharType="begin"/>
      </w:r>
      <w:r w:rsidR="00E2656A">
        <w:instrText xml:space="preserve"> ADDIN ZOTERO_ITEM CSL_CITATION {"citationID":"xQaSvPt5","properties":{"unsorted":true,"formattedCitation":"(de Abreu e Silva and Melo, 2018; Nguyen, 2021; Kappler and de Abreu e Silva, 2025)","plainCitation":"(de Abreu e Silva and Melo, 2018; Nguyen, 2021; Kappler and de Abreu e Silva, 2025)","noteIndex":0},"citationItems":[{"id":532,"uris":["http://zotero.org/users/12832277/items/KJNIWH8U"],"itemData":{"id":532,"type":"article-journal","abstract":"This work analyzes the effects of home-based teleworking on the number of trips and weekly miles travelled by mode and purpose for one-worker households in Great Britain using data from the National Travel Survey for the period between 2005 and 2012. Two path analysis models are developed, one considering weekly trips and travel distances by mode and the other weekly trips and travel distances by purpose. Both models consider teleworking frequency in the context of home and workplace land-use characteristics, commuting distance, car ownership levels and weekly trips and travel distances. This framework allows us to explicitly model endogenous relations in the chains of decisions relating these variables. The results suggest that home-based teleworking is a strategy used by people to cope with long and costly commutes. Workers living in less transit accessible areas and with longer commutes tend to work from home more frequently. The main conclusions relating to teleworking frequency point to the fact that it increases weekly miles travelled, particularly by car, while it does not reduce commuting distances travelled. These results suggest that home-based teleworking is not an effective travel demand management strategy, particularly because it seems to increase car use. The overall main result is that teleworkers travel more by more polluting transport modes.","container-title":"Journal of Transport and Land Use","DOI":"10.5198/jtlu.2018.1134","ISSN":"1938-7849","issue":"1","language":"en","license":"Copyright (c) 2018 João de Abreu e Silva, Patricia C. Melo","note":"number: 1","source":"www.jtlu.org","title":"Home Telework, Travel Behavior, and Land-Use Patterns: A Path Analysis of British Single-Worker Households","title-short":"Home Telework, Travel Behavior, and Land-Use Patterns","URL":"https://www.jtlu.org/index.php/jtlu/article/view/1134","volume":"11","author":[{"family":"Abreu e Silva","given":"João","non-dropping-particle":"de"},{"family":"Melo","given":"Patricia C."}],"accessed":{"date-parts":[["2023",4,18]]},"issued":{"date-parts":[["2018",7,2]]}}},{"id":2866,"uris":["http://zotero.org/users/12832277/items/KPLYTNYY"],"itemData":{"id":2866,"type":"article-journal","abstract":"During the era of COVID-19 (COronaVIrus Disease of 2019), telework has been adopted extensively in developing countries for the first time. This study analyzes data of 355 teleworkers in Hanoi (Vietnam) during April 2020, the period of social distancing, to examine various factors associated with (1) complete home-based telework (HBT), (2) the perception of HBT, and (3) the attitude toward the combination between HBT and conventional work at workplace post-COVID-19. It finds that the company’s closure policy and the frequency of working from a distance before the social distancing period were the primary determinants of exclusively teleworking. Regarding the perception of HBT, while the fear of COVID-19 was a strong positive factor, difficulties in focusing on work and accessing data were negative factors. Regarding the attitude toward the future development of HBT, attitudinal factors, commute distance, gender, children in household, and the perception of HBT in the social distancing period were the main predictors. The presence of more than one child negatively affected the perception of telework but positively affected the attitude toward establishing the hybrid work mechanism. The findings suggested that HBT has the potential to alleviate traffic congestion in developing countries and it can be promoted by emphasizing its environment-related benefits. The sample used in this research was collected in the initial stage of constrained mobility and it was not well representative; therefore, this study serves as a proof of concept for ongoing wider analyses on HBT post-COVID-19 or in the subsequent lockdown periods.","container-title":"Transportation","DOI":"10.1007/s11116-021-10169-5","ISSN":"1572-9435","issue":"6","language":"en","page":"3207-3238","source":"Springer Link","title":"Factors Influencing Home-Based Telework in Hanoi (Vietnam) During and After the COVID-19 Era","volume":"48","author":[{"family":"Nguyen","given":"Minh Hieu"}],"issued":{"date-parts":[["2021",12,1]]}}},{"id":4368,"uris":["http://zotero.org/users/12832277/items/XMETQNB6"],"itemData":{"id":4368,"type":"article-journal","abstract":"Several social distancing measures were adopted during the pandemic (including curfews and mandatory telework) that resulted in substantial changes in travel patterns. Although several studies show that telework does not reduce travel, empirical evidence has been mixed. This work aims to study how telework adoption impacts the number of trips by mode in different metropolitan areas during the later stages of the COVID-19 pandemic. We applied online surveys focused on a 5-day travel-telework diary in the Lisbon (Portugal), Istanbul (Turkey), and Porto Alegre (Brazil) Metropolitan Areas in the early summer of 2021. We build a structural equation model (SEM) to study the influence of previous telework experience on perceptions about telework, and these on telework frequency and the number of trips by mode, and ultimately if is affected by commuting burden, sociodemographic characteristics, and attitudinal issues. The results indicate that more frequent full-day telework reduces the number of trips by all modes (but more by motorised modes) while teleworking part-day increases travel. Moreover, there is no evidence that teleworkers could be undertaking discretionary or maintenance trips from other household members. Finally, these results need to be analysed in the context of the pandemic since social distancing measures were in place.","container-title":"Journal of Transport Geography","DOI":"10.1016/j.jtrangeo.2024.104102","ISSN":"0966-6923","source":"ScienceDirect","title":"Telework Frequency and Travel Behaviour During the Later Stages of the Covid-19 Pandemic. a Study Across Different Metropolitan Areas: Lisbon, Istanbul, and Porto Alegre","URL":"https://www.sciencedirect.com/science/article/pii/S0966692324003119","volume":"123","author":[{"family":"Kappler","given":"Laísa Braga"},{"family":"Abreu e Silva","given":"João","non-dropping-particle":"de"}],"accessed":{"date-parts":[["2025",4,26]]},"issued":{"date-parts":[["2025",2,1]]}}}],"schema":"https://github.com/citation-style-language/schema/raw/master/csl-citation.json"} </w:instrText>
      </w:r>
      <w:r w:rsidR="00A5363A" w:rsidRPr="00AA7459">
        <w:fldChar w:fldCharType="separate"/>
      </w:r>
      <w:r w:rsidR="00E2656A" w:rsidRPr="00E2656A">
        <w:t xml:space="preserve">(de Abreu e Silva and Melo, </w:t>
      </w:r>
      <w:r w:rsidR="00E2656A" w:rsidRPr="00E2656A">
        <w:lastRenderedPageBreak/>
        <w:t>2018; Nguyen, 2021; Kappler and de Abreu e Silva, 2025)</w:t>
      </w:r>
      <w:r w:rsidR="00A5363A" w:rsidRPr="00AA7459">
        <w:fldChar w:fldCharType="end"/>
      </w:r>
      <w:r w:rsidR="00A72BF8">
        <w:t xml:space="preserve"> </w:t>
      </w:r>
      <w:r w:rsidR="0079020F">
        <w:t xml:space="preserve">and older individuals </w:t>
      </w:r>
      <w:r w:rsidR="00A72BF8">
        <w:t xml:space="preserve">may be less concerned with in-person visibility </w:t>
      </w:r>
      <w:r w:rsidR="0079020F">
        <w:t xml:space="preserve">as a vehicle for </w:t>
      </w:r>
      <w:r w:rsidR="00A72BF8">
        <w:t xml:space="preserve">advancement opportunities </w:t>
      </w:r>
      <w:r w:rsidR="00A72BF8" w:rsidRPr="00AA7459">
        <w:fldChar w:fldCharType="begin"/>
      </w:r>
      <w:r w:rsidR="00971CDB">
        <w:instrText xml:space="preserve"> ADDIN ZOTERO_ITEM CSL_CITATION {"citationID":"ypyxihw3","properties":{"unsorted":true,"formattedCitation":"(Rudolph et al., 2021; Asmussen et al., 2024; Mahmoud et al., 2024)","plainCitation":"(Rudolph et al., 2021; Asmussen et al., 2024; Mahmoud et al., 2024)","noteIndex":0},"citationItems":[{"id":6694,"uris":["http://zotero.org/users/12832277/items/N7W7MV6L"],"itemData":{"id":6694,"type":"article-journal","abstract":"Pandemics have historically shaped the world of work in various ways. With COVID-19 presenting as a global pandemic, there is much speculation about the implications of this crisis for the future of work and for people working in organizations. In this article, we discuss 10 of the most relevant research and practice topics in the field of industrial and organizational psychology that will likely be strongly influenced by COVID-19. For each of these topics, the pandemic crisis is creating new work-related challenges, but it is also presenting various opportunities. The topics discussed herein include occupational health and safety, work–family issues, telecommuting, virtual teamwork, job insecurity, precarious work, leadership, human resources policy, the aging workforce, and careers. This article sets the stage for further discussion of various ways in which I-O psychology research and practice can address the issues that COVID-19 creates for work and organizational processes that are affecting workers now and will shape the future of work and organizations in both the short and long term. This article concludes by inviting I-O psychology researchers and practitioners to address the challenges and opportunities of COVID-19 head-on by proactively adapting the work that we do in support of workers, organizations, and society as a whole.","container-title":"Industrial and Organizational Psychology","DOI":"10.1017/iop.2020.48","ISSN":"1754-9426, 1754-9434","issue":"1-2","language":"en","page":"1-35","source":"Cambridge University Press","title":"Pandemics: Implications for Research and Practice in Industrial and Organizational Psychology","title-short":"Pandemics","volume":"14","author":[{"family":"Rudolph","given":"Cort W."},{"family":"Allan","given":"Blake"},{"family":"Clark","given":"Malissa"},{"family":"Hertel","given":"Guido"},{"family":"Hirschi","given":"Andreas"},{"family":"Kunze","given":"Florian"},{"family":"Shockley","given":"Kristen"},{"family":"Shoss","given":"Mindy"},{"family":"Sonnentag","given":"Sabine"},{"family":"Zacher","given":"Hannes"}],"issued":{"date-parts":[["2021",6]]}}},{"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R."}],"issued":{"date-parts":[["2024",8]]}}},{"id":6696,"uris":["http://zotero.org/users/12832277/items/DPIVVXA8"],"itemData":{"id":6696,"type":"article-journal","abstract":"There is no doubt that extreme contexts (e.g., war zones and pandemics) represent substantial disruptions that force many companies to rethink the way they do business. With so much of the workforce now working remotely and concerns about resulting work alienation, we must ask this question: How can this be translated into the generational divide in workplaces based in extreme contexts? Using COVID-19 as an example trigger of extreme-context experience, therefore, we investigate generation as a moderator of the effects of extreme-context perception upon anxiety leading to alienation with subsequent behavioral outcomes on job insecurity, job satisfaction, and organizational citizenship behavior (OCB). A time-lagged survey procedure yielded 219 valid responses from a three-generation sample of employees working in multiple service organizations. The data were analyzed using partial least squares structural equation modeling (PLS-SEM). Our analysis suggested that intense extreme-context perception led to elevated anxiety and alienation, which, in turn, heightened job insecurity and worsened job satisfaction and OCB outcomes. Finally, during the experience of extreme-context times, generation was found to moderate our model, such that both Generation Y and Generation Z experienced higher anxiety due to extreme-context perception and hence higher job insecurity due to alienation compared with Generation X respondents. Our results endorse the criticality of implementing agile and generationally non-sectarian management for effectively functioning generationally diverse workforces in pandemic times.","container-title":"Scandinavian Journal of Psychology","DOI":"10.1111/sjop.12955","ISSN":"1467-9450","issue":"1","language":"en","license":"© 2023 The Authors. Scandinavian Journal of Psychology published by Scandinavian Psychological Associations and John Wiley &amp; Sons Ltd.","note":"_eprint: https://onlinelibrary.wiley.com/doi/pdf/10.1111/sjop.12955","page":"70-85","source":"Wiley Online Library","title":"Examining Generational Differences as a Moderator of Extreme-Context Perception and Its Impact on Work Alienation Organizational Outcomes: Implications for the Workplace and Remote Work Transformation","title-short":"Examining Generational Differences as a Moderator of Extreme-Context Perception and Its Impact on Work Alienation Organizational Outcomes","volume":"65","author":[{"family":"Mahmoud","given":"Ali B."},{"family":"Berman","given":"Alexander"},{"family":"Reisel","given":"William"},{"family":"Fuxman","given":"Leonora"},{"family":"Hack-Polay","given":"Dieu"}],"issued":{"date-parts":[["2024"]]}}}],"schema":"https://github.com/citation-style-language/schema/raw/master/csl-citation.json"} </w:instrText>
      </w:r>
      <w:r w:rsidR="00A72BF8" w:rsidRPr="00AA7459">
        <w:fldChar w:fldCharType="separate"/>
      </w:r>
      <w:r w:rsidR="00AA606C" w:rsidRPr="00AA606C">
        <w:t>(Rudolph et al., 2021; Asmussen et al., 2024; Mahmoud et al., 2024)</w:t>
      </w:r>
      <w:r w:rsidR="00A72BF8" w:rsidRPr="00AA7459">
        <w:fldChar w:fldCharType="end"/>
      </w:r>
      <w:r w:rsidR="00A5363A" w:rsidRPr="00AA7459">
        <w:t xml:space="preserve">. This trend is mirrored in the frequency of full-day telework, with the youngest workers </w:t>
      </w:r>
      <w:r w:rsidR="00FF3B81">
        <w:t xml:space="preserve">having the highest propensity for full-day </w:t>
      </w:r>
      <w:r w:rsidR="00A72BF8">
        <w:t>telework</w:t>
      </w:r>
      <w:r w:rsidR="008F0EAC">
        <w:t xml:space="preserve">, and the oldest workers </w:t>
      </w:r>
      <w:r w:rsidR="00FF3B81">
        <w:t xml:space="preserve">having a higher propensity for </w:t>
      </w:r>
      <w:r w:rsidR="00A72BF8">
        <w:t>full-day telework</w:t>
      </w:r>
      <w:r w:rsidR="00FF3B81">
        <w:t xml:space="preserve"> </w:t>
      </w:r>
      <w:r w:rsidR="00A5363A" w:rsidRPr="00AA7459">
        <w:t xml:space="preserve">than middle aged </w:t>
      </w:r>
      <w:r w:rsidR="008F0EAC">
        <w:t xml:space="preserve">workers </w:t>
      </w:r>
      <w:r w:rsidR="00A5363A" w:rsidRPr="00AA7459">
        <w:t>(</w:t>
      </w:r>
      <w:r w:rsidR="00A72BF8">
        <w:t xml:space="preserve">those aged </w:t>
      </w:r>
      <w:r w:rsidR="00A5363A" w:rsidRPr="00AA7459">
        <w:t xml:space="preserve">25-54). </w:t>
      </w:r>
      <w:r w:rsidR="00A72BF8">
        <w:t xml:space="preserve">In contrast, </w:t>
      </w:r>
      <w:r w:rsidR="00A5363A" w:rsidRPr="00AA7459">
        <w:t xml:space="preserve">middle-aged </w:t>
      </w:r>
      <w:r w:rsidR="008F0EAC">
        <w:t xml:space="preserve">workers exhibit </w:t>
      </w:r>
      <w:r w:rsidR="00A72BF8">
        <w:t xml:space="preserve">the </w:t>
      </w:r>
      <w:r w:rsidR="008F0EAC">
        <w:t>strongest</w:t>
      </w:r>
      <w:r w:rsidR="00A72BF8">
        <w:t xml:space="preserve"> propensity for part-day telework</w:t>
      </w:r>
      <w:r w:rsidR="008F0EAC">
        <w:t xml:space="preserve">, suggesting a preference for </w:t>
      </w:r>
      <w:r w:rsidR="00A5363A" w:rsidRPr="00AA7459">
        <w:t>balanc</w:t>
      </w:r>
      <w:r w:rsidR="008F0EAC">
        <w:t xml:space="preserve">ing </w:t>
      </w:r>
      <w:r w:rsidR="00A5363A" w:rsidRPr="00AA7459">
        <w:t xml:space="preserve">the </w:t>
      </w:r>
      <w:r w:rsidR="008F0EAC">
        <w:t xml:space="preserve">flexibility of remote work with the continued benefits of workplace presence, perhaps reflecting the need to coordinate work with family responsibilities while </w:t>
      </w:r>
      <w:r w:rsidR="00E540C4">
        <w:t xml:space="preserve">maintaining </w:t>
      </w:r>
      <w:r w:rsidR="008F0EAC">
        <w:t>in-p</w:t>
      </w:r>
      <w:r w:rsidR="008F0EAC" w:rsidRPr="00F62F8D">
        <w:t xml:space="preserve">erson </w:t>
      </w:r>
      <w:r w:rsidR="00E540C4" w:rsidRPr="00F62F8D">
        <w:t>visib</w:t>
      </w:r>
      <w:r w:rsidR="008F0EAC" w:rsidRPr="00F62F8D">
        <w:t>ility</w:t>
      </w:r>
      <w:r w:rsidR="00475F9F" w:rsidRPr="00F62F8D">
        <w:t xml:space="preserve"> </w:t>
      </w:r>
      <w:r w:rsidR="00475F9F" w:rsidRPr="00F62F8D">
        <w:fldChar w:fldCharType="begin"/>
      </w:r>
      <w:r w:rsidR="00475F9F" w:rsidRPr="00F62F8D">
        <w:instrText xml:space="preserve"> ADDIN ZOTERO_ITEM CSL_CITATION {"citationID":"aRZoDIQE","properties":{"unsorted":true,"formattedCitation":"(Haddad et al., 2009; Chung and van der Lippe, 2020; Rudolph et al., 2021)","plainCitation":"(Haddad et al., 2009; Chung and van der Lippe, 2020; Rudolph et al., 2021)","noteIndex":0},"citationItems":[{"id":272,"uris":["http://zotero.org/users/12832277/items/HBK4QNSF"],"itemData":{"id":272,"type":"article-journal","abstract":"This paper presents findings and analysis based upon the third wave of a national longitudinal survey in the UK which is examining part-day homeworking and comparing it with whole-day homeworking. Survey results confirm earlier findings that there is a higher incidence, amongst full-time paid employees, of part-day homeworking than whole-day homeworking. The paper then separately examines determinants of the desire to part-day homework and whole-day homework and determinants of the reported frequency of part-day homeworking and whole-day homeworking. The determinants considered are socio-demographic characteristics of the respondents and belief statements relating to homeworking. Four statements are found to be relevant to desire to part-day and to whole-day homework: avoiding interruptions at work; avoiding wasted time in traffic; other household members appreciating the employee homeworking; and working longer hours. A similar comparison concerning actual frequency of homeworking finds that employer support is relevant for both homeworking practices, with part-day homeworking being associated with avoiding interruptions at work and whole-day homeworking frequency also being associated with commute struggle. For both forms of working practice, the belief statements are better able to explain desire to homework (more) than to explain frequency of homeworking. This is perhaps not surprising given the variability of work patterns at the level of the individual that can occur from week-to-week. The better performance of desire models for whole-day homeworking compared to those for part-day homeworking suggest that other factors are at play that remain to be identified in future examination of part-day homeworking.","collection-title":"ICT and the Shaping of Access, Mobility and Everyday Life","container-title":"Journal of Transport Geography","DOI":"10.1016/j.jtrangeo.2008.11.008","ISSN":"0966-6923","issue":"2","language":"en","page":"124-133","source":"ScienceDirect","title":"An Examination of Determinants Influencing the Desire for and Frequency of Part-Day and Whole-Day Homeworking","volume":"17","author":[{"family":"Haddad","given":"Hebba"},{"family":"Lyons","given":"Glenn"},{"family":"Chatterjee","given":"Kiron"}],"issued":{"date-parts":[["2009",3,1]]}}},{"id":6699,"uris":["http://zotero.org/users/12832277/items/ZKBRK3F3"],"itemData":{"id":6699,"type":"article-journal","abstract":"This special brings together innovative and multidisciplinary research (sociology, economics, and social work) using data from across Europe and the US to examine the potential flexible working has on the gender division of labour and workers’ work–life balance. Despite numerous studies on the gendered outcomes of flexible working, it is limited in that the majority is based on qualitative studies based in the US. The papers of this special issue overcome some of the limitations by examining the importance of context, namely, family, organisational and country context, examining the intersection between gender and class, and finally examining the outcomes for different types of flexible working arrangements. The introduction to this special issue provides a review of the existing literature on the gendered outcomes of flexible working on work life balance and other work and family outcomes, before presenting the key findings of the articles of this special issue. The results of the studies show that gender matters in understanding the outcomes of flexible working, but also it matters differently in different contexts. The introduction further provides policy implications drawn from the conclusions of the studies and some thoughts for future studies to consider.","container-title":"Social Indicators Research","DOI":"10.1007/s11205-018-2025-x","ISSN":"1573-0921","issue":"2","journalAbbreviation":"Soc Indic Res","language":"en","page":"365-381","source":"Springer Link","title":"Flexible Working, Work–Life Balance, and Gender Equality: Introduction","title-short":"Flexible Working, Work–Life Balance, and Gender Equality","volume":"151","author":[{"family":"Chung","given":"Heejung"},{"family":"Lippe","given":"Tanja","non-dropping-particle":"van der"}],"issued":{"date-parts":[["2020",9,1]]}}},{"id":6694,"uris":["http://zotero.org/users/12832277/items/N7W7MV6L"],"itemData":{"id":6694,"type":"article-journal","abstract":"Pandemics have historically shaped the world of work in various ways. With COVID-19 presenting as a global pandemic, there is much speculation about the implications of this crisis for the future of work and for people working in organizations. In this article, we discuss 10 of the most relevant research and practice topics in the field of industrial and organizational psychology that will likely be strongly influenced by COVID-19. For each of these topics, the pandemic crisis is creating new work-related challenges, but it is also presenting various opportunities. The topics discussed herein include occupational health and safety, work–family issues, telecommuting, virtual teamwork, job insecurity, precarious work, leadership, human resources policy, the aging workforce, and careers. This article sets the stage for further discussion of various ways in which I-O psychology research and practice can address the issues that COVID-19 creates for work and organizational processes that are affecting workers now and will shape the future of work and organizations in both the short and long term. This article concludes by inviting I-O psychology researchers and practitioners to address the challenges and opportunities of COVID-19 head-on by proactively adapting the work that we do in support of workers, organizations, and society as a whole.","container-title":"Industrial and Organizational Psychology","DOI":"10.1017/iop.2020.48","ISSN":"1754-9426, 1754-9434","issue":"1-2","language":"en","page":"1-35","source":"Cambridge University Press","title":"Pandemics: Implications for Research and Practice in Industrial and Organizational Psychology","title-short":"Pandemics","volume":"14","author":[{"family":"Rudolph","given":"Cort W."},{"family":"Allan","given":"Blake"},{"family":"Clark","given":"Malissa"},{"family":"Hertel","given":"Guido"},{"family":"Hirschi","given":"Andreas"},{"family":"Kunze","given":"Florian"},{"family":"Shockley","given":"Kristen"},{"family":"Shoss","given":"Mindy"},{"family":"Sonnentag","given":"Sabine"},{"family":"Zacher","given":"Hannes"}],"issued":{"date-parts":[["2021",6]]}}}],"schema":"https://github.com/citation-style-language/schema/raw/master/csl-citation.json"} </w:instrText>
      </w:r>
      <w:r w:rsidR="00475F9F" w:rsidRPr="00F62F8D">
        <w:fldChar w:fldCharType="separate"/>
      </w:r>
      <w:r w:rsidR="00475F9F" w:rsidRPr="00F62F8D">
        <w:t>(Haddad et al., 2009; Chung and van der Lippe, 2020; Rudolph et al., 2021)</w:t>
      </w:r>
      <w:r w:rsidR="00475F9F" w:rsidRPr="00F62F8D">
        <w:fldChar w:fldCharType="end"/>
      </w:r>
      <w:r w:rsidR="000619D8" w:rsidRPr="00F62F8D">
        <w:t xml:space="preserve">. </w:t>
      </w:r>
    </w:p>
    <w:p w14:paraId="042FC6BB" w14:textId="26B7457A" w:rsidR="001072C9" w:rsidRDefault="008F0EAC" w:rsidP="001072C9">
      <w:pPr>
        <w:ind w:firstLine="720"/>
      </w:pPr>
      <w:r w:rsidRPr="00F62F8D">
        <w:rPr>
          <w:rStyle w:val="Strong"/>
          <w:b w:val="0"/>
          <w:bCs w:val="0"/>
        </w:rPr>
        <w:t xml:space="preserve">Educational attainment </w:t>
      </w:r>
      <w:r w:rsidR="00732AEF" w:rsidRPr="00F62F8D">
        <w:rPr>
          <w:rStyle w:val="Strong"/>
          <w:b w:val="0"/>
          <w:bCs w:val="0"/>
        </w:rPr>
        <w:t xml:space="preserve">serves </w:t>
      </w:r>
      <w:r w:rsidRPr="003627A3">
        <w:rPr>
          <w:rStyle w:val="Strong"/>
          <w:b w:val="0"/>
          <w:bCs w:val="0"/>
        </w:rPr>
        <w:t xml:space="preserve">primarily </w:t>
      </w:r>
      <w:r w:rsidR="00732AEF" w:rsidRPr="00F62F8D">
        <w:rPr>
          <w:rStyle w:val="Strong"/>
          <w:b w:val="0"/>
          <w:bCs w:val="0"/>
        </w:rPr>
        <w:t xml:space="preserve">to </w:t>
      </w:r>
      <w:r w:rsidRPr="00F62F8D">
        <w:rPr>
          <w:rStyle w:val="Strong"/>
          <w:b w:val="0"/>
          <w:bCs w:val="0"/>
        </w:rPr>
        <w:t>distinguish between the two telework modalities.</w:t>
      </w:r>
      <w:r w:rsidRPr="00F62F8D">
        <w:t xml:space="preserve"> Individuals with graduate degrees have a higher propensity to engage in full-day telework but less so to engage in part-day telework</w:t>
      </w:r>
      <w:r w:rsidR="00732AEF" w:rsidRPr="00F62F8D">
        <w:t>,</w:t>
      </w:r>
      <w:r w:rsidRPr="00F62F8D">
        <w:t xml:space="preserve"> </w:t>
      </w:r>
      <w:r w:rsidR="00732AEF" w:rsidRPr="00F62F8D">
        <w:t xml:space="preserve">compared with </w:t>
      </w:r>
      <w:r w:rsidRPr="00F62F8D">
        <w:t xml:space="preserve">those with lower </w:t>
      </w:r>
      <w:r w:rsidR="00732AEF" w:rsidRPr="00F62F8D">
        <w:t xml:space="preserve">levels of </w:t>
      </w:r>
      <w:r w:rsidRPr="00F62F8D">
        <w:t>educational attainment. This pattern likely reflects the greater workplace autonomy enjoyed by highly educated workers, enabling them to consolidate in-person responsibilities onto specific office days while conducting other work entirely remotely</w:t>
      </w:r>
      <w:r w:rsidR="009E7E86" w:rsidRPr="00F62F8D">
        <w:t xml:space="preserve"> </w:t>
      </w:r>
      <w:r w:rsidR="009E7E86" w:rsidRPr="00F62F8D">
        <w:fldChar w:fldCharType="begin"/>
      </w:r>
      <w:r w:rsidR="009E7E86" w:rsidRPr="00F62F8D">
        <w:instrText xml:space="preserve"> ADDIN ZOTERO_ITEM CSL_CITATION {"citationID":"lNy6SOLF","properties":{"unsorted":true,"formattedCitation":"(L\\uc0\\u243{}pez-Igual and Rodr\\uc0\\u237{}guez-Modro\\uc0\\u241{}o, 2020; Golden and Gajendran, 2019; Gaduena et al., 2022; Asmussen et al., 2024)","plainCitation":"(López-Igual and Rodríguez-Modroño, 2020; Golden and Gajendran, 2019; Gaduena et al., 2022; Asmussen et al., 2024)","noteIndex":0},"citationItems":[{"id":3354,"uris":["http://zotero.org/users/12832277/items/X74VKKZY"],"itemData":{"id":3354,"type":"article-journal","abstract":"Telework and ICT-based mobile work (TICTM) arrangements have emerged in response to technological changes driven by digitalisation, increasing flexibility within the labour market, and globalisation. As telework becomes more widespread, these flexible models of work are rapidly expanding to new categories of employees, changing the factors traditionally found to be important for telework eligibility. The aim of this study is to gain a deeper understanding of new profiles of teleworkers, examining main factors that increase or decrease the likelihood of different TICTM arrangements. We apply multinomial logistic regression models to a sample of more than 20,000 workers from the 6th European Working Conditions Survey. Our findings confirm the heterogeneity in the profiles of teleworkers, particularly distinguishing by TICTM arrangement. Occasional teleworkers are usually male managers or professionals, but a relevant percentage of highly mobile teleworkers are technicians and associate professionals, while clerical support workers amount to a large group of home-based teleworkers. The majority of occasional and highly mobile teleworkers are still men, but this can no longer be said of home-based teleworkers. The correlations between telework and permanent contracts, full-time jobs, and living in urban areas are weak, showing that TICTM is spreading into more precarious, temporary, and lower-paid jobs, especially among home-based teleworkers and highly mobile teleworkers.","container-title":"Sustainability","DOI":"10.3390/su12218797","ISSN":"2071-1050","issue":"21","language":"en","license":"http://creativecommons.org/licenses/by/3.0/","note":"number: 21","page":"8797","publisher":"Multidisciplinary Digital Publishing Institute","source":"www.mdpi.com","title":"Who is Teleworking and Where from? Exploring the Main Determinants of Telework in Europe","title-short":"Who is Teleworking and Where from?","volume":"12","author":[{"family":"López-Igual","given":"Purificación"},{"family":"Rodríguez-Modroño","given":"Paula"}],"issued":{"date-parts":[["2020",1]]}}},{"id":6701,"uris":["http://zotero.org/users/12832277/items/FS385M3R"],"itemData":{"id":6701,"type":"article-journal","abstract":"Despite telecommuting’s growing popularity, its implication for telecommuter job performance is a matter of on-going public debate. Moreover, empirical evidence that could address this issue is scarce and conflicting. This study therefore not only examines whether telecommuting impacts job performance, but also investigates characteristics of the telecommuter’s work that might help or hinder their ability to perform their job. Integrating work design research with theorizing about telecommuting, our theoretical framework proposes that two knowledge characteristics, namely job complexity and problem solving, and two social characteristics, specifically interdependence and social support, moderate the extent of telecommuting–job performance relationship. We test our framework using matched data from telecommuters and their supervisors (N = 273) in an organization with a voluntary telecommuting program. Findings indicate that for telecommuters who held complex jobs, for those in jobs involving low levels of interdependence and for those in jobs with low levels of social support, the extent of telecommuting had a positive association with job performance. Across all moderators considered, the extent of telecommuting’s association with job performance ranged from benign to positive; findings did not support negative associations between the extent of telecommuting and job performance regardless of the level of each moderator examined. These results suggest the need to investigate the extent of telecommuting as well as the nature of the telecommuter’s job when studying work outcomes such as job performance, and that more research is needed.","container-title":"Journal of Business and Psychology","DOI":"10.1007/s10869-018-9530-4","ISSN":"1573-353X","issue":"1","language":"en","page":"55-69","source":"Springer Link","title":"Unpacking the Role of a Telecommuter’s Job in Their Performance: Examining Job Complexity, Problem Solving, Interdependence, and Social Support","title-short":"Unpacking the Role of a Telecommuter’s Job in Their Performance","volume":"34","author":[{"family":"Golden","given":"Timothy D."},{"family":"Gajendran","given":"Ravi S."}],"issued":{"date-parts":[["2019",2,1]]}}},{"id":6754,"uris":["http://zotero.org/users/12832277/items/HTA8KRMT"],"itemData":{"id":6754,"type":"article-journal","abstract":"Using work from home (WFH) scores obtained by matching Philippine occupations with U.S. O*NET occupations, this paper estimates that only 12.38% of all workers can WFH and 25.7% of Philippine occupations are teleworkable––mostly from the following occupational groups: professionals, clerical support workers, and technicians and associate professionals. The education, real estate and, professional, scientific and technical sectors account for the largest share of teleworkable jobs. Those workers belonging to lower per capita income deciles, who are male, who have lower levels of education, who are self-employed, aged 55 and older, and who are working in sectors such as agriculture and retail, are also less likely to be in teleworkable occupations.JEL codes: J240, J280","container-title":"The Economic and Labour Relations Review","DOI":"10.1177/10353046221075103","ISSN":"1035-3046","issue":"2","language":"EN","page":"434-454","publisher":"SAGE Publications Ltd","source":"SAGE Journals","title":"Telework Potential in the Philippines","volume":"33","author":[{"family":"Gaduena","given":"Ammielou"},{"family":"Caboverde","given":"Christopher Ed"},{"family":"Flaminiano","given":"John Paul"}],"issued":{"date-parts":[["2022",6,1]]}}},{"id":1944,"uris":["http://zotero.org/users/12832277/items/Y3TQLUZT"],"itemData":{"id":1944,"type":"article-journal","container-title":"Transportation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R."}],"issued":{"date-parts":[["2024",8]]}}}],"schema":"https://github.com/citation-style-language/schema/raw/master/csl-citation.json"} </w:instrText>
      </w:r>
      <w:r w:rsidR="009E7E86" w:rsidRPr="00F62F8D">
        <w:fldChar w:fldCharType="separate"/>
      </w:r>
      <w:r w:rsidR="009E7E86" w:rsidRPr="00F62F8D">
        <w:rPr>
          <w:kern w:val="0"/>
        </w:rPr>
        <w:t>(López-Igual and Rodríguez-Modroño, 2020; Golden and Gajendran, 2019; Gaduena et al., 2022; Asmussen et al., 2024)</w:t>
      </w:r>
      <w:r w:rsidR="009E7E86" w:rsidRPr="00F62F8D">
        <w:fldChar w:fldCharType="end"/>
      </w:r>
      <w:r w:rsidRPr="00F62F8D">
        <w:t>.</w:t>
      </w:r>
    </w:p>
    <w:p w14:paraId="6495C992" w14:textId="68036074" w:rsidR="00335D40" w:rsidRDefault="00335D40" w:rsidP="00335D40">
      <w:pPr>
        <w:ind w:firstLine="720"/>
      </w:pPr>
      <w:r>
        <w:t xml:space="preserve">Race and ethnicity play a more limited role. While overall telework adoption does not vary significantly across racial groups, </w:t>
      </w:r>
      <w:r w:rsidR="00A5363A" w:rsidRPr="00AA7459">
        <w:t xml:space="preserve">non-white individuals have a lower </w:t>
      </w:r>
      <w:r w:rsidR="00523935">
        <w:t xml:space="preserve">propensity for </w:t>
      </w:r>
      <w:r w:rsidR="00A5363A" w:rsidRPr="00AA7459">
        <w:t>part-day telework than white respondents</w:t>
      </w:r>
      <w:r w:rsidR="00FF3B81">
        <w:t>, perhaps reflecting persistent disparities in workplace flexibility or a greater need for in-person visibility</w:t>
      </w:r>
      <w:r w:rsidR="00444605">
        <w:t xml:space="preserve"> among non-white individuals</w:t>
      </w:r>
      <w:r w:rsidR="00FF3B81">
        <w:t xml:space="preserve"> </w:t>
      </w:r>
      <w:r w:rsidR="00AE51F4">
        <w:fldChar w:fldCharType="begin"/>
      </w:r>
      <w:r w:rsidR="009C2208">
        <w:instrText xml:space="preserve"> ADDIN ZOTERO_ITEM CSL_CITATION {"citationID":"qr4ukkQ5","properties":{"unsorted":false,"formattedCitation":"(Asfaw, 2022; Lewis et al., 2024; Patole et al., 2026)","plainCitation":"(Asfaw, 2022; Lewis et al., 2024; Patole et al., 2026)","noteIndex":0},"citationItems":[{"id":"PfebGbxu/i8pzQWqY","uris":["http://zotero.org/users/16508888/items/4EIGNZQC"],"itemData":{"id":"kdzqiZSQ/EOCh0BdX","type":"article-journal","abstract":"A growing literature has pointed out disparities in teleworking among different racial and ethnic (hereafter racial) workers. This study estimated racial disparities in teleworking due to the COVID-19 pandemic and the extent to which these disparities were mediated by four-year college education and occupation in the United States. The data source for this study was the Current Population Survey, May 2020 through July 2021. The results showed that in the reduced model, the odds for Black and Hispanic workers to telework were 35% and 55% lower, respectively, and for Asian workers 44% higher than for White workers, controlling for covariates. When four-year college education and occupation were included as mediator variables in the model, the odds for Black and Hispanic workers to telework were reduced to 7% and 16%, respectively. Overall, disparities in four-year college education and occupation explained 83% and 78% of the variation in the odds of teleworking for Black and Hispanic workers, respectively. Between the mediators, occupation explained more than 60% of the total effect. The results of this study could not rule out the possibility of racial discrimination in teleworking. Ultimately, reducing racial disparities in four-year college education and in different occupations might be a long-term solution for reducing racial disparities in teleworking.","container-title":"International Journal of Environmental Research and Public Health","DOI":"10.3390/ijerph19084680","ISSN":"1660-4601","issue":"8","language":"en","license":"http://creativecommons.org/licenses/by/3.0/","note":"number: 8\npublisher: Multidisciplinary Digital Publishing Institute","page":"4680","source":"www.mdpi.com","title":"Racial and Ethnic Disparities in Teleworking Due to the COVID-19 Pandemic in the United States: A Mediation Analysis","title-short":"Racial and Ethnic Disparities in Teleworking Due to the COVID-19 Pandemic in the United States","volume":"19","author":[{"family":"Asfaw","given":"Abay"}],"issued":{"date-parts":[["2022",1]]}}},{"id":"PfebGbxu/X6SIgegf","uris":["http://zotero.org/users/16508888/items/XGUSUGM6"],"itemData":{"id":"kdzqiZSQ/vhvclYtB","type":"article-journal","abstract":"Discretionary rewards can motivate employees but increase social inequity. Before the COVID-19 pandemic, when supervisors had substantial discretion over whether and how frequently U.S. federal employees teleworked, those who did so several times a week liked most aspects of their jobs more than those who teleworked less, especially those who were denied telework. Though telework became a necessity rather than a reward during the pandemic, supervisor discretion is increasing during the return-to-the-office period, making unequal access to telework a potential site of social inequity. Using logit analysis on the Federal Employee Viewpoint Survey (FEVS) before and during the pandemic, we examine how race, sex, disability status, and sexual orientation affected who was denied telework and how job characteristics affected those decisions. Black, Latino, and younger employees and employees with disabilities were more likely to have telework requests turned down; differences by gender and sexual orientation barely existed.","container-title":"Review of Public Personnel Administration","DOI":"10.1177/0734371X241274126","ISSN":"0734-371X","language":"EN","note":"publisher: SAGE Publications Inc","page":"0734371X241274126","source":"SAGE Journals","title":"Who Gets Denied Telework in the U.S. Federal Service?","author":[{"family":"Lewis","given":"Gregory B."},{"family":"Pizarro-Bore","given":"Ximena"},{"family":"Emidy","given":"M. Blake"}],"issued":{"date-parts":[["2024",9,8]]}}},{"id":6725,"uris":["http://zotero.org/users/12832277/items/ISIWG5BZ"],"itemData":{"id":6725,"type":"article-journal","abstract":"Virtual collaboration is now common, yet the everyday realities of Women of Color (WoC) in virtual teams remain underexamined. This study investigated how WoC experience virtual teamwork, the barriers they face, and the strategies that sustain performance and well-being. A basic qualitative design was used. Purposeful sampling yielded 13 WoC in the United States, ages 25 to 49, working across banking, oil and gas, retail, healthcare, and higher education. Semi-structured Zoom interviews of approximately 45 min were recorded and transcribed. Analysis followed a reflexive thematic approach supported by NVivo, with credibility strengthened through transcript verification, member checking, and analytic triangulation. Five themes emerged: (1) intersectional barriers intensify online, shaping access, belonging, and advancement; (2) marginalization produces recurring emotional and psychological strain; (3) virtual practices can obscure contributions, creating visibility and recognition gaps; (4) participants mobilize resilient tactics such as asserting presence, setting boundaries, building relationships, and amplifying ideas, alongside women for women support; and (5) structural and social supports, especially inclusive leadership, mentoring networks, and confidence building, enable fair participation and growth. Overall, virtual work can magnify inequities while also revealing practical levers that organizations can use to improve psychological safety, make contributions visible, and create equitable paths to advancement for WoC in distributed teams. Implications for Human Resource Development (HRD) include auditing visibility practices in virtual workflows, aligning evaluation with collaborative outputs, and targeting supports where inequities cluster.","container-title":"New Horizons in Adult Education and Human Resource Development","DOI":"10.1177/19394225251396200","ISSN":"1939-4225","page":"19394225251396200","publisher":"SAGE Publications","source":"journals.sagepub.com (Atypon)","title":"Virtual Work Challenges and Resilience: An Intersectional Exploration of Workplace Team Experiences of Women of Color","title-short":"Virtual Work Challenges and Resilience","author":[{"family":"Patole","given":"Sanket Ramchandra"},{"family":"McWhorter","given":"Rochell R."},{"family":"Carpenter","given":"Rob E."},{"family":"Turner","given":"John R."},{"family":"Dabke","given":"Deepika"}],"issued":{"date-parts":[["2026",1,2]]}}}],"schema":"https://github.com/citation-style-language/schema/raw/master/csl-citation.json"} </w:instrText>
      </w:r>
      <w:r w:rsidR="00AE51F4">
        <w:fldChar w:fldCharType="separate"/>
      </w:r>
      <w:r w:rsidR="00AE51F4" w:rsidRPr="00AE51F4">
        <w:t>(Asfaw, 2022; Lewis et al., 2024; Patole et al., 2026)</w:t>
      </w:r>
      <w:r w:rsidR="00AE51F4">
        <w:fldChar w:fldCharType="end"/>
      </w:r>
      <w:r w:rsidR="00FF3B81">
        <w:t xml:space="preserve">. </w:t>
      </w:r>
      <w:r w:rsidR="00523935">
        <w:t xml:space="preserve"> </w:t>
      </w:r>
      <w:r w:rsidR="00A5363A" w:rsidRPr="00AA7459">
        <w:t>Hispanic respondents</w:t>
      </w:r>
      <w:r w:rsidR="00FF3B81">
        <w:t>, meanwhile,</w:t>
      </w:r>
      <w:r w:rsidR="00A5363A" w:rsidRPr="00AA7459">
        <w:t xml:space="preserve"> </w:t>
      </w:r>
      <w:r w:rsidR="00FF3B81">
        <w:t xml:space="preserve">exhibit </w:t>
      </w:r>
      <w:r w:rsidR="00A5363A" w:rsidRPr="00AA7459">
        <w:t xml:space="preserve">shorter commute distances and a </w:t>
      </w:r>
      <w:r w:rsidR="00FF3B81">
        <w:t xml:space="preserve">greater propensity for </w:t>
      </w:r>
      <w:r w:rsidR="00A5363A" w:rsidRPr="00AA7459">
        <w:t>full</w:t>
      </w:r>
      <w:r w:rsidR="00F66155">
        <w:t>-</w:t>
      </w:r>
      <w:r w:rsidR="00A5363A" w:rsidRPr="00AA7459">
        <w:t>day telework</w:t>
      </w:r>
      <w:r w:rsidR="00FF3B81">
        <w:t xml:space="preserve">, consistent </w:t>
      </w:r>
      <w:r w:rsidR="00A5363A" w:rsidRPr="00AA7459">
        <w:t>with previous</w:t>
      </w:r>
      <w:r w:rsidR="00FF3B81">
        <w:t xml:space="preserve"> evidence regarding residential location patterns and </w:t>
      </w:r>
      <w:r>
        <w:t xml:space="preserve">telework participation among Hispanic workers </w:t>
      </w:r>
      <w:r w:rsidR="00917B29">
        <w:fldChar w:fldCharType="begin"/>
      </w:r>
      <w:r w:rsidR="00ED7C98">
        <w:instrText xml:space="preserve"> ADDIN ZOTERO_ITEM CSL_CITATION {"citationID":"HTKDBbsH","properties":{"unsorted":false,"formattedCitation":"(Angrisani et al., 2023; Robbennolt et al., 2024)","plainCitation":"(Angrisani et al., 2023; Robbennolt et al., 2024)","noteIndex":0},"citationItems":[{"id":6733,"uris":["http://zotero.org/users/12832277/items/LNR4G3TZ"],"itemData":{"id":6733,"type":"report","language":"en-US","number":"MRDRC WP 2023-470","publisher":"Michigan Retirement and Disability Research Center","title":"Racial, Ethnic, and Gender Disparities in Labor Market Outcomes in the Aftermath of the COVID-19 Pandemic | MRDRC","URL":"https://mrdrc.isr.umich.edu/publication/racial-ethnic-and-gender-disparities-in-labor-market-outcomes-in-the-aftermath-of-the-covid-19-pandemic/","author":[{"family":"Angrisani","given":"Marco"},{"family":"Burke","given":"Jeremy"},{"family":"Perez-Arce","given":"Francisco"}],"accessed":{"date-parts":[["2026",3,29]]},"issued":{"date-parts":[["2023"]]}}},{"id":3779,"uris":["http://zotero.org/users/12832277/items/2DZBCAUM"],"itemData":{"id":3779,"type":"article-journal","abstract":"We estimate a joint model of housing choice along several dimensions to account for changing valuations of housing outcomes due to the COVID-19 pandemic. We consider housing outcomes including housing type, tenure type, the presence of a patio or yard, the number of bedrooms, neighborhood population density, median housing cost, accessibility of amenities, school quality, crime rate, and commute distance. Data used for this analysis were collected in October and November of 2021 from 24 metropolitan areas across the United States. A Generalized Heterogeneous Data Model (GHDM) is used to estimate these housing outcomes as a function of exogenous household sociodemographic characteristics and latent lifestyle propensities. The GHDM also captures jointness caused by unobserved factors, allowing for the estimation of accurate causal effects between outcomes. The results reveal that lifestyle preferences have significant impacts on housing outcomes. Specifically, individuals with a preference for teleworking are more likely to reside in single-family homes in highly populated areas, experience longer commute distances, and exhibit a higher sensitivity to the presence of amenities in their neighborhoods. Additionally, the analysis of tradeoffs between housing outcomes reveals the relative valuations of various housing outcomes. An increased commute distance is found to lead to an increase in single-family homes, reductions in density, and an increased crime rate. Choosing an apartment in a high-density neighborhood is found to lead to reductions in school quality and significant increases in crime rates. Implications of the results for land-use planning, travel demand analysis, and equity considerations are identified and discussed.","container-title":"Transportation Research Part A: Policy and Practice","DOI":"10.1016/j.tra.2024.104285","ISSN":"0965-8564","page":"104285","source":"ScienceDirect","title":"Housing Choice in an Evolving Remote Work Landscape","volume":"190","author":[{"family":"Robbennolt","given":"Dale"},{"family":"Haddad","given":"Angela J."},{"family":"Mondal","given":"Aupal"},{"family":"Bhat","given":"Chandra R."}],"issued":{"date-parts":[["2024",12,1]]}}}],"schema":"https://github.com/citation-style-language/schema/raw/master/csl-citation.json"} </w:instrText>
      </w:r>
      <w:r w:rsidR="00917B29">
        <w:fldChar w:fldCharType="separate"/>
      </w:r>
      <w:r w:rsidR="00ED7C98" w:rsidRPr="00ED7C98">
        <w:t>(Angrisani et al., 2023; Robbennolt et al., 2024)</w:t>
      </w:r>
      <w:r w:rsidR="00917B29">
        <w:fldChar w:fldCharType="end"/>
      </w:r>
      <w:r w:rsidR="00ED7C98">
        <w:t>.</w:t>
      </w:r>
    </w:p>
    <w:p w14:paraId="708AF18D" w14:textId="042CECDB" w:rsidR="00CF00A2" w:rsidRPr="00AA7459" w:rsidRDefault="00523935" w:rsidP="003C1C7C">
      <w:pPr>
        <w:ind w:firstLine="720"/>
      </w:pPr>
      <w:r>
        <w:t xml:space="preserve">Finally, </w:t>
      </w:r>
      <w:r w:rsidR="00FF3B81">
        <w:t xml:space="preserve">individuals with </w:t>
      </w:r>
      <w:r w:rsidR="00A5363A" w:rsidRPr="00AA7459">
        <w:t>disabili</w:t>
      </w:r>
      <w:r w:rsidR="00FF3B81">
        <w:t xml:space="preserve">ties </w:t>
      </w:r>
      <w:r w:rsidR="00A5363A" w:rsidRPr="00AA7459">
        <w:t xml:space="preserve">that </w:t>
      </w:r>
      <w:r w:rsidR="00FF3B81">
        <w:t xml:space="preserve">affect </w:t>
      </w:r>
      <w:r w:rsidR="00A5363A" w:rsidRPr="00AA7459">
        <w:t xml:space="preserve">travel </w:t>
      </w:r>
      <w:r w:rsidR="00FF3B81">
        <w:t xml:space="preserve">are </w:t>
      </w:r>
      <w:r w:rsidR="00A5363A" w:rsidRPr="00AA7459">
        <w:t xml:space="preserve">more likely to adopt telework, and </w:t>
      </w:r>
      <w:r w:rsidR="00FF3B81">
        <w:t xml:space="preserve"> exhibit</w:t>
      </w:r>
      <w:r>
        <w:t xml:space="preserve"> a greater propensity for </w:t>
      </w:r>
      <w:r w:rsidR="00A5363A" w:rsidRPr="00AA7459">
        <w:t xml:space="preserve">full-day telework. </w:t>
      </w:r>
      <w:r w:rsidR="00473362">
        <w:t>This result is</w:t>
      </w:r>
      <w:r w:rsidR="00FF3B81">
        <w:t xml:space="preserve"> consistent with a growing literature demonstrating that telework improves employment accessibility by eliminating the commute burden faced by many workers with mobility impairments </w:t>
      </w:r>
      <w:r w:rsidR="00984ED1">
        <w:fldChar w:fldCharType="begin"/>
      </w:r>
      <w:r w:rsidR="009C2208">
        <w:instrText xml:space="preserve"> ADDIN ZOTERO_ITEM CSL_CITATION {"citationID":"xjEtG21Z","properties":{"unsorted":false,"formattedCitation":"(Schur et al., 2020)","plainCitation":"(Schur et al., 2020)","noteIndex":0},"citationItems":[{"id":"PfebGbxu/jxANK6E9","uris":["http://zotero.org/users/16508888/items/8YMDBW88"],"itemData":{"id":"kdzqiZSQ/f2KQmI56","type":"article-journal","abstract":"Purpose The COVID pandemic was a severe blow to all workers, but it may ultimately have a silver lining for some workers with disabilities if it makes work from home easier and more acceptable. In addition, the pandemic is shaking up traditional workplace structures and causing employers to rethink how essential tasks can be done, which may broaden their views of workplace accommodations. We assess the potential for the pandemic to improve employment opportunities for people with disabilities. Methods This article analyzes pre-COVID data on disability and home-based work from three representative data sources—the American Community Survey, American Time Use Survey, and Current Population Survey. We employ both cross-tabulations and regressions to predict work at home. Results We find that workers with disabilities are more likely than those without disabilities both to work primarily from home and to do any work at home. This is true for both employees and self-employed workers. Workers with disabilities face similar wage gaps in on-site and home-based work, indicating that while increased availability of home-based work may create more employment opportunities for workers with disabilities, it is unlikely to erase wage disparities. While workers with disabilities are currently more likely to be working primarily from home, only 34% are in occupations with high potential for home-based work, compared to 40% of workers without disabilities. Conclusions Workers with disabilities are currently more likely to work from home and many may benefit from expanded work-at-home opportunities, but the types of jobs they hold constrain this potential. Research is needed to see how home-based work evolves as the economy recovers from the pandemic over the next several years.","container-title":"Journal of Occupational Rehabilitation","DOI":"10.1007/s10926-020-09936-5","ISSN":"1573-3688","issue":"4","journalAbbreviation":"J Occup Rehabil","language":"en","page":"521-536","source":"Springer Link","title":"Telework After COVID: A “Silver Lining” for Workers with Disabilities?","title-short":"Telework After COVID","volume":"30","author":[{"family":"Schur","given":"Lisa A."},{"family":"Ameri","given":"Mason"},{"family":"Kruse","given":"Douglas"}],"issued":{"date-parts":[["2020",12,1]]}}}],"schema":"https://github.com/citation-style-language/schema/raw/master/csl-citation.json"} </w:instrText>
      </w:r>
      <w:r w:rsidR="00984ED1">
        <w:fldChar w:fldCharType="separate"/>
      </w:r>
      <w:r w:rsidR="00984ED1" w:rsidRPr="00984ED1">
        <w:t>(Schur et al., 2020)</w:t>
      </w:r>
      <w:r w:rsidR="00984ED1">
        <w:fldChar w:fldCharType="end"/>
      </w:r>
      <w:r w:rsidR="00CF00A2">
        <w:t>.</w:t>
      </w:r>
    </w:p>
    <w:p w14:paraId="56F66535" w14:textId="77777777" w:rsidR="00A5363A" w:rsidRPr="00A5363A" w:rsidRDefault="00A5363A" w:rsidP="005B3515">
      <w:pPr>
        <w:ind w:firstLine="720"/>
      </w:pPr>
    </w:p>
    <w:p w14:paraId="7922007D" w14:textId="6D41FB32" w:rsidR="00A5363A" w:rsidRPr="001D6510" w:rsidRDefault="00A5363A" w:rsidP="001D6510">
      <w:pPr>
        <w:rPr>
          <w:b/>
          <w:bCs/>
        </w:rPr>
      </w:pPr>
      <w:r w:rsidRPr="001D6510">
        <w:rPr>
          <w:b/>
          <w:bCs/>
        </w:rPr>
        <w:t>4.2 Effects of Household Characteristics and Location</w:t>
      </w:r>
    </w:p>
    <w:p w14:paraId="1BA88B0E" w14:textId="62A669ED" w:rsidR="003C1C7C" w:rsidRDefault="00523935" w:rsidP="002F7EBB">
      <w:r>
        <w:t xml:space="preserve">In terms of household composition, </w:t>
      </w:r>
      <w:r w:rsidR="003C1C7C">
        <w:t xml:space="preserve">individuals </w:t>
      </w:r>
      <w:r w:rsidR="00F8602C">
        <w:t xml:space="preserve"> with children tend to have longer commute distances</w:t>
      </w:r>
      <w:r w:rsidR="003C1C7C">
        <w:t xml:space="preserve"> than </w:t>
      </w:r>
      <w:r w:rsidR="005D08BC">
        <w:t>those without children</w:t>
      </w:r>
      <w:r w:rsidR="00F8602C">
        <w:t xml:space="preserve">, likely reflecting </w:t>
      </w:r>
      <w:r w:rsidR="003C1C7C">
        <w:t xml:space="preserve">residential preferences for better </w:t>
      </w:r>
      <w:r w:rsidR="00F8602C" w:rsidRPr="00AA7459">
        <w:t>schools</w:t>
      </w:r>
      <w:r w:rsidR="00E27187">
        <w:t xml:space="preserve">, </w:t>
      </w:r>
      <w:r w:rsidR="00E27187" w:rsidRPr="00AA7459">
        <w:t xml:space="preserve">larger homes, </w:t>
      </w:r>
      <w:r w:rsidR="00E27187">
        <w:t>and</w:t>
      </w:r>
      <w:r w:rsidR="00E27187" w:rsidRPr="00AA7459">
        <w:t xml:space="preserve"> safer neighborhoods</w:t>
      </w:r>
      <w:r w:rsidR="00F8602C" w:rsidRPr="00AA7459">
        <w:t xml:space="preserve"> </w:t>
      </w:r>
      <w:r w:rsidR="003C1C7C">
        <w:t xml:space="preserve">at the expense of </w:t>
      </w:r>
      <w:r w:rsidR="00F8602C" w:rsidRPr="00AA7459">
        <w:t>workplace</w:t>
      </w:r>
      <w:r w:rsidR="00F8602C">
        <w:t xml:space="preserve"> </w:t>
      </w:r>
      <w:r w:rsidR="003C1C7C">
        <w:t xml:space="preserve">proximity </w:t>
      </w:r>
      <w:r w:rsidR="00F8602C" w:rsidRPr="00AA7459">
        <w:fldChar w:fldCharType="begin"/>
      </w:r>
      <w:r w:rsidR="009C2208">
        <w:instrText xml:space="preserve"> ADDIN ZOTERO_ITEM CSL_CITATION {"citationID":"l1BaWHkZ","properties":{"unsorted":false,"formattedCitation":"(Baker et al., 2016; DeLuca and Jang\\uc0\\u8211{}Trettien, 2020; Robbennolt et al., 2024)","plainCitation":"(Baker et al., 2016; DeLuca and Jang–Trettien, 2020; Robbennolt et al., 2024)","noteIndex":0},"citationItems":[{"id":"PfebGbxu/0mFD96i8","uris":["http://zotero.org/users/16508888/items/9MCUD9F9"],"itemData":{"id":"SZMbmdSz/mFZWbppG","type":"article-journal","abstract":"Reframing notions of parent involvement (being present in the school building) to parent engagement (viewing multiple constructions of how parents are involved) is the purpose of this paper. The authors highlight the knowledge gained from data collected from a series of family and staff focus groups regarding parent and staff perceptions of barriers to family involvement and from families' suggestions as to what could be done differently to increase engagement. Using applied thematic analysis, five themes common to both families and staff are discussed: providing opportunities for involvement, improving communication, welcoming families into the building, making time, and moving from involvement to engagement. Findings show that, generally, parents and school staff agree on barriers to parent involvement but offer contrasting solutions. While parent solutions directly address the barriers identified and support parent engagement, staff frequently offered disconnected solutions, reiterating parent involvement--the necessity of parents being present in the building, rather than parent engagement--multiple constructions of how parents are involved.","container-title":"School Community Journal","ISSN":"1059-308X","issue":"2","language":"en","note":"publisher: Academic Development Institute\nERIC Number: EJ1124003","page":"161-184","source":"ERIC","title":"Identifying Barriers: Creating Solutions to Improve Family Engagement","title-short":"Identifying Barriers","volume":"26","author":[{"family":"Baker","given":"Timberly L."},{"family":"Wise","given":"Jillian"},{"family":"Kelley","given":"Gwendolyn"},{"family":"Skiba","given":"Russell J."}],"issued":{"date-parts":[["2016"]]}}},{"id":145,"uris":["http://zotero.org/users/12832277/items/ZINRR6D7"],"itemData":{"id":145,"type":"article-journal","abstract":"Despite decades of research on residential mobility and neighborhood effects, we know comparatively less about how people sort across geography. In recent years, scholars have been calling for research that considers residential selection as a social stratification process. In this paper, we present findings from work our team has done over the last 17 years to explore how people end up living where they do, relying in large part on systematically sampled in?depth narrative interviews with families. We focus on four key decisions: whether to move; where to move; whether to send children to school in the neighborhood; and whether to rent or own a home. We found that many residential mobility decisions among the poor were ?reactive,? with unpredictable shocks forcing families out of their homes. As a result of reactive moving, housing search time frames became shorter and poor parents employed short?term survival solutions to secure housing instead of long?term investment thinking about neighborhood and school district quality. These shocks, constraints, and compressed time frames led parents to decouple some dimensions of neighborhoods and schools from the housing search process while maximizing others, like immediacy of shelter, unit quality, and proximity to work and child care. Finally, we found that policies can significantly shape and better support some of these decisions. Combined, our research revealed some of the processes that underlie locational attainment and the intergenerational transmission of neighborhood context.","container-title":"City &amp; Community","DOI":"10.1111/cico.12515","ISSN":"1535-6841","issue":"3","page":"451-488","publisher":"SAGE Publications","source":"SAGE Journals","title":"“Not Just a Lateral Move”: Residential Decisions and the Reproduction of Urban Inequality","title-short":"“Not Just a Lateral Move”","volume":"19","author":[{"family":"DeLuca","given":"Stefanie"},{"family":"Jang–Trettien","given":"Christine"}],"issued":{"date-parts":[["2020",9,1]]}}},{"id":3779,"uris":["http://zotero.org/users/12832277/items/2DZBCAUM"],"itemData":{"id":3779,"type":"article-journal","abstract":"We estimate a joint model of housing choice along several dimensions to account for changing valuations of housing outcomes due to the COVID-19 pandemic. We consider housing outcomes including housing type, tenure type, the presence of a patio or yard, the number of bedrooms, neighborhood population density, median housing cost, accessibility of amenities, school quality, crime rate, and commute distance. Data used for this analysis were collected in October and November of 2021 from 24 metropolitan areas across the United States. A Generalized Heterogeneous Data Model (GHDM) is used to estimate these housing outcomes as a function of exogenous household sociodemographic characteristics and latent lifestyle propensities. The GHDM also captures jointness caused by unobserved factors, allowing for the estimation of accurate causal effects between outcomes. The results reveal that lifestyle preferences have significant impacts on housing outcomes. Specifically, individuals with a preference for teleworking are more likely to reside in single-family homes in highly populated areas, experience longer commute distances, and exhibit a higher sensitivity to the presence of amenities in their neighborhoods. Additionally, the analysis of tradeoffs between housing outcomes reveals the relative valuations of various housing outcomes. An increased commute distance is found to lead to an increase in single-family homes, reductions in density, and an increased crime rate. Choosing an apartment in a high-density neighborhood is found to lead to reductions in school quality and significant increases in crime rates. Implications of the results for land-use planning, travel demand analysis, and equity considerations are identified and discussed.","container-title":"Transportation Research Part A: Policy and Practice","DOI":"10.1016/j.tra.2024.104285","ISSN":"0965-8564","page":"104285","source":"ScienceDirect","title":"Housing Choice in an Evolving Remote Work Landscape","volume":"190","author":[{"family":"Robbennolt","given":"Dale"},{"family":"Haddad","given":"Angela J."},{"family":"Mondal","given":"Aupal"},{"family":"Bhat","given":"Chandra R."}],"issued":{"date-parts":[["2024",12,1]]}}}],"schema":"https://github.com/citation-style-language/schema/raw/master/csl-citation.json"} </w:instrText>
      </w:r>
      <w:r w:rsidR="00F8602C" w:rsidRPr="00AA7459">
        <w:fldChar w:fldCharType="separate"/>
      </w:r>
      <w:r w:rsidR="00EE7ACC" w:rsidRPr="00EE7ACC">
        <w:rPr>
          <w:kern w:val="0"/>
        </w:rPr>
        <w:t>(Baker et al., 2016; DeLuca and Jang–Trettien, 2020; Robbennolt et al., 2024)</w:t>
      </w:r>
      <w:r w:rsidR="00F8602C" w:rsidRPr="00AA7459">
        <w:fldChar w:fldCharType="end"/>
      </w:r>
      <w:r w:rsidR="00F8602C" w:rsidRPr="00AA7459">
        <w:t xml:space="preserve">. </w:t>
      </w:r>
      <w:r w:rsidR="00B85E77">
        <w:t>Further, s</w:t>
      </w:r>
      <w:r w:rsidR="00B85E77" w:rsidRPr="00AA7459">
        <w:t xml:space="preserve">ingle parents </w:t>
      </w:r>
      <w:r w:rsidR="003C1C7C">
        <w:t xml:space="preserve">are less likely to adopt telework, perhaps because of a need for </w:t>
      </w:r>
      <w:r w:rsidR="00B85E77">
        <w:t xml:space="preserve">greater separation between work and home </w:t>
      </w:r>
      <w:r w:rsidR="00422661">
        <w:t>responsibilities</w:t>
      </w:r>
      <w:r w:rsidR="00B85E77">
        <w:t xml:space="preserve"> </w:t>
      </w:r>
      <w:r w:rsidR="00B85E77" w:rsidRPr="00AA7459">
        <w:fldChar w:fldCharType="begin"/>
      </w:r>
      <w:r w:rsidR="009C2208">
        <w:instrText xml:space="preserve"> ADDIN ZOTERO_ITEM CSL_CITATION {"citationID":"JMTlLqzH","properties":{"unsorted":true,"formattedCitation":"(Dunatchik et al., 2021; Clar-Novak, 2025)","plainCitation":"(Dunatchik et al., 2021; Clar-Novak, 2025)","noteIndex":0},"citationItems":[{"id":"PfebGbxu/1456g7D9","uris":["http://zotero.org/users/16508888/items/YHHVAVEJ"],"itemData":{"id":"q4ZUdvNw/3dLc3nai","type":"article-journal","abstract":"We examine how the shift to remote work altered responsibilities for domestic labor among partnered couples and single parents. The study draws on data from a nationally representative survey of 2,200 US adults, including 478 partnered parents and 151 single parents, in April 2020. The closing of schools and child care centers significantly increased demands on working parents in the United States, and in many circumstances reinforced an unequal domestic division of labor.","container-title":"Gender &amp; Society","DOI":"10.1177/08912432211001301","ISSN":"0891-2432","issue":"2","language":"EN","note":"publisher: SAGE Publications Inc","page":"194-205","source":"SAGE Journals","title":"Gender, Parenting, and The Rise of Remote Work During the Pandemic: Implications for Domestic Inequality in the United States","title-short":"Gender, Parenting, and The Rise of Remote Work During the Pandemic","volume":"35","author":[{"family":"Dunatchik","given":"Allison"},{"family":"Gerson","given":"Kathleen"},{"family":"Glass","given":"Jennifer"},{"family":"Jacobs","given":"Jerry A."},{"family":"Stritzel","given":"Haley"}],"issued":{"date-parts":[["2021",4,1]]}}},{"id":6756,"uris":["http://zotero.org/users/12832277/items/M5FBK3JU"],"itemData":{"id":6756,"type":"article-journal","abstract":"The present study explores the relationship between individualization and gender-related disparities in teleworking. The research is part of a larger project evaluating a pilot program among administrative personnel at an Austrian university before implementing telework across the organization. It presents three key points about the intersection of teleworking and parental roles. First, telework interlinks with individualization in general, and organizations should play a proactive role in preventing the stress that can arise from such individualization. Challenges through individualization have eased due to the collective experiences in the pandemic-driven lockdowns. This overarching insight lays the groundwork for understanding the nuanced gender differences explored in the subsequent points. Second, this individualization process is gendered when it comes to parenting. The flexible nature of telework can ease the burden of juggling paid work with other responsibilities. At the same time, organizational telework initiatives can unintentionally reinforce traditional gender roles, placing women as primary caregivers. The findings indicate that when telework is solely a family-friendly benefit, it leads to a double invisibility of mothers' workload. However, the normalization of hybrid telework as an inner-organizational right might mitigate gendered hierarchies in the long term. Third, while all interviewed mothers felt responsible for parenting, fathers adopted different subject positions that did not disrupt the organizational normalization of mothers as primary caregivers. It sharpened during the pandemic. The study concludes that adopting hybrid telework models could challenge the prevailing “ideal worker” image and support mothers in advancing their careers. Collective experiences and ideas of flexibility as every employee's right can counteract individualization and gender inequalities.","container-title":"Gender, Work &amp; Organization","DOI":"10.1111/gwao.13155","ISSN":"1468-0432","issue":"1","language":"en","license":"© 2024 The Author(s). Gender, Work &amp; Organization published by John Wiley &amp; Sons Ltd.","note":"_eprint: https://onlinelibrary.wiley.com/doi/pdf/10.1111/gwao.13155","page":"330-350","source":"Wiley Online Library","title":"The Gendered Paradox of Individualization in Telework: Simultaneously Helpful and Harmful in the Context of Parenting","title-short":"The Gendered Paradox of Individualization in Telework","volume":"32","author":[{"family":"Clar-Novak","given":"Maria"}],"issued":{"date-parts":[["2025"]]}}}],"schema":"https://github.com/citation-style-language/schema/raw/master/csl-citation.json"} </w:instrText>
      </w:r>
      <w:r w:rsidR="00B85E77" w:rsidRPr="00AA7459">
        <w:fldChar w:fldCharType="separate"/>
      </w:r>
      <w:r w:rsidR="0059342B" w:rsidRPr="0059342B">
        <w:t>(Dunatchik et al., 2021; Clar-Novak, 2025)</w:t>
      </w:r>
      <w:r w:rsidR="00B85E77" w:rsidRPr="00AA7459">
        <w:fldChar w:fldCharType="end"/>
      </w:r>
      <w:r w:rsidR="00B85E77" w:rsidRPr="00AA7459">
        <w:t xml:space="preserve">. </w:t>
      </w:r>
      <w:r w:rsidR="00BF383D">
        <w:t xml:space="preserve">Similarly, adults in </w:t>
      </w:r>
      <w:r w:rsidR="00A5363A" w:rsidRPr="00AA7459">
        <w:t xml:space="preserve">nuclear families </w:t>
      </w:r>
      <w:r w:rsidR="00BF383D">
        <w:t>tend to have a lower propensity for full-day telework</w:t>
      </w:r>
      <w:r w:rsidR="007611BF">
        <w:t>, reflecting similar challenges in balancing work and childcare responsibilities</w:t>
      </w:r>
      <w:r w:rsidR="00BF383D">
        <w:t xml:space="preserve">. </w:t>
      </w:r>
      <w:r w:rsidR="005D08BC">
        <w:t xml:space="preserve">Finally, </w:t>
      </w:r>
      <w:r w:rsidR="00BF383D">
        <w:t xml:space="preserve">compared with single adults, </w:t>
      </w:r>
      <w:r w:rsidR="00A5363A" w:rsidRPr="00AA7459">
        <w:t xml:space="preserve">couples without children </w:t>
      </w:r>
      <w:r w:rsidR="00CF00A2">
        <w:t xml:space="preserve">exhibit a </w:t>
      </w:r>
      <w:r w:rsidR="00A5363A" w:rsidRPr="00AA7459">
        <w:t xml:space="preserve">lower </w:t>
      </w:r>
      <w:r w:rsidR="00CF00A2">
        <w:t xml:space="preserve">propensity for </w:t>
      </w:r>
      <w:r w:rsidR="00A5363A" w:rsidRPr="00AA7459">
        <w:t>both part-day and full-day telework.</w:t>
      </w:r>
      <w:r w:rsidR="00621351">
        <w:t xml:space="preserve"> These individuals, who have </w:t>
      </w:r>
      <w:r w:rsidR="00331ED7">
        <w:t>fewer competing demands than those with children and more household resources than single adult</w:t>
      </w:r>
      <w:r w:rsidR="001E463E">
        <w:t>s</w:t>
      </w:r>
      <w:r w:rsidR="00331ED7">
        <w:t xml:space="preserve">, </w:t>
      </w:r>
      <w:r w:rsidR="00587465">
        <w:t xml:space="preserve">may be better able to prioritize a consistent in-person workplace presence while treating telework </w:t>
      </w:r>
      <w:r w:rsidR="00587465" w:rsidRPr="00587465">
        <w:t>as an occasional arrangement</w:t>
      </w:r>
      <w:r w:rsidR="001E463E">
        <w:t xml:space="preserve"> </w:t>
      </w:r>
      <w:r w:rsidR="001E463E">
        <w:fldChar w:fldCharType="begin"/>
      </w:r>
      <w:r w:rsidR="001E463E">
        <w:instrText xml:space="preserve"> ADDIN ZOTERO_ITEM CSL_CITATION {"citationID":"ydKGWkQb","properties":{"unsorted":false,"formattedCitation":"(Wang et al., 2024)","plainCitation":"(Wang et al., 2024)","noteIndex":0},"citationItems":[{"id":6712,"uris":["http://zotero.org/users/12832277/items/XM3CWDDN"],"itemData":{"id":6712,"type":"article-journal","abstract":"In the aftermath of the COVID-19 pandemic, teleworking is still widely adopted even though it is no longer a mandatory work arrangement. It is important to understand the motives of those who continue to telework, as diverse motives may be associated with heterogeneous travel patterns. In this study, we apply a latent class choice model to a 2021 sample of current and expected future teleworkers, and identify five latent segments based on their dominant telework-related motives, namely travel-dominant (comprising 25% of the weighted sample), flexibility-dominant (24%), career-dominant (22%), workplace-discouraged (20%), and family-dominant (9%). Specifically, travel-dominant, workplace-discouraged, and family-dominant teleworkers may use teleworking to solve particular issues, while flexibility-dominant teleworkers may simply be drawn to some of the assorted merits of teleworking (perhaps even to its “option value”). Career-dominant teleworkers tend to treat teleworking as an occasional work arrangement. We also generate detailed segment-specific profiles to better understand each type of teleworker. The segment-specific outcome models explore factors that influence the expected post-COVID teleworking frequency. We find that factors such as gender, education, and job characteristics have heterogeneous impacts on teleworkers with different dominant motives. Interestingly, results suggest gendered family-support roles even among teleworkers with apparently similarly family-oriented motivations. Overall, this study provides useful insights based on classifying teleworkers by different telework-related motives and exploring the heterogeneous impacts of other variables on teleworking frequency. The results will lay a foundation for future studies to explore teleworking impacts on post-COVID travel behavior changes.","container-title":"Transportation Research Part A: Policy and Practice","DOI":"10.1016/j.tra.2024.104070","ISSN":"0965-8564","journalAbbreviation":"Transportation Research Part A: Policy and Practice","page":"104070","source":"ScienceDirect","title":"Identifying Teleworking-Related Motives and Comparing Telework Frequency Expectations in the Post-Pandemic World: A Latent Class Choice Modeling Approach","title-short":"Identifying Teleworking-Related Motives and Comparing Telework Frequency Expectations in the Post-Pandemic World","volume":"186","author":[{"family":"Wang","given":"Xinyi"},{"family":"Kim","given":"Sung Hoo"},{"family":"Mokhtarian","given":"Patricia L."}],"issued":{"date-parts":[["2024",8,1]]}}}],"schema":"https://github.com/citation-style-language/schema/raw/master/csl-citation.json"} </w:instrText>
      </w:r>
      <w:r w:rsidR="001E463E">
        <w:fldChar w:fldCharType="separate"/>
      </w:r>
      <w:r w:rsidR="00AA606C" w:rsidRPr="00AA606C">
        <w:t>(Wang et al., 2024)</w:t>
      </w:r>
      <w:r w:rsidR="001E463E">
        <w:fldChar w:fldCharType="end"/>
      </w:r>
      <w:r w:rsidR="002F7EBB">
        <w:t xml:space="preserve">. </w:t>
      </w:r>
    </w:p>
    <w:p w14:paraId="40A1BAF5" w14:textId="7FDF30AF" w:rsidR="00A5363A" w:rsidRPr="00D60794" w:rsidRDefault="003C1C7C" w:rsidP="00801887">
      <w:pPr>
        <w:ind w:firstLine="720"/>
      </w:pPr>
      <w:r w:rsidRPr="005B3515">
        <w:rPr>
          <w:rStyle w:val="Strong"/>
          <w:rFonts w:eastAsiaTheme="majorEastAsia"/>
          <w:b w:val="0"/>
          <w:bCs w:val="0"/>
          <w:kern w:val="0"/>
          <w14:ligatures w14:val="none"/>
        </w:rPr>
        <w:t>Income primarily differentiates both commute distance and telework participation.</w:t>
      </w:r>
      <w:r>
        <w:t xml:space="preserve"> Higher-income households exhibit shorter commute distances and greater telework participation. While the shorter commute distances contrast with much of the existing literature, they may reflect the </w:t>
      </w:r>
      <w:r>
        <w:lastRenderedPageBreak/>
        <w:t xml:space="preserve">Seattle context, where high-income professionals increasingly reside in gentrifying neighborhoods located close to major employment centers </w:t>
      </w:r>
      <w:r w:rsidR="00995391">
        <w:fldChar w:fldCharType="begin"/>
      </w:r>
      <w:r w:rsidR="00995391">
        <w:instrText xml:space="preserve"> ADDIN ZOTERO_ITEM CSL_CITATION {"citationID":"ZIYwUipw","properties":{"unsorted":true,"formattedCitation":"(Long, 2021; Couture et al., 2024)","plainCitation":"(Long, 2021; Couture et al., 2024)","noteIndex":0},"citationItems":[{"id":6718,"uris":["http://zotero.org/users/12832277/items/BNIEEWQN"],"itemData":{"id":6718,"type":"article-magazine","abstract":"In 2020, Amazon surpassed Boeing as the state’s largest private employer, usurping a title Boeing has held likely as far back as World War II. The milestone represents a tectonic shift in the state's economy, experts say.","container-title":"The Seattle Times","language":"en-US","title":"Amazon Surpasses Boeing as Washington’s Biggest Employer. Here’s What That Means for How We Live","URL":"https://www.seattletimes.com/business/amazon/amazon-surpasses-boeing-as-washington-states-biggest-employer/","author":[{"family":"Long","given":"Katherine A."}],"accessed":{"date-parts":[["2026",3,29]]},"issued":{"date-parts":[["2021",1,3]]}}},{"id":6715,"uris":["http://zotero.org/users/12832277/items/ID8GAHD5"],"itemData":{"id":6715,"type":"article-journal","abstract":"We explore the impact of rising incomes at the top of the distribution on spatial sorting patterns within large U.S. cities. We develop and quantify a spatial model of a city with heterogeneous agents and non-homothetic preferences for neighbourhoods with endogenous amenity quality. As the rich get richer, demand increases for the high-quality amenities available in downtown neighbourhoods. Rising demand drives up house prices and spurs the development of higher quality neighbourhoods downtown. This gentrification of downtowns makes poor incumbents worse off, as they are either displaced to the suburbs or pay higher rents for amenities that they do not value as much. We quantify the corresponding impact on well-being inequality. Through the lens of the quantified model, the change in the income distribution between 1990 and 2014 led to neighbourhood change and spatial resorting within urban areas that increased the welfare of richer households relative to that of poorer households, above and beyond rising nominal income inequality.","container-title":"The Review of Economic Studies","DOI":"10.1093/restud/rdad048","ISSN":"0034-6527","issue":"2","journalAbbreviation":"Rev Econ Stud","page":"858-898","source":"Silverchair","title":"Income Growth and the Distributional Effects of Urban Spatial Sorting","volume":"91","author":[{"family":"Couture","given":"Victor"},{"family":"Gaubert","given":"Cecile"},{"family":"Handbury","given":"Jessie"},{"family":"Hurst","given":"Erik"}],"issued":{"date-parts":[["2024",3,1]]}}}],"schema":"https://github.com/citation-style-language/schema/raw/master/csl-citation.json"} </w:instrText>
      </w:r>
      <w:r w:rsidR="00995391">
        <w:fldChar w:fldCharType="separate"/>
      </w:r>
      <w:r w:rsidR="00995391" w:rsidRPr="00995391">
        <w:t>(Long, 2021; Couture et al., 2024)</w:t>
      </w:r>
      <w:r w:rsidR="00995391">
        <w:fldChar w:fldCharType="end"/>
      </w:r>
      <w:r>
        <w:t xml:space="preserve">. At the same time, higher-income workers are more likely to engage in both full-day and part-day telework, consistent with the </w:t>
      </w:r>
      <w:r w:rsidR="00A5363A" w:rsidRPr="00D60794">
        <w:t xml:space="preserve">greater flexibility and telework compatibility of higher-paying jobs, as well as the ability of higher-income workers to negotiate remote arrangements </w:t>
      </w:r>
      <w:r w:rsidR="00A5363A" w:rsidRPr="00D60794">
        <w:fldChar w:fldCharType="begin"/>
      </w:r>
      <w:r w:rsidR="009C2208">
        <w:instrText xml:space="preserve"> ADDIN ZOTERO_ITEM CSL_CITATION {"citationID":"HY0tkYIP","properties":{"unsorted":true,"formattedCitation":"(Astroza et al., 2020; Dingel and Neiman, 2020; Asmussen et al., 2024)","plainCitation":"(Astroza et al., 2020; Dingel and Neiman, 2020; Asmussen et al., 2024)","noteIndex":0},"citationItems":[{"id":"PfebGbxu/R5PgF0Fa","uris":["http://zotero.org/users/16508888/items/G5GQPIJX"],"itemData":{"id":"SZMbmdSz/O2DsVAAV","type":"article-journal","abstract":"Results from a mobility survey from Chile during the COVID-19 pandemic show a decrease of 44% of trips in Santiago, with metro (55%), ride-hailing (51%), and bus (45%) presenting the highest reduction. Modes with the lowest reduction are motorcycle (28%), auto (34%), and walking (39%). While 77% of workers from low-income households had to go out and work, 80% of workers from high-income households worked from home. Other important factors that correlate with teleworking are gender, educational level, employment status, and occupation. Regarding the number of trips for purposes other than work, significant factors are gender, age, and employment status.","container-title":"Findings","DOI":"10.32866/001c.13489","journalAbbreviation":"Findings","language":"en","note":"publisher: Findings Press","source":"findingspress.org","title":"Mobility Changes, Teleworking, and Remote Communication during the COVID-19 Pandemic in Chile","URL":"https://findingspress.org/article/13489-mo","author":[{"family":"Astroza","given":"Sebastian"},{"family":"Tirachini","given":"Alejandro"},{"family":"Hurtubia","given":"Ricardo"},{"family":"Carrasco","given":"Juan Antonio"},{"family":"Guevara","given":"Angelo"},{"family":"Munizaga","given":"Marcela"},{"family":"Figueroa","given":"Macarena"},{"family":"Torres","given":"Valentina"}],"accessed":{"date-parts":[["2025",5,20]]},"issued":{"date-parts":[["2020",7,21]]}}},{"id":6720,"uris":["http://zotero.org/users/12832277/items/9QLB4S49"],"itemData":{"id":6720,"type":"article-journal","abstract":"Evaluating the economic impact of “social distancing” measures taken to arrest the spread of COVID-19 raises a fundamental question about the modern economy: how many jobs can be performed at home? We classify the feasibility of working at home for all occupations and merge this classification with occupational employment counts. We find that 37% of jobs in the United States can be performed entirely at home, with significant variation across cities and industries. These jobs typically pay more than jobs that cannot be done at home and account for 46% of all US wages. Applying our occupational classification to 85 other countries reveals that lower-income economies have a lower share of jobs that can be done at home.","container-title":"Journal of Public Economics","DOI":"10.1016/j.jpubeco.2020.104235","ISSN":"0047-2727","journalAbbreviation":"Journal of Public Economics","page":"104235","source":"ScienceDirect","title":"How Many Jobs Can Be Done at Home?","volume":"189","author":[{"family":"Dingel","given":"Jonathan I."},{"family":"Neiman","given":"Brent"}],"issued":{"date-parts":[["2020",9,1]]}}},{"id":1944,"uris":["http://zotero.org/users/12832277/items/Y3TQLUZT"],"itemData":{"id":1944,"type":"article-journal","container-title":"Transportation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R."}],"issued":{"date-parts":[["2024",8]]}}}],"schema":"https://github.com/citation-style-language/schema/raw/master/csl-citation.json"} </w:instrText>
      </w:r>
      <w:r w:rsidR="00A5363A" w:rsidRPr="00D60794">
        <w:fldChar w:fldCharType="separate"/>
      </w:r>
      <w:r w:rsidR="00AA606C" w:rsidRPr="00AA606C">
        <w:t>(Astroza et al., 2020; Dingel and Neiman, 2020; Asmussen et al., 2024)</w:t>
      </w:r>
      <w:r w:rsidR="00A5363A" w:rsidRPr="00D60794">
        <w:fldChar w:fldCharType="end"/>
      </w:r>
      <w:r w:rsidR="00A5363A" w:rsidRPr="00D60794">
        <w:t xml:space="preserve">. </w:t>
      </w:r>
    </w:p>
    <w:p w14:paraId="70861CAB" w14:textId="442E9D03" w:rsidR="00070E6F" w:rsidRDefault="008E141A" w:rsidP="00FA5890">
      <w:pPr>
        <w:ind w:firstLine="720"/>
      </w:pPr>
      <w:r>
        <w:t>Regarding household location, i</w:t>
      </w:r>
      <w:r w:rsidR="00A5363A" w:rsidRPr="00AA7459">
        <w:t>ndividuals living in high population densit</w:t>
      </w:r>
      <w:r w:rsidR="00CF00A2">
        <w:t>y</w:t>
      </w:r>
      <w:r w:rsidR="00A5363A" w:rsidRPr="00AA7459">
        <w:t xml:space="preserve"> </w:t>
      </w:r>
      <w:r w:rsidR="00D55C07">
        <w:t xml:space="preserve">neighborhoods </w:t>
      </w:r>
      <w:r w:rsidR="009B1394">
        <w:t xml:space="preserve">tend </w:t>
      </w:r>
      <w:r w:rsidR="00A5363A" w:rsidRPr="00AA7459">
        <w:t xml:space="preserve">to have shorter commutes and </w:t>
      </w:r>
      <w:r w:rsidR="00D32E4D">
        <w:t xml:space="preserve">show a higher propensity for </w:t>
      </w:r>
      <w:r w:rsidR="00A5363A" w:rsidRPr="00AA7459">
        <w:t xml:space="preserve">part-day telework. </w:t>
      </w:r>
      <w:r w:rsidR="009B1394">
        <w:t xml:space="preserve">This is not at all surprising, as these individuals tend to live nearer to employment centers, have relatively easy access to </w:t>
      </w:r>
      <w:r w:rsidR="00DC785E">
        <w:t xml:space="preserve">both work-related and non-work </w:t>
      </w:r>
      <w:r w:rsidR="00304E12">
        <w:t>activities</w:t>
      </w:r>
      <w:r w:rsidR="00DC785E">
        <w:t xml:space="preserve">, and may be more inclined to </w:t>
      </w:r>
      <w:r w:rsidR="00304E12">
        <w:t>utilize part-day telework as a strategy to</w:t>
      </w:r>
      <w:r w:rsidR="00A5363A" w:rsidRPr="00AA7459">
        <w:t xml:space="preserve"> shift their commutes outside of peak hours, saving time in dense, congested areas </w:t>
      </w:r>
      <w:r w:rsidR="00A5363A" w:rsidRPr="00AA7459">
        <w:fldChar w:fldCharType="begin"/>
      </w:r>
      <w:r w:rsidR="001B3805">
        <w:instrText xml:space="preserve"> ADDIN ZOTERO_ITEM CSL_CITATION {"citationID":"PIi6KFJW","properties":{"unsorted":false,"formattedCitation":"(Asgari and Jin, 2018)","plainCitation":"(Asgari and Jin, 2018)","noteIndex":0},"citationItems":[{"id":4371,"uris":["http://zotero.org/users/12832277/items/EWT8QCUK"],"itemData":{"id":4371,"type":"article-journal","abstract":"The primary objective of this research is to investigate the impacts of part-day telecommute arrangements on commute departure time. Part-day telecommuting occurs when the worker telecommutes while also travels to the workplace. In this case, telecommuting does not replace commute, but the workers may alter their commute departure times in order to avoid peak hour congestions. This paper intends to add empirical evidence on whether and to what extent telecommuting may lead to the temporal displacement of commute, and the actual outcomes on the network. With an interest on the departure time for commute trips, three different hazard models are developed, respectively for full-day commuters (no telecommuting episode), regular telecommuters (who telecommute on a regular basis), and non-regular telecommuters (who telecommute occasionally). Different socio-economic, demographic, and job-related attributes are used as independent variables in the model. Data were obtained from the 2010–2011 Regional Household travel Survey (RHTS) conducted in the New York Metropolitan region. This study adds to the literature by shedding light on the impacts of telecommuting on peak hour congestion relief and the underlying factors.","container-title":"Travel Behaviour and Society","DOI":"10.1016/j.tbs.2017.04.002","ISSN":"2214-367X","page":"84-92","source":"ScienceDirect","title":"An Evaluation of Part-Day Telecommute Impacts on Work Trip Departure Times","volume":"12","author":[{"family":"Asgari","given":"Hamidreza"},{"family":"Jin","given":"Xia"}],"issued":{"date-parts":[["2018",7,1]]}}}],"schema":"https://github.com/citation-style-language/schema/raw/master/csl-citation.json"} </w:instrText>
      </w:r>
      <w:r w:rsidR="00A5363A" w:rsidRPr="00AA7459">
        <w:fldChar w:fldCharType="separate"/>
      </w:r>
      <w:r w:rsidR="00AA606C" w:rsidRPr="00AA606C">
        <w:t>(Asgari and Jin, 2018)</w:t>
      </w:r>
      <w:r w:rsidR="00A5363A" w:rsidRPr="00AA7459">
        <w:fldChar w:fldCharType="end"/>
      </w:r>
      <w:r w:rsidR="00A5363A" w:rsidRPr="00AA7459">
        <w:t>.</w:t>
      </w:r>
      <w:r w:rsidR="00FA07A1">
        <w:t xml:space="preserve"> </w:t>
      </w:r>
      <w:r w:rsidR="00A5363A" w:rsidRPr="00AA7459">
        <w:t xml:space="preserve">Individuals with </w:t>
      </w:r>
      <w:r w:rsidR="00D32E4D">
        <w:t xml:space="preserve">good </w:t>
      </w:r>
      <w:r w:rsidR="00A5363A" w:rsidRPr="00AA7459">
        <w:t xml:space="preserve">access to public transportation </w:t>
      </w:r>
      <w:r w:rsidR="00B00868">
        <w:t xml:space="preserve">also </w:t>
      </w:r>
      <w:r w:rsidR="00A5363A" w:rsidRPr="00AA7459">
        <w:t xml:space="preserve">tend to have shorter commutes </w:t>
      </w:r>
      <w:r w:rsidR="00B00868">
        <w:t xml:space="preserve">but appear to </w:t>
      </w:r>
      <w:r w:rsidR="00D32E4D">
        <w:t xml:space="preserve">prefer </w:t>
      </w:r>
      <w:r w:rsidR="00B00868">
        <w:t>full-day telework</w:t>
      </w:r>
      <w:r w:rsidR="00E1274E">
        <w:t xml:space="preserve"> to part-day telework. The latter result perhaps is a reflection of their dependence on public transportation that typically does not have good service during </w:t>
      </w:r>
      <w:r w:rsidR="00CD6E21">
        <w:t xml:space="preserve">off-peak </w:t>
      </w:r>
      <w:r w:rsidR="00E1274E">
        <w:t xml:space="preserve">periods, which reduces the appeal of shifting the timing of commute travel through part-day telework. </w:t>
      </w:r>
      <w:r w:rsidR="00686A85">
        <w:t>Finally, i</w:t>
      </w:r>
      <w:r w:rsidR="00A5363A" w:rsidRPr="00AA7459">
        <w:t>ndividuals living in location</w:t>
      </w:r>
      <w:r w:rsidR="00686A85">
        <w:t>s</w:t>
      </w:r>
      <w:r w:rsidR="00A5363A" w:rsidRPr="00AA7459">
        <w:t xml:space="preserve"> </w:t>
      </w:r>
      <w:r w:rsidR="00686A85">
        <w:t>that are more walkable</w:t>
      </w:r>
      <w:r w:rsidR="00A5363A" w:rsidRPr="00AA7459">
        <w:t xml:space="preserve"> </w:t>
      </w:r>
      <w:r w:rsidR="009622C9">
        <w:t xml:space="preserve">tend to </w:t>
      </w:r>
      <w:r w:rsidR="00A5363A" w:rsidRPr="00AA7459">
        <w:t xml:space="preserve">have shorter commutes, are more likely to adopt telework, and </w:t>
      </w:r>
      <w:r w:rsidR="00E1274E">
        <w:t xml:space="preserve">display a high propensity for </w:t>
      </w:r>
      <w:r w:rsidR="009622C9">
        <w:t xml:space="preserve">both </w:t>
      </w:r>
      <w:r w:rsidR="00A5363A" w:rsidRPr="00AA7459">
        <w:t xml:space="preserve">full-day </w:t>
      </w:r>
      <w:r w:rsidR="009622C9">
        <w:t xml:space="preserve">and part-day </w:t>
      </w:r>
      <w:r w:rsidR="00A5363A" w:rsidRPr="00AA7459">
        <w:t>telework.</w:t>
      </w:r>
      <w:r w:rsidR="00E1274E" w:rsidRPr="00E1274E">
        <w:t xml:space="preserve"> </w:t>
      </w:r>
      <w:r w:rsidR="00E1274E">
        <w:t xml:space="preserve">The higher telework rates observed in more walkable neighborhoods </w:t>
      </w:r>
      <w:r w:rsidR="00994E6D">
        <w:t xml:space="preserve">may </w:t>
      </w:r>
      <w:r w:rsidR="00E1274E">
        <w:t xml:space="preserve">reflect lifestyle self-selection, whereby individuals who prefer urban, walkable environments are also more likely to hold occupations compatible with flexible work arrangements </w:t>
      </w:r>
      <w:r w:rsidR="00FA5890">
        <w:fldChar w:fldCharType="begin"/>
      </w:r>
      <w:r w:rsidR="00FA5890">
        <w:instrText xml:space="preserve"> ADDIN ZOTERO_ITEM CSL_CITATION {"citationID":"4YpkBQSF","properties":{"unsorted":false,"formattedCitation":"(Zhao et al., 2023)","plainCitation":"(Zhao et al., 2023)","noteIndex":0},"citationItems":[{"id":6738,"uris":["http://zotero.org/users/12832277/items/E7FXSVLX"],"itemData":{"id":6738,"type":"article-journal","abstract":"Given the ever-increasing auto dependence constituting a non-negligible portion of carbon emissions, unraveling the travel choice mechanism is crucial to designing effective sustainable urban policies. It is of great significance to investigate the impact of the residential built environment and travel attitude on travel behaviour. However, existing studies have not yet reached a consensus on the complex relationships between the built environment, travel attitude and travel behaviour. Thus, it is vital to further integrate other domains (e.g. job/employment) of an individual's life course to comprehensively understand individual travel behaviour. By integrating a novel perspective of knowledge typology (analytical, synthetic, and symbolic types of knowledge) in the job domain, this article further categorizes knowledge workers into three groups——scientific, engineering and creative workers. Based on the web survey data retrieved from 738 knowledge workers and 3924 other workers in Munich, both recursive and non-recursive structural equation models are applied to respectively estimate their travel choice mechanisms. Results show that “residential self-selection” applies more to creative workers, whereas “environmental determinism” applies more to engineering workers. The travel choice mechanism of scientific workers follows neither framework, with respect to no significant link between their residential environments and travel attitudes. In contrast, there coexist “environmental determinism” and “residential self-selection” among other workers. Regarding that the scientists, engineers and creatives potentially associate with heterogeneous travel choice rationales, future mobility studies in the era of knowledge economy should further integrate the job domain. Accordingly, “tailored-made” spatial and transport planning should be embedded in the local industrial structure and the variety of employment.","container-title":"Journal of Transport Geography","DOI":"10.1016/j.jtrangeo.2022.103524","ISSN":"0966-6923","journalAbbreviation":"Journal of Transport Geography","page":"103524","source":"ScienceDirect","title":"Relationships Between the Residential Environment, Travel Attitude and Behaviour Among Knowledge Workers: The Role of Job Types","title-short":"Relationships Between the Residential Environment, Travel Attitude and Behaviour Among Knowledge Workers","volume":"106","author":[{"family":"Zhao","given":"Juanjuan"},{"family":"Ren","given":"Huan"},{"family":"Gu","given":"Yan"},{"family":"Pan","given":"Haojie"}],"issued":{"date-parts":[["2023",1,1]]}}}],"schema":"https://github.com/citation-style-language/schema/raw/master/csl-citation.json"} </w:instrText>
      </w:r>
      <w:r w:rsidR="00FA5890">
        <w:fldChar w:fldCharType="separate"/>
      </w:r>
      <w:r w:rsidR="00FA5890" w:rsidRPr="00FA5890">
        <w:t>(Zhao et al., 2023)</w:t>
      </w:r>
      <w:r w:rsidR="00FA5890">
        <w:fldChar w:fldCharType="end"/>
      </w:r>
      <w:r w:rsidR="00E1274E">
        <w:t>.</w:t>
      </w:r>
    </w:p>
    <w:p w14:paraId="4B47485E" w14:textId="77777777" w:rsidR="00FA5890" w:rsidRPr="00A5363A" w:rsidRDefault="00FA5890" w:rsidP="00FA5890">
      <w:pPr>
        <w:ind w:firstLine="720"/>
      </w:pPr>
    </w:p>
    <w:p w14:paraId="7064F465" w14:textId="77777777" w:rsidR="003627A3" w:rsidRDefault="00A5363A">
      <w:pPr>
        <w:rPr>
          <w:b/>
          <w:bCs/>
        </w:rPr>
      </w:pPr>
      <w:r w:rsidRPr="001D6510">
        <w:rPr>
          <w:b/>
          <w:bCs/>
        </w:rPr>
        <w:t>4.3 Employment-Related Effects</w:t>
      </w:r>
    </w:p>
    <w:p w14:paraId="5AABE413" w14:textId="0951F7C6" w:rsidR="00994E6D" w:rsidRDefault="00994E6D" w:rsidP="00994E6D">
      <w:r w:rsidRPr="00012F23">
        <w:rPr>
          <w:rStyle w:val="Strong"/>
          <w:b w:val="0"/>
          <w:bCs w:val="0"/>
        </w:rPr>
        <w:t>Employment characteristics also shape both commute distance and telework patterns.</w:t>
      </w:r>
      <w:r>
        <w:t xml:space="preserve"> Part-time workers</w:t>
      </w:r>
      <w:r w:rsidR="00AD42F7">
        <w:t xml:space="preserve"> (those working less than 35 hours per week)</w:t>
      </w:r>
      <w:r>
        <w:t xml:space="preserve"> exhibit shorter commute distances than full-time workers</w:t>
      </w:r>
      <w:r w:rsidR="00DC7E45">
        <w:t xml:space="preserve"> (those working 35 hours per week or more)</w:t>
      </w:r>
      <w:r>
        <w:t xml:space="preserve">, consistent with evidence that lower earnings reduce the incentive to accept long commutes </w:t>
      </w:r>
      <w:r w:rsidR="0044539C">
        <w:fldChar w:fldCharType="begin"/>
      </w:r>
      <w:r w:rsidR="0044539C">
        <w:instrText xml:space="preserve"> ADDIN ZOTERO_ITEM CSL_CITATION {"citationID":"Syuxhx2E","properties":{"unsorted":true,"formattedCitation":"(Axisa et al., 2012; Sen et al., 2021; Asmussen et al., 2024)","plainCitation":"(Axisa et al., 2012; Sen et al., 2021; Asmussen et al., 2024)","noteIndex":0},"citationItems":[{"id":6762,"uris":["http://zotero.org/users/12832277/items/CB7QDRHV"],"itemData":{"id":6762,"type":"article-journal","abstract":"This study examines factors that influence commute distance within the commuter shed of Toronto, Canada. The investigation uses data drawn from the 2006 Census of Canada Master File (20% sample). The findings from two multiple linear regression models indicate that being a recent migrant and/or living in the most accessible rural areas of Toronto’s commuter shed substantially increases commute distance. At the same time, employment type, sex, and age, among other factors, are also found to significantly influence commute distance.","collection-title":"Special Section on Theoretical Perspectives on Climate Change Mitigation in Transport","container-title":"Journal of Transport Geography","DOI":"10.1016/j.jtrangeo.2011.10.005","ISSN":"0966-6923","journalAbbreviation":"Journal of Transport Geography","page":"123-129","source":"ScienceDirect","title":"Factors Influencing Commute Distance: A Case Study of Toronto’s Commuter Shed","title-short":"Factors Influencing Commute Distance","volume":"24","author":[{"family":"Axisa","given":"Jeffrey J."},{"family":"Scott","given":"Darren M."},{"family":"Bruce Newbold","given":"K."}],"issued":{"date-parts":[["2012",9,1]]}}},{"id":6745,"uris":["http://zotero.org/users/12832277/items/8PEXPWAA"],"itemData":{"id":6745,"type":"article-journal","abstract":"Usage-based road charges are expected to reduce the use of private vehicles. To assess this assumption, this study investigates the factors currently influencing commute distance in South East Queensland (SEQ), Australia. A multiple regression model was estimated to identify the significant determinants of commute distance, followed by a hierarchical regression analysis to ascertain the contribution of personal characteristics, household characteristics, work-related characteristics and accessibility. We conclude that many commuters would remain captive private vehicle usersuntil accessibility improves, and other transport modes offer viable commuting options. Alternatively, the pricing scheme should be adapted to suit local contexts.","container-title":"Urban Policy and Research","DOI":"10.1080/08111146.2021.1922376","ISSN":"0811-1146","issue":"3","note":"_eprint: https://doi.org/10.1080/08111146.2021.1922376","page":"292-307","publisher":"Routledge","source":"Taylor and Francis+NEJM","title":"Determinants of Commute Distance in South East Queensland, Australia: Implications for Usage-Based Pricing in Lower-Density Urban Settings","volume":"39","author":[{"family":"Sen","given":"Suman"},{"family":"Charles","given":"Michael B."},{"family":"Harrison","given":"Jennifer L."}],"issued":{"date-parts":[["2021",7,3]]}}},{"id":1944,"uris":["http://zotero.org/users/12832277/items/Y3TQLUZT"],"itemData":{"id":1944,"type":"article-journal","container-title":"Transportation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R."}],"issued":{"date-parts":[["2024",8]]}}}],"schema":"https://github.com/citation-style-language/schema/raw/master/csl-citation.json"} </w:instrText>
      </w:r>
      <w:r w:rsidR="0044539C">
        <w:fldChar w:fldCharType="separate"/>
      </w:r>
      <w:r w:rsidR="0044539C" w:rsidRPr="0044539C">
        <w:t>(Axisa et al., 2012; Sen et al., 2021; Asmussen et al., 2024)</w:t>
      </w:r>
      <w:r w:rsidR="0044539C">
        <w:fldChar w:fldCharType="end"/>
      </w:r>
      <w:r>
        <w:t xml:space="preserve">. They are also more likely to engage in full-day telework, perhaps because shorter work schedules and the growth of fully remote part-time positions make complete remote work easier to accommodate </w:t>
      </w:r>
      <w:r w:rsidR="00AD673E">
        <w:fldChar w:fldCharType="begin"/>
      </w:r>
      <w:r w:rsidR="00AD673E">
        <w:instrText xml:space="preserve"> ADDIN ZOTERO_ITEM CSL_CITATION {"citationID":"mQdorMNF","properties":{"unsorted":true,"formattedCitation":"(Deng et al., 2015; Katz and Krueger, 2019; Asmussen et al., 2024)","plainCitation":"(Deng et al., 2015; Katz and Krueger, 2019; Asmussen et al., 2024)","noteIndex":0},"citationItems":[{"id":4478,"uris":["http://zotero.org/users/12832277/items/KXKJ93W4"],"itemData":{"id":4478,"type":"article-journal","abstract":"This paper investigates the impact of several factors on the adoption of telecommuting, using empirical data collected from 1,864 commuters in Northern California. We distinguish three types of telecommuting – full-day, part-day, and overtime – as they might affect travel behavior in very different ways. We develop binary logit models and a trivariate probit model of the adoption of each form of telecommuting, using non-centered factor scores to identify pro-high- vs. pro-low-density workers. We test the hypothesis that the impact of the built environment on the decision to adopt telecommuting differs between those two segments. The results support the hypothesis, with numerous variables significant to one of those segments but not the other; in the case of the binary logit model for overtime telecommuting, employment density in the home area even has opposite influences for pro-high-density (positive) compared to pro-low-density people (negative). Other groups of variables, including personal attitudes and demographic traits, also significantly affect individuals’ decisions on whether and how to telecommute, if at all. For example (consistent with other studies), education and household income are strong (positive) predictors of the decision to telecommute. Compared to the separate binary logit models, the trivariate probit model better predicts the joint probabilities of adopting the various forms of telecommuting, and better models the correlated adoption of the three types of telecommuting.","language":"en","source":"escholarship.org","title":"Modeling the Adoption of Full-day, Part-day and Overtime Telecommuting: An Investigation of Northern California Workers Using Non-Mean-Centered Factor Scores to Segment on Built Environment Attitudes","URL":"https://escholarship.org/uc/item/67q1r3bk","author":[{"family":"Deng","given":"Huijing"},{"family":"Mokhtarian","given":"Patricia"},{"family":"Circella","given":"Giovanni"}],"accessed":{"date-parts":[["2025",5,12]]},"issued":{"date-parts":[["2015"]]}}},{"id":6727,"uris":["http://zotero.org/users/12832277/items/YI8I8KUE"],"itemData":{"id":6727,"type":"article-journal","abstract":"To monitor trends in alternative work arrangements, the authors conducted a version of the Contingent Worker Survey as part of the RAND American Life Panel in late 2015. Their findings point to a rise in the incidence of alternative work arrangements in the US economy from 1995 to 2015. The percentage of workers engaged in alternative work arrangements—defined as temporary help agency workers, on-call workers, contract workers, and independent contractors or freelancers—rose from 10.7% in February 2005 to possibly as high as 15.8% in late 2015. Workers who provide services through online intermediaries, such as Uber or TaskRabbit, accounted for 0.5% of all workers in 2015. Of the workers selling goods or services directly to customers, approximately twice as many reported finding customers through off-line intermediaries than through online intermediaries.","container-title":"ILR Review","DOI":"10.1177/0019793918820008","ISSN":"0019-7939","issue":"2","language":"EN","page":"382-416","publisher":"SAGE Publications Inc","source":"SAGE Journals","title":"The Rise and Nature of Alternative Work Arrangements in the United States, 1995–2015","volume":"72","author":[{"family":"Katz","given":"Lawrence F."},{"family":"Krueger","given":"Alan B."}],"issued":{"date-parts":[["2019",3,1]]}}},{"id":1944,"uris":["http://zotero.org/users/12832277/items/Y3TQLUZT"],"itemData":{"id":1944,"type":"article-journal","container-title":"Transportation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R."}],"issued":{"date-parts":[["2024",8]]}}}],"schema":"https://github.com/citation-style-language/schema/raw/master/csl-citation.json"} </w:instrText>
      </w:r>
      <w:r w:rsidR="00AD673E">
        <w:fldChar w:fldCharType="separate"/>
      </w:r>
      <w:r w:rsidR="00AD673E" w:rsidRPr="00AD673E">
        <w:t>(Deng et al., 2015; Katz and Krueger, 2019; Asmussen et al., 2024)</w:t>
      </w:r>
      <w:r w:rsidR="00AD673E">
        <w:fldChar w:fldCharType="end"/>
      </w:r>
      <w:r>
        <w:t>. Similarly, self-employed individuals are less likely to engage in part-day telework, likely because greater autonomy allows them to organize fully remote workdays rather than split work between home and the workplace. Not surprisingly, individuals working more days each week are more likely to adopt telework, particularly full-day telework, reflecting the greater benefits of reducing commuting over a larger number of workdays.</w:t>
      </w:r>
      <w:r w:rsidR="00277720">
        <w:t xml:space="preserve"> </w:t>
      </w:r>
    </w:p>
    <w:p w14:paraId="6158568E" w14:textId="5AE069FA" w:rsidR="0064728D" w:rsidRDefault="0064728D" w:rsidP="00976F73">
      <w:pPr>
        <w:ind w:firstLine="720"/>
      </w:pPr>
      <w:r w:rsidRPr="00AA7459">
        <w:t>Employer</w:t>
      </w:r>
      <w:r w:rsidR="00362D3C">
        <w:t>-provided transportation</w:t>
      </w:r>
      <w:r w:rsidRPr="00AA7459">
        <w:t xml:space="preserve"> subsidies also influence employees’ telework decisions. </w:t>
      </w:r>
      <w:r w:rsidR="00250F86">
        <w:t>The provision of</w:t>
      </w:r>
      <w:r w:rsidRPr="00AA7459">
        <w:t xml:space="preserve"> a </w:t>
      </w:r>
      <w:r w:rsidR="00250F86">
        <w:t xml:space="preserve">free or subsidized </w:t>
      </w:r>
      <w:r w:rsidRPr="00AA7459">
        <w:t xml:space="preserve">transit pass </w:t>
      </w:r>
      <w:r w:rsidR="00DB53E6">
        <w:t>resul</w:t>
      </w:r>
      <w:r w:rsidR="00FA5890">
        <w:t>t</w:t>
      </w:r>
      <w:r w:rsidR="0099075C">
        <w:t>s</w:t>
      </w:r>
      <w:r w:rsidR="00DB53E6">
        <w:t xml:space="preserve"> in a lower propensity for part-day telework, </w:t>
      </w:r>
      <w:r w:rsidR="00994E6D">
        <w:t xml:space="preserve">consistent with the limited benefit of shifting the timing of the commute </w:t>
      </w:r>
      <w:r w:rsidR="009037ED">
        <w:t>(as discussed in the previous section)</w:t>
      </w:r>
      <w:r w:rsidRPr="00AA7459">
        <w:t xml:space="preserve">. </w:t>
      </w:r>
      <w:r w:rsidR="00994E6D">
        <w:t xml:space="preserve">Likewise, employer-provided </w:t>
      </w:r>
      <w:r w:rsidRPr="00AA7459">
        <w:t xml:space="preserve">free or subsidized parking </w:t>
      </w:r>
      <w:r w:rsidR="00994E6D">
        <w:t xml:space="preserve">reduces the </w:t>
      </w:r>
      <w:r w:rsidR="00AF2FA7">
        <w:t xml:space="preserve">propensity for </w:t>
      </w:r>
      <w:r w:rsidRPr="00AA7459">
        <w:t>full-day telework</w:t>
      </w:r>
      <w:r w:rsidR="00994E6D">
        <w:t xml:space="preserve">, supporting </w:t>
      </w:r>
      <w:r w:rsidRPr="00AA7459">
        <w:t xml:space="preserve">previous </w:t>
      </w:r>
      <w:r w:rsidR="00994E6D">
        <w:t xml:space="preserve">findings that lower commuting costs encourage workplace attendance </w:t>
      </w:r>
      <w:r w:rsidR="004F1FE4">
        <w:fldChar w:fldCharType="begin"/>
      </w:r>
      <w:r w:rsidR="004F1FE4">
        <w:instrText xml:space="preserve"> ADDIN ZOTERO_ITEM CSL_CITATION {"citationID":"pc4fcx6Z","properties":{"unsorted":false,"formattedCitation":"(Shoup, 2005)","plainCitation":"(Shoup, 2005)","noteIndex":0},"citationItems":[{"id":6729,"uris":["http://zotero.org/users/12832277/items/6ETAM76Q"],"itemData":{"id":6729,"type":"book","ISBN":"978-1-884829-98-7","publisher":"APA Planners Press","publisher-place":"Chicago","source":"Google Scholar","title":"The High Cost of Free Parking","URL":"https://api.taylorfrancis.com/content/books/mono/download?identifierName=doi&amp;identifierValue=10.4324/9781351179539&amp;type=googlepdf","author":[{"family":"Shoup","given":"Donald"}],"accessed":{"date-parts":[["2026",3,29]]},"issued":{"date-parts":[["2005"]]}}}],"schema":"https://github.com/citation-style-language/schema/raw/master/csl-citation.json"} </w:instrText>
      </w:r>
      <w:r w:rsidR="004F1FE4">
        <w:fldChar w:fldCharType="separate"/>
      </w:r>
      <w:r w:rsidR="00AA606C" w:rsidRPr="00AA606C">
        <w:t>(Shoup, 2005)</w:t>
      </w:r>
      <w:r w:rsidR="004F1FE4">
        <w:fldChar w:fldCharType="end"/>
      </w:r>
      <w:r w:rsidRPr="00AA7459">
        <w:t xml:space="preserve">. </w:t>
      </w:r>
    </w:p>
    <w:p w14:paraId="7399CA33" w14:textId="3F2ED4BE" w:rsidR="005145F8" w:rsidRDefault="00994E6D" w:rsidP="00FC16B5">
      <w:pPr>
        <w:pStyle w:val="NormalWeb"/>
        <w:spacing w:before="0" w:beforeAutospacing="0" w:after="0" w:afterAutospacing="0"/>
        <w:ind w:firstLine="720"/>
        <w:jc w:val="both"/>
      </w:pPr>
      <w:r w:rsidRPr="00FC16B5">
        <w:rPr>
          <w:rStyle w:val="Strong"/>
          <w:rFonts w:eastAsiaTheme="majorEastAsia"/>
          <w:b w:val="0"/>
          <w:bCs w:val="0"/>
        </w:rPr>
        <w:t>Finally, employment sector strongly differentiates telework behavior.</w:t>
      </w:r>
      <w:r>
        <w:t xml:space="preserve"> Workers in the health sector and in construction/manufacturing have shorter commute distances, likely because employment in these sectors is more geographically dispersed than </w:t>
      </w:r>
      <w:r w:rsidR="00976F73">
        <w:t>concentrated in a few major employment centers</w:t>
      </w:r>
      <w:r>
        <w:t xml:space="preserve">. As expected, workers in health care, construction/manufacturing, and education/social work are generally less likely to telework because of greater in-person job </w:t>
      </w:r>
      <w:r>
        <w:lastRenderedPageBreak/>
        <w:t xml:space="preserve">requirements. An interesting exception is that health-sector workers exhibit a higher propensity for part-day telework, suggesting that remote work is increasingly used for administrative and documentation tasks while patient care remains in person </w:t>
      </w:r>
      <w:r w:rsidR="00A10218">
        <w:fldChar w:fldCharType="begin"/>
      </w:r>
      <w:r w:rsidR="00A10218">
        <w:instrText xml:space="preserve"> ADDIN ZOTERO_ITEM CSL_CITATION {"citationID":"Ya1gyJs4","properties":{"unsorted":false,"formattedCitation":"(Jones et al., 2023)","plainCitation":"(Jones et al., 2023)","noteIndex":0},"citationItems":[{"id":4493,"uris":["http://zotero.org/users/12832277/items/R2EBMIQC","http://zotero.org/users/12832277/items/TWKJAHA5"],"itemData":{"id":4493,"type":"article-journal","abstract":"Now in the post-pandemic era, healthcare employers and leaders must navigate decisions around use of telework arrangements made popular during the COVID-19 pandemic. Among healthcare employees who teleworked during the pandemic, this study investigates preference to continue teleworking post-pandemic and the determinants of this preference. An overwhelming majority (99%) preferred to continue teleworking to some degree and the majority (52%) preferred to telework for all work hours. Healthcare employers should consider that most employees who teleworked during the pandemic prefer to continue teleworking for most or all work hours, and that hybrid work arrangements are especially important for clinical telework employees. In addition to space and resource allocation, management considerations include supports to promote productivity, work-life balance, and effective virtual communication while teleworking to promote positive employee health, recruitment, and retention outcomes.","container-title":"Healthcare Management Forum","DOI":"10.1177/08404704231170733","ISSN":"0840-4704","issue":"4","language":"EN","page":"256-262","publisher":"SAGE Publications Inc","source":"SAGE Journals","title":"Continuation of Telework in the Post-Pandemic Era: Healthcare Employees’ Preference and Determinants","volume":"36","author":[{"family":"Jones","given":"Andrea M."},{"family":"Fan","given":"Jonathan"},{"family":"Thomas-Olson","given":"Leah"},{"family":"Zhang","given":"Wei"},{"family":"McLeod","given":"Christopher B."}],"issued":{"date-parts":[["2023",7,1]]}}}],"schema":"https://github.com/citation-style-language/schema/raw/master/csl-citation.json"} </w:instrText>
      </w:r>
      <w:r w:rsidR="00A10218">
        <w:fldChar w:fldCharType="separate"/>
      </w:r>
      <w:r w:rsidR="00A10218" w:rsidRPr="00A10218">
        <w:t>(Jones et al., 2023)</w:t>
      </w:r>
      <w:r w:rsidR="00A10218">
        <w:fldChar w:fldCharType="end"/>
      </w:r>
      <w:r>
        <w:t xml:space="preserve">. In contrast, workers in the information/finance and technology sectors are more </w:t>
      </w:r>
      <w:r w:rsidR="00976F73">
        <w:t xml:space="preserve">predisposed to </w:t>
      </w:r>
      <w:r>
        <w:t xml:space="preserve">full-day telework, while those in public administration </w:t>
      </w:r>
      <w:r w:rsidR="00976F73">
        <w:t xml:space="preserve">prefer </w:t>
      </w:r>
      <w:r>
        <w:t xml:space="preserve">part-day </w:t>
      </w:r>
      <w:r w:rsidR="00976F73">
        <w:t xml:space="preserve">to </w:t>
      </w:r>
      <w:r>
        <w:t xml:space="preserve">full-day telework, perhaps reflecting a balance between workplace accountability and scheduling flexibility </w:t>
      </w:r>
      <w:r w:rsidR="00E21D09">
        <w:fldChar w:fldCharType="begin"/>
      </w:r>
      <w:r w:rsidR="00E21D09">
        <w:instrText xml:space="preserve"> ADDIN ZOTERO_ITEM CSL_CITATION {"citationID":"SGDyS86p","properties":{"unsorted":false,"formattedCitation":"(Mele et al., 2023)","plainCitation":"(Mele et al., 2023)","noteIndex":0},"citationItems":[{"id":6735,"uris":["http://zotero.org/users/12832277/items/TCEIDHKM"],"itemData":{"id":6735,"type":"article-journal","abstract":"After a relatively slow policy intervention and scholarly take-up, recent developments created the urgency for massive efforts to implement and regulate telework in public organizations. We contribute to this debate through a systematic review of 120 studies across disciplines. Findings from our analysis reveal a few established antecedents of telework, including individual characteristics like family responsibilities and expected productivity, but also organizational aspects like supportive leadership, and contextual features like natural disasters. Self-reported productivity and work-life balance stand out as telework's most widely studied outcomes, although evidence is often conflicting when coming to the effects of telework. We present our results by distinguishing pre- and post-pandemic findings. Complementing our systematic review, we engage in a generative exercise by identifying emerging debates on telework in public bureaucracies. We conclude by indicating future research directions.","container-title":"Public Administration Review","DOI":"10.1111/puar.13734","ISSN":"1540-6210","issue":"6","language":"en","license":"© 2023 The Authors. Public Administration Review published by Wiley Periodicals LLC on behalf of American Society for Public Administration.","note":"_eprint: https://onlinelibrary.wiley.com/doi/pdf/10.1111/puar.13734","page":"1649-1666","source":"Wiley Online Library","title":"Telework in Public Organizations: A Systematic Review and Research Agenda","title-short":"Telework in Public Organizations","volume":"83","author":[{"family":"Mele","given":"Valentina"},{"family":"Belardinelli","given":"Paolo"},{"family":"Bellé","given":"Nicola"}],"issued":{"date-parts":[["2023"]]}}}],"schema":"https://github.com/citation-style-language/schema/raw/master/csl-citation.json"} </w:instrText>
      </w:r>
      <w:r w:rsidR="00E21D09">
        <w:fldChar w:fldCharType="separate"/>
      </w:r>
      <w:r w:rsidR="00E21D09" w:rsidRPr="00E21D09">
        <w:t>(Mele et al., 2023)</w:t>
      </w:r>
      <w:r w:rsidR="00E21D09">
        <w:fldChar w:fldCharType="end"/>
      </w:r>
      <w:r>
        <w:t>.</w:t>
      </w:r>
    </w:p>
    <w:p w14:paraId="79FB0498" w14:textId="77777777" w:rsidR="00FC16B5" w:rsidRPr="00A5363A" w:rsidRDefault="00FC16B5" w:rsidP="00FC16B5">
      <w:pPr>
        <w:pStyle w:val="NormalWeb"/>
        <w:spacing w:before="0" w:beforeAutospacing="0" w:after="0" w:afterAutospacing="0"/>
        <w:ind w:firstLine="720"/>
        <w:jc w:val="both"/>
      </w:pPr>
    </w:p>
    <w:p w14:paraId="5C09B5D8" w14:textId="0C2F1CFC" w:rsidR="00A5363A" w:rsidRPr="001D6510" w:rsidRDefault="00A5363A" w:rsidP="00FC16B5">
      <w:pPr>
        <w:keepNext/>
        <w:rPr>
          <w:b/>
          <w:bCs/>
        </w:rPr>
      </w:pPr>
      <w:r w:rsidRPr="001D6510">
        <w:rPr>
          <w:b/>
          <w:bCs/>
        </w:rPr>
        <w:t xml:space="preserve">4.4 </w:t>
      </w:r>
      <w:r w:rsidR="002F5B11">
        <w:rPr>
          <w:b/>
          <w:bCs/>
        </w:rPr>
        <w:t xml:space="preserve">Covariance </w:t>
      </w:r>
      <w:r w:rsidR="003E58E7">
        <w:rPr>
          <w:b/>
          <w:bCs/>
        </w:rPr>
        <w:t xml:space="preserve">Elements and </w:t>
      </w:r>
      <w:r w:rsidRPr="001D6510">
        <w:rPr>
          <w:b/>
          <w:bCs/>
        </w:rPr>
        <w:t>Endogenous Effects</w:t>
      </w:r>
    </w:p>
    <w:p w14:paraId="2B774231" w14:textId="31BE9B57" w:rsidR="002F5B11" w:rsidRDefault="002F5B11" w:rsidP="002F5B11">
      <w:r>
        <w:t xml:space="preserve">Table 5 provides the elements of the covariance matrix, reflecting the presence of unobserved factors that jointly influence commute distance and work arrangement choices. First, two elements of </w:t>
      </w:r>
      <w:r w:rsidRPr="00AA7459">
        <w:rPr>
          <w:position w:val="-4"/>
        </w:rPr>
        <w:object w:dxaOrig="260" w:dyaOrig="260" w14:anchorId="548F57FE">
          <v:shape id="_x0000_i1133" type="#_x0000_t75" style="width:12.85pt;height:12.85pt" o:ole="">
            <v:imagedata r:id="rId144" o:title=""/>
          </v:shape>
          <o:OLEObject Type="Embed" ProgID="Equation.DSMT4" ShapeID="_x0000_i1133" DrawAspect="Content" ObjectID="_1846406990" r:id="rId216"/>
        </w:object>
      </w:r>
      <w:r>
        <w:t xml:space="preserve"> are statistically significant, including a positive correlation between commute distance and the propensity for telework adoption and a negative correlation between commute distance and the propensity for part-day telework frequency. For instance, th</w:t>
      </w:r>
      <w:r w:rsidR="00646BC9">
        <w:t>e first result</w:t>
      </w:r>
      <w:r>
        <w:t xml:space="preserve"> may reflect </w:t>
      </w:r>
      <w:r w:rsidR="00646BC9">
        <w:t xml:space="preserve">the preference of </w:t>
      </w:r>
      <w:r>
        <w:t>more introverted individuals to live f</w:t>
      </w:r>
      <w:r w:rsidR="00646BC9">
        <w:t>a</w:t>
      </w:r>
      <w:r>
        <w:t xml:space="preserve">rther </w:t>
      </w:r>
      <w:r w:rsidR="00646BC9">
        <w:t xml:space="preserve">away </w:t>
      </w:r>
      <w:r>
        <w:t xml:space="preserve">from their workplace </w:t>
      </w:r>
      <w:r w:rsidRPr="00071784">
        <w:t xml:space="preserve">to avoid running into coworkers at non-work locations </w:t>
      </w:r>
      <w:r w:rsidR="0044320C">
        <w:t>as well as the preference of these same more introverted individuals</w:t>
      </w:r>
      <w:r>
        <w:t xml:space="preserve"> to</w:t>
      </w:r>
      <w:r w:rsidRPr="00071784">
        <w:t xml:space="preserve"> avoid coworker interactions at their workplace</w:t>
      </w:r>
      <w:r w:rsidR="00646BC9">
        <w:t xml:space="preserve"> by adopting telework</w:t>
      </w:r>
      <w:r>
        <w:t xml:space="preserve">. In contrast, more extroverted individuals may prefer to live closer to their workplace </w:t>
      </w:r>
      <w:r w:rsidRPr="00071784">
        <w:t xml:space="preserve">to maximize time for social interactions </w:t>
      </w:r>
      <w:r w:rsidR="00646BC9">
        <w:t xml:space="preserve">inside and </w:t>
      </w:r>
      <w:r w:rsidRPr="00071784">
        <w:t>outside </w:t>
      </w:r>
      <w:r>
        <w:t xml:space="preserve">of </w:t>
      </w:r>
      <w:r w:rsidR="00646BC9">
        <w:t xml:space="preserve">their </w:t>
      </w:r>
      <w:r w:rsidRPr="00071784">
        <w:t>work</w:t>
      </w:r>
      <w:r w:rsidR="00646BC9">
        <w:t>place, explaining the negative correlation between commute distance and the propensity for part-day telework</w:t>
      </w:r>
      <w:r w:rsidRPr="00071784">
        <w:t xml:space="preserve">. </w:t>
      </w:r>
      <w:r>
        <w:t xml:space="preserve">Second, we find that all three elements of </w:t>
      </w:r>
      <w:r w:rsidRPr="00835120">
        <w:rPr>
          <w:position w:val="-4"/>
        </w:rPr>
        <w:object w:dxaOrig="240" w:dyaOrig="260" w14:anchorId="1A2F8112">
          <v:shape id="_x0000_i1134" type="#_x0000_t75" style="width:12.85pt;height:12.85pt" o:ole="">
            <v:imagedata r:id="rId217" o:title=""/>
          </v:shape>
          <o:OLEObject Type="Embed" ProgID="Equation.DSMT4" ShapeID="_x0000_i1134" DrawAspect="Content" ObjectID="_1846406991" r:id="rId218"/>
        </w:object>
      </w:r>
      <w:r>
        <w:t xml:space="preserve"> are also statistically significant, with a positive correlation between telework adoption and full-day telework propensity but negative correlations between part-day telework propensity and both overall telework adoption and full-day telework propensity. These could be due, for instance, to unobserved preferences for maintaining consistent, uninterrupted routines. If some individuals </w:t>
      </w:r>
      <w:r w:rsidR="00646BC9">
        <w:t xml:space="preserve">prefer to </w:t>
      </w:r>
      <w:r>
        <w:t>avoid workplace distractions and avoid work disruptions they may be more likely to choose telework overall, spend more time on full-day telework and be less likely to choose part-day telework that would entail a mid-day disruption to their workday</w:t>
      </w:r>
      <w:r w:rsidR="00646BC9">
        <w:t xml:space="preserve">. </w:t>
      </w:r>
      <w:r>
        <w:t xml:space="preserve">The negative correlation between full-day and part-day telework likely also reflects substitution effects suggesting that many individuals may primarily lean towards one telework modality rather than choosing a mix of both.  </w:t>
      </w:r>
    </w:p>
    <w:p w14:paraId="16E09A50" w14:textId="104F0C6A" w:rsidR="005D7FAD" w:rsidRDefault="00646BC9" w:rsidP="00BD4759">
      <w:pPr>
        <w:ind w:firstLine="720"/>
      </w:pPr>
      <w:r>
        <w:t>A</w:t>
      </w:r>
      <w:r w:rsidR="001A16D1">
        <w:t xml:space="preserve">s part of the </w:t>
      </w:r>
      <w:r>
        <w:t xml:space="preserve">joint </w:t>
      </w:r>
      <w:r w:rsidR="001A16D1">
        <w:t xml:space="preserve">modeling of </w:t>
      </w:r>
      <w:r>
        <w:t xml:space="preserve">commute distance and telework choices, </w:t>
      </w:r>
      <w:r w:rsidR="001A16D1">
        <w:t xml:space="preserve">and after controlling for unobserved elements, we are able to </w:t>
      </w:r>
      <w:r w:rsidR="00BD4759">
        <w:t>estimate</w:t>
      </w:r>
      <w:r w:rsidR="001A16D1">
        <w:t xml:space="preserve"> the structural causal effects of commute distance on telework choices. </w:t>
      </w:r>
      <w:r w:rsidR="005D7FAD">
        <w:t xml:space="preserve">The results for the effect of commute distance on telework in Table 5 </w:t>
      </w:r>
      <w:r w:rsidR="00FF774B">
        <w:t>indicate</w:t>
      </w:r>
      <w:r w:rsidR="00FB6D72">
        <w:t>s</w:t>
      </w:r>
      <w:r w:rsidR="00A5363A" w:rsidRPr="00AA7459">
        <w:t xml:space="preserve"> that commute</w:t>
      </w:r>
      <w:r w:rsidR="00D27D28">
        <w:t xml:space="preserve"> distances</w:t>
      </w:r>
      <w:r w:rsidR="00B2322F">
        <w:t xml:space="preserve"> greater than five miles</w:t>
      </w:r>
      <w:r w:rsidR="00D27D28">
        <w:t xml:space="preserve"> (</w:t>
      </w:r>
      <w:r w:rsidR="00CE0471">
        <w:t xml:space="preserve">compared to </w:t>
      </w:r>
      <w:r w:rsidR="002401D7">
        <w:t xml:space="preserve">commutes </w:t>
      </w:r>
      <w:r w:rsidR="00CE0471">
        <w:t>of less than five miles)</w:t>
      </w:r>
      <w:r w:rsidR="00A5363A" w:rsidRPr="00AA7459">
        <w:t xml:space="preserve"> a</w:t>
      </w:r>
      <w:r w:rsidR="00303E4B">
        <w:t xml:space="preserve">nd increased </w:t>
      </w:r>
      <w:r w:rsidR="00A5363A" w:rsidRPr="00AA7459">
        <w:t>telework</w:t>
      </w:r>
      <w:r w:rsidR="00303E4B">
        <w:t xml:space="preserve"> adoption go hand-in-hand</w:t>
      </w:r>
      <w:r w:rsidR="00976F73">
        <w:t>, a</w:t>
      </w:r>
      <w:r w:rsidR="00FF774B">
        <w:t xml:space="preserve"> </w:t>
      </w:r>
      <w:r w:rsidR="00FD7150">
        <w:t>finding</w:t>
      </w:r>
      <w:r w:rsidR="00A5363A" w:rsidRPr="00AA7459">
        <w:t xml:space="preserve"> consistent with prior studies that highlight telework as a strategy to manage time and costs associated with lengthy commutes </w:t>
      </w:r>
      <w:r w:rsidR="00A5363A" w:rsidRPr="00AA7459">
        <w:fldChar w:fldCharType="begin"/>
      </w:r>
      <w:r w:rsidR="009C2208">
        <w:instrText xml:space="preserve"> ADDIN ZOTERO_ITEM CSL_CITATION {"citationID":"gglY1fK5","properties":{"unsorted":true,"formattedCitation":"(Mokhtarian et al., 2004; de Abreu e Silva and Melo, 2018; Kappler and de Abreu e Silva, 2025)","plainCitation":"(Mokhtarian et al., 2004; de Abreu e Silva and Melo, 2018; Kappler and de Abreu e Silva, 2025)","noteIndex":0},"citationItems":[{"id":"PfebGbxu/i9FQj8JO","uris":["http://zotero.org/users/16508888/items/PIU8VVM6"],"itemData":{"id":"q4ZUdvNw/XVYoJp27","type":"article-journal","abstract":"This study analyzes retrospective data on telecommuting and residential and job location changes over a ten-year period, from 218 employees (62 current telecommuters, 35 former telecommuters, and 121 people who had never telecommuted) of six California state government agencies which had actively participated in the well-known pilot program of 1988–90. We compare estimates of the total commute person-miles traveled by telecommuters with those of nontelecommuters, on a quarterly basis. Key findings include the following. One-way commute distances were higher for telecommuters than for nontelecommuters, consistent with prior empirical evidence and with expectation. Average telecommuting frequency declined over time; several explanations are proposed, but cannot be properly tested with these data. The first two findings notwithstanding, the average quarterly per capita total commute distances were generally lower for telecommuters than for nontelecommuters, indicating that they telecommute often enough to more than compensate for their longer one-way commutes. We cannot say from these results whether the ability to telecommute is itself prompting individuals to move farther away, or whether telecommuting is simply more attractive to people who already live farther from work for other reasons. Even if the first is true, however, and telecommuting is the ‘problem’, it also appears to be the solution: that is, it enables people to achieve a desired but more distant residential location without a net increase in commute travel.","container-title":"Environment and Planning A: Economy and Space","DOI":"10.1068/a36218","ISSN":"0308-518X","issue":"10","journalAbbreviation":"Environ Plan A","language":"EN","note":"publisher: SAGE Publications Ltd","page":"1877-1897","source":"SAGE Journals","title":"Telecommuting, Residential Location, and Commute-Distance Traveled: Evidence from State of California Employees","title-short":"Telecommuting, Residential Location, and Commute-Distance Traveled","volume":"36","author":[{"family":"Mokhtarian","given":"Patricia L"},{"family":"Collantes","given":"Gustavo O"},{"family":"Gertz","given":"Carsten"}],"issued":{"date-parts":[["2004",10,1]]}}},{"id":532,"uris":["http://zotero.org/users/12832277/items/KJNIWH8U"],"itemData":{"id":532,"type":"article-journal","abstract":"This work analyzes the effects of home-based teleworking on the number of trips and weekly miles travelled by mode and purpose for one-worker households in Great Britain using data from the National Travel Survey for the period between 2005 and 2012. Two path analysis models are developed, one considering weekly trips and travel distances by mode and the other weekly trips and travel distances by purpose. Both models consider teleworking frequency in the context of home and workplace land-use characteristics, commuting distance, car ownership levels and weekly trips and travel distances. This framework allows us to explicitly model endogenous relations in the chains of decisions relating these variables. The results suggest that home-based teleworking is a strategy used by people to cope with long and costly commutes. Workers living in less transit accessible areas and with longer commutes tend to work from home more frequently. The main conclusions relating to teleworking frequency point to the fact that it increases weekly miles travelled, particularly by car, while it does not reduce commuting distances travelled. These results suggest that home-based teleworking is not an effective travel demand management strategy, particularly because it seems to increase car use. The overall main result is that teleworkers travel more by more polluting transport modes.","container-title":"Journal of Transport and Land Use","DOI":"10.5198/jtlu.2018.1134","ISSN":"1938-7849","issue":"1","language":"en","license":"Copyright (c) 2018 João de Abreu e Silva, Patricia C. Melo","note":"number: 1","source":"www.jtlu.org","title":"Home Telework, Travel Behavior, and Land-Use Patterns: A Path Analysis of British Single-Worker Households","title-short":"Home Telework, Travel Behavior, and Land-Use Patterns","URL":"https://www.jtlu.org/index.php/jtlu/article/view/1134","volume":"11","author":[{"family":"Abreu e Silva","given":"João","non-dropping-particle":"de"},{"family":"Melo","given":"Patricia C."}],"accessed":{"date-parts":[["2023",4,18]]},"issued":{"date-parts":[["2018",7,2]]}}},{"id":4368,"uris":["http://zotero.org/users/12832277/items/XMETQNB6"],"itemData":{"id":4368,"type":"article-journal","abstract":"Several social distancing measures were adopted during the pandemic (including curfews and mandatory telework) that resulted in substantial changes in travel patterns. Although several studies show that telework does not reduce travel, empirical evidence has been mixed. This work aims to study how telework adoption impacts the number of trips by mode in different metropolitan areas during the later stages of the COVID-19 pandemic. We applied online surveys focused on a 5-day travel-telework diary in the Lisbon (Portugal), Istanbul (Turkey), and Porto Alegre (Brazil) Metropolitan Areas in the early summer of 2021. We build a structural equation model (SEM) to study the influence of previous telework experience on perceptions about telework, and these on telework frequency and the number of trips by mode, and ultimately if is affected by commuting burden, sociodemographic characteristics, and attitudinal issues. The results indicate that more frequent full-day telework reduces the number of trips by all modes (but more by motorised modes) while teleworking part-day increases travel. Moreover, there is no evidence that teleworkers could be undertaking discretionary or maintenance trips from other household members. Finally, these results need to be analysed in the context of the pandemic since social distancing measures were in place.","container-title":"Journal of Transport Geography","DOI":"10.1016/j.jtrangeo.2024.104102","ISSN":"0966-6923","source":"ScienceDirect","title":"Telework Frequency and Travel Behaviour During the Later Stages of the Covid-19 Pandemic. a Study Across Different Metropolitan Areas: Lisbon, Istanbul, and Porto Alegre","URL":"https://www.sciencedirect.com/science/article/pii/S0966692324003119","volume":"123","author":[{"family":"Kappler","given":"Laísa Braga"},{"family":"Abreu e Silva","given":"João","non-dropping-particle":"de"}],"accessed":{"date-parts":[["2025",4,26]]},"issued":{"date-parts":[["2025",2,1]]}}}],"schema":"https://github.com/citation-style-language/schema/raw/master/csl-citation.json"} </w:instrText>
      </w:r>
      <w:r w:rsidR="00A5363A" w:rsidRPr="00AA7459">
        <w:fldChar w:fldCharType="separate"/>
      </w:r>
      <w:r w:rsidR="000B1C4C" w:rsidRPr="000B1C4C">
        <w:t>(Mokhtarian et al., 2004; de Abreu e Silva and Melo, 2018; Kappler and de Abreu e Silva, 2025)</w:t>
      </w:r>
      <w:r w:rsidR="00A5363A" w:rsidRPr="00AA7459">
        <w:fldChar w:fldCharType="end"/>
      </w:r>
      <w:r w:rsidR="00A5363A" w:rsidRPr="00AA7459">
        <w:t xml:space="preserve">. However, </w:t>
      </w:r>
      <w:r w:rsidR="00990503">
        <w:t xml:space="preserve">commute distances greater than 15 miles </w:t>
      </w:r>
      <w:r w:rsidR="00303E4B">
        <w:t xml:space="preserve">are </w:t>
      </w:r>
      <w:r w:rsidR="000A07E8">
        <w:t xml:space="preserve">associated </w:t>
      </w:r>
      <w:r w:rsidR="00303E4B">
        <w:t>with a corresponding</w:t>
      </w:r>
      <w:r w:rsidR="000A07E8">
        <w:t>ly</w:t>
      </w:r>
      <w:r w:rsidR="00303E4B">
        <w:t xml:space="preserve"> lower </w:t>
      </w:r>
      <w:r w:rsidR="00990503">
        <w:t xml:space="preserve">telework </w:t>
      </w:r>
      <w:r w:rsidR="00303E4B">
        <w:t xml:space="preserve">propensity </w:t>
      </w:r>
      <w:r w:rsidR="00990503">
        <w:t xml:space="preserve">than those </w:t>
      </w:r>
      <w:r w:rsidR="00B81280">
        <w:t xml:space="preserve">between 10 and 15 miles. </w:t>
      </w:r>
      <w:r w:rsidR="00A8133E">
        <w:t xml:space="preserve">This </w:t>
      </w:r>
      <w:r w:rsidR="00A8133E" w:rsidRPr="00567BB6">
        <w:rPr>
          <w:rStyle w:val="Strong"/>
          <w:b w:val="0"/>
          <w:bCs w:val="0"/>
        </w:rPr>
        <w:t>non-monotonic relationship with commute distance suggests that</w:t>
      </w:r>
      <w:r w:rsidR="00A8133E">
        <w:rPr>
          <w:rStyle w:val="Strong"/>
        </w:rPr>
        <w:t xml:space="preserve"> </w:t>
      </w:r>
      <w:r w:rsidR="00A8133E">
        <w:t xml:space="preserve">those with the longest commutes are disproportionately associated with occupations requiring regular physical presence, while workers with moderately long commutes are more likely to hold telework-compatible professional positions for which avoiding the commute provides substantial benefit </w:t>
      </w:r>
      <w:r w:rsidR="00A5363A" w:rsidRPr="00AA7459">
        <w:fldChar w:fldCharType="begin"/>
      </w:r>
      <w:r w:rsidR="00AE51F4">
        <w:instrText xml:space="preserve"> ADDIN ZOTERO_ITEM CSL_CITATION {"citationID":"e9VtDknD","properties":{"formattedCitation":"(Asmussen et al., 2024)","plainCitation":"(Asmussen et al., 2024)","dontUpdate":true,"noteIndex":0},"citationItems":[{"id":1944,"uris":["http://zotero.org/users/12832277/items/Y3TQLUZT"],"itemData":{"id":1944,"type":"article-journal","container-title":"Transportation Research Part C: Emerging Technologies","DOI":"https://doi.org/10.1016/j.trc.2024.104690","page":"104690","title":"The Interplay Between Teleworking Choice and Commute Distance","volume":"165","author":[{"family":"Asmussen","given":"Katherine"},{"family":"Mondal","given":"Aupal"},{"family":"Bhat","given":"Chandra R."}],"issued":{"date-parts":[["2024",8]]}}}],"schema":"https://github.com/citation-style-language/schema/raw/master/csl-citation.json"} </w:instrText>
      </w:r>
      <w:r w:rsidR="00A5363A" w:rsidRPr="00AA7459">
        <w:fldChar w:fldCharType="separate"/>
      </w:r>
      <w:r w:rsidR="00AA606C" w:rsidRPr="00AA606C">
        <w:t>(</w:t>
      </w:r>
      <w:r w:rsidR="00A8133E">
        <w:t xml:space="preserve">see also </w:t>
      </w:r>
      <w:r w:rsidR="00AA606C" w:rsidRPr="00AA606C">
        <w:t>Asmussen et al., 2024</w:t>
      </w:r>
      <w:r w:rsidR="00A8133E">
        <w:t xml:space="preserve"> for a similar result</w:t>
      </w:r>
      <w:r w:rsidR="00AA606C" w:rsidRPr="00AA606C">
        <w:t>)</w:t>
      </w:r>
      <w:r w:rsidR="00A5363A" w:rsidRPr="00AA7459">
        <w:fldChar w:fldCharType="end"/>
      </w:r>
      <w:r w:rsidR="00A5363A" w:rsidRPr="00AA7459">
        <w:t xml:space="preserve">. </w:t>
      </w:r>
    </w:p>
    <w:p w14:paraId="26031638" w14:textId="0622FC72" w:rsidR="003E58E7" w:rsidRPr="00B26B44" w:rsidRDefault="005017E4" w:rsidP="005D7FAD">
      <w:pPr>
        <w:ind w:firstLine="720"/>
      </w:pPr>
      <w:r>
        <w:t xml:space="preserve">However, while </w:t>
      </w:r>
      <w:r w:rsidR="00303E4B">
        <w:t xml:space="preserve">there is a clear jointness between lower </w:t>
      </w:r>
      <w:r w:rsidR="00A8133E">
        <w:t xml:space="preserve">telework adoption </w:t>
      </w:r>
      <w:r w:rsidR="00303E4B">
        <w:t xml:space="preserve">and the </w:t>
      </w:r>
      <w:r>
        <w:t xml:space="preserve">longest commute distances, the propensity for full-day telework </w:t>
      </w:r>
      <w:r w:rsidR="00A8133E">
        <w:t>and part-day telework among those who decide to adopt telework shows a consistent relationship with commute distance.</w:t>
      </w:r>
      <w:r w:rsidR="005D7FAD">
        <w:t xml:space="preserve"> Thus, individuals </w:t>
      </w:r>
      <w:r w:rsidR="005D7FAD">
        <w:lastRenderedPageBreak/>
        <w:t xml:space="preserve">with longer commutes who telework tend to </w:t>
      </w:r>
      <w:r w:rsidR="00E45CAA">
        <w:t xml:space="preserve">also </w:t>
      </w:r>
      <w:r w:rsidR="005D7FAD">
        <w:t xml:space="preserve">favor full-day telework over part-day telework, while the propensity for part-day telework is </w:t>
      </w:r>
      <w:r w:rsidR="00E45CAA">
        <w:t xml:space="preserve">closely aligned with short commute distances </w:t>
      </w:r>
      <w:r w:rsidR="001A16D1">
        <w:t xml:space="preserve">(reinforcing the direction of the covariance effect between commute distance and </w:t>
      </w:r>
      <w:r w:rsidR="00D37CF7">
        <w:t xml:space="preserve">full-day and </w:t>
      </w:r>
      <w:r w:rsidR="001A16D1">
        <w:t>part-day telework propensit</w:t>
      </w:r>
      <w:r w:rsidR="00D37CF7">
        <w:t>ies</w:t>
      </w:r>
      <w:r w:rsidR="001A16D1">
        <w:t>)</w:t>
      </w:r>
      <w:r w:rsidR="005D7FAD">
        <w:t xml:space="preserve">. </w:t>
      </w:r>
      <w:r w:rsidR="00D37CF7">
        <w:t>The first result is rather intuitive, while a</w:t>
      </w:r>
      <w:r w:rsidR="005D7FAD">
        <w:t xml:space="preserve"> likely explanation </w:t>
      </w:r>
      <w:r w:rsidR="00D37CF7">
        <w:t xml:space="preserve">for the second result </w:t>
      </w:r>
      <w:r w:rsidR="005D7FAD">
        <w:t>is that part-day telework still requires a commute to the workplace, but provides only part of the workday in return. As commute distances increase, this tradeoff becomes progressively less attractive. Consequently, workers with shorter commutes may find this tradeoff acceptable, while those with longer commutes are more likely to prefer spending the entire workday in a single location, either full</w:t>
      </w:r>
      <w:r w:rsidR="005D7FAD" w:rsidRPr="00B26B44">
        <w:t>y in the office or fully remote.</w:t>
      </w:r>
      <w:r w:rsidR="002F5B11" w:rsidRPr="00B26B44">
        <w:t xml:space="preserve"> </w:t>
      </w:r>
    </w:p>
    <w:p w14:paraId="4DB5C738" w14:textId="69ED9519" w:rsidR="005D7FAD" w:rsidRPr="00A94473" w:rsidRDefault="002F5B11" w:rsidP="005D7FAD">
      <w:pPr>
        <w:ind w:firstLine="720"/>
        <w:rPr>
          <w:highlight w:val="yellow"/>
        </w:rPr>
      </w:pPr>
      <w:r w:rsidRPr="00B26B44">
        <w:t>Importantly, note that our</w:t>
      </w:r>
      <w:r w:rsidR="004E28FD" w:rsidRPr="00B26B44">
        <w:t xml:space="preserve"> model considers commute distance, telework adoption, and full-day and part-day telework frequencies as a joint package decision, even if the structural causal effect shows a directional effect from commute distance to telework arrangements. That is, our result</w:t>
      </w:r>
      <w:r w:rsidR="00D37CF7" w:rsidRPr="00B26B44">
        <w:t>s</w:t>
      </w:r>
      <w:r w:rsidR="004E28FD" w:rsidRPr="00B26B44">
        <w:t xml:space="preserve"> show that </w:t>
      </w:r>
      <w:r w:rsidR="00D37CF7" w:rsidRPr="00B26B44">
        <w:t xml:space="preserve">the choices of long commute distances and high rates of full-day telework are made as a package decision, as are the choices of short commute distances and high rates of part-day telework. </w:t>
      </w:r>
      <w:r w:rsidR="004E28FD" w:rsidRPr="00B26B44">
        <w:t>The import of this result will become clearer in Section 5.</w:t>
      </w:r>
      <w:r w:rsidR="002925CF">
        <w:t xml:space="preserve"> </w:t>
      </w:r>
    </w:p>
    <w:p w14:paraId="3AC08F4F" w14:textId="44E4D30F" w:rsidR="00436C1F" w:rsidRDefault="00E020F6" w:rsidP="001D6510">
      <w:r>
        <w:tab/>
      </w:r>
    </w:p>
    <w:p w14:paraId="1BF8FE76" w14:textId="348664DC" w:rsidR="000400D5" w:rsidRDefault="000400D5" w:rsidP="001D6510">
      <w:pPr>
        <w:rPr>
          <w:b/>
          <w:bCs/>
        </w:rPr>
      </w:pPr>
      <w:r w:rsidRPr="00A62591">
        <w:rPr>
          <w:b/>
          <w:bCs/>
        </w:rPr>
        <w:t xml:space="preserve">4.5 </w:t>
      </w:r>
      <w:r w:rsidR="00664B18" w:rsidRPr="00A62591">
        <w:rPr>
          <w:b/>
          <w:bCs/>
        </w:rPr>
        <w:t xml:space="preserve">Constant, </w:t>
      </w:r>
      <w:r w:rsidRPr="00A62591">
        <w:rPr>
          <w:b/>
          <w:bCs/>
        </w:rPr>
        <w:t>Thresholds</w:t>
      </w:r>
      <w:r w:rsidR="00664B18" w:rsidRPr="00A62591">
        <w:rPr>
          <w:b/>
          <w:bCs/>
        </w:rPr>
        <w:t>,</w:t>
      </w:r>
      <w:r w:rsidRPr="00A62591">
        <w:rPr>
          <w:b/>
          <w:bCs/>
        </w:rPr>
        <w:t xml:space="preserve"> and Threshold Shifters</w:t>
      </w:r>
    </w:p>
    <w:p w14:paraId="1F664A8A" w14:textId="788ABD60" w:rsidR="00EA0659" w:rsidRDefault="0015172C" w:rsidP="001D6510">
      <w:r>
        <w:t xml:space="preserve">Finally, the lower panel of Table </w:t>
      </w:r>
      <w:r w:rsidR="0078516F">
        <w:t xml:space="preserve">5 shows the </w:t>
      </w:r>
      <w:r w:rsidR="004B613C">
        <w:t xml:space="preserve">constant for the continuous commute distance dimension, the </w:t>
      </w:r>
      <w:r w:rsidR="0078516F">
        <w:t>threshold</w:t>
      </w:r>
      <w:r w:rsidR="004B613C">
        <w:t xml:space="preserve"> for the binary telework adoption dimension (note that no constant is included in the telework adoption equation, which then shows up as a threshold estimate), and the baseline </w:t>
      </w:r>
      <w:r w:rsidR="00121963">
        <w:t xml:space="preserve">thresholds </w:t>
      </w:r>
      <w:r w:rsidR="0078516F">
        <w:t xml:space="preserve">as well as the </w:t>
      </w:r>
      <w:r w:rsidR="00EA0659">
        <w:t xml:space="preserve">threshold shifters for the ordinal </w:t>
      </w:r>
      <w:r w:rsidR="004B613C">
        <w:t xml:space="preserve">full-day and part-day telework frequency </w:t>
      </w:r>
      <w:r w:rsidR="00EA0659">
        <w:t xml:space="preserve">outcomes. Although the </w:t>
      </w:r>
      <w:r w:rsidR="00121963">
        <w:t xml:space="preserve">constants and </w:t>
      </w:r>
      <w:r w:rsidR="00EA0659">
        <w:t xml:space="preserve">baseline thresholds do not have substantially meaningful </w:t>
      </w:r>
      <w:r w:rsidR="002308DC">
        <w:t xml:space="preserve">interpretations, it is notable that the </w:t>
      </w:r>
      <w:r w:rsidR="00121963">
        <w:t xml:space="preserve">baseline </w:t>
      </w:r>
      <w:r w:rsidR="002308DC">
        <w:t xml:space="preserve">thresholds for part-day telework are much higher overall than those for full-day telework. This mirrors the aggregate finding </w:t>
      </w:r>
      <w:r w:rsidR="00DF325D">
        <w:t>(</w:t>
      </w:r>
      <w:r w:rsidR="002308DC">
        <w:t xml:space="preserve">discussed in Section </w:t>
      </w:r>
      <w:r w:rsidR="00DF325D">
        <w:t xml:space="preserve">3.1.1) that part-day telework does seem to be adopted at relatively lower rates than full-day telework. </w:t>
      </w:r>
    </w:p>
    <w:p w14:paraId="30B9EEAF" w14:textId="6A3E8FC9" w:rsidR="00620862" w:rsidRDefault="004B613C" w:rsidP="001D6510">
      <w:r>
        <w:tab/>
      </w:r>
      <w:r w:rsidR="00620862">
        <w:t xml:space="preserve">The first two threshold shifters </w:t>
      </w:r>
      <w:r w:rsidR="001D2B46">
        <w:t xml:space="preserve">are based on the effects of commute distance on specific thresholds for full-day and part-day telework propensities beyond the overall endogenous effects discussed in the previous subsection. In particular, </w:t>
      </w:r>
      <w:r w:rsidR="00830038">
        <w:t xml:space="preserve">individuals with commute distances of 10 miles or more (compared to those with commute distances of less than 10 miles) </w:t>
      </w:r>
      <w:r w:rsidR="00474048">
        <w:t xml:space="preserve">have a positive shift to </w:t>
      </w:r>
      <w:r w:rsidR="00F111CB" w:rsidRPr="00C97765">
        <w:rPr>
          <w:position w:val="-14"/>
        </w:rPr>
        <w:object w:dxaOrig="420" w:dyaOrig="380" w14:anchorId="0780F104">
          <v:shape id="_x0000_i1135" type="#_x0000_t75" style="width:21pt;height:18.85pt" o:ole="">
            <v:imagedata r:id="rId219" o:title=""/>
          </v:shape>
          <o:OLEObject Type="Embed" ProgID="Equation.DSMT4" ShapeID="_x0000_i1135" DrawAspect="Content" ObjectID="_1846406992" r:id="rId220"/>
        </w:object>
      </w:r>
      <w:r w:rsidR="00C97765">
        <w:t xml:space="preserve"> </w:t>
      </w:r>
      <w:r w:rsidR="00121963">
        <w:t xml:space="preserve">(the threshold demarcating the counts of one and two full-day telework days) </w:t>
      </w:r>
      <w:r w:rsidR="00C97765">
        <w:t>and slightly larger positive shift to all higher thresholds for full-day telework. This indicates that</w:t>
      </w:r>
      <w:r w:rsidR="00522EFD">
        <w:t xml:space="preserve"> individuals with higher commute distance are less likely to work all days from home relative to what is estimated based purely on the structural positive effect of commute distance on full-day teleworking propensity, as discussed in the previous section </w:t>
      </w:r>
      <w:r w:rsidR="00743CBE">
        <w:t xml:space="preserve">(we explore this pattern in additional detail in the following section). In contrast, </w:t>
      </w:r>
      <w:r w:rsidR="004B0652">
        <w:t xml:space="preserve">we find </w:t>
      </w:r>
      <w:r w:rsidR="00E65816">
        <w:t xml:space="preserve">a negative </w:t>
      </w:r>
      <w:r w:rsidR="004B0652">
        <w:t xml:space="preserve">shift </w:t>
      </w:r>
      <w:r w:rsidR="00E65816">
        <w:t xml:space="preserve">effect </w:t>
      </w:r>
      <w:r w:rsidR="004B0652">
        <w:t>for those with</w:t>
      </w:r>
      <w:r w:rsidR="00E65816">
        <w:t xml:space="preserve"> a commute distance of 10 miles or more on </w:t>
      </w:r>
      <w:r w:rsidR="00F111CB" w:rsidRPr="004B0652">
        <w:rPr>
          <w:position w:val="-14"/>
        </w:rPr>
        <w:object w:dxaOrig="420" w:dyaOrig="380" w14:anchorId="340604FC">
          <v:shape id="_x0000_i1136" type="#_x0000_t75" style="width:21pt;height:18.85pt" o:ole="">
            <v:imagedata r:id="rId221" o:title=""/>
          </v:shape>
          <o:OLEObject Type="Embed" ProgID="Equation.DSMT4" ShapeID="_x0000_i1136" DrawAspect="Content" ObjectID="_1846406993" r:id="rId222"/>
        </w:object>
      </w:r>
      <w:r w:rsidR="00F111CB">
        <w:t xml:space="preserve"> </w:t>
      </w:r>
      <w:r w:rsidR="00522EFD">
        <w:t>(the threshold demarcating the counts of two and three part-day telework days)</w:t>
      </w:r>
      <w:r w:rsidR="00F111CB">
        <w:t xml:space="preserve">, suggesting that these individuals with long commute distances </w:t>
      </w:r>
      <w:r w:rsidR="00FA1DBA">
        <w:t xml:space="preserve">tend to </w:t>
      </w:r>
      <w:r>
        <w:t xml:space="preserve">have a higher preference for two days of part-day telework than as determined purely by the structural causal effect </w:t>
      </w:r>
      <w:r w:rsidR="00121963">
        <w:t>of commute distance</w:t>
      </w:r>
      <w:r>
        <w:t xml:space="preserve">. </w:t>
      </w:r>
    </w:p>
    <w:p w14:paraId="22B3EAA8" w14:textId="6FAC9056" w:rsidR="000753C1" w:rsidRDefault="000753C1" w:rsidP="001D6510">
      <w:r>
        <w:tab/>
        <w:t>The next set of threshold shifters relate the</w:t>
      </w:r>
      <w:r w:rsidR="00466A20">
        <w:t xml:space="preserve"> counts of full-day and part-day telework directly. All of these threshold shifters are found to be significant </w:t>
      </w:r>
      <w:r w:rsidR="00B20A8B">
        <w:t xml:space="preserve">and negative, suggesting that </w:t>
      </w:r>
      <w:r w:rsidR="005C4591">
        <w:t xml:space="preserve">higher levels of </w:t>
      </w:r>
      <w:r w:rsidR="00B20A8B">
        <w:t xml:space="preserve">part-day telework </w:t>
      </w:r>
      <w:r w:rsidR="005C4591">
        <w:t>are generally selected</w:t>
      </w:r>
      <w:r w:rsidR="003E2511">
        <w:t xml:space="preserve"> when more full-day telework is also chosen. As noted in Section 3.1.1, it </w:t>
      </w:r>
      <w:r w:rsidR="0028385A">
        <w:t>is more common for individuals to choose a combination of two or fewer work modalities (of full-day in-person, full-day telework, and part-day telework)</w:t>
      </w:r>
      <w:r w:rsidR="00241D12">
        <w:t xml:space="preserve"> rather than choosing all three. Therefore it is not surprising that the shifters for part-day telework </w:t>
      </w:r>
      <w:r w:rsidR="00241D12">
        <w:lastRenderedPageBreak/>
        <w:t xml:space="preserve">generally make the highest available category of part-day telework more common based on the number of days of full-day telework, shifting </w:t>
      </w:r>
      <w:r w:rsidR="00461E11">
        <w:t xml:space="preserve">the thresholds so that the combination of all three work modalities is generally less common. </w:t>
      </w:r>
      <w:r w:rsidR="00121963">
        <w:t>These patterns may reflect employer policies related to telework, as discussed earlier i</w:t>
      </w:r>
      <w:r w:rsidR="00121963" w:rsidRPr="00716170">
        <w:t xml:space="preserve">n Section </w:t>
      </w:r>
      <w:r w:rsidR="00716170" w:rsidRPr="00716170">
        <w:t>2</w:t>
      </w:r>
      <w:r w:rsidR="00121963" w:rsidRPr="00716170">
        <w:t xml:space="preserve">. </w:t>
      </w:r>
      <w:r w:rsidR="002F1188" w:rsidRPr="00716170">
        <w:t>F</w:t>
      </w:r>
      <w:r w:rsidR="002F1188">
        <w:t>urther</w:t>
      </w:r>
      <w:r w:rsidR="002033DA">
        <w:t xml:space="preserve">, two interaction effects with exogenous variables are also significant. First, individuals aged 25-44 who choose </w:t>
      </w:r>
      <w:r w:rsidR="00B20EF0">
        <w:t xml:space="preserve">a single day of full-day telework have a positive shift to threshold </w:t>
      </w:r>
      <w:r w:rsidR="00B81CC9" w:rsidRPr="00B81CC9">
        <w:rPr>
          <w:position w:val="-14"/>
        </w:rPr>
        <w:object w:dxaOrig="420" w:dyaOrig="380" w14:anchorId="4F59452F">
          <v:shape id="_x0000_i1137" type="#_x0000_t75" style="width:21pt;height:18.85pt" o:ole="">
            <v:imagedata r:id="rId223" o:title=""/>
          </v:shape>
          <o:OLEObject Type="Embed" ProgID="Equation.DSMT4" ShapeID="_x0000_i1137" DrawAspect="Content" ObjectID="_1846406994" r:id="rId224"/>
        </w:object>
      </w:r>
      <w:r w:rsidR="00B81CC9">
        <w:t xml:space="preserve"> </w:t>
      </w:r>
      <w:r w:rsidR="00522EFD">
        <w:t xml:space="preserve">(the threshold demarcating the counts of two and three part-day telework days) </w:t>
      </w:r>
      <w:r w:rsidR="00B81CC9">
        <w:t>and all higher part-day telework thresholds</w:t>
      </w:r>
      <w:r w:rsidR="00522EFD">
        <w:t xml:space="preserve">, </w:t>
      </w:r>
      <w:r w:rsidR="00B81CC9">
        <w:t>indicat</w:t>
      </w:r>
      <w:r w:rsidR="00522EFD">
        <w:t>ing</w:t>
      </w:r>
      <w:r w:rsidR="00B81CC9">
        <w:t xml:space="preserve"> </w:t>
      </w:r>
      <w:r w:rsidR="00522EFD">
        <w:t xml:space="preserve">an elevated preference for </w:t>
      </w:r>
      <w:r w:rsidR="00B81CC9">
        <w:t>the combination of one day of full-day telework and one-day of part-day telework</w:t>
      </w:r>
      <w:r w:rsidR="00522EFD">
        <w:t xml:space="preserve"> (perhaps due to a desire for </w:t>
      </w:r>
      <w:r w:rsidR="002F1188">
        <w:t>a high degree of flexibility and varying work routine throughout the week</w:t>
      </w:r>
      <w:r w:rsidR="00522EFD">
        <w:t xml:space="preserve"> given the lifecycle stage they are in)</w:t>
      </w:r>
      <w:r w:rsidR="002F1188">
        <w:t xml:space="preserve">. Finally, individuals in households with children </w:t>
      </w:r>
      <w:r w:rsidR="00743D89">
        <w:t xml:space="preserve">who choose at least one day of full-day telework have a positive shift in all thresholds for part-day telework. </w:t>
      </w:r>
      <w:r w:rsidR="00D15C52">
        <w:t xml:space="preserve">This result suggests that parents may be particularly inclined to prefer some stability in their work routine, avoiding part-day telework if they have at least one day of full-day telework per week. This is </w:t>
      </w:r>
      <w:r w:rsidR="00C8485E">
        <w:t>consistent with expectations</w:t>
      </w:r>
      <w:r w:rsidR="00D15C52">
        <w:t xml:space="preserve"> and may reflect a balance between the need for dedicated, distraction free, work time while also balancing the needs of household maintenance responsibilities through full-day telework. </w:t>
      </w:r>
    </w:p>
    <w:p w14:paraId="58D4BC32" w14:textId="77777777" w:rsidR="00664B18" w:rsidRPr="00A5363A" w:rsidRDefault="00664B18" w:rsidP="001D6510"/>
    <w:p w14:paraId="0AA272B1" w14:textId="42B4CD91" w:rsidR="00A5363A" w:rsidRPr="001D6510" w:rsidRDefault="00A5363A" w:rsidP="001D6510">
      <w:pPr>
        <w:rPr>
          <w:b/>
          <w:bCs/>
        </w:rPr>
      </w:pPr>
      <w:r w:rsidRPr="001D6510">
        <w:rPr>
          <w:b/>
          <w:bCs/>
        </w:rPr>
        <w:t>4.</w:t>
      </w:r>
      <w:r w:rsidR="003D06D0">
        <w:rPr>
          <w:b/>
          <w:bCs/>
        </w:rPr>
        <w:t>6</w:t>
      </w:r>
      <w:r w:rsidRPr="001D6510">
        <w:rPr>
          <w:b/>
          <w:bCs/>
        </w:rPr>
        <w:t xml:space="preserve"> Model Fit</w:t>
      </w:r>
    </w:p>
    <w:p w14:paraId="14927972" w14:textId="7F8977CF" w:rsidR="00BB2242" w:rsidRDefault="008D0377" w:rsidP="001D6510">
      <w:r>
        <w:t>The performance of the proposed model is assessed</w:t>
      </w:r>
      <w:r w:rsidR="00D77495">
        <w:t xml:space="preserve"> compared with several restricted models. First, the proposed model is compared with </w:t>
      </w:r>
      <w:r w:rsidR="00672384">
        <w:t>two restricted models that assume a more limited amount of dependency between the outcomes. These comparisons are shown in the upper p</w:t>
      </w:r>
      <w:r w:rsidR="00E05AF4">
        <w:t>art</w:t>
      </w:r>
      <w:r w:rsidR="00672384">
        <w:t xml:space="preserve"> of Table </w:t>
      </w:r>
      <w:r w:rsidR="00115372">
        <w:t>6</w:t>
      </w:r>
      <w:r w:rsidR="00672384">
        <w:t xml:space="preserve">, comparing the proposed model to a model that excludes the shifter effects as well as an </w:t>
      </w:r>
      <w:r>
        <w:t xml:space="preserve">independent model that disregards the </w:t>
      </w:r>
      <w:r w:rsidR="00F3177A">
        <w:t xml:space="preserve">shifters and the </w:t>
      </w:r>
      <w:r>
        <w:t>correlations among the outcomes (</w:t>
      </w:r>
      <w:r w:rsidR="00C96370">
        <w:t xml:space="preserve">the independent model </w:t>
      </w:r>
      <w:r>
        <w:t xml:space="preserve">assumes that the covariance matrix </w:t>
      </w:r>
      <w:r w:rsidR="00C96370" w:rsidRPr="009B767E">
        <w:rPr>
          <w:position w:val="-4"/>
        </w:rPr>
        <w:object w:dxaOrig="240" w:dyaOrig="320" w14:anchorId="7FBDE603">
          <v:shape id="_x0000_i1138" type="#_x0000_t75" style="width:12.85pt;height:15.85pt" o:ole="">
            <v:imagedata r:id="rId225" o:title=""/>
          </v:shape>
          <o:OLEObject Type="Embed" ProgID="Equation.DSMT4" ShapeID="_x0000_i1138" DrawAspect="Content" ObjectID="_1846406995" r:id="rId226"/>
        </w:object>
      </w:r>
      <w:r w:rsidR="00C96370">
        <w:t xml:space="preserve"> </w:t>
      </w:r>
      <w:r w:rsidR="005F1AFD">
        <w:t>is diagonal</w:t>
      </w:r>
      <w:r w:rsidR="00C96370">
        <w:t>)</w:t>
      </w:r>
      <w:r w:rsidR="00E05AF4">
        <w:t>.</w:t>
      </w:r>
      <w:r w:rsidR="00F3177A">
        <w:t xml:space="preserve"> </w:t>
      </w:r>
      <w:r w:rsidR="0028541C">
        <w:t xml:space="preserve">Several disaggregate and aggregate measures of fit are presented in Table </w:t>
      </w:r>
      <w:r w:rsidR="00115372">
        <w:t>6</w:t>
      </w:r>
      <w:r w:rsidR="0028541C">
        <w:t xml:space="preserve"> to compare the two models. </w:t>
      </w:r>
      <w:r w:rsidR="00527B09">
        <w:t xml:space="preserve">First, at a disaggregate level, the </w:t>
      </w:r>
      <w:r w:rsidR="004D221A">
        <w:t xml:space="preserve">adjusted likelihood ratio index is computed as follows: </w:t>
      </w:r>
    </w:p>
    <w:p w14:paraId="07946568" w14:textId="4B931108" w:rsidR="00E43961" w:rsidRPr="00E97BC8" w:rsidRDefault="00E05AF4" w:rsidP="00F04583">
      <w:pPr>
        <w:pStyle w:val="MTDisplayEquation"/>
        <w:spacing w:before="120" w:after="120"/>
        <w:rPr>
          <w:sz w:val="22"/>
          <w:szCs w:val="22"/>
        </w:rPr>
      </w:pPr>
      <w:r w:rsidRPr="00E97BC8">
        <w:rPr>
          <w:position w:val="-28"/>
          <w:sz w:val="22"/>
          <w:szCs w:val="22"/>
        </w:rPr>
        <w:object w:dxaOrig="1880" w:dyaOrig="720" w14:anchorId="1EA6FF14">
          <v:shape id="_x0000_i1139" type="#_x0000_t75" style="width:93.85pt;height:36.85pt" o:ole="" o:preferrelative="f">
            <v:imagedata r:id="rId227" o:title=""/>
            <o:lock v:ext="edit" aspectratio="f"/>
          </v:shape>
          <o:OLEObject Type="Embed" ProgID="Equation.DSMT4" ShapeID="_x0000_i1139" DrawAspect="Content" ObjectID="_1846406996" r:id="rId228"/>
        </w:object>
      </w:r>
      <w:r w:rsidR="00E43961" w:rsidRPr="00E97BC8">
        <w:rPr>
          <w:sz w:val="22"/>
          <w:szCs w:val="22"/>
        </w:rPr>
        <w:tab/>
      </w:r>
      <w:r w:rsidR="00E43961" w:rsidRPr="00E97BC8">
        <w:rPr>
          <w:sz w:val="22"/>
          <w:szCs w:val="22"/>
        </w:rPr>
        <w:tab/>
      </w:r>
      <w:r w:rsidR="00E43961" w:rsidRPr="00E97BC8">
        <w:rPr>
          <w:sz w:val="22"/>
          <w:szCs w:val="22"/>
        </w:rPr>
        <w:fldChar w:fldCharType="begin"/>
      </w:r>
      <w:r w:rsidR="00E43961" w:rsidRPr="00E97BC8">
        <w:rPr>
          <w:sz w:val="22"/>
          <w:szCs w:val="22"/>
        </w:rPr>
        <w:instrText xml:space="preserve"> MACROBUTTON MTPlaceRef \* MERGEFORMAT </w:instrText>
      </w:r>
      <w:r w:rsidR="00E43961" w:rsidRPr="00E97BC8">
        <w:rPr>
          <w:sz w:val="22"/>
          <w:szCs w:val="22"/>
        </w:rPr>
        <w:fldChar w:fldCharType="begin"/>
      </w:r>
      <w:r w:rsidR="00E43961" w:rsidRPr="00E97BC8">
        <w:rPr>
          <w:sz w:val="22"/>
          <w:szCs w:val="22"/>
        </w:rPr>
        <w:instrText xml:space="preserve"> SEQ MTEqn \h \* MERGEFORMAT </w:instrText>
      </w:r>
      <w:r w:rsidR="00E43961" w:rsidRPr="00E97BC8">
        <w:rPr>
          <w:sz w:val="22"/>
          <w:szCs w:val="22"/>
        </w:rPr>
        <w:fldChar w:fldCharType="end"/>
      </w:r>
      <w:bookmarkStart w:id="2" w:name="ZEqnNum576552"/>
      <w:r w:rsidR="00E43961" w:rsidRPr="00E97BC8">
        <w:rPr>
          <w:sz w:val="22"/>
          <w:szCs w:val="22"/>
        </w:rPr>
        <w:instrText>(</w:instrText>
      </w:r>
      <w:r w:rsidR="00E43961" w:rsidRPr="00E97BC8">
        <w:rPr>
          <w:sz w:val="22"/>
          <w:szCs w:val="22"/>
        </w:rPr>
        <w:fldChar w:fldCharType="begin"/>
      </w:r>
      <w:r w:rsidR="00E43961" w:rsidRPr="00E97BC8">
        <w:rPr>
          <w:sz w:val="22"/>
          <w:szCs w:val="22"/>
        </w:rPr>
        <w:instrText xml:space="preserve"> SEQ MTEqn \c \* Arabic \* MERGEFORMAT </w:instrText>
      </w:r>
      <w:r w:rsidR="00E43961" w:rsidRPr="00E97BC8">
        <w:rPr>
          <w:sz w:val="22"/>
          <w:szCs w:val="22"/>
        </w:rPr>
        <w:fldChar w:fldCharType="separate"/>
      </w:r>
      <w:r w:rsidR="00F04583">
        <w:rPr>
          <w:noProof/>
          <w:sz w:val="22"/>
          <w:szCs w:val="22"/>
        </w:rPr>
        <w:instrText>9</w:instrText>
      </w:r>
      <w:r w:rsidR="00E43961" w:rsidRPr="00E97BC8">
        <w:rPr>
          <w:sz w:val="22"/>
          <w:szCs w:val="22"/>
        </w:rPr>
        <w:fldChar w:fldCharType="end"/>
      </w:r>
      <w:r w:rsidR="00E43961" w:rsidRPr="00E97BC8">
        <w:rPr>
          <w:sz w:val="22"/>
          <w:szCs w:val="22"/>
        </w:rPr>
        <w:instrText>)</w:instrText>
      </w:r>
      <w:bookmarkEnd w:id="2"/>
      <w:r w:rsidR="00E43961" w:rsidRPr="00E97BC8">
        <w:rPr>
          <w:sz w:val="22"/>
          <w:szCs w:val="22"/>
        </w:rPr>
        <w:fldChar w:fldCharType="end"/>
      </w:r>
    </w:p>
    <w:p w14:paraId="7C0D69C7" w14:textId="77777777" w:rsidR="00E05AF4" w:rsidRDefault="00B116BA" w:rsidP="001D6510">
      <w:r>
        <w:t>w</w:t>
      </w:r>
      <w:r w:rsidR="00475B93">
        <w:t xml:space="preserve">here </w:t>
      </w:r>
      <w:r w:rsidR="00475B93" w:rsidRPr="009B767E">
        <w:rPr>
          <w:position w:val="-10"/>
        </w:rPr>
        <w:object w:dxaOrig="499" w:dyaOrig="380" w14:anchorId="3E20AF82">
          <v:shape id="_x0000_i1140" type="#_x0000_t75" style="width:24.85pt;height:18.85pt" o:ole="">
            <v:imagedata r:id="rId229" o:title=""/>
          </v:shape>
          <o:OLEObject Type="Embed" ProgID="Equation.DSMT4" ShapeID="_x0000_i1140" DrawAspect="Content" ObjectID="_1846406997" r:id="rId230"/>
        </w:object>
      </w:r>
      <w:r w:rsidR="00475B93">
        <w:t xml:space="preserve"> is the log-likelihood value at convergence, </w:t>
      </w:r>
      <w:r w:rsidR="00A07D8D" w:rsidRPr="009B767E">
        <w:rPr>
          <w:position w:val="-10"/>
        </w:rPr>
        <w:object w:dxaOrig="499" w:dyaOrig="320" w14:anchorId="53DCEC65">
          <v:shape id="_x0000_i1141" type="#_x0000_t75" style="width:24.85pt;height:15.85pt" o:ole="">
            <v:imagedata r:id="rId231" o:title=""/>
          </v:shape>
          <o:OLEObject Type="Embed" ProgID="Equation.DSMT4" ShapeID="_x0000_i1141" DrawAspect="Content" ObjectID="_1846406998" r:id="rId232"/>
        </w:object>
      </w:r>
      <w:r w:rsidR="00A07D8D">
        <w:t>is the log-likelihood value for a constants-only model, and</w:t>
      </w:r>
      <w:r w:rsidR="00B36084">
        <w:t xml:space="preserve"> </w:t>
      </w:r>
      <w:r w:rsidR="00B36084" w:rsidRPr="009B767E">
        <w:rPr>
          <w:position w:val="-4"/>
        </w:rPr>
        <w:object w:dxaOrig="320" w:dyaOrig="260" w14:anchorId="44E59F30">
          <v:shape id="_x0000_i1142" type="#_x0000_t75" style="width:15.85pt;height:12.85pt" o:ole="">
            <v:imagedata r:id="rId233" o:title=""/>
          </v:shape>
          <o:OLEObject Type="Embed" ProgID="Equation.DSMT4" ShapeID="_x0000_i1142" DrawAspect="Content" ObjectID="_1846406999" r:id="rId234"/>
        </w:object>
      </w:r>
      <w:r w:rsidR="00B36084">
        <w:t xml:space="preserve">is the number of parameters estimated in the model, excluding constants. </w:t>
      </w:r>
      <w:r w:rsidR="002036AA">
        <w:t xml:space="preserve">The higher value for the adjusted likelihood ratio index for the proposed model indicates that it provides a better fit compared with </w:t>
      </w:r>
      <w:r w:rsidR="00115372">
        <w:t>either restricted model</w:t>
      </w:r>
      <w:r w:rsidR="002036AA">
        <w:t xml:space="preserve">. </w:t>
      </w:r>
    </w:p>
    <w:p w14:paraId="72DF2B86" w14:textId="47FAD014" w:rsidR="004D221A" w:rsidRDefault="00AB6E7C" w:rsidP="00A6481F">
      <w:pPr>
        <w:ind w:firstLine="720"/>
      </w:pPr>
      <w:r>
        <w:t xml:space="preserve">Next, the Bayesian Information Criterion (BIC) is calculated as: </w:t>
      </w:r>
    </w:p>
    <w:p w14:paraId="3A3797BC" w14:textId="516AAF4B" w:rsidR="00E27C9C" w:rsidRPr="00E97BC8" w:rsidRDefault="00653A6E" w:rsidP="00F04583">
      <w:pPr>
        <w:pStyle w:val="MTDisplayEquation"/>
        <w:spacing w:before="120" w:after="120"/>
        <w:rPr>
          <w:sz w:val="22"/>
          <w:szCs w:val="22"/>
        </w:rPr>
      </w:pPr>
      <w:r w:rsidRPr="00E97BC8">
        <w:rPr>
          <w:position w:val="-14"/>
          <w:sz w:val="22"/>
          <w:szCs w:val="22"/>
        </w:rPr>
        <w:object w:dxaOrig="5980" w:dyaOrig="420" w14:anchorId="02741433">
          <v:shape id="_x0000_i1143" type="#_x0000_t75" style="width:297pt;height:20.15pt" o:ole="" o:preferrelative="f">
            <v:imagedata r:id="rId235" o:title=""/>
            <o:lock v:ext="edit" aspectratio="f"/>
          </v:shape>
          <o:OLEObject Type="Embed" ProgID="Equation.DSMT4" ShapeID="_x0000_i1143" DrawAspect="Content" ObjectID="_1846407000" r:id="rId236"/>
        </w:object>
      </w:r>
      <w:r w:rsidR="005D2E7C">
        <w:rPr>
          <w:sz w:val="22"/>
          <w:szCs w:val="22"/>
        </w:rPr>
        <w:t>.</w:t>
      </w:r>
      <w:r w:rsidR="00E27C9C" w:rsidRPr="00E97BC8">
        <w:rPr>
          <w:sz w:val="22"/>
          <w:szCs w:val="22"/>
        </w:rPr>
        <w:tab/>
      </w:r>
      <w:r w:rsidR="00E27C9C" w:rsidRPr="00E97BC8">
        <w:rPr>
          <w:sz w:val="22"/>
          <w:szCs w:val="22"/>
        </w:rPr>
        <w:fldChar w:fldCharType="begin"/>
      </w:r>
      <w:r w:rsidR="00E27C9C" w:rsidRPr="00E97BC8">
        <w:rPr>
          <w:sz w:val="22"/>
          <w:szCs w:val="22"/>
        </w:rPr>
        <w:instrText xml:space="preserve"> MACROBUTTON MTPlaceRef \* MERGEFORMAT </w:instrText>
      </w:r>
      <w:r w:rsidR="00E27C9C" w:rsidRPr="00E97BC8">
        <w:rPr>
          <w:sz w:val="22"/>
          <w:szCs w:val="22"/>
        </w:rPr>
        <w:fldChar w:fldCharType="begin"/>
      </w:r>
      <w:r w:rsidR="00E27C9C" w:rsidRPr="00E97BC8">
        <w:rPr>
          <w:sz w:val="22"/>
          <w:szCs w:val="22"/>
        </w:rPr>
        <w:instrText xml:space="preserve"> SEQ MTEqn \h \* MERGEFORMAT </w:instrText>
      </w:r>
      <w:r w:rsidR="00E27C9C" w:rsidRPr="00E97BC8">
        <w:rPr>
          <w:sz w:val="22"/>
          <w:szCs w:val="22"/>
        </w:rPr>
        <w:fldChar w:fldCharType="end"/>
      </w:r>
      <w:bookmarkStart w:id="3" w:name="ZEqnNum979006"/>
      <w:r w:rsidR="00E27C9C" w:rsidRPr="00E97BC8">
        <w:rPr>
          <w:sz w:val="22"/>
          <w:szCs w:val="22"/>
        </w:rPr>
        <w:instrText>(</w:instrText>
      </w:r>
      <w:r w:rsidR="00E27C9C" w:rsidRPr="00E97BC8">
        <w:rPr>
          <w:sz w:val="22"/>
          <w:szCs w:val="22"/>
        </w:rPr>
        <w:fldChar w:fldCharType="begin"/>
      </w:r>
      <w:r w:rsidR="00E27C9C" w:rsidRPr="00E97BC8">
        <w:rPr>
          <w:sz w:val="22"/>
          <w:szCs w:val="22"/>
        </w:rPr>
        <w:instrText xml:space="preserve"> SEQ MTEqn \c \* Arabic \* MERGEFORMAT </w:instrText>
      </w:r>
      <w:r w:rsidR="00E27C9C" w:rsidRPr="00E97BC8">
        <w:rPr>
          <w:sz w:val="22"/>
          <w:szCs w:val="22"/>
        </w:rPr>
        <w:fldChar w:fldCharType="separate"/>
      </w:r>
      <w:r w:rsidR="00F04583">
        <w:rPr>
          <w:noProof/>
          <w:sz w:val="22"/>
          <w:szCs w:val="22"/>
        </w:rPr>
        <w:instrText>10</w:instrText>
      </w:r>
      <w:r w:rsidR="00E27C9C" w:rsidRPr="00E97BC8">
        <w:rPr>
          <w:sz w:val="22"/>
          <w:szCs w:val="22"/>
        </w:rPr>
        <w:fldChar w:fldCharType="end"/>
      </w:r>
      <w:r w:rsidR="00E27C9C" w:rsidRPr="00E97BC8">
        <w:rPr>
          <w:sz w:val="22"/>
          <w:szCs w:val="22"/>
        </w:rPr>
        <w:instrText>)</w:instrText>
      </w:r>
      <w:bookmarkEnd w:id="3"/>
      <w:r w:rsidR="00E27C9C" w:rsidRPr="00E97BC8">
        <w:rPr>
          <w:sz w:val="22"/>
          <w:szCs w:val="22"/>
        </w:rPr>
        <w:fldChar w:fldCharType="end"/>
      </w:r>
    </w:p>
    <w:p w14:paraId="0477A86D" w14:textId="0C2C048D" w:rsidR="00E05AF4" w:rsidRDefault="005D2E7C" w:rsidP="001D6510">
      <w:r>
        <w:t xml:space="preserve">The model with the lower BIC value is preferred, again indicating the superior performance of the proposed model. Finally, </w:t>
      </w:r>
      <w:r w:rsidR="00C00E81">
        <w:t>the two</w:t>
      </w:r>
      <w:r w:rsidR="00115372">
        <w:t xml:space="preserve"> restricted models may be compare</w:t>
      </w:r>
      <w:r w:rsidR="00115372" w:rsidRPr="008455D1">
        <w:t xml:space="preserve">d with the proposed model using </w:t>
      </w:r>
      <w:r w:rsidR="00C00E81" w:rsidRPr="008455D1">
        <w:t xml:space="preserve">a formal likelihood ratio test. </w:t>
      </w:r>
      <w:r w:rsidR="000958A5" w:rsidRPr="008455D1">
        <w:t xml:space="preserve">The </w:t>
      </w:r>
      <w:r w:rsidR="0070369D" w:rsidRPr="008455D1">
        <w:t>te</w:t>
      </w:r>
      <w:r w:rsidR="00C76F74" w:rsidRPr="008455D1">
        <w:t>st</w:t>
      </w:r>
      <w:r w:rsidR="008D4BDE" w:rsidRPr="008455D1">
        <w:t xml:space="preserve"> statistic</w:t>
      </w:r>
      <w:r w:rsidR="008455D1" w:rsidRPr="008455D1">
        <w:t>s</w:t>
      </w:r>
      <w:r w:rsidR="008D4BDE" w:rsidRPr="008455D1">
        <w:t xml:space="preserve"> for the likelihood ratio test</w:t>
      </w:r>
      <w:r w:rsidR="008455D1" w:rsidRPr="008455D1">
        <w:t>s</w:t>
      </w:r>
      <w:r w:rsidR="008D4BDE" w:rsidRPr="008455D1">
        <w:t xml:space="preserve"> </w:t>
      </w:r>
      <w:r w:rsidR="008455D1" w:rsidRPr="008455D1">
        <w:t>are</w:t>
      </w:r>
      <w:r w:rsidR="008D4BDE" w:rsidRPr="008455D1">
        <w:t xml:space="preserve"> </w:t>
      </w:r>
      <w:r w:rsidR="0049045C" w:rsidRPr="008455D1">
        <w:t>much larger than the associated chi-square cr</w:t>
      </w:r>
      <w:r w:rsidR="008455D1" w:rsidRPr="008455D1">
        <w:t>itica</w:t>
      </w:r>
      <w:r w:rsidR="0049045C" w:rsidRPr="008455D1">
        <w:t xml:space="preserve">l values (with </w:t>
      </w:r>
      <w:r w:rsidR="008455D1" w:rsidRPr="008455D1">
        <w:t>14 and 19 degrees of freedom, respectively) a</w:t>
      </w:r>
      <w:r w:rsidR="00E05AF4">
        <w:t xml:space="preserve">lso </w:t>
      </w:r>
      <w:r w:rsidR="008455D1" w:rsidRPr="008455D1">
        <w:t>highlighting the better performance of the proposed model</w:t>
      </w:r>
      <w:r w:rsidR="00B801B1" w:rsidRPr="008455D1">
        <w:t>.</w:t>
      </w:r>
      <w:r w:rsidR="00B801B1">
        <w:t xml:space="preserve"> </w:t>
      </w:r>
    </w:p>
    <w:p w14:paraId="72225FD1" w14:textId="03D0393C" w:rsidR="00BB2242" w:rsidRDefault="00C024EE" w:rsidP="00A6481F">
      <w:pPr>
        <w:ind w:firstLine="720"/>
      </w:pPr>
      <w:r>
        <w:t xml:space="preserve">Finally, the models may be compared at an aggregate level using two measures. First, we </w:t>
      </w:r>
      <w:r w:rsidR="007428DD">
        <w:t xml:space="preserve">compare the predicted number of individuals selecting </w:t>
      </w:r>
      <w:r>
        <w:t>each possible work</w:t>
      </w:r>
      <w:r w:rsidR="0033024E">
        <w:t>place</w:t>
      </w:r>
      <w:r>
        <w:t xml:space="preserve"> arrangement combination </w:t>
      </w:r>
      <w:r w:rsidR="0033024E">
        <w:t xml:space="preserve">to the total observed share selecting each combination. </w:t>
      </w:r>
      <w:r w:rsidR="00534A7D">
        <w:t xml:space="preserve">We then compute the percentage error for each combination and the weighted average percentage error (WAPE) based </w:t>
      </w:r>
      <w:r w:rsidR="00534A7D">
        <w:lastRenderedPageBreak/>
        <w:t xml:space="preserve">on the actual share selecting each combination. </w:t>
      </w:r>
      <w:r w:rsidR="005E6328">
        <w:t xml:space="preserve">This value is reported in Table </w:t>
      </w:r>
      <w:r w:rsidR="00115372">
        <w:t>6</w:t>
      </w:r>
      <w:r w:rsidR="005E6328">
        <w:t xml:space="preserve"> as the “Work Arrangement WAPE.” Next, we </w:t>
      </w:r>
      <w:r w:rsidR="00A4130C">
        <w:t xml:space="preserve">compute the </w:t>
      </w:r>
      <w:r w:rsidR="00BE2D63">
        <w:t>expected</w:t>
      </w:r>
      <w:r w:rsidR="00A4130C">
        <w:t xml:space="preserve"> commute distance</w:t>
      </w:r>
      <w:r w:rsidR="00E05AF4">
        <w:t xml:space="preserve"> as estimated across all respondents, and </w:t>
      </w:r>
      <w:r w:rsidR="00CF42BC">
        <w:t>again compute the</w:t>
      </w:r>
      <w:r w:rsidR="00220ED6">
        <w:t xml:space="preserve"> absolute</w:t>
      </w:r>
      <w:r w:rsidR="00CF42BC">
        <w:t xml:space="preserve"> percentage error</w:t>
      </w:r>
      <w:r w:rsidR="007A79EE">
        <w:t xml:space="preserve"> (APE)</w:t>
      </w:r>
      <w:r w:rsidR="00CF42BC">
        <w:t xml:space="preserve"> compared with the </w:t>
      </w:r>
      <w:r w:rsidR="005A4DF4">
        <w:t>average commute distance in the sample</w:t>
      </w:r>
      <w:r w:rsidR="00D06C7B">
        <w:t xml:space="preserve">. This second value is reported as the “Commute Distance APE” in Table </w:t>
      </w:r>
      <w:r w:rsidR="00115372">
        <w:t>6</w:t>
      </w:r>
      <w:r w:rsidR="00D06C7B">
        <w:t xml:space="preserve">. Both of these values are smaller for the proposed model compared with </w:t>
      </w:r>
      <w:r w:rsidR="00115372">
        <w:t>either restricted model</w:t>
      </w:r>
      <w:r w:rsidR="00123640">
        <w:t xml:space="preserve"> (although the commute distance APE values are similar in magnitude across the three models)</w:t>
      </w:r>
      <w:r w:rsidR="00F75D30">
        <w:t xml:space="preserve">. Collectively, these model fit metrics, at a disaggregate and aggregate level, demonstrate the superior performance of the proposed joint model, highlighting the importance of capturing </w:t>
      </w:r>
      <w:r w:rsidR="00115372">
        <w:t>the observed and unobserved dependencies</w:t>
      </w:r>
      <w:r w:rsidR="00F75D30">
        <w:t xml:space="preserve"> among the telework and commute outcomes. </w:t>
      </w:r>
      <w:r w:rsidR="004C7756">
        <w:t xml:space="preserve"> </w:t>
      </w:r>
    </w:p>
    <w:p w14:paraId="4891FE80" w14:textId="41BE1858" w:rsidR="00115372" w:rsidRDefault="00115372" w:rsidP="008B3A4B">
      <w:r>
        <w:tab/>
        <w:t xml:space="preserve">An alternative modeling approach would be to </w:t>
      </w:r>
      <w:r w:rsidR="00DE56CB">
        <w:t>consider a breakdown of work arrangements</w:t>
      </w:r>
      <w:r w:rsidR="005956B4">
        <w:t xml:space="preserve"> </w:t>
      </w:r>
      <w:r w:rsidR="0012076D">
        <w:t xml:space="preserve">into the seven categories shown in Table 3 (and discussed in </w:t>
      </w:r>
      <w:r w:rsidR="001D711D">
        <w:t>Section</w:t>
      </w:r>
      <w:r w:rsidR="0012076D">
        <w:t xml:space="preserve"> </w:t>
      </w:r>
      <w:r w:rsidR="001D711D">
        <w:t xml:space="preserve">3.1.1 at the aggregate level). </w:t>
      </w:r>
      <w:r w:rsidR="00E7343A">
        <w:t>T</w:t>
      </w:r>
      <w:r w:rsidR="008F34A1">
        <w:t>h</w:t>
      </w:r>
      <w:r w:rsidR="009A21E7">
        <w:t xml:space="preserve">en, ordinal equations could be specified </w:t>
      </w:r>
      <w:r w:rsidR="00C14D05">
        <w:t xml:space="preserve">for each of these unordered outcomes to determine the appropriate number of full-day and part-day telework days. </w:t>
      </w:r>
      <w:r w:rsidR="008074E2">
        <w:t xml:space="preserve">That is, while the proposed model </w:t>
      </w:r>
      <w:r w:rsidR="009E223F">
        <w:t>implicitly identifies the combinations of adoption of full-day telework, part-day telework, and full-day in-person work</w:t>
      </w:r>
      <w:r w:rsidR="008B3A4B">
        <w:t xml:space="preserve"> based on the two ordered frequencies, </w:t>
      </w:r>
      <w:r w:rsidR="00342CD1">
        <w:t xml:space="preserve">these could be separated directly in an unordered choice </w:t>
      </w:r>
      <w:r w:rsidR="00090F12">
        <w:t xml:space="preserve">model (with seven </w:t>
      </w:r>
      <w:r w:rsidR="00EB20A1">
        <w:t>unordered</w:t>
      </w:r>
      <w:r w:rsidR="00090F12">
        <w:t xml:space="preserve"> choices corresponding to the combinations of adoption of</w:t>
      </w:r>
      <w:r w:rsidR="00EB20A1">
        <w:t xml:space="preserve"> each of these three working modalities)</w:t>
      </w:r>
      <w:r w:rsidR="00342CD1">
        <w:t xml:space="preserve"> and linked to separate ordinal outcomes for full-day and part-day telework. </w:t>
      </w:r>
      <w:r w:rsidR="00D4611B">
        <w:t xml:space="preserve">This alternative formulation would </w:t>
      </w:r>
      <w:r w:rsidR="00535034">
        <w:t xml:space="preserve">explicitly identify individuals with positive participation in each </w:t>
      </w:r>
      <w:r w:rsidR="00EB20A1">
        <w:t xml:space="preserve">work arrangement </w:t>
      </w:r>
      <w:r w:rsidR="005A2859">
        <w:t>type but</w:t>
      </w:r>
      <w:r w:rsidR="00BD1B23">
        <w:t xml:space="preserve"> would entail a significant increase in the number of parameters to estimate the counts of telework of each type. But, we may compare the </w:t>
      </w:r>
      <w:r w:rsidR="001A1E42">
        <w:t xml:space="preserve">predictive power of </w:t>
      </w:r>
      <w:r w:rsidR="001A1E42" w:rsidRPr="00720963">
        <w:t xml:space="preserve">such a </w:t>
      </w:r>
      <w:r w:rsidR="00993B8A" w:rsidRPr="00720963">
        <w:t xml:space="preserve">discrete </w:t>
      </w:r>
      <w:r w:rsidR="00720963" w:rsidRPr="00720963">
        <w:t xml:space="preserve">unordered </w:t>
      </w:r>
      <w:r w:rsidR="00993B8A" w:rsidRPr="00720963">
        <w:t xml:space="preserve">multinomial probit (MNP) </w:t>
      </w:r>
      <w:r w:rsidR="001A1E42" w:rsidRPr="00720963">
        <w:t xml:space="preserve">model </w:t>
      </w:r>
      <w:r w:rsidR="003E2D67" w:rsidRPr="00720963">
        <w:t>base</w:t>
      </w:r>
      <w:r w:rsidR="003E2D67">
        <w:t xml:space="preserve">d on the identification of these </w:t>
      </w:r>
      <w:r w:rsidR="005A2859">
        <w:t>seven</w:t>
      </w:r>
      <w:r w:rsidR="003E2D67">
        <w:t xml:space="preserve"> unordered categories to the implicit predictions from the proposed model. To do so we estimate a joint model of commute distance and workplace location using the unordered framework just described (ignoring the actual counts of work and just focusing on participation in each telework type)</w:t>
      </w:r>
      <w:r w:rsidR="00B21808">
        <w:t xml:space="preserve">. Then, because the model is not nested with the proposed model, we compare the two in the lower panel of Table 6 based on several predictive fit metrics. </w:t>
      </w:r>
      <w:r w:rsidR="003F666C">
        <w:t xml:space="preserve">First, we present the predictive log-likelihood at convergence for the commute distance and work arrangement (in terms of the </w:t>
      </w:r>
      <w:r w:rsidR="005A2859">
        <w:t>seven</w:t>
      </w:r>
      <w:r w:rsidR="003F666C">
        <w:t xml:space="preserve"> unordered categories)</w:t>
      </w:r>
      <w:r w:rsidR="002A412F">
        <w:t xml:space="preserve"> using each model. Then</w:t>
      </w:r>
      <w:r w:rsidR="00501A7A">
        <w:t>,</w:t>
      </w:r>
      <w:r w:rsidR="002A412F">
        <w:t xml:space="preserve"> we compute the predictive adjusted likelihood index and BIC (using the formulas in equations </w:t>
      </w:r>
      <w:r w:rsidR="002A412F">
        <w:rPr>
          <w:iCs/>
        </w:rPr>
        <w:fldChar w:fldCharType="begin"/>
      </w:r>
      <w:r w:rsidR="002A412F">
        <w:rPr>
          <w:iCs/>
        </w:rPr>
        <w:instrText xml:space="preserve"> GOTOBUTTON ZEqnNum576552  \* MERGEFORMAT </w:instrText>
      </w:r>
      <w:r w:rsidR="002A412F">
        <w:rPr>
          <w:iCs/>
        </w:rPr>
        <w:fldChar w:fldCharType="begin"/>
      </w:r>
      <w:r w:rsidR="002A412F">
        <w:rPr>
          <w:iCs/>
        </w:rPr>
        <w:instrText xml:space="preserve"> REF ZEqnNum576552 \* Charformat \! \* MERGEFORMAT </w:instrText>
      </w:r>
      <w:r w:rsidR="002A412F">
        <w:rPr>
          <w:iCs/>
        </w:rPr>
        <w:fldChar w:fldCharType="separate"/>
      </w:r>
      <w:r w:rsidR="00F04583" w:rsidRPr="00F04583">
        <w:rPr>
          <w:iCs/>
        </w:rPr>
        <w:instrText>(9)</w:instrText>
      </w:r>
      <w:r w:rsidR="002A412F">
        <w:rPr>
          <w:iCs/>
        </w:rPr>
        <w:fldChar w:fldCharType="end"/>
      </w:r>
      <w:r w:rsidR="002A412F">
        <w:rPr>
          <w:iCs/>
        </w:rPr>
        <w:fldChar w:fldCharType="end"/>
      </w:r>
      <w:r w:rsidR="002A412F">
        <w:rPr>
          <w:iCs/>
        </w:rPr>
        <w:t xml:space="preserve"> and </w:t>
      </w:r>
      <w:r w:rsidR="002A412F">
        <w:fldChar w:fldCharType="begin"/>
      </w:r>
      <w:r w:rsidR="002A412F">
        <w:instrText xml:space="preserve"> GOTOBUTTON ZEqnNum979006  \* MERGEFORMAT </w:instrText>
      </w:r>
      <w:r w:rsidR="003C4525">
        <w:fldChar w:fldCharType="begin"/>
      </w:r>
      <w:r w:rsidR="003C4525">
        <w:instrText xml:space="preserve"> REF ZEqnNum979006 \* Charformat \! \* MERGEFORMAT </w:instrText>
      </w:r>
      <w:r w:rsidR="003C4525">
        <w:fldChar w:fldCharType="separate"/>
      </w:r>
      <w:r w:rsidR="00F04583" w:rsidRPr="00F04583">
        <w:instrText>(10)</w:instrText>
      </w:r>
      <w:r w:rsidR="003C4525">
        <w:fldChar w:fldCharType="end"/>
      </w:r>
      <w:r w:rsidR="002A412F">
        <w:fldChar w:fldCharType="end"/>
      </w:r>
      <w:r w:rsidR="002A412F">
        <w:t>).</w:t>
      </w:r>
      <w:r w:rsidR="00501A7A">
        <w:t xml:space="preserve"> The </w:t>
      </w:r>
      <w:r w:rsidR="00CB0C83">
        <w:t>unordered model has the better log-likelihood at convergence</w:t>
      </w:r>
      <w:r w:rsidR="00F839ED">
        <w:t xml:space="preserve">. But, after accounting for the increase in the number of parameters to </w:t>
      </w:r>
      <w:r w:rsidR="00296137">
        <w:t>estimate preferences across the seven unordered outcome combinations, the</w:t>
      </w:r>
      <w:r w:rsidR="00CB0C83">
        <w:t xml:space="preserve"> adjusted likelihood ratio index</w:t>
      </w:r>
      <w:r w:rsidR="006559E5">
        <w:t xml:space="preserve"> of the unordered model is lower than that of the proposed model and </w:t>
      </w:r>
      <w:r w:rsidR="00CB0C83">
        <w:t xml:space="preserve">the </w:t>
      </w:r>
      <w:r w:rsidR="00BB6D74">
        <w:t>BIC</w:t>
      </w:r>
      <w:r w:rsidR="006559E5">
        <w:t xml:space="preserve"> is higher</w:t>
      </w:r>
      <w:r w:rsidR="00BB6D74">
        <w:t xml:space="preserve">, indicating </w:t>
      </w:r>
      <w:r w:rsidR="006559E5">
        <w:t xml:space="preserve">that the proposed model has a </w:t>
      </w:r>
      <w:r w:rsidR="00BB6D74">
        <w:t xml:space="preserve">better fit after accounting for the number of parameters. </w:t>
      </w:r>
      <w:r w:rsidR="00242744">
        <w:t xml:space="preserve">The two may also be compared using an informal non-nested likelihood ratio test. </w:t>
      </w:r>
      <w:r w:rsidR="003E7415">
        <w:t xml:space="preserve">For this test, the probability that the </w:t>
      </w:r>
      <w:r w:rsidR="00237E06">
        <w:t xml:space="preserve">improved </w:t>
      </w:r>
      <w:r w:rsidR="003E7415">
        <w:t xml:space="preserve">predictive adjusted likelihood ratio index </w:t>
      </w:r>
      <w:r w:rsidR="00237E06">
        <w:t xml:space="preserve">of </w:t>
      </w:r>
      <w:r w:rsidR="003E7415">
        <w:t xml:space="preserve">the proposed </w:t>
      </w:r>
      <w:r w:rsidR="00237E06">
        <w:t xml:space="preserve">model over the </w:t>
      </w:r>
      <w:r w:rsidR="003E7415">
        <w:t xml:space="preserve">unordered model could have occurred by chance in no larger than </w:t>
      </w:r>
    </w:p>
    <w:p w14:paraId="72F8D738" w14:textId="4B825F52" w:rsidR="00466D73" w:rsidRPr="004267AC" w:rsidRDefault="005E20EC" w:rsidP="00F04583">
      <w:pPr>
        <w:pStyle w:val="MTDisplayEquation"/>
        <w:spacing w:before="120" w:after="120"/>
      </w:pPr>
      <w:r w:rsidRPr="004267AC">
        <w:rPr>
          <w:position w:val="-14"/>
        </w:rPr>
        <w:object w:dxaOrig="5640" w:dyaOrig="400" w14:anchorId="1F509F38">
          <v:shape id="_x0000_i1144" type="#_x0000_t75" style="width:283.3pt;height:20.15pt" o:ole="" o:preferrelative="f">
            <v:imagedata r:id="rId237" o:title=""/>
            <o:lock v:ext="edit" aspectratio="f"/>
          </v:shape>
          <o:OLEObject Type="Embed" ProgID="Equation.DSMT4" ShapeID="_x0000_i1144" DrawAspect="Content" ObjectID="_1846407001" r:id="rId238"/>
        </w:object>
      </w:r>
      <w:r w:rsidR="00466D73" w:rsidRPr="004267AC">
        <w:tab/>
      </w:r>
      <w:r w:rsidR="00466D73" w:rsidRPr="004267AC">
        <w:fldChar w:fldCharType="begin"/>
      </w:r>
      <w:r w:rsidR="00466D73" w:rsidRPr="004267AC">
        <w:instrText xml:space="preserve"> MACROBUTTON MTPlaceRef \* MERGEFORMAT </w:instrText>
      </w:r>
      <w:r w:rsidR="00466D73" w:rsidRPr="004267AC">
        <w:fldChar w:fldCharType="begin"/>
      </w:r>
      <w:r w:rsidR="00466D73" w:rsidRPr="004267AC">
        <w:instrText xml:space="preserve"> SEQ MTEqn \h \* MERGEFORMAT </w:instrText>
      </w:r>
      <w:r w:rsidR="00466D73" w:rsidRPr="004267AC">
        <w:fldChar w:fldCharType="end"/>
      </w:r>
      <w:r w:rsidR="00466D73" w:rsidRPr="004267AC">
        <w:instrText>(</w:instrText>
      </w:r>
      <w:r w:rsidR="003C4525">
        <w:fldChar w:fldCharType="begin"/>
      </w:r>
      <w:r w:rsidR="003C4525">
        <w:instrText xml:space="preserve"> SEQ MTEqn \c \* Arabic \* MERGEFORMAT </w:instrText>
      </w:r>
      <w:r w:rsidR="003C4525">
        <w:fldChar w:fldCharType="separate"/>
      </w:r>
      <w:r w:rsidR="00F04583">
        <w:rPr>
          <w:noProof/>
        </w:rPr>
        <w:instrText>11</w:instrText>
      </w:r>
      <w:r w:rsidR="003C4525">
        <w:rPr>
          <w:noProof/>
        </w:rPr>
        <w:fldChar w:fldCharType="end"/>
      </w:r>
      <w:r w:rsidR="00466D73" w:rsidRPr="004267AC">
        <w:instrText>)</w:instrText>
      </w:r>
      <w:r w:rsidR="00466D73" w:rsidRPr="004267AC">
        <w:fldChar w:fldCharType="end"/>
      </w:r>
    </w:p>
    <w:p w14:paraId="08FC8FBA" w14:textId="08317F90" w:rsidR="003E7415" w:rsidRPr="00AA7459" w:rsidRDefault="00BE2A74" w:rsidP="009B3CD4">
      <w:r>
        <w:t>The negligible value of this probability for the non-nested test indicates that</w:t>
      </w:r>
      <w:r w:rsidR="009B3CD4">
        <w:t xml:space="preserve"> although the unordered model </w:t>
      </w:r>
      <w:r w:rsidR="00F7104B">
        <w:t xml:space="preserve">outperforms the proposed model in terms of the </w:t>
      </w:r>
      <w:r>
        <w:t xml:space="preserve">raw log-likelihood at convergence, </w:t>
      </w:r>
      <w:r w:rsidR="00A9455E">
        <w:t xml:space="preserve">the proposed model does come out significantly better </w:t>
      </w:r>
      <w:r w:rsidR="0043138A">
        <w:t xml:space="preserve">in terms of data fit </w:t>
      </w:r>
      <w:r w:rsidR="00A9455E">
        <w:t xml:space="preserve">after accounting for the number of parameters. </w:t>
      </w:r>
      <w:r w:rsidR="00F7104B">
        <w:t xml:space="preserve">Further, while the proposed model performs well for these tests, it also provides the ability to get the exact counts </w:t>
      </w:r>
      <w:r w:rsidR="008B1A60">
        <w:t xml:space="preserve">of full-day and part-day telework, which would entail the addition of ordered response outcomes to the current unordered formulation and the addition of a large number of extra parameters. </w:t>
      </w:r>
      <w:r w:rsidR="00A13736">
        <w:t>Overall</w:t>
      </w:r>
      <w:r w:rsidR="008B1A60">
        <w:t xml:space="preserve">, </w:t>
      </w:r>
      <w:r w:rsidR="00A13736">
        <w:t xml:space="preserve">this set of tests confirms that the </w:t>
      </w:r>
      <w:r w:rsidR="00A13736">
        <w:lastRenderedPageBreak/>
        <w:t xml:space="preserve">proposed model performs </w:t>
      </w:r>
      <w:r w:rsidR="0043138A">
        <w:t>better than an alternative unordered approach for</w:t>
      </w:r>
      <w:r w:rsidR="00FE7055">
        <w:t xml:space="preserve"> overall work arrangements</w:t>
      </w:r>
      <w:r w:rsidR="00E02F9D">
        <w:t xml:space="preserve">. </w:t>
      </w:r>
    </w:p>
    <w:p w14:paraId="2282B583" w14:textId="77777777" w:rsidR="00EC4391" w:rsidRDefault="00EC4391" w:rsidP="001D6510">
      <w:pPr>
        <w:rPr>
          <w:b/>
          <w:bCs/>
        </w:rPr>
      </w:pPr>
    </w:p>
    <w:p w14:paraId="0936BB71" w14:textId="6CF06314" w:rsidR="00425749" w:rsidRDefault="00425749" w:rsidP="001D6510">
      <w:pPr>
        <w:rPr>
          <w:b/>
          <w:bCs/>
        </w:rPr>
      </w:pPr>
      <w:r w:rsidRPr="001D6510">
        <w:rPr>
          <w:b/>
          <w:bCs/>
        </w:rPr>
        <w:t xml:space="preserve">5. </w:t>
      </w:r>
      <w:r w:rsidR="002D633B">
        <w:rPr>
          <w:b/>
          <w:bCs/>
        </w:rPr>
        <w:t xml:space="preserve">WORK ARRANGEMENT </w:t>
      </w:r>
      <w:r w:rsidR="009866F0">
        <w:rPr>
          <w:b/>
          <w:bCs/>
        </w:rPr>
        <w:t xml:space="preserve">PREFERENCES </w:t>
      </w:r>
      <w:r w:rsidR="002D633B">
        <w:rPr>
          <w:b/>
          <w:bCs/>
        </w:rPr>
        <w:t>AND WEEKLY COMMUTE VMT</w:t>
      </w:r>
    </w:p>
    <w:p w14:paraId="26926FD8" w14:textId="4C738267" w:rsidR="00106F1A" w:rsidRDefault="00106F1A" w:rsidP="001D6510">
      <w:r>
        <w:t xml:space="preserve">While the discussion in the previous section highlights specific exogenous variable effects on the underlying propensities for each of the outcomes, it does not reveal the total magnitude of effects or the overall relationship between work arrangement and </w:t>
      </w:r>
      <w:r w:rsidR="00A57579">
        <w:t xml:space="preserve">weekly commute </w:t>
      </w:r>
      <w:r>
        <w:t xml:space="preserve">VMT. </w:t>
      </w:r>
      <w:r w:rsidR="00B009A2">
        <w:t xml:space="preserve">This is particularly so due to the combination of direct effects, </w:t>
      </w:r>
      <w:r w:rsidR="00380A8A">
        <w:t xml:space="preserve">threshold shifter effects, and correlations that lead to interdependencies among the outcomes. </w:t>
      </w:r>
      <w:r>
        <w:t xml:space="preserve">To better illustrate these relationships, we translate the results in two ways. First, we quantify the overall relationship between work arrangement and commute VMT by estimating the expected one-way daily commute VMT conditional on work arrangement (the number of days </w:t>
      </w:r>
      <w:r w:rsidR="005628CB">
        <w:t>of</w:t>
      </w:r>
      <w:r>
        <w:t xml:space="preserve"> full-day </w:t>
      </w:r>
      <w:r w:rsidR="005628CB">
        <w:t>telework</w:t>
      </w:r>
      <w:r>
        <w:t xml:space="preserve"> and part-day </w:t>
      </w:r>
      <w:r w:rsidR="005628CB">
        <w:t>telework</w:t>
      </w:r>
      <w:r>
        <w:t xml:space="preserve">) as well as the expected total weekly VMT conditional on work arrangement. </w:t>
      </w:r>
      <w:r w:rsidR="00F4518C">
        <w:t xml:space="preserve">We can estimate this conditional relationship </w:t>
      </w:r>
      <w:r w:rsidR="00251D77">
        <w:t xml:space="preserve">even though </w:t>
      </w:r>
      <w:r w:rsidR="00251D77" w:rsidRPr="00B26B44">
        <w:t>the structural causal effect shows a directional effect from commute distance to telework arrangements</w:t>
      </w:r>
      <w:r w:rsidR="00251D77">
        <w:t xml:space="preserve"> because </w:t>
      </w:r>
      <w:r w:rsidR="00251D77" w:rsidRPr="00B26B44">
        <w:t xml:space="preserve">commute distance, telework adoption, and full-day and part-day telework frequencies </w:t>
      </w:r>
      <w:r w:rsidR="00251D77">
        <w:t xml:space="preserve">are modeled as a joint package decision. </w:t>
      </w:r>
      <w:r>
        <w:t>To translate the model results in this way</w:t>
      </w:r>
      <w:r w:rsidR="00B561A0">
        <w:t>,</w:t>
      </w:r>
      <w:r w:rsidR="000D5EDA">
        <w:t xml:space="preserve"> </w:t>
      </w:r>
      <w:r>
        <w:t xml:space="preserve">we first </w:t>
      </w:r>
      <w:r w:rsidR="00B561A0">
        <w:t>compute</w:t>
      </w:r>
      <w:r>
        <w:t xml:space="preserve"> the expected value of the logarithm of the one-way commute distance</w:t>
      </w:r>
      <w:r w:rsidR="002B2A18">
        <w:t xml:space="preserve"> conditional on the set of work arrangement choices:</w:t>
      </w:r>
    </w:p>
    <w:p w14:paraId="57A80F7E" w14:textId="1424C297" w:rsidR="002B2A18" w:rsidRDefault="002B2A18" w:rsidP="00F04583">
      <w:pPr>
        <w:pStyle w:val="MTDisplayEquation"/>
        <w:spacing w:before="120" w:after="120"/>
      </w:pPr>
      <w:r w:rsidRPr="002B2A18">
        <w:rPr>
          <w:position w:val="-30"/>
        </w:rPr>
        <w:object w:dxaOrig="2500" w:dyaOrig="740" w14:anchorId="71506C1B">
          <v:shape id="_x0000_i1145" type="#_x0000_t75" style="width:125.15pt;height:36.85pt" o:ole="">
            <v:imagedata r:id="rId239" o:title=""/>
          </v:shape>
          <o:OLEObject Type="Embed" ProgID="Equation.DSMT4" ShapeID="_x0000_i1145" DrawAspect="Content" ObjectID="_1846407002" r:id="rId240"/>
        </w:object>
      </w:r>
      <w:r w:rsidR="006D3FBB">
        <w:t>,</w:t>
      </w:r>
      <w:r>
        <w:tab/>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3C4525">
        <w:fldChar w:fldCharType="begin"/>
      </w:r>
      <w:r w:rsidR="003C4525">
        <w:instrText xml:space="preserve"> SEQ MTEqn \c \* Arabic \* MERGEFORMAT </w:instrText>
      </w:r>
      <w:r w:rsidR="003C4525">
        <w:fldChar w:fldCharType="separate"/>
      </w:r>
      <w:r w:rsidR="00F04583">
        <w:rPr>
          <w:noProof/>
        </w:rPr>
        <w:instrText>12</w:instrText>
      </w:r>
      <w:r w:rsidR="003C4525">
        <w:rPr>
          <w:noProof/>
        </w:rPr>
        <w:fldChar w:fldCharType="end"/>
      </w:r>
      <w:r>
        <w:instrText>)</w:instrText>
      </w:r>
      <w:r>
        <w:fldChar w:fldCharType="end"/>
      </w:r>
    </w:p>
    <w:p w14:paraId="2AC7C2E4" w14:textId="1B4A92EC" w:rsidR="002B2A18" w:rsidRDefault="002B2A18" w:rsidP="001D6510">
      <w:r>
        <w:t xml:space="preserve">where </w:t>
      </w:r>
      <w:r w:rsidRPr="00AC03BB">
        <w:rPr>
          <w:position w:val="-14"/>
        </w:rPr>
        <w:object w:dxaOrig="920" w:dyaOrig="380" w14:anchorId="021BBF75">
          <v:shape id="_x0000_i1146" type="#_x0000_t75" style="width:45.85pt;height:18.85pt" o:ole="">
            <v:imagedata r:id="rId241" o:title=""/>
          </v:shape>
          <o:OLEObject Type="Embed" ProgID="Equation.DSMT4" ShapeID="_x0000_i1146" DrawAspect="Content" ObjectID="_1846407003" r:id="rId242"/>
        </w:object>
      </w:r>
      <w:r>
        <w:t xml:space="preserve"> denotes the density function of </w:t>
      </w:r>
      <w:r w:rsidRPr="00AC03BB">
        <w:rPr>
          <w:position w:val="-10"/>
        </w:rPr>
        <w:object w:dxaOrig="220" w:dyaOrig="260" w14:anchorId="51625BAE">
          <v:shape id="_x0000_i1147" type="#_x0000_t75" style="width:10.7pt;height:12.85pt" o:ole="">
            <v:imagedata r:id="rId243" o:title=""/>
          </v:shape>
          <o:OLEObject Type="Embed" ProgID="Equation.DSMT4" ShapeID="_x0000_i1147" DrawAspect="Content" ObjectID="_1846407004" r:id="rId244"/>
        </w:object>
      </w:r>
      <w:r>
        <w:t xml:space="preserve"> </w:t>
      </w:r>
      <w:r w:rsidR="00B561A0">
        <w:t xml:space="preserve">(the logarithm of one-way commute distance) </w:t>
      </w:r>
      <w:r>
        <w:t xml:space="preserve">at a specific value </w:t>
      </w:r>
      <w:r w:rsidRPr="00AC03BB">
        <w:rPr>
          <w:position w:val="-6"/>
        </w:rPr>
        <w:object w:dxaOrig="180" w:dyaOrig="220" w14:anchorId="2C485584">
          <v:shape id="_x0000_i1148" type="#_x0000_t75" style="width:9.45pt;height:10.7pt" o:ole="">
            <v:imagedata r:id="rId245" o:title=""/>
          </v:shape>
          <o:OLEObject Type="Embed" ProgID="Equation.DSMT4" ShapeID="_x0000_i1148" DrawAspect="Content" ObjectID="_1846407005" r:id="rId246"/>
        </w:object>
      </w:r>
      <w:r>
        <w:t xml:space="preserve"> given the specified values of the work arrangement variables </w:t>
      </w:r>
      <w:r w:rsidRPr="00AC03BB">
        <w:rPr>
          <w:position w:val="-10"/>
        </w:rPr>
        <w:object w:dxaOrig="200" w:dyaOrig="320" w14:anchorId="37B571E2">
          <v:shape id="_x0000_i1149" type="#_x0000_t75" style="width:9.45pt;height:15.85pt" o:ole="">
            <v:imagedata r:id="rId247" o:title=""/>
          </v:shape>
          <o:OLEObject Type="Embed" ProgID="Equation.DSMT4" ShapeID="_x0000_i1149" DrawAspect="Content" ObjectID="_1846407006" r:id="rId248"/>
        </w:object>
      </w:r>
      <w:r>
        <w:t xml:space="preserve"> (this can be done for each combination of </w:t>
      </w:r>
      <w:r w:rsidR="00B561A0">
        <w:t>full-day and part-day telework days</w:t>
      </w:r>
      <w:r>
        <w:t>). The variance of the logarithm of the one-way commute distance may be similarly calculated as:</w:t>
      </w:r>
    </w:p>
    <w:p w14:paraId="6D69392F" w14:textId="6477A234" w:rsidR="002B2A18" w:rsidRDefault="002B2A18" w:rsidP="00F04583">
      <w:pPr>
        <w:pStyle w:val="MTDisplayEquation"/>
        <w:spacing w:before="120" w:after="120"/>
      </w:pPr>
      <w:r w:rsidRPr="002B2A18">
        <w:rPr>
          <w:position w:val="-34"/>
        </w:rPr>
        <w:object w:dxaOrig="5080" w:dyaOrig="840" w14:anchorId="0E103505">
          <v:shape id="_x0000_i1150" type="#_x0000_t75" style="width:255pt;height:42pt" o:ole="">
            <v:imagedata r:id="rId249" o:title=""/>
          </v:shape>
          <o:OLEObject Type="Embed" ProgID="Equation.DSMT4" ShapeID="_x0000_i1150" DrawAspect="Content" ObjectID="_1846407007" r:id="rId250"/>
        </w:object>
      </w:r>
      <w:r w:rsidR="006D3FBB">
        <w:t>.</w: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3C4525">
        <w:fldChar w:fldCharType="begin"/>
      </w:r>
      <w:r w:rsidR="003C4525">
        <w:instrText xml:space="preserve"> SEQ MTEqn \c \* Arabic \* MERGEFORMAT </w:instrText>
      </w:r>
      <w:r w:rsidR="003C4525">
        <w:fldChar w:fldCharType="separate"/>
      </w:r>
      <w:r w:rsidR="00F04583">
        <w:rPr>
          <w:noProof/>
        </w:rPr>
        <w:instrText>13</w:instrText>
      </w:r>
      <w:r w:rsidR="003C4525">
        <w:rPr>
          <w:noProof/>
        </w:rPr>
        <w:fldChar w:fldCharType="end"/>
      </w:r>
      <w:r>
        <w:instrText>)</w:instrText>
      </w:r>
      <w:r>
        <w:fldChar w:fldCharType="end"/>
      </w:r>
    </w:p>
    <w:p w14:paraId="03F8B69B" w14:textId="17AAD93E" w:rsidR="002B2A18" w:rsidRDefault="006D3FBB" w:rsidP="001D6510">
      <w:r>
        <w:t>Then, the expected one-way commute distance for an individual with the specified work arrangement is:</w:t>
      </w:r>
    </w:p>
    <w:p w14:paraId="67A41131" w14:textId="3335F51E" w:rsidR="006D3FBB" w:rsidRDefault="00772E79" w:rsidP="00F04583">
      <w:pPr>
        <w:pStyle w:val="MTDisplayEquation"/>
        <w:spacing w:before="120" w:after="120"/>
      </w:pPr>
      <w:r w:rsidRPr="006D3FBB">
        <w:rPr>
          <w:position w:val="-28"/>
        </w:rPr>
        <w:object w:dxaOrig="5420" w:dyaOrig="680" w14:anchorId="5617F116">
          <v:shape id="_x0000_i1151" type="#_x0000_t75" style="width:269.15pt;height:33.85pt" o:ole="">
            <v:imagedata r:id="rId251" o:title=""/>
          </v:shape>
          <o:OLEObject Type="Embed" ProgID="Equation.DSMT4" ShapeID="_x0000_i1151" DrawAspect="Content" ObjectID="_1846407008" r:id="rId252"/>
        </w:object>
      </w:r>
      <w:r w:rsidR="006D3FBB">
        <w:t>.</w:t>
      </w:r>
      <w:r w:rsidR="006D3FBB">
        <w:tab/>
      </w:r>
      <w:r w:rsidR="006D3FBB">
        <w:fldChar w:fldCharType="begin"/>
      </w:r>
      <w:r w:rsidR="006D3FBB">
        <w:instrText xml:space="preserve"> MACROBUTTON MTPlaceRef \* MERGEFORMAT </w:instrText>
      </w:r>
      <w:r w:rsidR="006D3FBB">
        <w:fldChar w:fldCharType="begin"/>
      </w:r>
      <w:r w:rsidR="006D3FBB">
        <w:instrText xml:space="preserve"> SEQ MTEqn \h \* MERGEFORMAT </w:instrText>
      </w:r>
      <w:r w:rsidR="006D3FBB">
        <w:fldChar w:fldCharType="end"/>
      </w:r>
      <w:r w:rsidR="006D3FBB">
        <w:instrText>(</w:instrText>
      </w:r>
      <w:r w:rsidR="003C4525">
        <w:fldChar w:fldCharType="begin"/>
      </w:r>
      <w:r w:rsidR="003C4525">
        <w:instrText xml:space="preserve"> SEQ MTEqn \c \* Arabic \* MERGEFORMAT </w:instrText>
      </w:r>
      <w:r w:rsidR="003C4525">
        <w:fldChar w:fldCharType="separate"/>
      </w:r>
      <w:r w:rsidR="00F04583">
        <w:rPr>
          <w:noProof/>
        </w:rPr>
        <w:instrText>14</w:instrText>
      </w:r>
      <w:r w:rsidR="003C4525">
        <w:rPr>
          <w:noProof/>
        </w:rPr>
        <w:fldChar w:fldCharType="end"/>
      </w:r>
      <w:r w:rsidR="006D3FBB">
        <w:instrText>)</w:instrText>
      </w:r>
      <w:r w:rsidR="006D3FBB">
        <w:fldChar w:fldCharType="end"/>
      </w:r>
    </w:p>
    <w:p w14:paraId="616CC4CD" w14:textId="7D8F0387" w:rsidR="00106F1A" w:rsidRPr="00A04AA2" w:rsidRDefault="006D3FBB" w:rsidP="001D6510">
      <w:r>
        <w:t>To translate this expected one-way daily commute distance to an expected weekly commute distance, we simply multiply by the sum of the number of ful</w:t>
      </w:r>
      <w:r w:rsidR="00C83921">
        <w:t>ly</w:t>
      </w:r>
      <w:r>
        <w:t xml:space="preserve"> in-person days and the number of part-day telework days implied by the selected work arr</w:t>
      </w:r>
      <w:r w:rsidRPr="00A04AA2">
        <w:t xml:space="preserve">angement combination. These values are computed for each individual in the sample, and the averages are reported in Figure </w:t>
      </w:r>
      <w:r w:rsidR="00B53CBB">
        <w:t>4</w:t>
      </w:r>
      <w:r w:rsidRPr="00A04AA2">
        <w:t xml:space="preserve"> and Figure </w:t>
      </w:r>
      <w:r w:rsidR="00B53CBB">
        <w:t>5</w:t>
      </w:r>
      <w:r w:rsidRPr="00A04AA2">
        <w:t xml:space="preserve"> respectively for the expected one-way daily commute VMT and expected total weekly VMT. </w:t>
      </w:r>
      <w:r w:rsidR="00D770E9" w:rsidRPr="00A04AA2">
        <w:t xml:space="preserve">For instance, the value of </w:t>
      </w:r>
      <w:r w:rsidR="004B50C4" w:rsidRPr="00A04AA2">
        <w:t>7.1</w:t>
      </w:r>
      <w:r w:rsidR="00D770E9" w:rsidRPr="00A04AA2">
        <w:t xml:space="preserve"> in the top left cell in Figure </w:t>
      </w:r>
      <w:r w:rsidR="00B53CBB">
        <w:t>4</w:t>
      </w:r>
      <w:r w:rsidR="00D770E9" w:rsidRPr="00A04AA2">
        <w:t xml:space="preserve"> indicates that the expected one-way commute distance for an individual who works all five days as part-day telework (with no fully in-person days or full-day telework days) is </w:t>
      </w:r>
      <w:r w:rsidR="004B50C4" w:rsidRPr="00A04AA2">
        <w:t>7.1</w:t>
      </w:r>
      <w:r w:rsidR="00D770E9" w:rsidRPr="00A04AA2">
        <w:t xml:space="preserve"> miles. The corresponding value of </w:t>
      </w:r>
      <w:r w:rsidR="004B50C4" w:rsidRPr="00A04AA2">
        <w:t>71.1</w:t>
      </w:r>
      <w:r w:rsidR="00D770E9" w:rsidRPr="00A04AA2">
        <w:t xml:space="preserve"> in the top left cell in Figure </w:t>
      </w:r>
      <w:r w:rsidR="00B53CBB">
        <w:t>5</w:t>
      </w:r>
      <w:r w:rsidR="00D770E9" w:rsidRPr="00A04AA2">
        <w:t xml:space="preserve"> indicates that the expected weekly commute VMT for an individual who works all five days as part-day telework (with no fully in-person days or full-day telework days) is </w:t>
      </w:r>
      <w:r w:rsidR="004B50C4" w:rsidRPr="00A04AA2">
        <w:t>71.1</w:t>
      </w:r>
      <w:r w:rsidR="00D770E9" w:rsidRPr="00A04AA2">
        <w:t xml:space="preserve"> miles. </w:t>
      </w:r>
    </w:p>
    <w:p w14:paraId="44E9C835" w14:textId="6D3D39DB" w:rsidR="00106F1A" w:rsidRPr="00A04AA2" w:rsidRDefault="00106F1A" w:rsidP="002C2532">
      <w:pPr>
        <w:ind w:firstLine="720"/>
        <w:rPr>
          <w:b/>
          <w:bCs/>
        </w:rPr>
      </w:pPr>
      <w:r w:rsidRPr="00A04AA2">
        <w:lastRenderedPageBreak/>
        <w:t xml:space="preserve">Second, we examine the effects of exogenous variables </w:t>
      </w:r>
      <w:r w:rsidR="00EF58EF" w:rsidRPr="00A04AA2">
        <w:t>on work arrangement preferences and on overall commute VMT. To do so, for each exogenous variable</w:t>
      </w:r>
      <w:r w:rsidR="00003D5F" w:rsidRPr="00A04AA2">
        <w:t xml:space="preserve"> of interest</w:t>
      </w:r>
      <w:r w:rsidR="00D770E9" w:rsidRPr="00A04AA2">
        <w:t>,</w:t>
      </w:r>
      <w:r w:rsidR="00EF58EF" w:rsidRPr="00A04AA2">
        <w:t xml:space="preserve"> we set the value for each individual in the dataset equal to a base value of interest (for instance, we start by setting each individual in the dataset to “Male” without changing the values of any other exogenous variables). We then </w:t>
      </w:r>
      <w:r w:rsidR="00D770E9" w:rsidRPr="00A04AA2">
        <w:t>compute</w:t>
      </w:r>
      <w:r w:rsidR="00EF58EF" w:rsidRPr="00A04AA2">
        <w:t xml:space="preserve"> the probability of each individual choosing each feasible combination of full-day and part-day telework days and the expected commute distance (both the one-way commute distance and weekly commute distance) conditional on that selected work arrangement (using the same procedure just described). We </w:t>
      </w:r>
      <w:r w:rsidR="00B561A0">
        <w:t>next</w:t>
      </w:r>
      <w:r w:rsidR="00EF58EF" w:rsidRPr="00A04AA2">
        <w:t xml:space="preserve"> compute the expected number of days of full-day telework</w:t>
      </w:r>
      <w:r w:rsidR="00003D5F" w:rsidRPr="00A04AA2">
        <w:t xml:space="preserve"> and</w:t>
      </w:r>
      <w:r w:rsidR="00EF58EF" w:rsidRPr="00A04AA2">
        <w:t xml:space="preserve"> the expected number of days of part-day telework</w:t>
      </w:r>
      <w:r w:rsidR="00003D5F" w:rsidRPr="00A04AA2">
        <w:t xml:space="preserve"> (implicitly defining also </w:t>
      </w:r>
      <w:r w:rsidR="00EF58EF" w:rsidRPr="00A04AA2">
        <w:t>the expected number of days of fully in-person work</w:t>
      </w:r>
      <w:r w:rsidR="00003D5F" w:rsidRPr="00A04AA2">
        <w:t>)</w:t>
      </w:r>
      <w:r w:rsidR="00EF58EF" w:rsidRPr="00A04AA2">
        <w:t xml:space="preserve"> based on the probabilities for each combination of working days and the overall expected one-way and weekly commute </w:t>
      </w:r>
      <w:r w:rsidR="00D770E9" w:rsidRPr="00A04AA2">
        <w:t>VMT</w:t>
      </w:r>
      <w:r w:rsidR="00EF58EF" w:rsidRPr="00A04AA2">
        <w:t xml:space="preserve"> based on weighted averages of the expected conditional commute distance. We also calculate the portion of the weekly commute </w:t>
      </w:r>
      <w:r w:rsidR="00D770E9" w:rsidRPr="00A04AA2">
        <w:t xml:space="preserve">VMT </w:t>
      </w:r>
      <w:r w:rsidR="00EF58EF" w:rsidRPr="00A04AA2">
        <w:t>that is expected to take place on part-day teleworking days</w:t>
      </w:r>
      <w:r w:rsidR="00D770E9" w:rsidRPr="00A04AA2">
        <w:t xml:space="preserve">. Finally, we set the value of the exogenous variable in the dataset to a treatment level (for instance, by setting each individual in the dataset to “Female” without changing the values of any other exogenous variables) and calculate the same set of quantities for the treatment level. The percent difference (in the average of these values across all individuals in the dataset) between the base and the treatment level is then reported in Table </w:t>
      </w:r>
      <w:r w:rsidR="00DE479C" w:rsidRPr="00A04AA2">
        <w:t>7</w:t>
      </w:r>
      <w:r w:rsidR="00D770E9" w:rsidRPr="00A04AA2">
        <w:t xml:space="preserve"> as the total effect. For instance, the values in the first numeric row and column of Table </w:t>
      </w:r>
      <w:r w:rsidR="00E26F7F" w:rsidRPr="00A04AA2">
        <w:t>7</w:t>
      </w:r>
      <w:r w:rsidR="00D770E9" w:rsidRPr="00A04AA2">
        <w:t xml:space="preserve"> indicate that</w:t>
      </w:r>
      <w:r w:rsidR="00B561A0">
        <w:t>,</w:t>
      </w:r>
      <w:r w:rsidR="00D770E9" w:rsidRPr="00A04AA2">
        <w:t xml:space="preserve"> on average</w:t>
      </w:r>
      <w:r w:rsidR="00B561A0">
        <w:t>,</w:t>
      </w:r>
      <w:r w:rsidR="00D770E9" w:rsidRPr="00A04AA2">
        <w:t xml:space="preserve"> women have </w:t>
      </w:r>
      <w:r w:rsidR="00044E67" w:rsidRPr="00A04AA2">
        <w:t>7</w:t>
      </w:r>
      <w:r w:rsidR="00D770E9" w:rsidRPr="00A04AA2">
        <w:t>.</w:t>
      </w:r>
      <w:r w:rsidR="00044E67" w:rsidRPr="00A04AA2">
        <w:t>53</w:t>
      </w:r>
      <w:r w:rsidR="00D770E9" w:rsidRPr="00A04AA2">
        <w:t>% more full-day telework days then men each week</w:t>
      </w:r>
      <w:r w:rsidR="00DE479C" w:rsidRPr="00A04AA2">
        <w:t xml:space="preserve"> and</w:t>
      </w:r>
      <w:r w:rsidR="00D770E9" w:rsidRPr="00A04AA2">
        <w:t xml:space="preserve"> </w:t>
      </w:r>
      <w:r w:rsidR="00044E67" w:rsidRPr="00A04AA2">
        <w:t>13.10</w:t>
      </w:r>
      <w:r w:rsidR="00D770E9" w:rsidRPr="00A04AA2">
        <w:t xml:space="preserve">% more part-day telework days than men each week. </w:t>
      </w:r>
      <w:r w:rsidR="00AD0F0D" w:rsidRPr="00A04AA2">
        <w:t xml:space="preserve">Women also have an average commute distance that is </w:t>
      </w:r>
      <w:r w:rsidR="00877649" w:rsidRPr="00A04AA2">
        <w:t>19.34</w:t>
      </w:r>
      <w:r w:rsidR="00AD0F0D" w:rsidRPr="00A04AA2">
        <w:t>% lower than for men, leading to a 2</w:t>
      </w:r>
      <w:r w:rsidR="00877649" w:rsidRPr="00A04AA2">
        <w:t>1.69</w:t>
      </w:r>
      <w:r w:rsidR="00AD0F0D" w:rsidRPr="00A04AA2">
        <w:t>% lower weekly commute VMT (due to the combination o</w:t>
      </w:r>
      <w:r w:rsidR="005D615E">
        <w:t>r</w:t>
      </w:r>
      <w:r w:rsidR="00AD0F0D" w:rsidRPr="00A04AA2">
        <w:t xml:space="preserve"> lower commute distance and more full-day telework). Finally, the portion of their </w:t>
      </w:r>
      <w:r w:rsidR="00B561A0">
        <w:t>w</w:t>
      </w:r>
      <w:r w:rsidR="00B561A0" w:rsidRPr="002C2532">
        <w:t xml:space="preserve">eekly </w:t>
      </w:r>
      <w:r w:rsidR="00AD0F0D" w:rsidRPr="002C2532">
        <w:t xml:space="preserve">commute </w:t>
      </w:r>
      <w:r w:rsidR="00B561A0" w:rsidRPr="002C2532">
        <w:t>VMT</w:t>
      </w:r>
      <w:r w:rsidR="00AD0F0D" w:rsidRPr="002C2532">
        <w:t xml:space="preserve"> that comes from part-day telework is </w:t>
      </w:r>
      <w:r w:rsidR="00877649" w:rsidRPr="002C2532">
        <w:t>15.</w:t>
      </w:r>
      <w:r w:rsidR="00932A99" w:rsidRPr="002C2532">
        <w:t>4</w:t>
      </w:r>
      <w:r w:rsidR="00877649" w:rsidRPr="002C2532">
        <w:t>1</w:t>
      </w:r>
      <w:r w:rsidR="00AD0F0D" w:rsidRPr="002C2532">
        <w:t>% higher for women than for men (this last value</w:t>
      </w:r>
      <w:r w:rsidR="00EE6779" w:rsidRPr="002C2532">
        <w:t xml:space="preserve"> is meaningful because part-day telework is more likely to involve off-peak commutes, so a higher share of VMT coming from part-day telework days suggests that </w:t>
      </w:r>
      <w:r w:rsidR="003A3F45" w:rsidRPr="002C2532">
        <w:t>the</w:t>
      </w:r>
      <w:r w:rsidR="00EE6779" w:rsidRPr="002C2532">
        <w:t xml:space="preserve"> commute-related driving distance</w:t>
      </w:r>
      <w:r w:rsidR="003A3F45" w:rsidRPr="002C2532">
        <w:t xml:space="preserve"> of women</w:t>
      </w:r>
      <w:r w:rsidR="00EE6779" w:rsidRPr="002C2532">
        <w:t xml:space="preserve"> may be more concentrated in off-peak conditions </w:t>
      </w:r>
      <w:r w:rsidR="003A3F45" w:rsidRPr="002C2532">
        <w:t>compared to</w:t>
      </w:r>
      <w:r w:rsidR="00EE6779" w:rsidRPr="002C2532">
        <w:t xml:space="preserve"> </w:t>
      </w:r>
      <w:r w:rsidR="003A3F45" w:rsidRPr="002C2532">
        <w:t>that of men)</w:t>
      </w:r>
      <w:r w:rsidR="00AD0F0D" w:rsidRPr="002C2532">
        <w:t>.</w:t>
      </w:r>
      <w:r w:rsidR="00AD0F0D" w:rsidRPr="00A04AA2">
        <w:t xml:space="preserve"> </w:t>
      </w:r>
    </w:p>
    <w:p w14:paraId="07DD0C0E" w14:textId="68A0CD68" w:rsidR="00D770E9" w:rsidRDefault="00AD0F0D" w:rsidP="001D6510">
      <w:r w:rsidRPr="00A04AA2">
        <w:rPr>
          <w:b/>
          <w:bCs/>
        </w:rPr>
        <w:tab/>
      </w:r>
      <w:r w:rsidRPr="00A04AA2">
        <w:t xml:space="preserve">These overall effects of exogenous variables on work arrangement and weekly commute VMT are discussed in detail in the remainder of this section, with a specific focus on the policy and modeling implications of these results. </w:t>
      </w:r>
    </w:p>
    <w:p w14:paraId="75D07C0D" w14:textId="77777777" w:rsidR="00106F1A" w:rsidRPr="00A04AA2" w:rsidRDefault="00106F1A" w:rsidP="001D6510">
      <w:pPr>
        <w:rPr>
          <w:b/>
          <w:bCs/>
        </w:rPr>
      </w:pPr>
    </w:p>
    <w:p w14:paraId="56D2B69D" w14:textId="70292009" w:rsidR="008A6C7F" w:rsidRPr="00A04AA2" w:rsidRDefault="008A6C7F" w:rsidP="008A6C7F">
      <w:pPr>
        <w:rPr>
          <w:b/>
          <w:bCs/>
        </w:rPr>
      </w:pPr>
      <w:r w:rsidRPr="00A04AA2">
        <w:rPr>
          <w:b/>
          <w:bCs/>
        </w:rPr>
        <w:t xml:space="preserve">5.1 Full-Day and Part-Day Telework as Distinct Avenues for </w:t>
      </w:r>
      <w:r w:rsidR="00993B8A">
        <w:rPr>
          <w:b/>
          <w:bCs/>
        </w:rPr>
        <w:t xml:space="preserve">Commute </w:t>
      </w:r>
      <w:r w:rsidRPr="00A04AA2">
        <w:rPr>
          <w:b/>
          <w:bCs/>
        </w:rPr>
        <w:t>VMT Reduction</w:t>
      </w:r>
    </w:p>
    <w:p w14:paraId="64DB600F" w14:textId="758D1D15" w:rsidR="009C3E83" w:rsidRPr="00A04AA2" w:rsidRDefault="008A6C7F" w:rsidP="008A6C7F">
      <w:r w:rsidRPr="00A04AA2">
        <w:t xml:space="preserve">A central finding emerging from the results shown in Figures </w:t>
      </w:r>
      <w:r w:rsidR="00B53CBB">
        <w:t>4</w:t>
      </w:r>
      <w:r w:rsidRPr="00A04AA2">
        <w:t xml:space="preserve"> and </w:t>
      </w:r>
      <w:r w:rsidR="00B53CBB">
        <w:t>5</w:t>
      </w:r>
      <w:r w:rsidRPr="00A04AA2">
        <w:t xml:space="preserve"> is that full-day and part-day telework exert fundamentally distinct effects on weekly commute VMT, and that conflating these two behaviors in demand management polic</w:t>
      </w:r>
      <w:r w:rsidR="004C523C" w:rsidRPr="00A04AA2">
        <w:t>ies</w:t>
      </w:r>
      <w:r w:rsidRPr="00A04AA2">
        <w:t xml:space="preserve"> or travel demand modeling is likely to produce materially inaccurate forecasts. Full-day telework reduces weekly commute VMT primarily through trip elimination</w:t>
      </w:r>
      <w:r w:rsidR="00A571C7" w:rsidRPr="00A04AA2">
        <w:t xml:space="preserve">. That is, despite the fact that </w:t>
      </w:r>
      <w:r w:rsidR="00B3406C" w:rsidRPr="00A04AA2">
        <w:t>one-way commute</w:t>
      </w:r>
      <w:r w:rsidR="008123B1" w:rsidRPr="00A04AA2">
        <w:t xml:space="preserve"> distances</w:t>
      </w:r>
      <w:r w:rsidR="00B3406C" w:rsidRPr="00A04AA2">
        <w:t xml:space="preserve"> </w:t>
      </w:r>
      <w:r w:rsidR="00A571C7" w:rsidRPr="00A04AA2">
        <w:t xml:space="preserve">are </w:t>
      </w:r>
      <w:r w:rsidR="00B3406C" w:rsidRPr="00A04AA2">
        <w:t xml:space="preserve">actually highest </w:t>
      </w:r>
      <w:r w:rsidR="00A571C7" w:rsidRPr="00A04AA2">
        <w:t>for those choosing full-day telework once per week</w:t>
      </w:r>
      <w:r w:rsidR="008123B1" w:rsidRPr="00A04AA2">
        <w:t xml:space="preserve"> (see Figure </w:t>
      </w:r>
      <w:r w:rsidR="00B53CBB">
        <w:t>4</w:t>
      </w:r>
      <w:r w:rsidR="008123B1" w:rsidRPr="00A04AA2">
        <w:t xml:space="preserve">), there is a </w:t>
      </w:r>
      <w:r w:rsidRPr="00A04AA2">
        <w:t>consistent pattern of reduc</w:t>
      </w:r>
      <w:r w:rsidR="008123B1" w:rsidRPr="00A04AA2">
        <w:t>tion in overall weekly</w:t>
      </w:r>
      <w:r w:rsidRPr="00A04AA2">
        <w:t xml:space="preserve"> commute VMT with each additional day of full-day telework (moving from left to right in Figure </w:t>
      </w:r>
      <w:r w:rsidR="00B53CBB">
        <w:t>5</w:t>
      </w:r>
      <w:r w:rsidRPr="00A04AA2">
        <w:t xml:space="preserve">). In contrast, part-day telework retains the commute and therefore reduces weekly VMT only to the extent that it is associated with shorter commute distances. For instance, in Figure </w:t>
      </w:r>
      <w:r w:rsidR="00B53CBB">
        <w:t>5</w:t>
      </w:r>
      <w:r w:rsidRPr="00A04AA2">
        <w:t xml:space="preserve">, adding a single day of part-day telework consistently reduces weekly commute distances for a fixed number of full-day commuting days because it is </w:t>
      </w:r>
      <w:r w:rsidR="00E45CAA">
        <w:t>packaged</w:t>
      </w:r>
      <w:r w:rsidRPr="00A04AA2">
        <w:t xml:space="preserve"> with shorter commute distances</w:t>
      </w:r>
      <w:r w:rsidR="00092583" w:rsidRPr="00A04AA2">
        <w:t xml:space="preserve">. </w:t>
      </w:r>
      <w:r w:rsidR="006E6D23" w:rsidRPr="00A04AA2">
        <w:t xml:space="preserve">Further, it is the combination of full-day and part-day telework that </w:t>
      </w:r>
      <w:r w:rsidR="00743AFA" w:rsidRPr="00A04AA2">
        <w:t>appears</w:t>
      </w:r>
      <w:r w:rsidR="006E6D23" w:rsidRPr="00A04AA2">
        <w:t xml:space="preserve"> to provide the biggest gains in terms of </w:t>
      </w:r>
      <w:r w:rsidR="00993B8A">
        <w:t xml:space="preserve">commute </w:t>
      </w:r>
      <w:r w:rsidR="006E6D23" w:rsidRPr="00A04AA2">
        <w:t xml:space="preserve">VMT reduction. </w:t>
      </w:r>
      <w:r w:rsidR="002545A5" w:rsidRPr="00A04AA2">
        <w:t xml:space="preserve">The longest one-way commute distance is for those working a single day of full-day telework and no part-day </w:t>
      </w:r>
      <w:r w:rsidR="002545A5" w:rsidRPr="00A04AA2">
        <w:lastRenderedPageBreak/>
        <w:t xml:space="preserve">telework, while the commute distance drops dramatically when a single day of part-day telework is introduced. </w:t>
      </w:r>
      <w:r w:rsidR="00C11FFB" w:rsidRPr="00A04AA2">
        <w:t>This is a critical distinction</w:t>
      </w:r>
      <w:r w:rsidR="00AC61C3" w:rsidRPr="00A04AA2">
        <w:t xml:space="preserve"> from a policy perspective. E</w:t>
      </w:r>
      <w:r w:rsidR="00C11FFB" w:rsidRPr="00A04AA2">
        <w:t>ncouraging low levels of full-day telework does not yield any meaningful improvements in terms of VMT reduction</w:t>
      </w:r>
      <w:r w:rsidR="00AC61C3" w:rsidRPr="00A04AA2">
        <w:t xml:space="preserve"> compared to those who do not telework, because it is</w:t>
      </w:r>
      <w:r w:rsidR="00E45CAA">
        <w:t xml:space="preserve"> packaged</w:t>
      </w:r>
      <w:r w:rsidR="00AC61C3" w:rsidRPr="00A04AA2">
        <w:t xml:space="preserve"> with a longer commute distance. Instead, </w:t>
      </w:r>
      <w:r w:rsidR="00A96CFE" w:rsidRPr="00A04AA2">
        <w:t>encouraging those with lower levels</w:t>
      </w:r>
      <w:r w:rsidR="00993B8A">
        <w:t xml:space="preserve"> of</w:t>
      </w:r>
      <w:r w:rsidR="00A96CFE" w:rsidRPr="00A04AA2">
        <w:t xml:space="preserve"> telework to undertake telework at a higher frequency, and particularly encouraging a combination of full-day and part-day telework would have a much more substantial impact. </w:t>
      </w:r>
      <w:r w:rsidR="00C11FFB" w:rsidRPr="00A04AA2">
        <w:t xml:space="preserve"> </w:t>
      </w:r>
    </w:p>
    <w:p w14:paraId="6CB48EAF" w14:textId="58D7AB81" w:rsidR="008A6C7F" w:rsidRPr="00A04AA2" w:rsidRDefault="008A6C7F" w:rsidP="009C3E83">
      <w:pPr>
        <w:ind w:firstLine="720"/>
      </w:pPr>
      <w:r w:rsidRPr="00A04AA2">
        <w:t xml:space="preserve">These results demonstrate that the aggregation of part-day and full-day telework into a single “telework” category is not innocuous; part-day and full-day telework are adopted by systematically different groups, have different relationships with commute distance, and produce different VMT outcomes. As noted in Section 1, major national data systems either exclude part-day telework from their definitions of telework entirely or collapse part-day and full-day telework into a single category. Thus, our findings about the different preferences for part-day and full-day telework and the different implications for commute VMT suggest that such aggregations will misrepresent both the level and composition of telework-related demand reductions. Further, given that there is substantial variation in the intensity of use of both part-day and full-day telework, and the fact that the relationship between the use of each type of telework and commute distance is nonlinear, the collection of multi-day travel diary data to assess the impacts of these telework behaviors is critical. Therefore, surveys should cover several workdays to capture the weekly distribution of work arrangements, as a single diary day will frequently misclassify hybrid workers. </w:t>
      </w:r>
    </w:p>
    <w:p w14:paraId="6C1CCEEE" w14:textId="6AE21D70" w:rsidR="00AD0F0D" w:rsidRPr="00A04AA2" w:rsidRDefault="008A6C7F" w:rsidP="008A6C7F">
      <w:pPr>
        <w:ind w:firstLine="720"/>
      </w:pPr>
      <w:r w:rsidRPr="00A04AA2">
        <w:t>Th</w:t>
      </w:r>
      <w:r w:rsidR="00993B8A">
        <w:t>e</w:t>
      </w:r>
      <w:r w:rsidRPr="00A04AA2">
        <w:t xml:space="preserve"> distinction between the two telework modalities is also demonstrated by the exogenous variable </w:t>
      </w:r>
      <w:r w:rsidR="00AD6C49">
        <w:t>effects on weekly commute VMT,</w:t>
      </w:r>
      <w:r w:rsidRPr="00A04AA2">
        <w:t xml:space="preserve"> shown in Table </w:t>
      </w:r>
      <w:r w:rsidR="00920C35" w:rsidRPr="00A04AA2">
        <w:t>7</w:t>
      </w:r>
      <w:r w:rsidRPr="00A04AA2">
        <w:t xml:space="preserve">, revealing how specific preferences for different work arrangements, alongside residential location preferences, lead to overall VMT impacts. For instance, individuals with disabilities have a </w:t>
      </w:r>
      <w:r w:rsidR="006B6925" w:rsidRPr="00A04AA2">
        <w:t>9.72</w:t>
      </w:r>
      <w:r w:rsidRPr="00A04AA2">
        <w:t xml:space="preserve">% lower weekly commute VMT (compared with those without disabilities) despite having virtually no different daily commute distance. Thus, this difference in commute VMT comes exclusively from the reduced number of commutes due to their increased use of full-day telework. In contrast, despite a minor reduction in the number of days of full-day telework, those living in high density areas (compared with those living in low density areas) also have a lower weekly commute VMT. Thus, these workers instead choose to live closer to their employment in general and adopt part-day telework (potentially shifting more of their commutes to off-peak times), yielding VMT benefits despite having nearly identical numbers of commute trips per week.  Finally, individuals in more walkable neighborhoods have much stronger telework preferences than those in less walkable neighborhoods, teleworking </w:t>
      </w:r>
      <w:r w:rsidR="00317526" w:rsidRPr="00A04AA2">
        <w:t>41.04</w:t>
      </w:r>
      <w:r w:rsidRPr="00A04AA2">
        <w:t xml:space="preserve">% more full-days and </w:t>
      </w:r>
      <w:r w:rsidR="00503069" w:rsidRPr="00A04AA2">
        <w:t>32.57</w:t>
      </w:r>
      <w:r w:rsidRPr="00A04AA2">
        <w:t>% more part-days compared to those in less walkable areas. When combined with a lower average one-way commute distance, the result is a reduction in weekly commute VMT of over 50%. This result both points to a key way to promote VMT reductions, by supporting walkability and the development of mixed-use neighborhoods, and demonstrates the crucial role of part-day telework in reducing peak period demand, as these individuals spend a much greater portion of their weekly commute VMT on trips for part-day telework.</w:t>
      </w:r>
    </w:p>
    <w:p w14:paraId="00549983" w14:textId="77777777" w:rsidR="004A7054" w:rsidRPr="00A04AA2" w:rsidRDefault="004A7054" w:rsidP="001D6510">
      <w:pPr>
        <w:rPr>
          <w:b/>
          <w:bCs/>
        </w:rPr>
      </w:pPr>
    </w:p>
    <w:p w14:paraId="784E03F5" w14:textId="77777777" w:rsidR="008A6C7F" w:rsidRPr="00A04AA2" w:rsidRDefault="008A6C7F" w:rsidP="008A6C7F">
      <w:pPr>
        <w:rPr>
          <w:b/>
          <w:bCs/>
        </w:rPr>
      </w:pPr>
      <w:r w:rsidRPr="00A04AA2">
        <w:rPr>
          <w:b/>
          <w:bCs/>
        </w:rPr>
        <w:t>5.2 Implications for Travel Demand Modeling</w:t>
      </w:r>
    </w:p>
    <w:p w14:paraId="63FABA6C" w14:textId="25F8B1E8" w:rsidR="008A6C7F" w:rsidRPr="00A04AA2" w:rsidRDefault="008A6C7F" w:rsidP="008A6C7F">
      <w:r w:rsidRPr="00A04AA2">
        <w:t>The results reveal several direct implications for the structure and specification of activity-based travel demand models used by metropolitan planning organizations (MPOs) and state departments of transportation. As noted above,</w:t>
      </w:r>
      <w:r w:rsidR="00993B8A">
        <w:t xml:space="preserve"> our</w:t>
      </w:r>
      <w:r w:rsidRPr="00A04AA2">
        <w:t xml:space="preserve"> findings demonstrate that treating part-day and full-day telework as a single aggregate behavior (or, more commonly, ignoring part-day telework entirely) </w:t>
      </w:r>
      <w:r w:rsidRPr="00A04AA2">
        <w:lastRenderedPageBreak/>
        <w:t xml:space="preserve">introduces meaningful errors in the prediction of both commute trip frequency and weekly commute VMT. As shown in Figures </w:t>
      </w:r>
      <w:r w:rsidR="00B53CBB">
        <w:t>4</w:t>
      </w:r>
      <w:r w:rsidRPr="00A04AA2">
        <w:t xml:space="preserve"> and </w:t>
      </w:r>
      <w:r w:rsidR="00B53CBB">
        <w:t>5</w:t>
      </w:r>
      <w:r w:rsidRPr="00A04AA2">
        <w:t>, the predicted one-way commute distance and weekly VMT vary substantially across work arrangement combinations, and this variation is not simply monotonic with respect to the total number of telework days. For instance, individuals who mix part-day and full-day telework have systematically different VMT profiles than those who engage in only one type, a distinction that is entirely lost when part-day telework is either excluded or folded into a single telework frequency variable.</w:t>
      </w:r>
    </w:p>
    <w:p w14:paraId="1FF2E9AE" w14:textId="118655FE" w:rsidR="004A7054" w:rsidRPr="00A04AA2" w:rsidRDefault="008A6C7F" w:rsidP="008A6C7F">
      <w:r w:rsidRPr="00A04AA2">
        <w:tab/>
        <w:t xml:space="preserve">The results also reveal key variations in work arrangement preferences that should be included in such forecasts. For example, industry-based segmentation of telework propensities is critical given the variation in telework availability across fields and our findings about the different telework preferences across different sectors. </w:t>
      </w:r>
      <w:r w:rsidR="00385333" w:rsidRPr="00A04AA2">
        <w:t>P</w:t>
      </w:r>
      <w:r w:rsidRPr="00A04AA2">
        <w:t>art-day telework, while generating smaller aggregate VMT reductions, may serve as an important complementary strategy for workers who cannot adopt full-day telework due to in-person work requirements, including many health workers (who display a 1</w:t>
      </w:r>
      <w:r w:rsidR="00BB08B3" w:rsidRPr="00A04AA2">
        <w:t>0.91</w:t>
      </w:r>
      <w:r w:rsidRPr="00A04AA2">
        <w:t xml:space="preserve">% decrease in </w:t>
      </w:r>
      <w:r w:rsidR="00BB08B3" w:rsidRPr="00A04AA2">
        <w:t>full</w:t>
      </w:r>
      <w:r w:rsidRPr="00A04AA2">
        <w:t xml:space="preserve">-day telework days relative to those without such requirements) and public administration workers (who display a </w:t>
      </w:r>
      <w:r w:rsidR="00D47A69" w:rsidRPr="00A04AA2">
        <w:t>46.27</w:t>
      </w:r>
      <w:r w:rsidRPr="00A04AA2">
        <w:t>% increase in part-day telework days relative to hospitality workers). Similarly, the large walkability-based differences in part-day telework adoption (</w:t>
      </w:r>
      <w:r w:rsidR="00846FC1" w:rsidRPr="00A04AA2">
        <w:t>36.48</w:t>
      </w:r>
      <w:r w:rsidRPr="00A04AA2">
        <w:t>% more part-day telework days for workers in walkability index 10–14.9 areas relative to low-walkability areas) suggest that built environment segmentation of telework and separating these telework preferences based on full-day telework and part-day telework can have meaningful impacts.</w:t>
      </w:r>
    </w:p>
    <w:p w14:paraId="7F672DB0" w14:textId="77777777" w:rsidR="004A7054" w:rsidRPr="00A04AA2" w:rsidRDefault="004A7054" w:rsidP="001D6510">
      <w:pPr>
        <w:rPr>
          <w:b/>
          <w:bCs/>
        </w:rPr>
      </w:pPr>
    </w:p>
    <w:p w14:paraId="02E2859C" w14:textId="1375958D" w:rsidR="004A7054" w:rsidRPr="00A04AA2" w:rsidRDefault="004A7054" w:rsidP="004A7054">
      <w:pPr>
        <w:rPr>
          <w:b/>
          <w:bCs/>
        </w:rPr>
      </w:pPr>
      <w:r w:rsidRPr="00A04AA2">
        <w:rPr>
          <w:b/>
          <w:bCs/>
        </w:rPr>
        <w:t>5.3 Implications for Transportation System Operations and Congestion Management</w:t>
      </w:r>
    </w:p>
    <w:p w14:paraId="472C6812" w14:textId="68721936" w:rsidR="004A7054" w:rsidRPr="00A04AA2" w:rsidRDefault="00385333" w:rsidP="004A7054">
      <w:r w:rsidRPr="00A04AA2">
        <w:t>T</w:t>
      </w:r>
      <w:r w:rsidR="004A7054" w:rsidRPr="00A04AA2">
        <w:t xml:space="preserve">he findings </w:t>
      </w:r>
      <w:r w:rsidRPr="00A04AA2">
        <w:t xml:space="preserve">also </w:t>
      </w:r>
      <w:r w:rsidR="004A7054" w:rsidRPr="00A04AA2">
        <w:t xml:space="preserve">carry implications for the timing and spatial distribution of commute demand, which are central to congestion management and infrastructure investment decisions. The distinction between full-day and part-day telework is particularly relevant here, as these two behaviors affect peak-period demand in fundamentally different ways. Full-day telework eliminates commute trips on remote days, providing the most direct form of demand relief. Part-day telework, in contrast, retains a commute but may shift its timing, with evidence from prior research suggesting that part-day teleworkers tend to commute outside traditional peak windows (see, for example, Asgari and Jin, 2018; Lachapelle et al., 2018; Stiles and Smart, 2021). The current findings, which confirm that part-day telework is </w:t>
      </w:r>
      <w:r w:rsidR="00237E06">
        <w:t xml:space="preserve">jointly packaged with the choice of living </w:t>
      </w:r>
      <w:r w:rsidR="004A7054" w:rsidRPr="00A04AA2">
        <w:t>in dense, highly walkable areas with short commute distances, suggest that the peak-spreading effects of part-day telework are likely to be concentrated in urban cores where congestion is most acute. This suggests that part-day telework policies may play a critical role in demand management through peak spreading even if it has a much smaller impact on total commute VMT.</w:t>
      </w:r>
    </w:p>
    <w:p w14:paraId="17C46CDD" w14:textId="55BC8A85" w:rsidR="004A7054" w:rsidRPr="00A04AA2" w:rsidRDefault="004A7054" w:rsidP="004A7054">
      <w:pPr>
        <w:ind w:firstLine="720"/>
      </w:pPr>
      <w:r w:rsidRPr="00A04AA2">
        <w:t>Income-based differences in VMT impacts also have implications for the distributional effects of congestion pricing and other demand management instruments. Workers earning $100,000–$199,999 or more than $200,000 per year undertake substantially more part-day telework (</w:t>
      </w:r>
      <w:r w:rsidR="00F14D6D" w:rsidRPr="00A04AA2">
        <w:t>18.25</w:t>
      </w:r>
      <w:r w:rsidRPr="00A04AA2">
        <w:t xml:space="preserve">% and </w:t>
      </w:r>
      <w:r w:rsidR="00F14D6D" w:rsidRPr="00A04AA2">
        <w:t>22.30</w:t>
      </w:r>
      <w:r w:rsidRPr="00A04AA2">
        <w:t>% more days, respectively) and more full-day telework (1</w:t>
      </w:r>
      <w:r w:rsidR="00F14D6D" w:rsidRPr="00A04AA2">
        <w:t>8.33</w:t>
      </w:r>
      <w:r w:rsidRPr="00A04AA2">
        <w:t>% and 1</w:t>
      </w:r>
      <w:r w:rsidR="00F14D6D" w:rsidRPr="00A04AA2">
        <w:t>7.21</w:t>
      </w:r>
      <w:r w:rsidRPr="00A04AA2">
        <w:t>% more days, respectively) than workers earning less than $50,000. When combined with their already lower commute distances, the result is a weekly VMT reduction of 2</w:t>
      </w:r>
      <w:r w:rsidR="00AC2842" w:rsidRPr="00A04AA2">
        <w:t>8.50</w:t>
      </w:r>
      <w:r w:rsidRPr="00A04AA2">
        <w:t>% and 2</w:t>
      </w:r>
      <w:r w:rsidR="00AC2842" w:rsidRPr="00A04AA2">
        <w:t>5.08</w:t>
      </w:r>
      <w:r w:rsidRPr="00A04AA2">
        <w:t xml:space="preserve">%, respectively, for these high-income groups. Further, the part-day share of commute VMT is </w:t>
      </w:r>
      <w:r w:rsidR="00921344" w:rsidRPr="00A04AA2">
        <w:t>substantially increased</w:t>
      </w:r>
      <w:r w:rsidRPr="00A04AA2">
        <w:t xml:space="preserve"> for high-income workers (</w:t>
      </w:r>
      <w:r w:rsidR="00225A74" w:rsidRPr="00A04AA2">
        <w:t>39.06</w:t>
      </w:r>
      <w:r w:rsidRPr="00A04AA2">
        <w:t xml:space="preserve">% and </w:t>
      </w:r>
      <w:r w:rsidR="00225A74" w:rsidRPr="00A04AA2">
        <w:t>43.10</w:t>
      </w:r>
      <w:r w:rsidRPr="00A04AA2">
        <w:t xml:space="preserve">% higher, respectively) compared to low-income workers. The net result is that demand management policies targeting peak-period commuting trips will disproportionately impact lower-income travelers who have less access to telework flexibility. Thus, from an equity perspective, this income-based disparity in </w:t>
      </w:r>
      <w:r w:rsidRPr="00A04AA2">
        <w:lastRenderedPageBreak/>
        <w:t xml:space="preserve">telework access means that the monetary and time-saving benefits of reduced weekly VMT are disproportionately accrued to higher-income workers, suggesting that policies promoting telework among low-wage jobs may be necessary to ensure more equitable distribution of these benefits. Further, in terms of aligning demand management strategies with actual user behaviors, congestion pricing programs should be designed with the relatively lower income of peak period commuters in mind. Such congestion pricing programs should be paired with targeted telework support or trip reduction incentives for lower-income workers to achieve equitable distribution of both the demand management benefits and the financial burden of peak-period pricing. </w:t>
      </w:r>
    </w:p>
    <w:p w14:paraId="08F4E193" w14:textId="77777777" w:rsidR="004A7054" w:rsidRPr="00A04AA2" w:rsidRDefault="004A7054" w:rsidP="001D6510">
      <w:pPr>
        <w:rPr>
          <w:b/>
          <w:bCs/>
        </w:rPr>
      </w:pPr>
    </w:p>
    <w:p w14:paraId="3195F4EF" w14:textId="1D4D6E26" w:rsidR="00D16E16" w:rsidRPr="00A04AA2" w:rsidRDefault="00D16E16" w:rsidP="005D5792">
      <w:pPr>
        <w:keepNext/>
        <w:rPr>
          <w:b/>
          <w:bCs/>
        </w:rPr>
      </w:pPr>
      <w:r w:rsidRPr="00A04AA2">
        <w:rPr>
          <w:b/>
          <w:bCs/>
        </w:rPr>
        <w:t>5.</w:t>
      </w:r>
      <w:r w:rsidR="00BC07CB">
        <w:rPr>
          <w:b/>
          <w:bCs/>
        </w:rPr>
        <w:t>4</w:t>
      </w:r>
      <w:r w:rsidRPr="00A04AA2">
        <w:rPr>
          <w:b/>
          <w:bCs/>
        </w:rPr>
        <w:t xml:space="preserve"> Implications for Work Arrangement and Employer Policies</w:t>
      </w:r>
    </w:p>
    <w:p w14:paraId="34E2FF87" w14:textId="68A5125C" w:rsidR="00D16E16" w:rsidRPr="00A04AA2" w:rsidRDefault="00D16E16" w:rsidP="00D16E16">
      <w:r w:rsidRPr="00A04AA2">
        <w:t xml:space="preserve">A final set of implications concerns actual employer policies for work arrangements and telework adoption. Employers should recognize the far-reaching implications of such policies, including on the commuting behaviors of their employees. For instance, female workers relative to male workers undertake </w:t>
      </w:r>
      <w:r w:rsidR="0001748D" w:rsidRPr="00A04AA2">
        <w:t>13.10</w:t>
      </w:r>
      <w:r w:rsidRPr="00A04AA2">
        <w:t xml:space="preserve">% more part-day telework days and </w:t>
      </w:r>
      <w:r w:rsidR="0001748D" w:rsidRPr="00A04AA2">
        <w:t>7.53</w:t>
      </w:r>
      <w:r w:rsidRPr="00A04AA2">
        <w:t xml:space="preserve">% more full-day telework days, resulting in a </w:t>
      </w:r>
      <w:r w:rsidR="0001748D" w:rsidRPr="00A04AA2">
        <w:t>21.69</w:t>
      </w:r>
      <w:r w:rsidRPr="00A04AA2">
        <w:t xml:space="preserve">% reduction in weekly commute VMT and an increase in the part-day share of commute VMT of </w:t>
      </w:r>
      <w:r w:rsidR="0001748D" w:rsidRPr="00A04AA2">
        <w:t>15.41</w:t>
      </w:r>
      <w:r w:rsidRPr="00A04AA2">
        <w:t xml:space="preserve">%. This pattern is consistent with prior evidence linking women's telework adoption to the management of household and caregiving responsibilities (Wang et al., 2023; Chung and van der Lippe, 2020), but the much larger increase in part-day relative to full-day telework suggests that women may be using part-day telework specifically to shift commute timing around household obligations rather than to eliminate commutes entirely. In contrast, nonbinary workers undertake </w:t>
      </w:r>
      <w:r w:rsidR="00440A93" w:rsidRPr="00A04AA2">
        <w:t>18.10</w:t>
      </w:r>
      <w:r w:rsidRPr="00A04AA2">
        <w:t>% fewer part-day telework days and 1</w:t>
      </w:r>
      <w:r w:rsidR="00440A93" w:rsidRPr="00A04AA2">
        <w:t>2.12</w:t>
      </w:r>
      <w:r w:rsidRPr="00A04AA2">
        <w:t xml:space="preserve">% fewer full-day telework days relative to male workers, resulting in </w:t>
      </w:r>
      <w:r w:rsidR="00440A93" w:rsidRPr="00A04AA2">
        <w:t>11.87</w:t>
      </w:r>
      <w:r w:rsidRPr="00A04AA2">
        <w:t xml:space="preserve">% higher weekly commute VMT. This result is consistent with concerns about workplace scrutiny and visibility pressures faced by nonbinary workers (Bai et al., 2025; Lagos et al., 2026), and points to a need for explicit employer policies that support equitable access to flexible work arrangements across gender identities. Employers should recognize these particular needs of </w:t>
      </w:r>
      <w:r w:rsidR="00993B8A">
        <w:t>women</w:t>
      </w:r>
      <w:r w:rsidRPr="00A04AA2">
        <w:t xml:space="preserve"> and nonbinary employe</w:t>
      </w:r>
      <w:r w:rsidR="003E6E50">
        <w:t>e</w:t>
      </w:r>
      <w:r w:rsidRPr="00A04AA2">
        <w:t xml:space="preserve">s and (a) institutionalize telework options (including both full-day and part-day telework options) to provide access to all employees (including all gender identities, but also availability across all racial groups, ages, and abilities, as discussed below), </w:t>
      </w:r>
      <w:r w:rsidR="00DD4642">
        <w:t xml:space="preserve">(b) </w:t>
      </w:r>
      <w:r w:rsidR="00385333" w:rsidRPr="00A04AA2">
        <w:t>offer</w:t>
      </w:r>
      <w:r w:rsidRPr="00A04AA2">
        <w:t xml:space="preserve"> women and nonbinary individuals more control over daily work timing and location to accommodate caregiving-related schedule variability</w:t>
      </w:r>
      <w:r w:rsidR="006C2394">
        <w:t>,</w:t>
      </w:r>
      <w:r w:rsidRPr="00A04AA2">
        <w:t xml:space="preserve"> and (</w:t>
      </w:r>
      <w:r w:rsidR="006C2394">
        <w:t>c</w:t>
      </w:r>
      <w:r w:rsidRPr="00A04AA2">
        <w:t xml:space="preserve">) ensure that employees working more time remotely are given sufficient visibility, access to resources, and opportunities for advancement. Further, employers should also consider allowing for shifted hours or work-timing flexibility even when full-day in-person work is required, as these individuals who undertake fewer days of part-day telework are </w:t>
      </w:r>
      <w:r w:rsidR="00385333" w:rsidRPr="00A04AA2">
        <w:t>otherwise</w:t>
      </w:r>
      <w:r w:rsidRPr="00A04AA2">
        <w:t xml:space="preserve"> more likely to be constrained to peak-period commutes. </w:t>
      </w:r>
    </w:p>
    <w:p w14:paraId="62EE1894" w14:textId="0A6DC1D9" w:rsidR="00D16E16" w:rsidRPr="00A04AA2" w:rsidRDefault="00D16E16" w:rsidP="00D16E16">
      <w:pPr>
        <w:ind w:firstLine="720"/>
      </w:pPr>
      <w:r w:rsidRPr="00A04AA2">
        <w:t>Racial and ethnic differences in telework outcomes similarly reflect ongoing inequities in workplace flexibility. Non-white workers undertake 1</w:t>
      </w:r>
      <w:r w:rsidR="00C97B80" w:rsidRPr="00A04AA2">
        <w:t>8.30</w:t>
      </w:r>
      <w:r w:rsidRPr="00A04AA2">
        <w:t xml:space="preserve">% fewer part-day telework days than white workers (with </w:t>
      </w:r>
      <w:r w:rsidR="00385333" w:rsidRPr="00A04AA2">
        <w:t>only a limited</w:t>
      </w:r>
      <w:r w:rsidRPr="00A04AA2">
        <w:t xml:space="preserve"> difference in full-day telework). This pattern suggests that the equity gap in access to part-day telework arrangements documented by Lewis et al. (2024) and Asfaw (2022) persists in the post-pandemic period in the Puget Sound region. Policies aimed at addressing this gap, including explicit employer commitments to equitable telework eligibility and transparent criteria for remote work approvals, are important both for worker well-being and for ensuring that the travel demand benefits of part-day telework are broadly accessible. The results for workers with disabilities that impact travel are also noteworthy. These workers undertake 1</w:t>
      </w:r>
      <w:r w:rsidR="00C97B80" w:rsidRPr="00A04AA2">
        <w:t>2.81</w:t>
      </w:r>
      <w:r w:rsidRPr="00A04AA2">
        <w:t xml:space="preserve">% more full-day telework days and </w:t>
      </w:r>
      <w:r w:rsidR="00C97B80" w:rsidRPr="00A04AA2">
        <w:t>8.01</w:t>
      </w:r>
      <w:r w:rsidRPr="00A04AA2">
        <w:t xml:space="preserve">% more part-day telework days relative to workers without such disabilities, resulting in a </w:t>
      </w:r>
      <w:r w:rsidR="00E7717D" w:rsidRPr="00A04AA2">
        <w:t>9.72</w:t>
      </w:r>
      <w:r w:rsidRPr="00A04AA2">
        <w:t xml:space="preserve">% reduction in weekly commute VMT. </w:t>
      </w:r>
      <w:r w:rsidR="00385333" w:rsidRPr="00A04AA2">
        <w:t xml:space="preserve">These results </w:t>
      </w:r>
      <w:r w:rsidR="00385333" w:rsidRPr="00A04AA2">
        <w:lastRenderedPageBreak/>
        <w:t>highlight the importance of work location flexibility for these individuals who face additional commuting challenges.</w:t>
      </w:r>
      <w:r w:rsidRPr="00A04AA2">
        <w:t xml:space="preserve"> Employer policies that explicitly accommodate disability-related telework needs, including support for both full-day and part-day arrangements depending on individual circumstances, are important for both equity and efficiency.</w:t>
      </w:r>
    </w:p>
    <w:p w14:paraId="0B318933" w14:textId="0AD96104" w:rsidR="00AD0F0D" w:rsidRPr="00D16E16" w:rsidRDefault="00D16E16" w:rsidP="00D16E16">
      <w:pPr>
        <w:ind w:firstLine="720"/>
      </w:pPr>
      <w:r w:rsidRPr="00A04AA2">
        <w:t xml:space="preserve">Finally, age-related patterns </w:t>
      </w:r>
      <w:r w:rsidR="00027446">
        <w:t>impacting weekly commute VMT</w:t>
      </w:r>
      <w:r w:rsidRPr="00A04AA2">
        <w:t xml:space="preserve"> point to important shifts in the composition of commute VMT over time. Middle-aged workers (ages 25-44 and 45-54) undertake substantially more part-day telework and fewer full-day telework days relative to the youngest workers (ages 18-24), and have substantially higher weekly VMT. For workers aged 45-54, weekly VMT is </w:t>
      </w:r>
      <w:r w:rsidR="00FF0650" w:rsidRPr="00A04AA2">
        <w:t>70.15</w:t>
      </w:r>
      <w:r w:rsidRPr="00A04AA2">
        <w:t xml:space="preserve">% higher than for those aged 18-24, driven in part by a </w:t>
      </w:r>
      <w:r w:rsidR="0011290F" w:rsidRPr="00A04AA2">
        <w:t>54.05</w:t>
      </w:r>
      <w:r w:rsidRPr="00A04AA2">
        <w:t xml:space="preserve">% longer one-way commute distance and </w:t>
      </w:r>
      <w:r w:rsidR="00A04AA2" w:rsidRPr="00A04AA2">
        <w:t xml:space="preserve">an increased number of </w:t>
      </w:r>
      <w:r w:rsidRPr="00A04AA2">
        <w:t>fully in-person work days.</w:t>
      </w:r>
      <w:r w:rsidR="00A04AA2" w:rsidRPr="00A04AA2">
        <w:rPr>
          <w:b/>
          <w:bCs/>
        </w:rPr>
        <w:t xml:space="preserve"> </w:t>
      </w:r>
      <w:r w:rsidRPr="00A04AA2">
        <w:t>As this middle-aged cohort continues to dominate the workforce in coming decades, and given that they tend to reside further from employment centers, the aggregate VMT implications of their telework patterns will be particularly significant. Employers and policymakers seeking to maximize the in</w:t>
      </w:r>
      <w:r w:rsidRPr="00D16E16">
        <w:t xml:space="preserve">dividual-level time savings and overall demand management benefits of telework should give particular attention to increasing full-day telework opportunities for middle-aged workers, for whom the VMT savings per eliminated trip are greatest. </w:t>
      </w:r>
    </w:p>
    <w:p w14:paraId="15BA9A11" w14:textId="77777777" w:rsidR="00AE1CD7" w:rsidRPr="00AA7459" w:rsidRDefault="00AE1CD7" w:rsidP="001D6510"/>
    <w:p w14:paraId="1A2D6455" w14:textId="7D927C52" w:rsidR="00425749" w:rsidRPr="001D6510" w:rsidRDefault="00425749" w:rsidP="001D6510">
      <w:pPr>
        <w:rPr>
          <w:b/>
          <w:bCs/>
        </w:rPr>
      </w:pPr>
      <w:r w:rsidRPr="001D6510">
        <w:rPr>
          <w:b/>
          <w:bCs/>
        </w:rPr>
        <w:t>6. CONCLUSIONS</w:t>
      </w:r>
    </w:p>
    <w:p w14:paraId="685904F8" w14:textId="6D097DA7" w:rsidR="009A6B06" w:rsidRDefault="009A6B06" w:rsidP="009A6B06">
      <w:r w:rsidRPr="009A6B06">
        <w:t>Th</w:t>
      </w:r>
      <w:r>
        <w:t>e current</w:t>
      </w:r>
      <w:r w:rsidRPr="009A6B06">
        <w:t xml:space="preserve"> study </w:t>
      </w:r>
      <w:r>
        <w:t>employs multi-day travel diary data from the 2023 Puget Sound Regional Household Travel Survey to examine the adoption and frequency of part-day and full-day telework and the implications for commute VMT. We find that f</w:t>
      </w:r>
      <w:r w:rsidRPr="009A6B06">
        <w:t>requent part-day teleworkers constitute a distinct group from full-day teleworkers</w:t>
      </w:r>
      <w:r>
        <w:t xml:space="preserve">, being adopted more commonly among women, middle-aged individuals, those with lower levels of educational attainment, those with disabilities that impact travel, individuals living in higher income households and in areas with higher densities and better walkability, and among full-time employed individuals working in the public administration sector. </w:t>
      </w:r>
      <w:r w:rsidRPr="009A6B06">
        <w:t>Regarding travel im</w:t>
      </w:r>
      <w:r w:rsidR="00993B8A">
        <w:t>plications</w:t>
      </w:r>
      <w:r w:rsidRPr="009A6B06">
        <w:t xml:space="preserve">, part-day telework </w:t>
      </w:r>
      <w:r w:rsidR="00993B8A">
        <w:t xml:space="preserve">and </w:t>
      </w:r>
      <w:r>
        <w:t xml:space="preserve">shorter commute distances </w:t>
      </w:r>
      <w:r w:rsidR="00993B8A">
        <w:t xml:space="preserve">(living closer to the physical work place) have a high probability of being chosen together as a package, </w:t>
      </w:r>
      <w:r>
        <w:t xml:space="preserve">while full-day telework </w:t>
      </w:r>
      <w:r w:rsidR="00993B8A">
        <w:t>and longer commute distances (living farther away from the work place) similarly have a high probability of being chosen as a package.</w:t>
      </w:r>
      <w:r>
        <w:t xml:space="preserve"> </w:t>
      </w:r>
      <w:r w:rsidRPr="009A6B06">
        <w:t>These differences underscore that part-day and full-day telework serve different roles in the travel landscape and should not be conflated</w:t>
      </w:r>
      <w:r>
        <w:t xml:space="preserve">, as they have very different implications for overall commute VMT. </w:t>
      </w:r>
      <w:r w:rsidRPr="009A6B06">
        <w:t xml:space="preserve"> </w:t>
      </w:r>
    </w:p>
    <w:p w14:paraId="17B78AC0" w14:textId="6A7E413B" w:rsidR="009A6B06" w:rsidRPr="009A6B06" w:rsidRDefault="009A6B06" w:rsidP="009A6B06">
      <w:pPr>
        <w:ind w:firstLine="720"/>
      </w:pPr>
      <w:r w:rsidRPr="009A6B06">
        <w:t xml:space="preserve">Beyond the specific empirical findings, the study highlights broader implications for transportation planning </w:t>
      </w:r>
      <w:r>
        <w:t>as well as</w:t>
      </w:r>
      <w:r w:rsidRPr="009A6B06">
        <w:t xml:space="preserve"> employer polic</w:t>
      </w:r>
      <w:r>
        <w:t>ies</w:t>
      </w:r>
      <w:r w:rsidRPr="009A6B06">
        <w:t xml:space="preserve">. The results demonstrate that </w:t>
      </w:r>
      <w:r>
        <w:t>large-scale</w:t>
      </w:r>
      <w:r w:rsidRPr="009A6B06">
        <w:t xml:space="preserve"> travel surveys</w:t>
      </w:r>
      <w:r>
        <w:t xml:space="preserve">, </w:t>
      </w:r>
      <w:r w:rsidRPr="009A6B06">
        <w:t xml:space="preserve">which </w:t>
      </w:r>
      <w:r>
        <w:t xml:space="preserve">generally </w:t>
      </w:r>
      <w:r w:rsidRPr="009A6B06">
        <w:t xml:space="preserve">either exclude part-day telework from their definitions </w:t>
      </w:r>
      <w:r>
        <w:t xml:space="preserve">of telework </w:t>
      </w:r>
      <w:r w:rsidRPr="009A6B06">
        <w:t>or collapse it with full-day telework</w:t>
      </w:r>
      <w:r>
        <w:t>, may</w:t>
      </w:r>
      <w:r w:rsidRPr="009A6B06">
        <w:t xml:space="preserve"> systematically misrepresent the composition and magnitude of telework-related demand reductions. Activity-based travel demand models used by metropolitan planning organizations should incorporate the distinct VMT impacts of each telework modality, and should be segmented by industry, built environment context, and worker demographics to reflect the heterogeneity in telework preferences documented here.</w:t>
      </w:r>
      <w:r w:rsidR="00A2653B">
        <w:t xml:space="preserve"> Further</w:t>
      </w:r>
      <w:r w:rsidRPr="009A6B06">
        <w:t xml:space="preserve">, </w:t>
      </w:r>
      <w:r w:rsidR="00A2653B">
        <w:t xml:space="preserve">significant heterogeneity in the adoption and modality of telework have important implications for demand reduction strategies, impacting the spatial and temporal distribution of commute trips as well as the populations impacted by demand management programs. For instance, </w:t>
      </w:r>
      <w:r w:rsidRPr="009A6B06">
        <w:t xml:space="preserve">the income-based disparities in telework access, with high-income workers capturing the greatest VMT savings, suggest that congestion pricing programs should be designed with an awareness of who remains at peak periods, and should be paired with telework support or trip-reduction incentives for lower-wage workers to achieve </w:t>
      </w:r>
      <w:r w:rsidR="00A2653B">
        <w:t xml:space="preserve">effective and </w:t>
      </w:r>
      <w:r w:rsidRPr="009A6B06">
        <w:t>equitable outcomes.</w:t>
      </w:r>
    </w:p>
    <w:p w14:paraId="7752A88F" w14:textId="3FFF4194" w:rsidR="009A6B06" w:rsidRPr="009A6B06" w:rsidRDefault="00A2653B" w:rsidP="00A2653B">
      <w:pPr>
        <w:ind w:firstLine="720"/>
      </w:pPr>
      <w:r>
        <w:lastRenderedPageBreak/>
        <w:t>Finally, there are s</w:t>
      </w:r>
      <w:r w:rsidR="009A6B06" w:rsidRPr="009A6B06">
        <w:t xml:space="preserve">everal promising directions for future research </w:t>
      </w:r>
      <w:r>
        <w:t>to build on these findings</w:t>
      </w:r>
      <w:r w:rsidR="009A6B06" w:rsidRPr="009A6B06">
        <w:t>. First, and as noted in our analysis, this study focused exclusively on commute VMT and did not account for potential increases in non-work travel associated with part-day telework arrangements</w:t>
      </w:r>
      <w:r>
        <w:t>. As several existing studies (primarily in the pre-pandemic era) have</w:t>
      </w:r>
      <w:r w:rsidR="009A6B06" w:rsidRPr="009A6B06">
        <w:t xml:space="preserve"> found that part-day teleworkers may generate more out-of-home maintenance trips, future work should examine how the two telework modalities jointly shape </w:t>
      </w:r>
      <w:r>
        <w:t xml:space="preserve">non-work travel and </w:t>
      </w:r>
      <w:r w:rsidR="009A6B06" w:rsidRPr="009A6B06">
        <w:t xml:space="preserve">total daily VMT. Second, the 30-minute threshold used here to distinguish substantive telework from incidental remote work tasks </w:t>
      </w:r>
      <w:r>
        <w:t xml:space="preserve">serves to distinguish some workers performing marginal telework activities but not substituting for actual out-of-home travel. Still, future studies should continue to investigate the broad range of work patterns to better classify workers across the range of work arrangements and routines. This also includes the finer-grained distinctions of </w:t>
      </w:r>
      <w:r w:rsidRPr="00A2653B">
        <w:t>whether remote work occurs before</w:t>
      </w:r>
      <w:r>
        <w:t xml:space="preserve"> </w:t>
      </w:r>
      <w:r w:rsidRPr="00A2653B">
        <w:t xml:space="preserve">or after the </w:t>
      </w:r>
      <w:r>
        <w:t>commute to the out-of-home workplace</w:t>
      </w:r>
      <w:r w:rsidRPr="00A2653B">
        <w:t xml:space="preserve"> </w:t>
      </w:r>
      <w:r>
        <w:t>as well as the extent to which part-day telework routines reflect</w:t>
      </w:r>
      <w:r w:rsidRPr="00A2653B">
        <w:t xml:space="preserve"> deliberate </w:t>
      </w:r>
      <w:r>
        <w:t xml:space="preserve">and routine </w:t>
      </w:r>
      <w:r w:rsidRPr="00A2653B">
        <w:t>schedule shift</w:t>
      </w:r>
      <w:r>
        <w:t>s</w:t>
      </w:r>
      <w:r w:rsidRPr="00A2653B">
        <w:t xml:space="preserve"> or ad hoc response</w:t>
      </w:r>
      <w:r>
        <w:t>s</w:t>
      </w:r>
      <w:r w:rsidRPr="00A2653B">
        <w:t xml:space="preserve"> to daily demands</w:t>
      </w:r>
      <w:r>
        <w:t xml:space="preserve">. </w:t>
      </w:r>
      <w:r w:rsidR="009A6B06" w:rsidRPr="009A6B06">
        <w:t>Third, while the current study used multi-day diary data to capture weekly telework routines, the sample was drawn from a single metropolitan area in 2023, and replication across diverse regional contexts and economic conditions would strengthen the generalizability of these findings. Finally, the role of employer policies</w:t>
      </w:r>
      <w:r>
        <w:t xml:space="preserve"> (</w:t>
      </w:r>
      <w:r w:rsidR="009A6B06" w:rsidRPr="009A6B06">
        <w:t>including desk-sharing arrangements, flexible parking schemes, and meeting scheduling practices that facilitate mid-day commutes</w:t>
      </w:r>
      <w:r>
        <w:t>)</w:t>
      </w:r>
      <w:r w:rsidR="009A6B06" w:rsidRPr="009A6B06">
        <w:t xml:space="preserve"> in shaping the feasibility of part-day telework merits direct empirical investigation, both for understanding current adoption patterns and for designing workplace strategies that can redirect commute demand away from peak periods.</w:t>
      </w:r>
    </w:p>
    <w:p w14:paraId="298F7130" w14:textId="3810C0EB" w:rsidR="0048120A" w:rsidRDefault="0048120A" w:rsidP="001D6510"/>
    <w:p w14:paraId="3D0CA36D" w14:textId="4C5499E7" w:rsidR="00FE4EAE" w:rsidRDefault="00FE4EAE" w:rsidP="001D6510">
      <w:pPr>
        <w:rPr>
          <w:b/>
          <w:bCs/>
        </w:rPr>
      </w:pPr>
      <w:r>
        <w:rPr>
          <w:b/>
          <w:bCs/>
        </w:rPr>
        <w:t>ACKNOWLEDGEMENTS</w:t>
      </w:r>
    </w:p>
    <w:p w14:paraId="0F9EB53B" w14:textId="43753663" w:rsidR="00FE4EAE" w:rsidRDefault="00FE4EAE" w:rsidP="001D6510">
      <w:r w:rsidRPr="00FE4EAE">
        <w:t xml:space="preserve">This research was partially supported by the U.S. Department of Transportation through the Center for Understanding Future Travel Behavior and Demand (TBD) (Grant No. 69A3552344815 and No. 69A3552348320). The authors are grateful to Lisa Macias for her help in formatting this document. </w:t>
      </w:r>
    </w:p>
    <w:p w14:paraId="2009A91E" w14:textId="77777777" w:rsidR="00FE4EAE" w:rsidRPr="00FE4EAE" w:rsidRDefault="00FE4EAE" w:rsidP="001D6510"/>
    <w:p w14:paraId="5B3D2398" w14:textId="600C6135" w:rsidR="00425749" w:rsidRPr="001D6510" w:rsidRDefault="0048120A" w:rsidP="00FE4EAE">
      <w:pPr>
        <w:keepNext/>
        <w:rPr>
          <w:b/>
          <w:bCs/>
        </w:rPr>
      </w:pPr>
      <w:r w:rsidRPr="001D6510">
        <w:rPr>
          <w:b/>
          <w:bCs/>
        </w:rPr>
        <w:t>REFERENCES</w:t>
      </w:r>
    </w:p>
    <w:p w14:paraId="3B6C7E34" w14:textId="77777777" w:rsidR="00AD34C7" w:rsidRDefault="0057345F" w:rsidP="00AD34C7">
      <w:pPr>
        <w:pStyle w:val="Bibliography"/>
      </w:pPr>
      <w:r w:rsidRPr="00AA7459">
        <w:rPr>
          <w:rFonts w:asciiTheme="minorHAnsi" w:hAnsiTheme="minorHAnsi" w:cstheme="minorBidi"/>
          <w:b/>
          <w:bCs/>
        </w:rPr>
        <w:fldChar w:fldCharType="begin"/>
      </w:r>
      <w:r w:rsidR="00B80535">
        <w:rPr>
          <w:b/>
          <w:bCs/>
        </w:rPr>
        <w:instrText xml:space="preserve"> ADDIN ZOTERO_BIBL {"uncited":[],"omitted":[],"custom":[]} CSL_BIBLIOGRAPHY </w:instrText>
      </w:r>
      <w:r w:rsidRPr="00AA7459">
        <w:rPr>
          <w:rFonts w:asciiTheme="minorHAnsi" w:hAnsiTheme="minorHAnsi" w:cstheme="minorBidi"/>
          <w:b/>
          <w:bCs/>
        </w:rPr>
        <w:fldChar w:fldCharType="separate"/>
      </w:r>
      <w:r w:rsidR="00AD34C7">
        <w:t>Abe, R., Ikarashi, T., Takada, S., Fukuda, D., 2023. Impact of Working from Home on Travel Behavior of Rail and Car Commuters: A Case Study in the Tokyo Metropolitan Area. Case Studies on Transport Policy 11. https://doi.org/10.1016/j.cstp.2022.100938</w:t>
      </w:r>
    </w:p>
    <w:p w14:paraId="4C32646F" w14:textId="77777777" w:rsidR="00AD34C7" w:rsidRDefault="00AD34C7" w:rsidP="00AD34C7">
      <w:pPr>
        <w:pStyle w:val="Bibliography"/>
      </w:pPr>
      <w:r>
        <w:t>Angrisani, M., Burke, J., Perez-Arce, F., 2023. Racial, Ethnic, and Gender Disparities in Labor Market Outcomes in the Aftermath of the COVID-19 Pandemic | MRDRC (No. MRDRC WP 2023-470). Michigan Retirement and Disability Research Center.</w:t>
      </w:r>
    </w:p>
    <w:p w14:paraId="4443E478" w14:textId="77777777" w:rsidR="00AD34C7" w:rsidRDefault="00AD34C7" w:rsidP="00AD34C7">
      <w:pPr>
        <w:pStyle w:val="Bibliography"/>
      </w:pPr>
      <w:r>
        <w:t>Anik, M.A.H., Habib, M.A., 2025. Understanding Work-Arrangement Choices: Factors and Implications. Transportation Letters 1–17. https://doi.org/10.1080/19427867.2025.2456364</w:t>
      </w:r>
    </w:p>
    <w:p w14:paraId="7BA0A9E1" w14:textId="77777777" w:rsidR="00AD34C7" w:rsidRDefault="00AD34C7" w:rsidP="00AD34C7">
      <w:pPr>
        <w:pStyle w:val="Bibliography"/>
      </w:pPr>
      <w:r>
        <w:t>Asfaw, A., 2022. Racial and Ethnic Disparities in Teleworking Due to the COVID-19 Pandemic in the United States: A Mediation Analysis. International Journal of Environmental Research and Public Health 19, 4680. https://doi.org/10.3390/ijerph19084680</w:t>
      </w:r>
    </w:p>
    <w:p w14:paraId="5DA21838" w14:textId="77777777" w:rsidR="00AD34C7" w:rsidRDefault="00AD34C7" w:rsidP="00AD34C7">
      <w:pPr>
        <w:pStyle w:val="Bibliography"/>
      </w:pPr>
      <w:r>
        <w:t>Asgari, H., Jin, X., 2018. An Evaluation of Part-Day Telecommute Impacts on Work Trip Departure Times. Travel Behaviour and Society 12, 84–92. https://doi.org/10.1016/j.tbs.2017.04.002</w:t>
      </w:r>
    </w:p>
    <w:p w14:paraId="2E88035F" w14:textId="77777777" w:rsidR="00AD34C7" w:rsidRDefault="00AD34C7" w:rsidP="00AD34C7">
      <w:pPr>
        <w:pStyle w:val="Bibliography"/>
      </w:pPr>
      <w:r>
        <w:t>Asmussen, K., Mondal, A., Bhat, C.R., 2024. The Interplay Between Teleworking Choice and Commute Distance. Transportation Research Part C: Emerging Technologies 165, 104690. https://doi.org/https://doi.org/10.1016/j.trc.2024.104690</w:t>
      </w:r>
    </w:p>
    <w:p w14:paraId="32F623FC" w14:textId="77777777" w:rsidR="00AD34C7" w:rsidRDefault="00AD34C7" w:rsidP="00AD34C7">
      <w:pPr>
        <w:pStyle w:val="Bibliography"/>
      </w:pPr>
      <w:r>
        <w:lastRenderedPageBreak/>
        <w:t>Asmussen, K., Mondal, A., Bhat, C.R., Pendyala, R.M., 2023. On Modeling Future Workplace Location Decisions: An Analysis of Texas Employees. Transportation Research Part A: Policy and Practice 172. https://doi.org/10.1016/j.tra.2023.103671</w:t>
      </w:r>
    </w:p>
    <w:p w14:paraId="27CF5789" w14:textId="77777777" w:rsidR="00AD34C7" w:rsidRDefault="00AD34C7" w:rsidP="00AD34C7">
      <w:pPr>
        <w:pStyle w:val="Bibliography"/>
      </w:pPr>
      <w:r>
        <w:t>Asmussen, K.E., Haddad, A.J., Bhat, C.R., 2026. Telework-to-Play or Play-to-Telework? Investigating the directional relationship between telework and nonwork travel. Transportation Research Part A: Policy and Practice 206, 104857. https://doi.org/10.1016/j.tra.2025.104857</w:t>
      </w:r>
    </w:p>
    <w:p w14:paraId="585DE634" w14:textId="77777777" w:rsidR="00AD34C7" w:rsidRDefault="00AD34C7" w:rsidP="00AD34C7">
      <w:pPr>
        <w:pStyle w:val="Bibliography"/>
      </w:pPr>
      <w:r>
        <w:t>Astroza, S., Hurtubia, R., Tirachini, A., Guevara, C.A., Carrasco, J.A., Salas, P., Munizaga, M., 2025. Analyzing the Determinants of Teleworking during the COVID-19 Pandemic in Chile. Transportation Research Record 2679, 1076–1090. https://doi.org/10.1177/03611981241278352</w:t>
      </w:r>
    </w:p>
    <w:p w14:paraId="25554504" w14:textId="77777777" w:rsidR="00AD34C7" w:rsidRDefault="00AD34C7" w:rsidP="00AD34C7">
      <w:pPr>
        <w:pStyle w:val="Bibliography"/>
      </w:pPr>
      <w:r>
        <w:t>Astroza, S., Tirachini, A., Hurtubia, R., Carrasco, J.A., Guevara, A., Munizaga, M., Figueroa, M., Torres, V., 2020. Mobility Changes, Teleworking, and Remote Communication during the COVID-19 Pandemic in Chile. Findings. https://doi.org/10.32866/001c.13489</w:t>
      </w:r>
    </w:p>
    <w:p w14:paraId="5345620D" w14:textId="77777777" w:rsidR="00AD34C7" w:rsidRDefault="00AD34C7" w:rsidP="00AD34C7">
      <w:pPr>
        <w:pStyle w:val="Bibliography"/>
      </w:pPr>
      <w:r>
        <w:t>Axisa, J.J., Scott, D.M., Bruce Newbold, K., 2012. Factors Influencing Commute Distance: A Case Study of Toronto’s Commuter Shed. Journal of Transport Geography, Special Section on Theoretical Perspectives on Climate Change Mitigation in Transport 24, 123–129. https://doi.org/10.1016/j.jtrangeo.2011.10.005</w:t>
      </w:r>
    </w:p>
    <w:p w14:paraId="27CF5E06" w14:textId="77777777" w:rsidR="00AD34C7" w:rsidRDefault="00AD34C7" w:rsidP="00AD34C7">
      <w:pPr>
        <w:pStyle w:val="Bibliography"/>
      </w:pPr>
      <w:r>
        <w:t>Bai, Y., Chum, A., Liu, Q., 2025. Beyond the Gender Binary: Wage Inequality and Occupational Segregation among Transgender and Nonbinary Workers. https://doi.org/10.2139/ssrn.5620450</w:t>
      </w:r>
    </w:p>
    <w:p w14:paraId="5956C2BA" w14:textId="77777777" w:rsidR="00AD34C7" w:rsidRDefault="00AD34C7" w:rsidP="00AD34C7">
      <w:pPr>
        <w:pStyle w:val="Bibliography"/>
      </w:pPr>
      <w:r>
        <w:t>Baker, T.L., Wise, J., Kelley, G., Skiba, R.J., 2016. Identifying Barriers: Creating Solutions to Improve Family Engagement. School Community Journal 26, 161–184.</w:t>
      </w:r>
    </w:p>
    <w:p w14:paraId="70793C66" w14:textId="77777777" w:rsidR="00AD34C7" w:rsidRDefault="00AD34C7" w:rsidP="00AD34C7">
      <w:pPr>
        <w:pStyle w:val="Bibliography"/>
      </w:pPr>
      <w:r>
        <w:t>Barrero, J.M., Bloom, N., Davis, S.J., 2021. Why Working from Home Will Stick. National Bureau of Economic Research, NBER working paper series. https://doi.org/10.3386/w28731</w:t>
      </w:r>
    </w:p>
    <w:p w14:paraId="760F054B" w14:textId="77777777" w:rsidR="00AD34C7" w:rsidRDefault="00AD34C7" w:rsidP="00AD34C7">
      <w:pPr>
        <w:pStyle w:val="Bibliography"/>
      </w:pPr>
      <w:r>
        <w:t>Belloc, I., Gimenez-Nadal, J.I., Molina, J.A., 2024. Teleworking and Travel Purposes: Uk Evidence After the COVID-19 Pandemic (Working Paper No. 17413), IZA Discussion Papers. Institute of Labor Economics, Bonn.</w:t>
      </w:r>
    </w:p>
    <w:p w14:paraId="394B1258" w14:textId="77777777" w:rsidR="00AD34C7" w:rsidRDefault="00AD34C7" w:rsidP="00AD34C7">
      <w:pPr>
        <w:pStyle w:val="Bibliography"/>
      </w:pPr>
      <w:r>
        <w:t>Casado-Díaz, J.M., Simón-Albert, R., Simón, H., 2023. Gender Differences in Commuting: New Evidence from Spain. Soc Indic Res 169, 907–941. https://doi.org/10.1007/s11205-023-03183-w</w:t>
      </w:r>
    </w:p>
    <w:p w14:paraId="100B9CCD" w14:textId="77777777" w:rsidR="00AD34C7" w:rsidRDefault="00AD34C7" w:rsidP="00AD34C7">
      <w:pPr>
        <w:pStyle w:val="Bibliography"/>
      </w:pPr>
      <w:r>
        <w:t>Chapman, J., Fox, E., Bachman, W., Frank, L., 2021. Smart Location Database Technical Documentation and User Guide Version 3.0. U.S. Environment Protection Agency.</w:t>
      </w:r>
    </w:p>
    <w:p w14:paraId="288B2E5B" w14:textId="77777777" w:rsidR="00AD34C7" w:rsidRDefault="00AD34C7" w:rsidP="00AD34C7">
      <w:pPr>
        <w:pStyle w:val="Bibliography"/>
      </w:pPr>
      <w:r>
        <w:t>Chauhan, R.S., Bhagat-Conway, M.W., Magassy, T., Corcoran, N., Rahimi, E., Dirks, A., Pendyala, R., Mohammadian, A., Derrible, S., Salon, D., 2022. Covid Future Panel Survey: A Unique Public Dataset Documenting How U.S. Residents’ Travel Related Choices Changed During the COVID-19 Pandemic. https://doi.org/10.48550/arXiv.2208.12618</w:t>
      </w:r>
    </w:p>
    <w:p w14:paraId="7E7E1047" w14:textId="77777777" w:rsidR="00AD34C7" w:rsidRDefault="00AD34C7" w:rsidP="00AD34C7">
      <w:pPr>
        <w:pStyle w:val="Bibliography"/>
      </w:pPr>
      <w:r>
        <w:t>Chung, H., van der Lippe, T., 2020. Flexible Working, Work–Life Balance, and Gender Equality: Introduction. Soc Indic Res 151, 365–381. https://doi.org/10.1007/s11205-018-2025-x</w:t>
      </w:r>
    </w:p>
    <w:p w14:paraId="45436EFA" w14:textId="77777777" w:rsidR="00AD34C7" w:rsidRDefault="00AD34C7" w:rsidP="00AD34C7">
      <w:pPr>
        <w:pStyle w:val="Bibliography"/>
      </w:pPr>
      <w:r>
        <w:t>Clar-Novak, M., 2025. The Gendered Paradox of Individualization in Telework: Simultaneously Helpful and Harmful in the Context of Parenting. Gender, Work &amp; Organization 32, 330–350. https://doi.org/10.1111/gwao.13155</w:t>
      </w:r>
    </w:p>
    <w:p w14:paraId="470537F9" w14:textId="77777777" w:rsidR="00AD34C7" w:rsidRDefault="00AD34C7" w:rsidP="00AD34C7">
      <w:pPr>
        <w:pStyle w:val="Bibliography"/>
      </w:pPr>
      <w:r>
        <w:t>Couture, V., Gaubert, C., Handbury, J., Hurst, E., 2024. Income Growth and the Distributional Effects of Urban Spatial Sorting. Rev Econ Stud 91, 858–898. https://doi.org/10.1093/restud/rdad048</w:t>
      </w:r>
    </w:p>
    <w:p w14:paraId="2E412C6A" w14:textId="77777777" w:rsidR="00AD34C7" w:rsidRDefault="00AD34C7" w:rsidP="00AD34C7">
      <w:pPr>
        <w:pStyle w:val="Bibliography"/>
      </w:pPr>
      <w:r>
        <w:lastRenderedPageBreak/>
        <w:t>de Abreu e Silva, J., Melo, P.C., 2018. Home Telework, Travel Behavior, and Land-Use Patterns: A Path Analysis of British Single-Worker Households. Journal of Transport and Land Use 11. https://doi.org/10.5198/jtlu.2018.1134</w:t>
      </w:r>
    </w:p>
    <w:p w14:paraId="1551BA00" w14:textId="77777777" w:rsidR="00AD34C7" w:rsidRDefault="00AD34C7" w:rsidP="00AD34C7">
      <w:pPr>
        <w:pStyle w:val="Bibliography"/>
      </w:pPr>
      <w:r>
        <w:t>DeLuca, S., Jang–Trettien, C., 2020. “Not Just a Lateral Move”: Residential Decisions and the Reproduction of Urban Inequality. City &amp; Community 19, 451–488. https://doi.org/10.1111/cico.12515</w:t>
      </w:r>
    </w:p>
    <w:p w14:paraId="7B593D28" w14:textId="77777777" w:rsidR="00AD34C7" w:rsidRDefault="00AD34C7" w:rsidP="00AD34C7">
      <w:pPr>
        <w:pStyle w:val="Bibliography"/>
      </w:pPr>
      <w:r>
        <w:t>Deng, H., Mokhtarian, P., Circella, G., 2015. Modeling the Adoption of Full-day, Part-day and Overtime Telecommuting: An Investigation of Northern California Workers Using Non-Mean-Centered Factor Scores to Segment on Built Environment Attitudes.</w:t>
      </w:r>
    </w:p>
    <w:p w14:paraId="298C1959" w14:textId="77777777" w:rsidR="00AD34C7" w:rsidRDefault="00AD34C7" w:rsidP="00AD34C7">
      <w:pPr>
        <w:pStyle w:val="Bibliography"/>
      </w:pPr>
      <w:r>
        <w:t>Dingel, J.I., Neiman, B., 2020. How Many Jobs Can Be Done at Home? Journal of Public Economics 189, 104235. https://doi.org/10.1016/j.jpubeco.2020.104235</w:t>
      </w:r>
    </w:p>
    <w:p w14:paraId="7EB541DF" w14:textId="77777777" w:rsidR="00AD34C7" w:rsidRDefault="00AD34C7" w:rsidP="00AD34C7">
      <w:pPr>
        <w:pStyle w:val="Bibliography"/>
      </w:pPr>
      <w:r>
        <w:t>Dunatchik, A., Gerson, K., Glass, J., Jacobs, J.A., Stritzel, H., 2021. Gender, Parenting, and The Rise of Remote Work During the Pandemic: Implications for Domestic Inequality in the United States. Gender &amp; Society 35, 194–205. https://doi.org/10.1177/08912432211001301</w:t>
      </w:r>
    </w:p>
    <w:p w14:paraId="0AAD005A" w14:textId="77777777" w:rsidR="00AD34C7" w:rsidRDefault="00AD34C7" w:rsidP="00AD34C7">
      <w:pPr>
        <w:pStyle w:val="Bibliography"/>
      </w:pPr>
      <w:r>
        <w:t>Elldér, E., 2020. Telework and Daily Travel: New Evidence from Sweden. Journal of Transport Geography 86. https://doi.org/10.1016/j.jtrangeo.2020.102777</w:t>
      </w:r>
    </w:p>
    <w:p w14:paraId="29F32562" w14:textId="77777777" w:rsidR="00AD34C7" w:rsidRDefault="00AD34C7" w:rsidP="00AD34C7">
      <w:pPr>
        <w:pStyle w:val="Bibliography"/>
      </w:pPr>
      <w:r>
        <w:t>Federal Highway Administration, 2023. 2022 NextGen National Household Travel Survey. https://doi.org/https://nhts.ornl.gov</w:t>
      </w:r>
    </w:p>
    <w:p w14:paraId="6FEDEC47" w14:textId="77777777" w:rsidR="00AD34C7" w:rsidRDefault="00AD34C7" w:rsidP="00AD34C7">
      <w:pPr>
        <w:pStyle w:val="Bibliography"/>
      </w:pPr>
      <w:r>
        <w:t>Gaduena, A., Caboverde, C.E., Flaminiano, J.P., 2022. Telework Potential in the Philippines. The Economic and Labour Relations Review 33, 434–454. https://doi.org/10.1177/10353046221075103</w:t>
      </w:r>
    </w:p>
    <w:p w14:paraId="158E4B2B" w14:textId="77777777" w:rsidR="00AD34C7" w:rsidRDefault="00AD34C7" w:rsidP="00AD34C7">
      <w:pPr>
        <w:pStyle w:val="Bibliography"/>
      </w:pPr>
      <w:r>
        <w:t>Garrett, R.K., Danziger, J.N., 2007. Which Telework? Defining and Testing a Taxonomy of Technology-Mediated Work at a Distance. Social Science Computer Review 25, 27–47. https://doi.org/10.1177/0894439306293819</w:t>
      </w:r>
    </w:p>
    <w:p w14:paraId="0EE66F57" w14:textId="77777777" w:rsidR="00AD34C7" w:rsidRDefault="00AD34C7" w:rsidP="00AD34C7">
      <w:pPr>
        <w:pStyle w:val="Bibliography"/>
      </w:pPr>
      <w:r>
        <w:t>Golden, T.D., Gajendran, R.S., 2019. Unpacking the Role of a Telecommuter’s Job in Their Performance: Examining Job Complexity, Problem Solving, Interdependence, and Social Support. Journal of Business and Psychology 34, 55–69. https://doi.org/10.1007/s10869-018-9530-4</w:t>
      </w:r>
    </w:p>
    <w:p w14:paraId="394A115B" w14:textId="77777777" w:rsidR="00AD34C7" w:rsidRDefault="00AD34C7" w:rsidP="00AD34C7">
      <w:pPr>
        <w:pStyle w:val="Bibliography"/>
      </w:pPr>
      <w:r>
        <w:t>Haddad, H., Lyons, G., Chatterjee, K., 2009. An Examination of Determinants Influencing the Desire for and Frequency of Part-Day and Whole-Day Homeworking. Journal of Transport Geography, ICT and the Shaping of Access, Mobility and Everyday Life 17, 124–133. https://doi.org/10.1016/j.jtrangeo.2008.11.008</w:t>
      </w:r>
    </w:p>
    <w:p w14:paraId="6988A51A" w14:textId="77777777" w:rsidR="00AD34C7" w:rsidRDefault="00AD34C7" w:rsidP="00AD34C7">
      <w:pPr>
        <w:pStyle w:val="Bibliography"/>
      </w:pPr>
      <w:r>
        <w:t>Hu, L., 2021. Gender Differences in Commuting Travel in the U.S.: Interactive Effects of Race/Ethnicity and Household Structure. Transportation 48, 909–929. https://doi.org/10.1007/s11116-020-10085-0</w:t>
      </w:r>
    </w:p>
    <w:p w14:paraId="3A32B681" w14:textId="77777777" w:rsidR="00AD34C7" w:rsidRDefault="00AD34C7" w:rsidP="00AD34C7">
      <w:pPr>
        <w:pStyle w:val="Bibliography"/>
      </w:pPr>
      <w:r>
        <w:t>Jones, A.M., Fan, J., Thomas-Olson, L., Zhang, W., McLeod, C.B., 2023. Continuation of Telework in the Post-Pandemic Era: Healthcare Employees’ Preference and Determinants. Healthcare Management Forum 36, 256–262. https://doi.org/10.1177/08404704231170733</w:t>
      </w:r>
    </w:p>
    <w:p w14:paraId="46904775" w14:textId="77777777" w:rsidR="00AD34C7" w:rsidRDefault="00AD34C7" w:rsidP="00AD34C7">
      <w:pPr>
        <w:pStyle w:val="Bibliography"/>
      </w:pPr>
      <w:r>
        <w:t>Kappler, L.B., de Abreu e Silva, J., 2025. Telework Frequency and Travel Behaviour During the Later Stages of the Covid-19 Pandemic. a Study Across Different Metropolitan Areas: Lisbon, Istanbul, and Porto Alegre. Journal of Transport Geography 123. https://doi.org/10.1016/j.jtrangeo.2024.104102</w:t>
      </w:r>
    </w:p>
    <w:p w14:paraId="2812301E" w14:textId="77777777" w:rsidR="00AD34C7" w:rsidRDefault="00AD34C7" w:rsidP="00AD34C7">
      <w:pPr>
        <w:pStyle w:val="Bibliography"/>
      </w:pPr>
      <w:r>
        <w:lastRenderedPageBreak/>
        <w:t>Katz, L.F., Krueger, A.B., 2019. The Rise and Nature of Alternative Work Arrangements in the United States, 1995–2015. ILR Review 72, 382–416. https://doi.org/10.1177/0019793918820008</w:t>
      </w:r>
    </w:p>
    <w:p w14:paraId="5CCCB5DB" w14:textId="77777777" w:rsidR="00AD34C7" w:rsidRDefault="00AD34C7" w:rsidP="00AD34C7">
      <w:pPr>
        <w:pStyle w:val="Bibliography"/>
      </w:pPr>
      <w:r>
        <w:t>Lachapelle, U., Tanguay, G.A., Neumark-Gaudet, L., 2018. Telecommuting and Sustainable Travel: Reduction of Overall Travel Time, Increases in Non-Motorised Travel and Congestion Relief? Urban Studies 55, 2226–2244. https://doi.org/10.1177/0042098017708985</w:t>
      </w:r>
    </w:p>
    <w:p w14:paraId="34696CEC" w14:textId="77777777" w:rsidR="00AD34C7" w:rsidRDefault="00AD34C7" w:rsidP="00AD34C7">
      <w:pPr>
        <w:pStyle w:val="Bibliography"/>
      </w:pPr>
      <w:r>
        <w:t>Lagos, D., Wolfe, R., Schneider, D., 2026. Do Transgender and Non-Binary Workers in the U.S. Retail and Service Sectors Have Lower Quality Jobs Than Their Cisgender Counterparts? Soc Probl spag010. https://doi.org/10.1093/socpro/spag010</w:t>
      </w:r>
    </w:p>
    <w:p w14:paraId="4B8475D2" w14:textId="77777777" w:rsidR="00AD34C7" w:rsidRDefault="00AD34C7" w:rsidP="00AD34C7">
      <w:pPr>
        <w:pStyle w:val="Bibliography"/>
      </w:pPr>
      <w:r>
        <w:t>Lewis, G.B., Pizarro-Bore, X., Emidy, M.B., 2024. Who Gets Denied Telework in the U.S. Federal Service? Review of Public Personnel Administration 0734371X241274126. https://doi.org/10.1177/0734371X241274126</w:t>
      </w:r>
    </w:p>
    <w:p w14:paraId="33A8DC32" w14:textId="77777777" w:rsidR="00AD34C7" w:rsidRDefault="00AD34C7" w:rsidP="00AD34C7">
      <w:pPr>
        <w:pStyle w:val="Bibliography"/>
      </w:pPr>
      <w:r>
        <w:t>Long, K.A., 2021. Amazon Surpasses Boeing as Washington’s Biggest Employer. Here’s What That Means for How We Live. The Seattle Times.</w:t>
      </w:r>
    </w:p>
    <w:p w14:paraId="70143B02" w14:textId="77777777" w:rsidR="00AD34C7" w:rsidRDefault="00AD34C7" w:rsidP="00AD34C7">
      <w:pPr>
        <w:pStyle w:val="Bibliography"/>
      </w:pPr>
      <w:r>
        <w:t>López-Igual, P., Rodríguez-Modroño, P., 2020. Who is Teleworking and Where from? Exploring the Main Determinants of Telework in Europe. Sustainability 12, 8797. https://doi.org/10.3390/su12218797</w:t>
      </w:r>
    </w:p>
    <w:p w14:paraId="5328BB8E" w14:textId="77777777" w:rsidR="00AD34C7" w:rsidRDefault="00AD34C7" w:rsidP="00AD34C7">
      <w:pPr>
        <w:pStyle w:val="Bibliography"/>
      </w:pPr>
      <w:r>
        <w:t>Mahmoud, A.B., Berman, A., Reisel, W., Fuxman, L., Hack-Polay, D., 2024. Examining Generational Differences as a Moderator of Extreme-Context Perception and Its Impact on Work Alienation Organizational Outcomes: Implications for the Workplace and Remote Work Transformation. Scandinavian Journal of Psychology 65, 70–85. https://doi.org/10.1111/sjop.12955</w:t>
      </w:r>
    </w:p>
    <w:p w14:paraId="5CB00BEE" w14:textId="77777777" w:rsidR="00AD34C7" w:rsidRDefault="00AD34C7" w:rsidP="00AD34C7">
      <w:pPr>
        <w:pStyle w:val="Bibliography"/>
      </w:pPr>
      <w:r>
        <w:t>McNally, M.G., Rafiq, R., Uddin, Md.Y.S., 2023. Impacts of the COVID-19 Pandemic on Telecommuting and Travel, in: Loukaitou-Sideris, A., Bayen, A.M., Circella, G., Jayakrishnan, R. (Eds.), Pandemic in the Metropolis: Transportation Impacts and Recovery. Springer International Publishing, Cham, pp. 217–232. https://doi.org/10.1007/978-3-031-00148-2_14</w:t>
      </w:r>
    </w:p>
    <w:p w14:paraId="68C67F07" w14:textId="77777777" w:rsidR="00AD34C7" w:rsidRDefault="00AD34C7" w:rsidP="00AD34C7">
      <w:pPr>
        <w:pStyle w:val="Bibliography"/>
      </w:pPr>
      <w:r>
        <w:t>Mele, V., Belardinelli, P., Bellé, N., 2023. Telework in Public Organizations: A Systematic Review and Research Agenda. Public Administration Review 83, 1649–1666. https://doi.org/10.1111/puar.13734</w:t>
      </w:r>
    </w:p>
    <w:p w14:paraId="22041A05" w14:textId="77777777" w:rsidR="00AD34C7" w:rsidRDefault="00AD34C7" w:rsidP="00AD34C7">
      <w:pPr>
        <w:pStyle w:val="Bibliography"/>
      </w:pPr>
      <w:r>
        <w:t>Mokhtarian, P.L., Collantes, G.O., Gertz, C., 2004. Telecommuting, Residential Location, and Commute-Distance Traveled: Evidence from State of California Employees. Environ Plan A 36, 1877–1897. https://doi.org/10.1068/a36218</w:t>
      </w:r>
    </w:p>
    <w:p w14:paraId="1266E991" w14:textId="77777777" w:rsidR="00AD34C7" w:rsidRDefault="00AD34C7" w:rsidP="00AD34C7">
      <w:pPr>
        <w:pStyle w:val="Bibliography"/>
      </w:pPr>
      <w:r>
        <w:t>Nagata, T., Nagata, M., Ikegami, K., Hino, A., Tateishi, S., Tsuji, M., Matsuda, S., Fujino, Y., Mori, K., 2021. Intensity of Home-Based Telework and Work Engagement During the COVID-19 Pandemic. Journal of Occupational and Environmental Medicine 63, 907. https://doi.org/10.1097/JOM.0000000000002299</w:t>
      </w:r>
    </w:p>
    <w:p w14:paraId="111B188D" w14:textId="77777777" w:rsidR="00AD34C7" w:rsidRDefault="00AD34C7" w:rsidP="00AD34C7">
      <w:pPr>
        <w:pStyle w:val="Bibliography"/>
      </w:pPr>
      <w:r>
        <w:t>Nguyen, M.H., 2021. Factors Influencing Home-Based Telework in Hanoi (Vietnam) During and After the COVID-19 Era. Transportation 48, 3207–3238. https://doi.org/10.1007/s11116-021-10169-5</w:t>
      </w:r>
    </w:p>
    <w:p w14:paraId="57898787" w14:textId="77777777" w:rsidR="00AD34C7" w:rsidRDefault="00AD34C7" w:rsidP="00AD34C7">
      <w:pPr>
        <w:pStyle w:val="Bibliography"/>
      </w:pPr>
      <w:r>
        <w:t>Olde Kalter, M.-J., Geurs, K.T., Wismans, L., 2023. The Impact of Covid-19 on Teleworking and Commuting Behavior—A Literature Review, in: Van Acker, V., Choo, S., Mokhtarian, P.L. (Eds.), Advances in Transport Policy and Planning. Academic Press, pp. 1–48. https://doi.org/10.1016/bs.atpp.2023.07.004</w:t>
      </w:r>
    </w:p>
    <w:p w14:paraId="5221299F" w14:textId="77777777" w:rsidR="00AD34C7" w:rsidRDefault="00AD34C7" w:rsidP="00AD34C7">
      <w:pPr>
        <w:pStyle w:val="Bibliography"/>
      </w:pPr>
      <w:r>
        <w:lastRenderedPageBreak/>
        <w:t>Patole, S.R., McWhorter, R.R., Carpenter, R.E., Turner, J.R., Dabke, D., 2026. Virtual Work Challenges and Resilience: An Intersectional Exploration of Workplace Team Experiences of Women of Color. New Horizons in Adult Education and Human Resource Development 19394225251396200. https://doi.org/10.1177/19394225251396200</w:t>
      </w:r>
    </w:p>
    <w:p w14:paraId="5D46A1F6" w14:textId="77777777" w:rsidR="00AD34C7" w:rsidRDefault="00AD34C7" w:rsidP="00AD34C7">
      <w:pPr>
        <w:pStyle w:val="Bibliography"/>
      </w:pPr>
      <w:r>
        <w:t>Puget Sound Regional Council, 2024. 2023 Puget Sound Regional Travel Study.</w:t>
      </w:r>
    </w:p>
    <w:p w14:paraId="79C0351A" w14:textId="77777777" w:rsidR="00AD34C7" w:rsidRDefault="00AD34C7" w:rsidP="00AD34C7">
      <w:pPr>
        <w:pStyle w:val="Bibliography"/>
      </w:pPr>
      <w:r>
        <w:t>Rafiq, R., McNally, M.G., Sarwar Uddin, Y., Ahmed, T., 2022. Impact of Working from Home on Activity-Travel Behavior During the Covid-19 Pandemic: An Aggregate Structural Analysis. Transportation Research Part A: Policy and Practice 159, 35–54. https://doi.org/10.1016/j.tra.2022.03.003</w:t>
      </w:r>
    </w:p>
    <w:p w14:paraId="5DC2255F" w14:textId="77777777" w:rsidR="00AD34C7" w:rsidRDefault="00AD34C7" w:rsidP="00AD34C7">
      <w:pPr>
        <w:pStyle w:val="Bibliography"/>
      </w:pPr>
      <w:r>
        <w:t>Robbennolt, D., Haddad, A.J., Mondal, A., Bhat, C.R., 2024. Housing Choice in an Evolving Remote Work Landscape. Transportation Research Part A: Policy and Practice 190, 104285. https://doi.org/10.1016/j.tra.2024.104285</w:t>
      </w:r>
    </w:p>
    <w:p w14:paraId="7C20A252" w14:textId="77777777" w:rsidR="00AD34C7" w:rsidRDefault="00AD34C7" w:rsidP="00AD34C7">
      <w:pPr>
        <w:pStyle w:val="Bibliography"/>
      </w:pPr>
      <w:r>
        <w:t>RSG, 2024. 2023 Puget Sound Regional Travel Survey (No. Final Report). Puget Sound Regional Council.</w:t>
      </w:r>
    </w:p>
    <w:p w14:paraId="0B002AD0" w14:textId="77777777" w:rsidR="00AD34C7" w:rsidRDefault="00AD34C7" w:rsidP="00AD34C7">
      <w:pPr>
        <w:pStyle w:val="Bibliography"/>
      </w:pPr>
      <w:r>
        <w:t>Rudolph, C.W., Allan, B., Clark, M., Hertel, G., Hirschi, A., Kunze, F., Shockley, K., Shoss, M., Sonnentag, S., Zacher, H., 2021. Pandemics: Implications for Research and Practice in Industrial and Organizational Psychology. Industrial and Organizational Psychology 14, 1–35. https://doi.org/10.1017/iop.2020.48</w:t>
      </w:r>
    </w:p>
    <w:p w14:paraId="20772D54" w14:textId="77777777" w:rsidR="00AD34C7" w:rsidRDefault="00AD34C7" w:rsidP="00AD34C7">
      <w:pPr>
        <w:pStyle w:val="Bibliography"/>
      </w:pPr>
      <w:r>
        <w:t>Schur, L.A., Ameri, M., Kruse, D., 2020. Telework After COVID: A “Silver Lining” for Workers with Disabilities? J Occup Rehabil 30, 521–536. https://doi.org/10.1007/s10926-020-09936-5</w:t>
      </w:r>
    </w:p>
    <w:p w14:paraId="1712B919" w14:textId="77777777" w:rsidR="00AD34C7" w:rsidRDefault="00AD34C7" w:rsidP="00AD34C7">
      <w:pPr>
        <w:pStyle w:val="Bibliography"/>
      </w:pPr>
      <w:r>
        <w:t>Sen, S., Charles, M.B., Harrison, J.L., 2021. Determinants of Commute Distance in South East Queensland, Australia: Implications for Usage-Based Pricing in Lower-Density Urban Settings. Urban Policy and Research 39, 292–307. https://doi.org/10.1080/08111146.2021.1922376</w:t>
      </w:r>
    </w:p>
    <w:p w14:paraId="4453B5CB" w14:textId="77777777" w:rsidR="00AD34C7" w:rsidRDefault="00AD34C7" w:rsidP="00AD34C7">
      <w:pPr>
        <w:pStyle w:val="Bibliography"/>
      </w:pPr>
      <w:r>
        <w:t>Shoup, D., 2005. The High Cost of Free Parking. APA Planners Press, Chicago.</w:t>
      </w:r>
    </w:p>
    <w:p w14:paraId="5A72120C" w14:textId="77777777" w:rsidR="00AD34C7" w:rsidRDefault="00AD34C7" w:rsidP="00AD34C7">
      <w:pPr>
        <w:pStyle w:val="Bibliography"/>
      </w:pPr>
      <w:r>
        <w:t>Soler, J.R.L., Christidis, P., Vassallo, J.M., 2023. Evolution of Teleworking and Urban Mobility Changes Driven by the COVID-19 Pandemic Across European Cities. Transportation Research Procedia, AIIT 3rd International Conference on Transport Infrastructure and Systems (TIS ROMA 2022) 69, 488–495. https://doi.org/10.1016/j.trpro.2023.02.199</w:t>
      </w:r>
    </w:p>
    <w:p w14:paraId="652B4660" w14:textId="77777777" w:rsidR="00AD34C7" w:rsidRDefault="00AD34C7" w:rsidP="00AD34C7">
      <w:pPr>
        <w:pStyle w:val="Bibliography"/>
      </w:pPr>
      <w:r>
        <w:t>Stiles, J., Smart, M.J., 2021. Working at Home and Elsewhere: Daily Work Location, Telework, and Travel Among United States Knowledge Workers. Transportation 48, 2461–2491. https://doi.org/10.1007/s11116-020-10136-6</w:t>
      </w:r>
    </w:p>
    <w:p w14:paraId="4837BFEB" w14:textId="77777777" w:rsidR="00AD34C7" w:rsidRDefault="00AD34C7" w:rsidP="00AD34C7">
      <w:pPr>
        <w:pStyle w:val="Bibliography"/>
      </w:pPr>
      <w:r>
        <w:t>Sweet, M., Scott, D.M., 2022. Insights into the Future of Telework in Canada: Modeling the Trajectory of Telework Across a Pandemic. Sustainable Cities and Society 87. https://doi.org/10.1016/j.scs.2022.104175</w:t>
      </w:r>
    </w:p>
    <w:p w14:paraId="1DCA7B8E" w14:textId="77777777" w:rsidR="00AD34C7" w:rsidRDefault="00AD34C7" w:rsidP="00AD34C7">
      <w:pPr>
        <w:pStyle w:val="Bibliography"/>
      </w:pPr>
      <w:r>
        <w:t>Thompson, R.J., Payne, S.C., Alexander, A.L., Gaskins, V.A., Henning, J.B., 2022. A Taxonomy of Employee Motives for Telework. Occupational Health Science 6, 149–178. https://doi.org/10.1007/s41542-021-00094-5</w:t>
      </w:r>
    </w:p>
    <w:p w14:paraId="7BF2C09D" w14:textId="77777777" w:rsidR="00AD34C7" w:rsidRDefault="00AD34C7" w:rsidP="00AD34C7">
      <w:pPr>
        <w:pStyle w:val="Bibliography"/>
      </w:pPr>
      <w:r>
        <w:t>Tokey, A.I., Alam, M.S., 2023. The Travel Behavior, Attitude, and Sociodemographic Characteristics of the Teleworkers in Post-Pandemic Era. World Development Sustainability 2. https://doi.org/10.1016/j.wds.2023.100066</w:t>
      </w:r>
    </w:p>
    <w:p w14:paraId="2AD4328F" w14:textId="77777777" w:rsidR="00AD34C7" w:rsidRDefault="00AD34C7" w:rsidP="00AD34C7">
      <w:pPr>
        <w:pStyle w:val="Bibliography"/>
      </w:pPr>
      <w:r>
        <w:t>U.S. Bureau of Labor Statistics, 2024. Current Population Survey. https://doi.org/https://www.bls.gov/cps/</w:t>
      </w:r>
    </w:p>
    <w:p w14:paraId="29A4649A" w14:textId="77777777" w:rsidR="00AD34C7" w:rsidRDefault="00AD34C7" w:rsidP="00AD34C7">
      <w:pPr>
        <w:pStyle w:val="Bibliography"/>
      </w:pPr>
      <w:r>
        <w:t>U.S. Census Bureau, 2024. American Community Survey 2023 (5-Year Estimates).</w:t>
      </w:r>
    </w:p>
    <w:p w14:paraId="22B43AD1" w14:textId="77777777" w:rsidR="00AD34C7" w:rsidRDefault="00AD34C7" w:rsidP="00AD34C7">
      <w:pPr>
        <w:pStyle w:val="Bibliography"/>
      </w:pPr>
      <w:r>
        <w:lastRenderedPageBreak/>
        <w:t>Versigghel, J., De Vos, J., Witlox, F., 2025. Telework and Commuting Patterns. an Empirical Study of Workers in Flanders, Belgium. Journal of Urban Mobility 7. https://doi.org/10.1016/j.urbmob.2025.100125</w:t>
      </w:r>
    </w:p>
    <w:p w14:paraId="774139B7" w14:textId="77777777" w:rsidR="00AD34C7" w:rsidRDefault="00AD34C7" w:rsidP="00AD34C7">
      <w:pPr>
        <w:pStyle w:val="Bibliography"/>
      </w:pPr>
      <w:r>
        <w:t>Wang, X., Kim, S.H., Mokhtarian, P.L., 2024. Identifying Teleworking-Related Motives and Comparing Telework Frequency Expectations in the Post-Pandemic World: A Latent Class Choice Modeling Approach. Transportation Research Part A: Policy and Practice 186, 104070. https://doi.org/10.1016/j.tra.2024.104070</w:t>
      </w:r>
    </w:p>
    <w:p w14:paraId="1C5020DC" w14:textId="77777777" w:rsidR="00AD34C7" w:rsidRDefault="00AD34C7" w:rsidP="00AD34C7">
      <w:pPr>
        <w:pStyle w:val="Bibliography"/>
      </w:pPr>
      <w:r>
        <w:t>Wang, X., Kim, S.H., Mokhtarian, P.L., 2023. Teleworking Behavior Pre-, During, and Expected Post-COVID: Identification and Empirical Description of Trajectory Types. Travel Behaviour and Society 33. https://doi.org/10.1016/j.tbs.2023.100628</w:t>
      </w:r>
    </w:p>
    <w:p w14:paraId="490969AB" w14:textId="77777777" w:rsidR="00AD34C7" w:rsidRDefault="00AD34C7" w:rsidP="00AD34C7">
      <w:pPr>
        <w:pStyle w:val="Bibliography"/>
      </w:pPr>
      <w:r>
        <w:t>Wasserstein, R.L., Lazar, N.A., 2016. The ASA Statement on P-Values: Context, Process, and Purpose. The American Statistician 70, 129–133. https://doi.org/10.1080/00031305.2016.1154108</w:t>
      </w:r>
    </w:p>
    <w:p w14:paraId="0927A57C" w14:textId="77777777" w:rsidR="00AD34C7" w:rsidRDefault="00AD34C7" w:rsidP="00AD34C7">
      <w:pPr>
        <w:pStyle w:val="Bibliography"/>
      </w:pPr>
      <w:r>
        <w:t>Wasserstein, R.L., Schirm, A.L., Lazar, N.A., 2019. Moving to a World Beyond “p &lt; 0.05.” The American Statistician 73, 1–19. https://doi.org/10.1080/00031305.2019.1583913</w:t>
      </w:r>
    </w:p>
    <w:p w14:paraId="510429C9" w14:textId="77777777" w:rsidR="00AD34C7" w:rsidRDefault="00AD34C7" w:rsidP="00AD34C7">
      <w:pPr>
        <w:pStyle w:val="Bibliography"/>
      </w:pPr>
      <w:r>
        <w:t>Webber, B.J., Soto, G.W., Smith, A., Whitfield, G.P., 2023. Changes in Teleworking and Physical Activity Behaviors in the United States Before and After Emergence of COVID-19. Journal of Occupational and Environmental Medicine 65, 826. https://doi.org/10.1097/JOM.0000000000002897</w:t>
      </w:r>
    </w:p>
    <w:p w14:paraId="27C3F683" w14:textId="77777777" w:rsidR="00AD34C7" w:rsidRDefault="00AD34C7" w:rsidP="00AD34C7">
      <w:pPr>
        <w:pStyle w:val="Bibliography"/>
      </w:pPr>
      <w:r>
        <w:t>Zhao, J., Ren, H., Gu, Y., Pan, H., 2023. Relationships Between the Residential Environment, Travel Attitude and Behaviour Among Knowledge Workers: The Role of Job Types. Journal of Transport Geography 106, 103524. https://doi.org/10.1016/j.jtrangeo.2022.103524</w:t>
      </w:r>
    </w:p>
    <w:p w14:paraId="0F6CEA65" w14:textId="36223329" w:rsidR="00DF65F6" w:rsidRDefault="0057345F" w:rsidP="001D6510">
      <w:pPr>
        <w:sectPr w:rsidR="00DF65F6" w:rsidSect="003E7FE8">
          <w:footerReference w:type="default" r:id="rId253"/>
          <w:pgSz w:w="12240" w:h="15840"/>
          <w:pgMar w:top="1440" w:right="1440" w:bottom="1440" w:left="1440" w:header="720" w:footer="720" w:gutter="0"/>
          <w:pgNumType w:start="1"/>
          <w:cols w:space="720"/>
          <w:docGrid w:linePitch="360"/>
        </w:sectPr>
      </w:pPr>
      <w:r w:rsidRPr="00AA7459">
        <w:fldChar w:fldCharType="end"/>
      </w:r>
    </w:p>
    <w:p w14:paraId="1E9DD08D" w14:textId="00E81FFF" w:rsidR="00DF65F6" w:rsidRDefault="00DF65F6" w:rsidP="001D6510">
      <w:pPr>
        <w:rPr>
          <w:b/>
          <w:bCs/>
        </w:rPr>
      </w:pPr>
      <w:r w:rsidRPr="00952341">
        <w:rPr>
          <w:b/>
          <w:bCs/>
        </w:rPr>
        <w:lastRenderedPageBreak/>
        <w:t>Table 1:</w:t>
      </w:r>
      <w:r w:rsidR="003A4E81" w:rsidRPr="00952341">
        <w:rPr>
          <w:b/>
          <w:bCs/>
        </w:rPr>
        <w:t xml:space="preserve"> Summary of Literature o</w:t>
      </w:r>
      <w:r w:rsidR="00952341">
        <w:rPr>
          <w:b/>
          <w:bCs/>
        </w:rPr>
        <w:t>n</w:t>
      </w:r>
      <w:r w:rsidR="003A4E81" w:rsidRPr="00952341">
        <w:rPr>
          <w:b/>
          <w:bCs/>
        </w:rPr>
        <w:t xml:space="preserve"> Part-Day Telework</w:t>
      </w:r>
    </w:p>
    <w:p w14:paraId="6A46EA52" w14:textId="77777777" w:rsidR="00BC197F" w:rsidRDefault="00BC197F" w:rsidP="001D6510">
      <w:pPr>
        <w:rPr>
          <w:b/>
          <w:bCs/>
        </w:rPr>
      </w:pPr>
    </w:p>
    <w:tbl>
      <w:tblPr>
        <w:tblW w:w="1401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9" w:type="dxa"/>
          <w:right w:w="29" w:type="dxa"/>
        </w:tblCellMar>
        <w:tblLook w:val="04A0" w:firstRow="1" w:lastRow="0" w:firstColumn="1" w:lastColumn="0" w:noHBand="0" w:noVBand="1"/>
      </w:tblPr>
      <w:tblGrid>
        <w:gridCol w:w="967"/>
        <w:gridCol w:w="1530"/>
        <w:gridCol w:w="1080"/>
        <w:gridCol w:w="900"/>
        <w:gridCol w:w="3780"/>
        <w:gridCol w:w="922"/>
        <w:gridCol w:w="900"/>
        <w:gridCol w:w="1170"/>
        <w:gridCol w:w="1620"/>
        <w:gridCol w:w="1148"/>
      </w:tblGrid>
      <w:tr w:rsidR="00BC197F" w:rsidRPr="00BC197F" w14:paraId="4CE62CCD" w14:textId="77777777" w:rsidTr="009A5774">
        <w:trPr>
          <w:trHeight w:val="20"/>
          <w:tblHeader/>
          <w:jc w:val="center"/>
        </w:trPr>
        <w:tc>
          <w:tcPr>
            <w:tcW w:w="967" w:type="dxa"/>
            <w:vMerge w:val="restart"/>
            <w:tcBorders>
              <w:top w:val="single" w:sz="18" w:space="0" w:color="auto"/>
              <w:left w:val="single" w:sz="18" w:space="0" w:color="auto"/>
              <w:right w:val="single" w:sz="18" w:space="0" w:color="auto"/>
            </w:tcBorders>
            <w:shd w:val="clear" w:color="000000" w:fill="F5F5F5"/>
            <w:vAlign w:val="center"/>
            <w:hideMark/>
          </w:tcPr>
          <w:p w14:paraId="6165E74A"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Reference</w:t>
            </w:r>
          </w:p>
        </w:tc>
        <w:tc>
          <w:tcPr>
            <w:tcW w:w="1530" w:type="dxa"/>
            <w:vMerge w:val="restart"/>
            <w:tcBorders>
              <w:top w:val="single" w:sz="18" w:space="0" w:color="auto"/>
              <w:left w:val="single" w:sz="18" w:space="0" w:color="auto"/>
            </w:tcBorders>
            <w:shd w:val="clear" w:color="000000" w:fill="F5F5F5"/>
            <w:vAlign w:val="center"/>
            <w:hideMark/>
          </w:tcPr>
          <w:p w14:paraId="1D66D9B4"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Study Context</w:t>
            </w:r>
          </w:p>
        </w:tc>
        <w:tc>
          <w:tcPr>
            <w:tcW w:w="1080" w:type="dxa"/>
            <w:vMerge w:val="restart"/>
            <w:tcBorders>
              <w:top w:val="single" w:sz="18" w:space="0" w:color="auto"/>
            </w:tcBorders>
            <w:shd w:val="clear" w:color="000000" w:fill="F2F2F2"/>
            <w:vAlign w:val="center"/>
          </w:tcPr>
          <w:p w14:paraId="0DBA7D60"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Elicitation Method</w:t>
            </w:r>
          </w:p>
        </w:tc>
        <w:tc>
          <w:tcPr>
            <w:tcW w:w="900" w:type="dxa"/>
            <w:vMerge w:val="restart"/>
            <w:tcBorders>
              <w:top w:val="single" w:sz="18" w:space="0" w:color="auto"/>
            </w:tcBorders>
            <w:shd w:val="clear" w:color="000000" w:fill="F2F2F2"/>
            <w:vAlign w:val="center"/>
            <w:hideMark/>
          </w:tcPr>
          <w:p w14:paraId="46687B14"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Data Resolution</w:t>
            </w:r>
          </w:p>
        </w:tc>
        <w:tc>
          <w:tcPr>
            <w:tcW w:w="3780" w:type="dxa"/>
            <w:vMerge w:val="restart"/>
            <w:tcBorders>
              <w:top w:val="single" w:sz="18" w:space="0" w:color="auto"/>
            </w:tcBorders>
            <w:shd w:val="clear" w:color="000000" w:fill="F2F2F2"/>
            <w:vAlign w:val="center"/>
            <w:hideMark/>
          </w:tcPr>
          <w:p w14:paraId="314698BD"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Definition of Part-Day Telework</w:t>
            </w:r>
          </w:p>
        </w:tc>
        <w:tc>
          <w:tcPr>
            <w:tcW w:w="5760" w:type="dxa"/>
            <w:gridSpan w:val="5"/>
            <w:tcBorders>
              <w:top w:val="single" w:sz="18" w:space="0" w:color="auto"/>
              <w:bottom w:val="single" w:sz="4" w:space="0" w:color="auto"/>
            </w:tcBorders>
            <w:shd w:val="clear" w:color="000000" w:fill="F2F2F2"/>
          </w:tcPr>
          <w:p w14:paraId="7C5E68C4"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Modeling Approach</w:t>
            </w:r>
          </w:p>
        </w:tc>
      </w:tr>
      <w:tr w:rsidR="00BC197F" w:rsidRPr="00BC197F" w14:paraId="6E554582" w14:textId="77777777" w:rsidTr="009A5774">
        <w:trPr>
          <w:trHeight w:val="20"/>
          <w:tblHeader/>
          <w:jc w:val="center"/>
        </w:trPr>
        <w:tc>
          <w:tcPr>
            <w:tcW w:w="967" w:type="dxa"/>
            <w:vMerge/>
            <w:tcBorders>
              <w:left w:val="single" w:sz="18" w:space="0" w:color="auto"/>
              <w:bottom w:val="single" w:sz="18" w:space="0" w:color="auto"/>
              <w:right w:val="single" w:sz="18" w:space="0" w:color="auto"/>
            </w:tcBorders>
            <w:shd w:val="clear" w:color="000000" w:fill="F5F5F5"/>
            <w:vAlign w:val="center"/>
          </w:tcPr>
          <w:p w14:paraId="35518938" w14:textId="77777777" w:rsidR="00BC197F" w:rsidRPr="00BC197F" w:rsidRDefault="00BC197F" w:rsidP="00487AF8">
            <w:pPr>
              <w:jc w:val="center"/>
              <w:rPr>
                <w:rFonts w:eastAsia="Times New Roman"/>
                <w:b/>
                <w:bCs/>
                <w:color w:val="000000"/>
                <w:kern w:val="0"/>
                <w:sz w:val="18"/>
                <w:szCs w:val="18"/>
                <w14:ligatures w14:val="none"/>
              </w:rPr>
            </w:pPr>
          </w:p>
        </w:tc>
        <w:tc>
          <w:tcPr>
            <w:tcW w:w="1530" w:type="dxa"/>
            <w:vMerge/>
            <w:tcBorders>
              <w:left w:val="single" w:sz="18" w:space="0" w:color="auto"/>
              <w:bottom w:val="single" w:sz="18" w:space="0" w:color="auto"/>
            </w:tcBorders>
            <w:shd w:val="clear" w:color="000000" w:fill="F5F5F5"/>
            <w:vAlign w:val="center"/>
          </w:tcPr>
          <w:p w14:paraId="1409ED88" w14:textId="77777777" w:rsidR="00BC197F" w:rsidRPr="00BC197F" w:rsidRDefault="00BC197F" w:rsidP="00487AF8">
            <w:pPr>
              <w:jc w:val="center"/>
              <w:rPr>
                <w:rFonts w:eastAsia="Times New Roman"/>
                <w:b/>
                <w:bCs/>
                <w:color w:val="000000"/>
                <w:kern w:val="0"/>
                <w:sz w:val="18"/>
                <w:szCs w:val="18"/>
                <w14:ligatures w14:val="none"/>
              </w:rPr>
            </w:pPr>
          </w:p>
        </w:tc>
        <w:tc>
          <w:tcPr>
            <w:tcW w:w="1080" w:type="dxa"/>
            <w:vMerge/>
            <w:tcBorders>
              <w:bottom w:val="single" w:sz="18" w:space="0" w:color="auto"/>
            </w:tcBorders>
            <w:shd w:val="clear" w:color="000000" w:fill="F2F2F2"/>
            <w:vAlign w:val="center"/>
          </w:tcPr>
          <w:p w14:paraId="5BEA391F" w14:textId="77777777" w:rsidR="00BC197F" w:rsidRPr="00BC197F" w:rsidRDefault="00BC197F" w:rsidP="00487AF8">
            <w:pPr>
              <w:jc w:val="center"/>
              <w:rPr>
                <w:rFonts w:eastAsia="Times New Roman"/>
                <w:b/>
                <w:bCs/>
                <w:color w:val="000000"/>
                <w:kern w:val="0"/>
                <w:sz w:val="18"/>
                <w:szCs w:val="18"/>
                <w14:ligatures w14:val="none"/>
              </w:rPr>
            </w:pPr>
          </w:p>
        </w:tc>
        <w:tc>
          <w:tcPr>
            <w:tcW w:w="900" w:type="dxa"/>
            <w:vMerge/>
            <w:tcBorders>
              <w:bottom w:val="single" w:sz="18" w:space="0" w:color="auto"/>
            </w:tcBorders>
            <w:shd w:val="clear" w:color="000000" w:fill="F2F2F2"/>
            <w:vAlign w:val="center"/>
          </w:tcPr>
          <w:p w14:paraId="439E3560" w14:textId="77777777" w:rsidR="00BC197F" w:rsidRPr="00BC197F" w:rsidRDefault="00BC197F" w:rsidP="00487AF8">
            <w:pPr>
              <w:jc w:val="center"/>
              <w:rPr>
                <w:rFonts w:eastAsia="Times New Roman"/>
                <w:b/>
                <w:bCs/>
                <w:color w:val="000000"/>
                <w:kern w:val="0"/>
                <w:sz w:val="18"/>
                <w:szCs w:val="18"/>
                <w14:ligatures w14:val="none"/>
              </w:rPr>
            </w:pPr>
          </w:p>
        </w:tc>
        <w:tc>
          <w:tcPr>
            <w:tcW w:w="3780" w:type="dxa"/>
            <w:vMerge/>
            <w:tcBorders>
              <w:bottom w:val="single" w:sz="18" w:space="0" w:color="auto"/>
            </w:tcBorders>
            <w:shd w:val="clear" w:color="000000" w:fill="F2F2F2"/>
            <w:vAlign w:val="center"/>
          </w:tcPr>
          <w:p w14:paraId="277278EC" w14:textId="77777777" w:rsidR="00BC197F" w:rsidRPr="00BC197F" w:rsidRDefault="00BC197F" w:rsidP="00487AF8">
            <w:pPr>
              <w:jc w:val="center"/>
              <w:rPr>
                <w:rFonts w:eastAsia="Times New Roman"/>
                <w:b/>
                <w:bCs/>
                <w:color w:val="000000"/>
                <w:kern w:val="0"/>
                <w:sz w:val="18"/>
                <w:szCs w:val="18"/>
                <w14:ligatures w14:val="none"/>
              </w:rPr>
            </w:pPr>
          </w:p>
        </w:tc>
        <w:tc>
          <w:tcPr>
            <w:tcW w:w="922" w:type="dxa"/>
            <w:tcBorders>
              <w:top w:val="single" w:sz="4" w:space="0" w:color="auto"/>
              <w:bottom w:val="single" w:sz="18" w:space="0" w:color="auto"/>
            </w:tcBorders>
            <w:shd w:val="clear" w:color="000000" w:fill="F2F2F2"/>
            <w:vAlign w:val="center"/>
          </w:tcPr>
          <w:p w14:paraId="6D95AF6D"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Full-day Telework Modeled?</w:t>
            </w:r>
          </w:p>
        </w:tc>
        <w:tc>
          <w:tcPr>
            <w:tcW w:w="900" w:type="dxa"/>
            <w:tcBorders>
              <w:top w:val="single" w:sz="4" w:space="0" w:color="auto"/>
              <w:bottom w:val="single" w:sz="18" w:space="0" w:color="auto"/>
            </w:tcBorders>
            <w:shd w:val="clear" w:color="000000" w:fill="F2F2F2"/>
            <w:vAlign w:val="center"/>
          </w:tcPr>
          <w:p w14:paraId="2277E38F"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Part-Day Telework Modeled?</w:t>
            </w:r>
          </w:p>
        </w:tc>
        <w:tc>
          <w:tcPr>
            <w:tcW w:w="1170" w:type="dxa"/>
            <w:tcBorders>
              <w:top w:val="single" w:sz="4" w:space="0" w:color="auto"/>
              <w:bottom w:val="single" w:sz="18" w:space="0" w:color="auto"/>
            </w:tcBorders>
            <w:shd w:val="clear" w:color="000000" w:fill="F2F2F2"/>
            <w:vAlign w:val="center"/>
          </w:tcPr>
          <w:p w14:paraId="6C619B45"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 xml:space="preserve">Consideration of both full-day and part-day telework </w:t>
            </w:r>
            <w:r w:rsidRPr="00BC197F">
              <w:rPr>
                <w:rFonts w:eastAsia="Times New Roman"/>
                <w:b/>
                <w:bCs/>
                <w:i/>
                <w:iCs/>
                <w:color w:val="000000"/>
                <w:kern w:val="0"/>
                <w:sz w:val="18"/>
                <w:szCs w:val="18"/>
                <w14:ligatures w14:val="none"/>
              </w:rPr>
              <w:t>frequencies</w:t>
            </w:r>
            <w:r w:rsidRPr="00BC197F">
              <w:rPr>
                <w:rFonts w:eastAsia="Times New Roman"/>
                <w:b/>
                <w:bCs/>
                <w:color w:val="000000"/>
                <w:kern w:val="0"/>
                <w:sz w:val="18"/>
                <w:szCs w:val="18"/>
                <w14:ligatures w14:val="none"/>
              </w:rPr>
              <w:t>?</w:t>
            </w:r>
          </w:p>
        </w:tc>
        <w:tc>
          <w:tcPr>
            <w:tcW w:w="1620" w:type="dxa"/>
            <w:tcBorders>
              <w:top w:val="single" w:sz="4" w:space="0" w:color="auto"/>
              <w:bottom w:val="single" w:sz="18" w:space="0" w:color="auto"/>
            </w:tcBorders>
            <w:shd w:val="clear" w:color="000000" w:fill="F2F2F2"/>
            <w:vAlign w:val="center"/>
          </w:tcPr>
          <w:p w14:paraId="778E9A5A" w14:textId="55A0D7C3"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Telework adoption, full-day telework, and part-day telework all modeled jointly?</w:t>
            </w:r>
          </w:p>
        </w:tc>
        <w:tc>
          <w:tcPr>
            <w:tcW w:w="1148" w:type="dxa"/>
            <w:tcBorders>
              <w:top w:val="single" w:sz="4" w:space="0" w:color="auto"/>
              <w:bottom w:val="single" w:sz="18" w:space="0" w:color="auto"/>
            </w:tcBorders>
            <w:shd w:val="clear" w:color="000000" w:fill="F2F2F2"/>
            <w:vAlign w:val="center"/>
          </w:tcPr>
          <w:p w14:paraId="34C46B4D" w14:textId="7DC36154"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Commute distance considered endogenous?</w:t>
            </w:r>
          </w:p>
        </w:tc>
      </w:tr>
      <w:tr w:rsidR="00BC197F" w:rsidRPr="00BC197F" w14:paraId="54307666" w14:textId="77777777" w:rsidTr="009A5774">
        <w:trPr>
          <w:trHeight w:val="20"/>
          <w:jc w:val="center"/>
        </w:trPr>
        <w:tc>
          <w:tcPr>
            <w:tcW w:w="14017" w:type="dxa"/>
            <w:gridSpan w:val="10"/>
            <w:tcBorders>
              <w:top w:val="single" w:sz="18" w:space="0" w:color="auto"/>
              <w:bottom w:val="single" w:sz="18" w:space="0" w:color="auto"/>
            </w:tcBorders>
            <w:shd w:val="clear" w:color="000000" w:fill="F5F5F5"/>
            <w:vAlign w:val="center"/>
          </w:tcPr>
          <w:p w14:paraId="58587294" w14:textId="77777777" w:rsidR="00BC197F" w:rsidRPr="00BC197F" w:rsidRDefault="00BC197F" w:rsidP="00487AF8">
            <w:pPr>
              <w:jc w:val="center"/>
              <w:rPr>
                <w:sz w:val="18"/>
                <w:szCs w:val="18"/>
              </w:rPr>
            </w:pPr>
            <w:r w:rsidRPr="00BC197F">
              <w:rPr>
                <w:rFonts w:eastAsia="Times New Roman"/>
                <w:b/>
                <w:bCs/>
                <w:i/>
                <w:iCs/>
                <w:color w:val="000000"/>
                <w:kern w:val="0"/>
                <w:sz w:val="18"/>
                <w:szCs w:val="18"/>
                <w14:ligatures w14:val="none"/>
              </w:rPr>
              <w:t>Pre-Pandemic Studies</w:t>
            </w:r>
          </w:p>
        </w:tc>
      </w:tr>
      <w:tr w:rsidR="00BC197F" w:rsidRPr="00BC197F" w14:paraId="32FA640F" w14:textId="77777777" w:rsidTr="009A5774">
        <w:trPr>
          <w:trHeight w:val="20"/>
          <w:jc w:val="center"/>
        </w:trPr>
        <w:tc>
          <w:tcPr>
            <w:tcW w:w="967" w:type="dxa"/>
            <w:tcBorders>
              <w:top w:val="single" w:sz="18" w:space="0" w:color="auto"/>
              <w:bottom w:val="single" w:sz="6" w:space="0" w:color="auto"/>
              <w:right w:val="single" w:sz="18" w:space="0" w:color="auto"/>
            </w:tcBorders>
            <w:shd w:val="clear" w:color="000000" w:fill="F5F5F5"/>
            <w:vAlign w:val="center"/>
            <w:hideMark/>
          </w:tcPr>
          <w:p w14:paraId="623B10B4"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Haddad et al. (2009)</w:t>
            </w:r>
          </w:p>
        </w:tc>
        <w:tc>
          <w:tcPr>
            <w:tcW w:w="1530" w:type="dxa"/>
            <w:tcBorders>
              <w:top w:val="single" w:sz="18" w:space="0" w:color="auto"/>
              <w:left w:val="single" w:sz="18" w:space="0" w:color="auto"/>
            </w:tcBorders>
            <w:vAlign w:val="center"/>
            <w:hideMark/>
          </w:tcPr>
          <w:p w14:paraId="0EFCA794"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b/>
                <w:bCs/>
                <w:color w:val="000000"/>
                <w:kern w:val="0"/>
                <w:sz w:val="18"/>
                <w:szCs w:val="18"/>
                <w14:ligatures w14:val="none"/>
              </w:rPr>
              <w:t>United Kingdom</w:t>
            </w:r>
            <w:r w:rsidRPr="00BC197F">
              <w:rPr>
                <w:rFonts w:eastAsia="Times New Roman"/>
                <w:color w:val="000000"/>
                <w:kern w:val="0"/>
                <w:sz w:val="18"/>
                <w:szCs w:val="18"/>
                <w14:ligatures w14:val="none"/>
              </w:rPr>
              <w:t xml:space="preserve"> national survey in 2007</w:t>
            </w:r>
          </w:p>
        </w:tc>
        <w:tc>
          <w:tcPr>
            <w:tcW w:w="1080" w:type="dxa"/>
            <w:tcBorders>
              <w:top w:val="single" w:sz="18" w:space="0" w:color="auto"/>
            </w:tcBorders>
            <w:vAlign w:val="center"/>
          </w:tcPr>
          <w:p w14:paraId="0DB5989C"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Retrospective responses of behavior in previous week</w:t>
            </w:r>
          </w:p>
        </w:tc>
        <w:tc>
          <w:tcPr>
            <w:tcW w:w="900" w:type="dxa"/>
            <w:tcBorders>
              <w:top w:val="single" w:sz="18" w:space="0" w:color="auto"/>
            </w:tcBorders>
            <w:vAlign w:val="center"/>
            <w:hideMark/>
          </w:tcPr>
          <w:p w14:paraId="0AAC42DC"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Five-day reference week</w:t>
            </w:r>
          </w:p>
        </w:tc>
        <w:tc>
          <w:tcPr>
            <w:tcW w:w="3780" w:type="dxa"/>
            <w:tcBorders>
              <w:top w:val="single" w:sz="18" w:space="0" w:color="auto"/>
            </w:tcBorders>
            <w:vAlign w:val="center"/>
            <w:hideMark/>
          </w:tcPr>
          <w:p w14:paraId="0D8DAF84"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Part-day telework consists of (1) worked at home and then at my workplace, (2) worked at my workplace and then at home, or (3) worked at home then my workplace then at home; “worked at home” itself is flagged based on working from home for a duration of at least 30 minutes.</w:t>
            </w:r>
          </w:p>
        </w:tc>
        <w:tc>
          <w:tcPr>
            <w:tcW w:w="922" w:type="dxa"/>
            <w:tcBorders>
              <w:top w:val="single" w:sz="18" w:space="0" w:color="auto"/>
            </w:tcBorders>
            <w:vAlign w:val="center"/>
          </w:tcPr>
          <w:p w14:paraId="0F931A45"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Modeled as ordered frequency</w:t>
            </w:r>
          </w:p>
        </w:tc>
        <w:tc>
          <w:tcPr>
            <w:tcW w:w="900" w:type="dxa"/>
            <w:tcBorders>
              <w:top w:val="single" w:sz="18" w:space="0" w:color="auto"/>
            </w:tcBorders>
            <w:vAlign w:val="center"/>
          </w:tcPr>
          <w:p w14:paraId="19638F34"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Modeled as ordered frequency</w:t>
            </w:r>
          </w:p>
        </w:tc>
        <w:tc>
          <w:tcPr>
            <w:tcW w:w="1170" w:type="dxa"/>
            <w:tcBorders>
              <w:top w:val="single" w:sz="18" w:space="0" w:color="auto"/>
            </w:tcBorders>
            <w:vAlign w:val="center"/>
          </w:tcPr>
          <w:p w14:paraId="1B7971F8"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Yes</w:t>
            </w:r>
          </w:p>
        </w:tc>
        <w:tc>
          <w:tcPr>
            <w:tcW w:w="1620" w:type="dxa"/>
            <w:tcBorders>
              <w:top w:val="single" w:sz="18" w:space="0" w:color="auto"/>
            </w:tcBorders>
            <w:vAlign w:val="center"/>
          </w:tcPr>
          <w:p w14:paraId="1D15F3CA"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c>
          <w:tcPr>
            <w:tcW w:w="1148" w:type="dxa"/>
            <w:tcBorders>
              <w:top w:val="single" w:sz="18" w:space="0" w:color="auto"/>
            </w:tcBorders>
            <w:vAlign w:val="center"/>
          </w:tcPr>
          <w:p w14:paraId="6E3644CD"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r>
      <w:tr w:rsidR="00BC197F" w:rsidRPr="00BC197F" w14:paraId="13B447DF" w14:textId="77777777" w:rsidTr="009A5774">
        <w:trPr>
          <w:trHeight w:val="20"/>
          <w:jc w:val="center"/>
        </w:trPr>
        <w:tc>
          <w:tcPr>
            <w:tcW w:w="967" w:type="dxa"/>
            <w:tcBorders>
              <w:top w:val="single" w:sz="6" w:space="0" w:color="auto"/>
              <w:bottom w:val="single" w:sz="6" w:space="0" w:color="auto"/>
              <w:right w:val="single" w:sz="18" w:space="0" w:color="auto"/>
            </w:tcBorders>
            <w:shd w:val="clear" w:color="000000" w:fill="F5F5F5"/>
            <w:vAlign w:val="center"/>
            <w:hideMark/>
          </w:tcPr>
          <w:p w14:paraId="4ADD6964"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Deng et al. (2015)</w:t>
            </w:r>
          </w:p>
        </w:tc>
        <w:tc>
          <w:tcPr>
            <w:tcW w:w="1530" w:type="dxa"/>
            <w:tcBorders>
              <w:left w:val="single" w:sz="18" w:space="0" w:color="auto"/>
            </w:tcBorders>
            <w:vAlign w:val="center"/>
            <w:hideMark/>
          </w:tcPr>
          <w:p w14:paraId="2B210848"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 xml:space="preserve">Survey of I-5 commuters in </w:t>
            </w:r>
            <w:r w:rsidRPr="00BC197F">
              <w:rPr>
                <w:rFonts w:eastAsia="Times New Roman"/>
                <w:b/>
                <w:bCs/>
                <w:color w:val="000000"/>
                <w:kern w:val="0"/>
                <w:sz w:val="18"/>
                <w:szCs w:val="18"/>
                <w14:ligatures w14:val="none"/>
              </w:rPr>
              <w:t>Northern California, United States</w:t>
            </w:r>
            <w:r w:rsidRPr="00BC197F">
              <w:rPr>
                <w:rFonts w:eastAsia="Times New Roman"/>
                <w:color w:val="000000"/>
                <w:kern w:val="0"/>
                <w:sz w:val="18"/>
                <w:szCs w:val="18"/>
                <w14:ligatures w14:val="none"/>
              </w:rPr>
              <w:t xml:space="preserve"> in 2008</w:t>
            </w:r>
          </w:p>
        </w:tc>
        <w:tc>
          <w:tcPr>
            <w:tcW w:w="1080" w:type="dxa"/>
            <w:vAlign w:val="center"/>
          </w:tcPr>
          <w:p w14:paraId="2D477BAA"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Retrospective responses of typical telework frequencies per month</w:t>
            </w:r>
          </w:p>
        </w:tc>
        <w:tc>
          <w:tcPr>
            <w:tcW w:w="900" w:type="dxa"/>
            <w:vAlign w:val="center"/>
            <w:hideMark/>
          </w:tcPr>
          <w:p w14:paraId="2A5FE381"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Typical monthly frequencies were treated as binary to focus on adoption</w:t>
            </w:r>
          </w:p>
        </w:tc>
        <w:tc>
          <w:tcPr>
            <w:tcW w:w="3780" w:type="dxa"/>
            <w:vAlign w:val="center"/>
            <w:hideMark/>
          </w:tcPr>
          <w:p w14:paraId="3BA78EED" w14:textId="3D21B8E6"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 xml:space="preserve">Part-day telework is defined as </w:t>
            </w:r>
            <w:r w:rsidR="00A33AD8">
              <w:rPr>
                <w:rFonts w:eastAsia="Times New Roman"/>
                <w:color w:val="000000"/>
                <w:kern w:val="0"/>
                <w:sz w:val="18"/>
                <w:szCs w:val="18"/>
                <w14:ligatures w14:val="none"/>
              </w:rPr>
              <w:t>“</w:t>
            </w:r>
            <w:r w:rsidRPr="00BC197F">
              <w:rPr>
                <w:rFonts w:eastAsia="Times New Roman"/>
                <w:color w:val="000000"/>
                <w:kern w:val="0"/>
                <w:sz w:val="18"/>
                <w:szCs w:val="18"/>
                <w14:ligatures w14:val="none"/>
              </w:rPr>
              <w:t>work at home and change the time you commute to or from work” and is differentiated from overtime telework, defined as “work at home for part of the day without changing your normal commute.” Monthly part-day telework frequency was collected and considered as a binary outcome indicating whether the individual chose part-day telework at a frequency of “1-3 times a month” or greater.</w:t>
            </w:r>
          </w:p>
        </w:tc>
        <w:tc>
          <w:tcPr>
            <w:tcW w:w="922" w:type="dxa"/>
            <w:vAlign w:val="center"/>
          </w:tcPr>
          <w:p w14:paraId="2622E361"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Modeled as binary</w:t>
            </w:r>
          </w:p>
        </w:tc>
        <w:tc>
          <w:tcPr>
            <w:tcW w:w="900" w:type="dxa"/>
            <w:vAlign w:val="center"/>
          </w:tcPr>
          <w:p w14:paraId="2379CC71"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Modeled as binary</w:t>
            </w:r>
          </w:p>
        </w:tc>
        <w:tc>
          <w:tcPr>
            <w:tcW w:w="1170" w:type="dxa"/>
            <w:vAlign w:val="center"/>
          </w:tcPr>
          <w:p w14:paraId="12A4DA7A"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c>
          <w:tcPr>
            <w:tcW w:w="1620" w:type="dxa"/>
            <w:vAlign w:val="center"/>
          </w:tcPr>
          <w:p w14:paraId="595E427A"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c>
          <w:tcPr>
            <w:tcW w:w="1148" w:type="dxa"/>
            <w:vAlign w:val="center"/>
          </w:tcPr>
          <w:p w14:paraId="10291917"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r>
      <w:tr w:rsidR="00BC197F" w:rsidRPr="00BC197F" w14:paraId="5F8CF816" w14:textId="77777777" w:rsidTr="009A5774">
        <w:trPr>
          <w:trHeight w:val="20"/>
          <w:jc w:val="center"/>
        </w:trPr>
        <w:tc>
          <w:tcPr>
            <w:tcW w:w="14017" w:type="dxa"/>
            <w:gridSpan w:val="10"/>
            <w:tcBorders>
              <w:top w:val="single" w:sz="18" w:space="0" w:color="auto"/>
              <w:bottom w:val="single" w:sz="18" w:space="0" w:color="auto"/>
            </w:tcBorders>
            <w:shd w:val="clear" w:color="000000" w:fill="F5F5F5"/>
          </w:tcPr>
          <w:p w14:paraId="0635F88D" w14:textId="77777777" w:rsidR="00BC197F" w:rsidRPr="00BC197F" w:rsidRDefault="00BC197F" w:rsidP="00487AF8">
            <w:pPr>
              <w:keepNext/>
              <w:jc w:val="center"/>
              <w:rPr>
                <w:rFonts w:eastAsia="Times New Roman"/>
                <w:b/>
                <w:bCs/>
                <w:i/>
                <w:iCs/>
                <w:color w:val="000000"/>
                <w:kern w:val="0"/>
                <w:sz w:val="18"/>
                <w:szCs w:val="18"/>
                <w14:ligatures w14:val="none"/>
              </w:rPr>
            </w:pPr>
            <w:r w:rsidRPr="00BC197F">
              <w:rPr>
                <w:rFonts w:eastAsia="Times New Roman"/>
                <w:b/>
                <w:bCs/>
                <w:i/>
                <w:iCs/>
                <w:color w:val="000000"/>
                <w:kern w:val="0"/>
                <w:sz w:val="18"/>
                <w:szCs w:val="18"/>
                <w14:ligatures w14:val="none"/>
              </w:rPr>
              <w:t>Post-Pandemic Studies</w:t>
            </w:r>
          </w:p>
        </w:tc>
      </w:tr>
      <w:tr w:rsidR="00BC197F" w:rsidRPr="00BC197F" w14:paraId="106FF043" w14:textId="77777777" w:rsidTr="009A5774">
        <w:trPr>
          <w:trHeight w:val="20"/>
          <w:jc w:val="center"/>
        </w:trPr>
        <w:tc>
          <w:tcPr>
            <w:tcW w:w="967" w:type="dxa"/>
            <w:tcBorders>
              <w:top w:val="single" w:sz="6" w:space="0" w:color="auto"/>
              <w:bottom w:val="single" w:sz="6" w:space="0" w:color="auto"/>
              <w:right w:val="single" w:sz="18" w:space="0" w:color="auto"/>
            </w:tcBorders>
            <w:shd w:val="clear" w:color="000000" w:fill="F5F5F5"/>
            <w:vAlign w:val="center"/>
            <w:hideMark/>
          </w:tcPr>
          <w:p w14:paraId="3E164D0B"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Kappler &amp; de Abreu e Silva (2025)</w:t>
            </w:r>
          </w:p>
        </w:tc>
        <w:tc>
          <w:tcPr>
            <w:tcW w:w="1530" w:type="dxa"/>
            <w:tcBorders>
              <w:left w:val="single" w:sz="18" w:space="0" w:color="auto"/>
            </w:tcBorders>
            <w:vAlign w:val="center"/>
            <w:hideMark/>
          </w:tcPr>
          <w:p w14:paraId="78966BCB"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 xml:space="preserve">Online survey in 2021 in the </w:t>
            </w:r>
            <w:r w:rsidRPr="00BC197F">
              <w:rPr>
                <w:rFonts w:eastAsia="Times New Roman"/>
                <w:b/>
                <w:bCs/>
                <w:color w:val="000000"/>
                <w:kern w:val="0"/>
                <w:sz w:val="18"/>
                <w:szCs w:val="18"/>
                <w14:ligatures w14:val="none"/>
              </w:rPr>
              <w:t>Lisbon, Istanbul, and Porto Alegre</w:t>
            </w:r>
            <w:r w:rsidRPr="00BC197F">
              <w:rPr>
                <w:rFonts w:eastAsia="Times New Roman"/>
                <w:color w:val="000000"/>
                <w:kern w:val="0"/>
                <w:sz w:val="18"/>
                <w:szCs w:val="18"/>
                <w14:ligatures w14:val="none"/>
              </w:rPr>
              <w:t xml:space="preserve"> Metropolitan Areas</w:t>
            </w:r>
          </w:p>
        </w:tc>
        <w:tc>
          <w:tcPr>
            <w:tcW w:w="1080" w:type="dxa"/>
            <w:vAlign w:val="center"/>
          </w:tcPr>
          <w:p w14:paraId="3DB251EB"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Travel–telework diary</w:t>
            </w:r>
          </w:p>
        </w:tc>
        <w:tc>
          <w:tcPr>
            <w:tcW w:w="900" w:type="dxa"/>
            <w:vAlign w:val="center"/>
            <w:hideMark/>
          </w:tcPr>
          <w:p w14:paraId="7CFD71EB"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Five</w:t>
            </w:r>
            <w:r w:rsidRPr="00BC197F">
              <w:rPr>
                <w:rFonts w:eastAsia="Times New Roman"/>
                <w:color w:val="000000"/>
                <w:kern w:val="0"/>
                <w:sz w:val="18"/>
                <w:szCs w:val="18"/>
                <w14:ligatures w14:val="none"/>
              </w:rPr>
              <w:noBreakHyphen/>
              <w:t>day diary</w:t>
            </w:r>
          </w:p>
        </w:tc>
        <w:tc>
          <w:tcPr>
            <w:tcW w:w="3780" w:type="dxa"/>
            <w:vAlign w:val="center"/>
            <w:hideMark/>
          </w:tcPr>
          <w:p w14:paraId="22084480" w14:textId="39DC0A36"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Part</w:t>
            </w:r>
            <w:r w:rsidRPr="00BC197F">
              <w:rPr>
                <w:rFonts w:eastAsia="Times New Roman"/>
                <w:color w:val="000000"/>
                <w:kern w:val="0"/>
                <w:sz w:val="18"/>
                <w:szCs w:val="18"/>
                <w14:ligatures w14:val="none"/>
              </w:rPr>
              <w:noBreakHyphen/>
              <w:t>day telework refers working at home or another remote location for part of the day without eliminat</w:t>
            </w:r>
            <w:r w:rsidR="005D615E">
              <w:rPr>
                <w:rFonts w:eastAsia="Times New Roman"/>
                <w:color w:val="000000"/>
                <w:kern w:val="0"/>
                <w:sz w:val="18"/>
                <w:szCs w:val="18"/>
                <w14:ligatures w14:val="none"/>
              </w:rPr>
              <w:t>ing</w:t>
            </w:r>
            <w:r w:rsidRPr="00BC197F">
              <w:rPr>
                <w:rFonts w:eastAsia="Times New Roman"/>
                <w:color w:val="000000"/>
                <w:kern w:val="0"/>
                <w:sz w:val="18"/>
                <w:szCs w:val="18"/>
                <w14:ligatures w14:val="none"/>
              </w:rPr>
              <w:t xml:space="preserve"> the commute on that day. No specific duration thresholds were defined.</w:t>
            </w:r>
          </w:p>
        </w:tc>
        <w:tc>
          <w:tcPr>
            <w:tcW w:w="922" w:type="dxa"/>
            <w:vAlign w:val="center"/>
          </w:tcPr>
          <w:p w14:paraId="3238AD5B"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Modeled as ordered frequency</w:t>
            </w:r>
          </w:p>
        </w:tc>
        <w:tc>
          <w:tcPr>
            <w:tcW w:w="900" w:type="dxa"/>
            <w:vAlign w:val="center"/>
          </w:tcPr>
          <w:p w14:paraId="435F4125"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Modeled as ordered frequency</w:t>
            </w:r>
          </w:p>
        </w:tc>
        <w:tc>
          <w:tcPr>
            <w:tcW w:w="1170" w:type="dxa"/>
            <w:vAlign w:val="center"/>
          </w:tcPr>
          <w:p w14:paraId="3852EE0D"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Yes</w:t>
            </w:r>
          </w:p>
        </w:tc>
        <w:tc>
          <w:tcPr>
            <w:tcW w:w="1620" w:type="dxa"/>
            <w:vAlign w:val="center"/>
          </w:tcPr>
          <w:p w14:paraId="608338BF"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c>
          <w:tcPr>
            <w:tcW w:w="1148" w:type="dxa"/>
            <w:vAlign w:val="center"/>
          </w:tcPr>
          <w:p w14:paraId="2524D0EE"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r>
      <w:tr w:rsidR="00BC197F" w:rsidRPr="00BC197F" w14:paraId="6A3339C4" w14:textId="77777777" w:rsidTr="009A5774">
        <w:trPr>
          <w:trHeight w:val="20"/>
          <w:jc w:val="center"/>
        </w:trPr>
        <w:tc>
          <w:tcPr>
            <w:tcW w:w="967" w:type="dxa"/>
            <w:tcBorders>
              <w:top w:val="single" w:sz="6" w:space="0" w:color="auto"/>
              <w:bottom w:val="single" w:sz="6" w:space="0" w:color="auto"/>
              <w:right w:val="single" w:sz="18" w:space="0" w:color="auto"/>
            </w:tcBorders>
            <w:shd w:val="clear" w:color="000000" w:fill="F5F5F5"/>
            <w:vAlign w:val="center"/>
            <w:hideMark/>
          </w:tcPr>
          <w:p w14:paraId="3160FDDA" w14:textId="77777777" w:rsidR="00BC197F" w:rsidRPr="00BC197F" w:rsidRDefault="00BC197F" w:rsidP="00487AF8">
            <w:pPr>
              <w:jc w:val="center"/>
              <w:rPr>
                <w:rFonts w:eastAsia="Times New Roman"/>
                <w:b/>
                <w:bCs/>
                <w:color w:val="000000"/>
                <w:kern w:val="0"/>
                <w:sz w:val="18"/>
                <w:szCs w:val="18"/>
                <w14:ligatures w14:val="none"/>
              </w:rPr>
            </w:pPr>
            <w:proofErr w:type="spellStart"/>
            <w:r w:rsidRPr="00BC197F">
              <w:rPr>
                <w:rFonts w:eastAsia="Times New Roman"/>
                <w:b/>
                <w:bCs/>
                <w:color w:val="000000"/>
                <w:kern w:val="0"/>
                <w:sz w:val="18"/>
                <w:szCs w:val="18"/>
                <w14:ligatures w14:val="none"/>
              </w:rPr>
              <w:t>Versigghel</w:t>
            </w:r>
            <w:proofErr w:type="spellEnd"/>
            <w:r w:rsidRPr="00BC197F">
              <w:rPr>
                <w:rFonts w:eastAsia="Times New Roman"/>
                <w:b/>
                <w:bCs/>
                <w:color w:val="000000"/>
                <w:kern w:val="0"/>
                <w:sz w:val="18"/>
                <w:szCs w:val="18"/>
                <w14:ligatures w14:val="none"/>
              </w:rPr>
              <w:t xml:space="preserve"> et al. (2025)</w:t>
            </w:r>
          </w:p>
        </w:tc>
        <w:tc>
          <w:tcPr>
            <w:tcW w:w="1530" w:type="dxa"/>
            <w:tcBorders>
              <w:left w:val="single" w:sz="18" w:space="0" w:color="auto"/>
            </w:tcBorders>
            <w:vAlign w:val="center"/>
            <w:hideMark/>
          </w:tcPr>
          <w:p w14:paraId="70F760EB"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 xml:space="preserve">Online survey in 2023 in </w:t>
            </w:r>
            <w:r w:rsidRPr="00BC197F">
              <w:rPr>
                <w:rFonts w:eastAsia="Times New Roman"/>
                <w:b/>
                <w:bCs/>
                <w:color w:val="000000"/>
                <w:kern w:val="0"/>
                <w:sz w:val="18"/>
                <w:szCs w:val="18"/>
                <w14:ligatures w14:val="none"/>
              </w:rPr>
              <w:t>East Flanders, Belgium</w:t>
            </w:r>
          </w:p>
        </w:tc>
        <w:tc>
          <w:tcPr>
            <w:tcW w:w="1080" w:type="dxa"/>
            <w:vAlign w:val="center"/>
          </w:tcPr>
          <w:p w14:paraId="5D4E1792"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Retrospective responses of typical telework choices on each day of the week</w:t>
            </w:r>
          </w:p>
        </w:tc>
        <w:tc>
          <w:tcPr>
            <w:tcW w:w="900" w:type="dxa"/>
            <w:vAlign w:val="center"/>
            <w:hideMark/>
          </w:tcPr>
          <w:p w14:paraId="17EB3427"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Seven-day reference week</w:t>
            </w:r>
          </w:p>
        </w:tc>
        <w:tc>
          <w:tcPr>
            <w:tcW w:w="3780" w:type="dxa"/>
            <w:vAlign w:val="center"/>
            <w:hideMark/>
          </w:tcPr>
          <w:p w14:paraId="353C762A"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Part-day telework was defined as performing paid work from home during work hours while also traveling to the workplace on the same day. No thresholds were defined but informal after-hours work was excluded (part- and full-day telework were combined into a total weekly telework frequency category for the main analysis).</w:t>
            </w:r>
          </w:p>
        </w:tc>
        <w:tc>
          <w:tcPr>
            <w:tcW w:w="1822" w:type="dxa"/>
            <w:gridSpan w:val="2"/>
            <w:vAlign w:val="center"/>
          </w:tcPr>
          <w:p w14:paraId="6B8DF35C"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Part-day and full-day telework combined and modeled as total frequency</w:t>
            </w:r>
          </w:p>
        </w:tc>
        <w:tc>
          <w:tcPr>
            <w:tcW w:w="1170" w:type="dxa"/>
            <w:vAlign w:val="center"/>
          </w:tcPr>
          <w:p w14:paraId="3FBE02EA"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c>
          <w:tcPr>
            <w:tcW w:w="1620" w:type="dxa"/>
            <w:vAlign w:val="center"/>
          </w:tcPr>
          <w:p w14:paraId="77829376"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c>
          <w:tcPr>
            <w:tcW w:w="1148" w:type="dxa"/>
            <w:vAlign w:val="center"/>
          </w:tcPr>
          <w:p w14:paraId="67600881"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No</w:t>
            </w:r>
          </w:p>
        </w:tc>
      </w:tr>
      <w:tr w:rsidR="00BC197F" w:rsidRPr="00BC197F" w14:paraId="6001D5E2" w14:textId="77777777" w:rsidTr="009A5774">
        <w:trPr>
          <w:trHeight w:val="20"/>
          <w:jc w:val="center"/>
        </w:trPr>
        <w:tc>
          <w:tcPr>
            <w:tcW w:w="967" w:type="dxa"/>
            <w:tcBorders>
              <w:top w:val="single" w:sz="6" w:space="0" w:color="auto"/>
              <w:bottom w:val="single" w:sz="18" w:space="0" w:color="auto"/>
              <w:right w:val="single" w:sz="18" w:space="0" w:color="auto"/>
            </w:tcBorders>
            <w:shd w:val="clear" w:color="000000" w:fill="F5F5F5"/>
            <w:vAlign w:val="center"/>
            <w:hideMark/>
          </w:tcPr>
          <w:p w14:paraId="4A3C0C8A" w14:textId="77777777" w:rsidR="00BC197F" w:rsidRPr="00BC197F" w:rsidRDefault="00BC197F" w:rsidP="00487AF8">
            <w:pPr>
              <w:jc w:val="center"/>
              <w:rPr>
                <w:rFonts w:eastAsia="Times New Roman"/>
                <w:b/>
                <w:bCs/>
                <w:color w:val="000000"/>
                <w:kern w:val="0"/>
                <w:sz w:val="18"/>
                <w:szCs w:val="18"/>
                <w14:ligatures w14:val="none"/>
              </w:rPr>
            </w:pPr>
            <w:r w:rsidRPr="00BC197F">
              <w:rPr>
                <w:rFonts w:eastAsia="Times New Roman"/>
                <w:b/>
                <w:bCs/>
                <w:color w:val="000000"/>
                <w:kern w:val="0"/>
                <w:sz w:val="18"/>
                <w:szCs w:val="18"/>
                <w14:ligatures w14:val="none"/>
              </w:rPr>
              <w:t>The Current Study</w:t>
            </w:r>
          </w:p>
        </w:tc>
        <w:tc>
          <w:tcPr>
            <w:tcW w:w="1530" w:type="dxa"/>
            <w:tcBorders>
              <w:left w:val="single" w:sz="18" w:space="0" w:color="auto"/>
            </w:tcBorders>
            <w:vAlign w:val="center"/>
            <w:hideMark/>
          </w:tcPr>
          <w:p w14:paraId="7CB9D907"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b/>
                <w:bCs/>
                <w:color w:val="000000"/>
                <w:kern w:val="0"/>
                <w:sz w:val="18"/>
                <w:szCs w:val="18"/>
                <w14:ligatures w14:val="none"/>
              </w:rPr>
              <w:t>Puget Sound, United States</w:t>
            </w:r>
            <w:r w:rsidRPr="00BC197F">
              <w:rPr>
                <w:rFonts w:eastAsia="Times New Roman"/>
                <w:color w:val="000000"/>
                <w:kern w:val="0"/>
                <w:sz w:val="18"/>
                <w:szCs w:val="18"/>
                <w14:ligatures w14:val="none"/>
              </w:rPr>
              <w:t xml:space="preserve"> Regional Household Travel Survey, 2023</w:t>
            </w:r>
          </w:p>
        </w:tc>
        <w:tc>
          <w:tcPr>
            <w:tcW w:w="1080" w:type="dxa"/>
            <w:vAlign w:val="center"/>
          </w:tcPr>
          <w:p w14:paraId="00C7EC04"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Travel diary</w:t>
            </w:r>
          </w:p>
        </w:tc>
        <w:tc>
          <w:tcPr>
            <w:tcW w:w="900" w:type="dxa"/>
            <w:vAlign w:val="center"/>
            <w:hideMark/>
          </w:tcPr>
          <w:p w14:paraId="10B5FC58"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Five-day diary</w:t>
            </w:r>
          </w:p>
        </w:tc>
        <w:tc>
          <w:tcPr>
            <w:tcW w:w="3780" w:type="dxa"/>
            <w:vAlign w:val="center"/>
            <w:hideMark/>
          </w:tcPr>
          <w:p w14:paraId="309E79DD"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Respondents are classified as engaging in part-day telework if they completed at least 30 minutes of telework (at home or a remote location) while also making a commute to their primary out-of-home workplace.</w:t>
            </w:r>
          </w:p>
        </w:tc>
        <w:tc>
          <w:tcPr>
            <w:tcW w:w="922" w:type="dxa"/>
            <w:vAlign w:val="center"/>
          </w:tcPr>
          <w:p w14:paraId="4AB5D39C"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Modeled as ordered frequency</w:t>
            </w:r>
          </w:p>
        </w:tc>
        <w:tc>
          <w:tcPr>
            <w:tcW w:w="900" w:type="dxa"/>
            <w:vAlign w:val="center"/>
          </w:tcPr>
          <w:p w14:paraId="3C83F255"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Modeled as ordered frequency</w:t>
            </w:r>
          </w:p>
        </w:tc>
        <w:tc>
          <w:tcPr>
            <w:tcW w:w="1170" w:type="dxa"/>
            <w:vAlign w:val="center"/>
          </w:tcPr>
          <w:p w14:paraId="2CF48331"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Yes</w:t>
            </w:r>
          </w:p>
        </w:tc>
        <w:tc>
          <w:tcPr>
            <w:tcW w:w="1620" w:type="dxa"/>
            <w:vAlign w:val="center"/>
          </w:tcPr>
          <w:p w14:paraId="3B59C040"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Yes</w:t>
            </w:r>
          </w:p>
        </w:tc>
        <w:tc>
          <w:tcPr>
            <w:tcW w:w="1148" w:type="dxa"/>
            <w:vAlign w:val="center"/>
          </w:tcPr>
          <w:p w14:paraId="7D311BBB" w14:textId="77777777" w:rsidR="00BC197F" w:rsidRPr="00BC197F" w:rsidRDefault="00BC197F" w:rsidP="00487AF8">
            <w:pPr>
              <w:jc w:val="center"/>
              <w:rPr>
                <w:rFonts w:eastAsia="Times New Roman"/>
                <w:color w:val="000000"/>
                <w:kern w:val="0"/>
                <w:sz w:val="18"/>
                <w:szCs w:val="18"/>
                <w14:ligatures w14:val="none"/>
              </w:rPr>
            </w:pPr>
            <w:r w:rsidRPr="00BC197F">
              <w:rPr>
                <w:rFonts w:eastAsia="Times New Roman"/>
                <w:color w:val="000000"/>
                <w:kern w:val="0"/>
                <w:sz w:val="18"/>
                <w:szCs w:val="18"/>
                <w14:ligatures w14:val="none"/>
              </w:rPr>
              <w:t>Yes</w:t>
            </w:r>
          </w:p>
        </w:tc>
      </w:tr>
    </w:tbl>
    <w:p w14:paraId="77D79A9C" w14:textId="613EFB2E" w:rsidR="001D6510" w:rsidRDefault="001D6510" w:rsidP="001D6510">
      <w:pPr>
        <w:rPr>
          <w:b/>
          <w:bCs/>
        </w:rPr>
      </w:pPr>
      <w:r w:rsidRPr="00A80760">
        <w:rPr>
          <w:b/>
          <w:bCs/>
        </w:rPr>
        <w:lastRenderedPageBreak/>
        <w:t xml:space="preserve">Table </w:t>
      </w:r>
      <w:r w:rsidR="00C50730">
        <w:rPr>
          <w:b/>
          <w:bCs/>
        </w:rPr>
        <w:t>2</w:t>
      </w:r>
      <w:r w:rsidRPr="00A80760">
        <w:rPr>
          <w:b/>
          <w:bCs/>
        </w:rPr>
        <w:t>: Frequency of Full-</w:t>
      </w:r>
      <w:r w:rsidR="00A563F5">
        <w:rPr>
          <w:b/>
          <w:bCs/>
        </w:rPr>
        <w:t>Day</w:t>
      </w:r>
      <w:r w:rsidRPr="00A80760">
        <w:rPr>
          <w:b/>
          <w:bCs/>
        </w:rPr>
        <w:t xml:space="preserve"> and Part-</w:t>
      </w:r>
      <w:r w:rsidR="00A563F5">
        <w:rPr>
          <w:b/>
          <w:bCs/>
        </w:rPr>
        <w:t>Day</w:t>
      </w:r>
      <w:r w:rsidRPr="00A80760">
        <w:rPr>
          <w:b/>
          <w:bCs/>
        </w:rPr>
        <w:t xml:space="preserve"> Telework Participation</w:t>
      </w:r>
    </w:p>
    <w:p w14:paraId="7CFA090E" w14:textId="77777777" w:rsidR="00A01A7E" w:rsidRDefault="00A01A7E" w:rsidP="001D6510">
      <w:pPr>
        <w:rPr>
          <w:b/>
          <w:bCs/>
        </w:rPr>
      </w:pPr>
    </w:p>
    <w:tbl>
      <w:tblPr>
        <w:tblW w:w="13276" w:type="dxa"/>
        <w:jc w:val="center"/>
        <w:tblBorders>
          <w:top w:val="single" w:sz="18" w:space="0" w:color="auto"/>
          <w:left w:val="single" w:sz="18" w:space="0" w:color="auto"/>
          <w:bottom w:val="single" w:sz="18" w:space="0" w:color="auto"/>
          <w:right w:val="single" w:sz="18" w:space="0" w:color="auto"/>
        </w:tblBorders>
        <w:tblCellMar>
          <w:left w:w="29" w:type="dxa"/>
          <w:right w:w="29" w:type="dxa"/>
        </w:tblCellMar>
        <w:tblLook w:val="04A0" w:firstRow="1" w:lastRow="0" w:firstColumn="1" w:lastColumn="0" w:noHBand="0" w:noVBand="1"/>
      </w:tblPr>
      <w:tblGrid>
        <w:gridCol w:w="1057"/>
        <w:gridCol w:w="1148"/>
        <w:gridCol w:w="922"/>
        <w:gridCol w:w="811"/>
        <w:gridCol w:w="1136"/>
        <w:gridCol w:w="680"/>
        <w:gridCol w:w="590"/>
        <w:gridCol w:w="707"/>
        <w:gridCol w:w="707"/>
        <w:gridCol w:w="707"/>
        <w:gridCol w:w="703"/>
        <w:gridCol w:w="667"/>
        <w:gridCol w:w="574"/>
        <w:gridCol w:w="707"/>
        <w:gridCol w:w="707"/>
        <w:gridCol w:w="707"/>
        <w:gridCol w:w="740"/>
        <w:gridCol w:w="6"/>
      </w:tblGrid>
      <w:tr w:rsidR="00D1715C" w:rsidRPr="00A01A7E" w14:paraId="4C917E79" w14:textId="77777777" w:rsidTr="00A44D63">
        <w:trPr>
          <w:gridAfter w:val="1"/>
          <w:wAfter w:w="6" w:type="dxa"/>
          <w:trHeight w:val="295"/>
          <w:jc w:val="center"/>
        </w:trPr>
        <w:tc>
          <w:tcPr>
            <w:tcW w:w="1057" w:type="dxa"/>
            <w:vMerge w:val="restart"/>
            <w:tcBorders>
              <w:top w:val="single" w:sz="18" w:space="0" w:color="auto"/>
              <w:left w:val="single" w:sz="18" w:space="0" w:color="auto"/>
              <w:right w:val="single" w:sz="18" w:space="0" w:color="auto"/>
            </w:tcBorders>
            <w:noWrap/>
            <w:vAlign w:val="center"/>
            <w:hideMark/>
          </w:tcPr>
          <w:p w14:paraId="3DEC59FB" w14:textId="4615C31C"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 xml:space="preserve">Number of </w:t>
            </w:r>
            <w:r>
              <w:rPr>
                <w:rFonts w:eastAsia="Times New Roman"/>
                <w:b/>
                <w:bCs/>
                <w:color w:val="000000"/>
                <w:kern w:val="0"/>
                <w:sz w:val="20"/>
                <w:szCs w:val="20"/>
                <w14:ligatures w14:val="none"/>
              </w:rPr>
              <w:t>W</w:t>
            </w:r>
            <w:r w:rsidRPr="00434267">
              <w:rPr>
                <w:rFonts w:eastAsia="Times New Roman"/>
                <w:b/>
                <w:bCs/>
                <w:color w:val="000000"/>
                <w:kern w:val="0"/>
                <w:sz w:val="20"/>
                <w:szCs w:val="20"/>
                <w14:ligatures w14:val="none"/>
              </w:rPr>
              <w:t>orking Days</w:t>
            </w:r>
          </w:p>
        </w:tc>
        <w:tc>
          <w:tcPr>
            <w:tcW w:w="1148" w:type="dxa"/>
            <w:vMerge w:val="restart"/>
            <w:tcBorders>
              <w:top w:val="single" w:sz="18" w:space="0" w:color="auto"/>
              <w:left w:val="single" w:sz="18" w:space="0" w:color="auto"/>
              <w:right w:val="single" w:sz="18" w:space="0" w:color="auto"/>
            </w:tcBorders>
            <w:noWrap/>
            <w:vAlign w:val="center"/>
            <w:hideMark/>
          </w:tcPr>
          <w:p w14:paraId="2F44C5BB"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Number of Respondents</w:t>
            </w:r>
          </w:p>
        </w:tc>
        <w:tc>
          <w:tcPr>
            <w:tcW w:w="1733" w:type="dxa"/>
            <w:gridSpan w:val="2"/>
            <w:tcBorders>
              <w:top w:val="single" w:sz="18" w:space="0" w:color="auto"/>
              <w:left w:val="single" w:sz="18" w:space="0" w:color="auto"/>
              <w:right w:val="single" w:sz="18" w:space="0" w:color="auto"/>
            </w:tcBorders>
            <w:vAlign w:val="center"/>
          </w:tcPr>
          <w:p w14:paraId="6CDB29E0" w14:textId="569FF0A8" w:rsidR="00D1715C" w:rsidRPr="00434267" w:rsidRDefault="00D1715C" w:rsidP="00D1715C">
            <w:pPr>
              <w:jc w:val="center"/>
              <w:rPr>
                <w:rFonts w:eastAsia="Times New Roman"/>
                <w:b/>
                <w:bCs/>
                <w:color w:val="000000"/>
                <w:kern w:val="0"/>
                <w:sz w:val="20"/>
                <w:szCs w:val="20"/>
                <w14:ligatures w14:val="none"/>
              </w:rPr>
            </w:pPr>
            <w:r>
              <w:rPr>
                <w:rFonts w:eastAsia="Times New Roman"/>
                <w:b/>
                <w:bCs/>
                <w:color w:val="000000"/>
                <w:kern w:val="0"/>
                <w:sz w:val="20"/>
                <w:szCs w:val="20"/>
                <w14:ligatures w14:val="none"/>
              </w:rPr>
              <w:t>Commute Distance</w:t>
            </w:r>
          </w:p>
        </w:tc>
        <w:tc>
          <w:tcPr>
            <w:tcW w:w="1136" w:type="dxa"/>
            <w:vMerge w:val="restart"/>
            <w:tcBorders>
              <w:top w:val="single" w:sz="18" w:space="0" w:color="auto"/>
              <w:left w:val="single" w:sz="18" w:space="0" w:color="auto"/>
              <w:right w:val="single" w:sz="18" w:space="0" w:color="auto"/>
            </w:tcBorders>
            <w:noWrap/>
            <w:vAlign w:val="center"/>
            <w:hideMark/>
          </w:tcPr>
          <w:p w14:paraId="7C625EB6" w14:textId="38B758EC" w:rsidR="00D1715C" w:rsidRPr="00434267" w:rsidRDefault="00D1715C" w:rsidP="00A01A7E">
            <w:pPr>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Percent</w:t>
            </w:r>
            <w:r>
              <w:rPr>
                <w:rFonts w:eastAsia="Times New Roman"/>
                <w:b/>
                <w:bCs/>
                <w:color w:val="000000"/>
                <w:kern w:val="0"/>
                <w:sz w:val="20"/>
                <w:szCs w:val="20"/>
                <w14:ligatures w14:val="none"/>
              </w:rPr>
              <w:t xml:space="preserve"> Teleworking  at least once</w:t>
            </w:r>
          </w:p>
        </w:tc>
        <w:tc>
          <w:tcPr>
            <w:tcW w:w="4094" w:type="dxa"/>
            <w:gridSpan w:val="6"/>
            <w:tcBorders>
              <w:top w:val="single" w:sz="18" w:space="0" w:color="auto"/>
              <w:left w:val="single" w:sz="18" w:space="0" w:color="auto"/>
              <w:bottom w:val="nil"/>
              <w:right w:val="single" w:sz="18" w:space="0" w:color="auto"/>
            </w:tcBorders>
            <w:noWrap/>
            <w:vAlign w:val="center"/>
            <w:hideMark/>
          </w:tcPr>
          <w:p w14:paraId="64D86CC4" w14:textId="640B5060"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 xml:space="preserve">Percent </w:t>
            </w:r>
            <w:r w:rsidR="00663D48">
              <w:rPr>
                <w:rFonts w:eastAsia="Times New Roman"/>
                <w:b/>
                <w:bCs/>
                <w:color w:val="000000"/>
                <w:kern w:val="0"/>
                <w:sz w:val="20"/>
                <w:szCs w:val="20"/>
                <w14:ligatures w14:val="none"/>
              </w:rPr>
              <w:t xml:space="preserve">(of Teleworkers) </w:t>
            </w:r>
            <w:r w:rsidRPr="00434267">
              <w:rPr>
                <w:rFonts w:eastAsia="Times New Roman"/>
                <w:b/>
                <w:bCs/>
                <w:color w:val="000000"/>
                <w:kern w:val="0"/>
                <w:sz w:val="20"/>
                <w:szCs w:val="20"/>
                <w14:ligatures w14:val="none"/>
              </w:rPr>
              <w:t xml:space="preserve">Choosing </w:t>
            </w:r>
            <w:r w:rsidR="002B1D68">
              <w:rPr>
                <w:rFonts w:eastAsia="Times New Roman"/>
                <w:b/>
                <w:bCs/>
                <w:color w:val="000000"/>
                <w:kern w:val="0"/>
                <w:sz w:val="20"/>
                <w:szCs w:val="20"/>
                <w14:ligatures w14:val="none"/>
              </w:rPr>
              <w:t>Full</w:t>
            </w:r>
            <w:r w:rsidRPr="00434267">
              <w:rPr>
                <w:rFonts w:eastAsia="Times New Roman"/>
                <w:b/>
                <w:bCs/>
                <w:color w:val="000000"/>
                <w:kern w:val="0"/>
                <w:sz w:val="20"/>
                <w:szCs w:val="20"/>
                <w14:ligatures w14:val="none"/>
              </w:rPr>
              <w:t>-Day Telework for:</w:t>
            </w:r>
          </w:p>
        </w:tc>
        <w:tc>
          <w:tcPr>
            <w:tcW w:w="4102" w:type="dxa"/>
            <w:gridSpan w:val="6"/>
            <w:tcBorders>
              <w:top w:val="single" w:sz="18" w:space="0" w:color="auto"/>
              <w:left w:val="single" w:sz="18" w:space="0" w:color="auto"/>
              <w:bottom w:val="nil"/>
              <w:right w:val="single" w:sz="18" w:space="0" w:color="auto"/>
            </w:tcBorders>
            <w:noWrap/>
            <w:vAlign w:val="center"/>
            <w:hideMark/>
          </w:tcPr>
          <w:p w14:paraId="5DD196C2" w14:textId="70A278EB"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 xml:space="preserve">Percent </w:t>
            </w:r>
            <w:r w:rsidR="00663D48">
              <w:rPr>
                <w:rFonts w:eastAsia="Times New Roman"/>
                <w:b/>
                <w:bCs/>
                <w:color w:val="000000"/>
                <w:kern w:val="0"/>
                <w:sz w:val="20"/>
                <w:szCs w:val="20"/>
                <w14:ligatures w14:val="none"/>
              </w:rPr>
              <w:t xml:space="preserve">(of Teleworkers) </w:t>
            </w:r>
            <w:r w:rsidRPr="00434267">
              <w:rPr>
                <w:rFonts w:eastAsia="Times New Roman"/>
                <w:b/>
                <w:bCs/>
                <w:color w:val="000000"/>
                <w:kern w:val="0"/>
                <w:sz w:val="20"/>
                <w:szCs w:val="20"/>
                <w14:ligatures w14:val="none"/>
              </w:rPr>
              <w:t xml:space="preserve">Choosing </w:t>
            </w:r>
            <w:r w:rsidR="002B1D68">
              <w:rPr>
                <w:rFonts w:eastAsia="Times New Roman"/>
                <w:b/>
                <w:bCs/>
                <w:color w:val="000000"/>
                <w:kern w:val="0"/>
                <w:sz w:val="20"/>
                <w:szCs w:val="20"/>
                <w14:ligatures w14:val="none"/>
              </w:rPr>
              <w:t>Part</w:t>
            </w:r>
            <w:r w:rsidRPr="00434267">
              <w:rPr>
                <w:rFonts w:eastAsia="Times New Roman"/>
                <w:b/>
                <w:bCs/>
                <w:color w:val="000000"/>
                <w:kern w:val="0"/>
                <w:sz w:val="20"/>
                <w:szCs w:val="20"/>
                <w14:ligatures w14:val="none"/>
              </w:rPr>
              <w:t>-Day Telework for:</w:t>
            </w:r>
          </w:p>
        </w:tc>
      </w:tr>
      <w:tr w:rsidR="00D1715C" w:rsidRPr="00A01A7E" w14:paraId="2FD83C0A" w14:textId="77777777" w:rsidTr="00A44D63">
        <w:trPr>
          <w:trHeight w:val="295"/>
          <w:jc w:val="center"/>
        </w:trPr>
        <w:tc>
          <w:tcPr>
            <w:tcW w:w="1057" w:type="dxa"/>
            <w:vMerge/>
            <w:tcBorders>
              <w:left w:val="single" w:sz="18" w:space="0" w:color="auto"/>
              <w:bottom w:val="single" w:sz="18" w:space="0" w:color="auto"/>
              <w:right w:val="single" w:sz="18" w:space="0" w:color="auto"/>
            </w:tcBorders>
            <w:noWrap/>
            <w:vAlign w:val="center"/>
            <w:hideMark/>
          </w:tcPr>
          <w:p w14:paraId="04ADB450"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p>
        </w:tc>
        <w:tc>
          <w:tcPr>
            <w:tcW w:w="1148" w:type="dxa"/>
            <w:vMerge/>
            <w:tcBorders>
              <w:left w:val="single" w:sz="18" w:space="0" w:color="auto"/>
              <w:bottom w:val="single" w:sz="18" w:space="0" w:color="auto"/>
              <w:right w:val="single" w:sz="18" w:space="0" w:color="auto"/>
            </w:tcBorders>
            <w:noWrap/>
            <w:vAlign w:val="center"/>
            <w:hideMark/>
          </w:tcPr>
          <w:p w14:paraId="16EB1810" w14:textId="77777777" w:rsidR="00D1715C" w:rsidRPr="00434267" w:rsidRDefault="00D1715C" w:rsidP="00A01A7E">
            <w:pPr>
              <w:suppressAutoHyphens w:val="0"/>
              <w:contextualSpacing w:val="0"/>
              <w:jc w:val="center"/>
              <w:rPr>
                <w:rFonts w:eastAsia="Times New Roman"/>
                <w:b/>
                <w:bCs/>
                <w:kern w:val="0"/>
                <w:sz w:val="20"/>
                <w:szCs w:val="20"/>
                <w14:ligatures w14:val="none"/>
              </w:rPr>
            </w:pPr>
          </w:p>
        </w:tc>
        <w:tc>
          <w:tcPr>
            <w:tcW w:w="922" w:type="dxa"/>
            <w:tcBorders>
              <w:left w:val="single" w:sz="18" w:space="0" w:color="auto"/>
              <w:bottom w:val="single" w:sz="18" w:space="0" w:color="auto"/>
              <w:right w:val="nil"/>
            </w:tcBorders>
            <w:vAlign w:val="center"/>
          </w:tcPr>
          <w:p w14:paraId="0303BF96" w14:textId="7EC45D03" w:rsidR="00D1715C" w:rsidRPr="00434267" w:rsidRDefault="00D1715C" w:rsidP="00D1715C">
            <w:pPr>
              <w:suppressAutoHyphens w:val="0"/>
              <w:contextualSpacing w:val="0"/>
              <w:jc w:val="center"/>
              <w:rPr>
                <w:rFonts w:eastAsia="Times New Roman"/>
                <w:b/>
                <w:bCs/>
                <w:color w:val="000000"/>
                <w:kern w:val="0"/>
                <w:sz w:val="20"/>
                <w:szCs w:val="20"/>
                <w14:ligatures w14:val="none"/>
              </w:rPr>
            </w:pPr>
            <w:r>
              <w:rPr>
                <w:rFonts w:eastAsia="Times New Roman"/>
                <w:b/>
                <w:bCs/>
                <w:color w:val="000000"/>
                <w:kern w:val="0"/>
                <w:sz w:val="20"/>
                <w:szCs w:val="20"/>
                <w14:ligatures w14:val="none"/>
              </w:rPr>
              <w:t>Mean</w:t>
            </w:r>
          </w:p>
        </w:tc>
        <w:tc>
          <w:tcPr>
            <w:tcW w:w="811" w:type="dxa"/>
            <w:tcBorders>
              <w:left w:val="nil"/>
              <w:bottom w:val="single" w:sz="18" w:space="0" w:color="auto"/>
              <w:right w:val="single" w:sz="18" w:space="0" w:color="auto"/>
            </w:tcBorders>
            <w:vAlign w:val="center"/>
          </w:tcPr>
          <w:p w14:paraId="18172E73" w14:textId="72B6C986" w:rsidR="00D1715C" w:rsidRPr="00434267" w:rsidRDefault="00D1715C" w:rsidP="00D1715C">
            <w:pPr>
              <w:suppressAutoHyphens w:val="0"/>
              <w:contextualSpacing w:val="0"/>
              <w:jc w:val="center"/>
              <w:rPr>
                <w:rFonts w:eastAsia="Times New Roman"/>
                <w:b/>
                <w:bCs/>
                <w:color w:val="000000"/>
                <w:kern w:val="0"/>
                <w:sz w:val="20"/>
                <w:szCs w:val="20"/>
                <w14:ligatures w14:val="none"/>
              </w:rPr>
            </w:pPr>
            <w:r>
              <w:rPr>
                <w:rFonts w:eastAsia="Times New Roman"/>
                <w:b/>
                <w:bCs/>
                <w:color w:val="000000"/>
                <w:kern w:val="0"/>
                <w:sz w:val="20"/>
                <w:szCs w:val="20"/>
                <w14:ligatures w14:val="none"/>
              </w:rPr>
              <w:t>Median</w:t>
            </w:r>
          </w:p>
        </w:tc>
        <w:tc>
          <w:tcPr>
            <w:tcW w:w="1136" w:type="dxa"/>
            <w:vMerge/>
            <w:tcBorders>
              <w:left w:val="single" w:sz="18" w:space="0" w:color="auto"/>
              <w:bottom w:val="single" w:sz="18" w:space="0" w:color="auto"/>
              <w:right w:val="single" w:sz="18" w:space="0" w:color="auto"/>
            </w:tcBorders>
            <w:noWrap/>
            <w:vAlign w:val="center"/>
            <w:hideMark/>
          </w:tcPr>
          <w:p w14:paraId="5406DDBA" w14:textId="5326F1CD" w:rsidR="00D1715C" w:rsidRPr="00434267" w:rsidRDefault="00D1715C" w:rsidP="00A01A7E">
            <w:pPr>
              <w:suppressAutoHyphens w:val="0"/>
              <w:contextualSpacing w:val="0"/>
              <w:jc w:val="center"/>
              <w:rPr>
                <w:rFonts w:eastAsia="Times New Roman"/>
                <w:b/>
                <w:bCs/>
                <w:color w:val="000000"/>
                <w:kern w:val="0"/>
                <w:sz w:val="20"/>
                <w:szCs w:val="20"/>
                <w14:ligatures w14:val="none"/>
              </w:rPr>
            </w:pPr>
          </w:p>
        </w:tc>
        <w:tc>
          <w:tcPr>
            <w:tcW w:w="680" w:type="dxa"/>
            <w:tcBorders>
              <w:top w:val="nil"/>
              <w:left w:val="single" w:sz="18" w:space="0" w:color="auto"/>
              <w:bottom w:val="single" w:sz="18" w:space="0" w:color="auto"/>
            </w:tcBorders>
            <w:noWrap/>
            <w:vAlign w:val="center"/>
            <w:hideMark/>
          </w:tcPr>
          <w:p w14:paraId="26750017"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0 Days</w:t>
            </w:r>
          </w:p>
        </w:tc>
        <w:tc>
          <w:tcPr>
            <w:tcW w:w="590" w:type="dxa"/>
            <w:tcBorders>
              <w:top w:val="nil"/>
              <w:bottom w:val="single" w:sz="18" w:space="0" w:color="auto"/>
            </w:tcBorders>
            <w:noWrap/>
            <w:vAlign w:val="center"/>
            <w:hideMark/>
          </w:tcPr>
          <w:p w14:paraId="71912BD3"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1 Day</w:t>
            </w:r>
          </w:p>
        </w:tc>
        <w:tc>
          <w:tcPr>
            <w:tcW w:w="707" w:type="dxa"/>
            <w:tcBorders>
              <w:top w:val="nil"/>
              <w:bottom w:val="single" w:sz="18" w:space="0" w:color="auto"/>
            </w:tcBorders>
            <w:noWrap/>
            <w:vAlign w:val="center"/>
            <w:hideMark/>
          </w:tcPr>
          <w:p w14:paraId="694B23B4"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2 Days</w:t>
            </w:r>
          </w:p>
        </w:tc>
        <w:tc>
          <w:tcPr>
            <w:tcW w:w="707" w:type="dxa"/>
            <w:tcBorders>
              <w:top w:val="nil"/>
              <w:bottom w:val="single" w:sz="18" w:space="0" w:color="auto"/>
            </w:tcBorders>
            <w:noWrap/>
            <w:vAlign w:val="center"/>
            <w:hideMark/>
          </w:tcPr>
          <w:p w14:paraId="02A59985" w14:textId="77777777" w:rsidR="00D1715C" w:rsidRPr="00434267" w:rsidRDefault="00D1715C" w:rsidP="00D1715C">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3 Days</w:t>
            </w:r>
          </w:p>
        </w:tc>
        <w:tc>
          <w:tcPr>
            <w:tcW w:w="707" w:type="dxa"/>
            <w:tcBorders>
              <w:top w:val="nil"/>
              <w:bottom w:val="single" w:sz="18" w:space="0" w:color="auto"/>
            </w:tcBorders>
            <w:noWrap/>
            <w:vAlign w:val="center"/>
            <w:hideMark/>
          </w:tcPr>
          <w:p w14:paraId="25FF30BA"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4 Days</w:t>
            </w:r>
          </w:p>
        </w:tc>
        <w:tc>
          <w:tcPr>
            <w:tcW w:w="703" w:type="dxa"/>
            <w:tcBorders>
              <w:top w:val="nil"/>
              <w:bottom w:val="single" w:sz="18" w:space="0" w:color="auto"/>
              <w:right w:val="single" w:sz="18" w:space="0" w:color="auto"/>
            </w:tcBorders>
            <w:noWrap/>
            <w:vAlign w:val="center"/>
            <w:hideMark/>
          </w:tcPr>
          <w:p w14:paraId="49FD05E5"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5 Days</w:t>
            </w:r>
          </w:p>
        </w:tc>
        <w:tc>
          <w:tcPr>
            <w:tcW w:w="667" w:type="dxa"/>
            <w:tcBorders>
              <w:top w:val="nil"/>
              <w:left w:val="single" w:sz="18" w:space="0" w:color="auto"/>
              <w:bottom w:val="single" w:sz="18" w:space="0" w:color="auto"/>
            </w:tcBorders>
            <w:noWrap/>
            <w:vAlign w:val="center"/>
            <w:hideMark/>
          </w:tcPr>
          <w:p w14:paraId="0AD80720"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0 Days</w:t>
            </w:r>
          </w:p>
        </w:tc>
        <w:tc>
          <w:tcPr>
            <w:tcW w:w="574" w:type="dxa"/>
            <w:tcBorders>
              <w:top w:val="nil"/>
              <w:bottom w:val="single" w:sz="18" w:space="0" w:color="auto"/>
            </w:tcBorders>
            <w:noWrap/>
            <w:vAlign w:val="center"/>
            <w:hideMark/>
          </w:tcPr>
          <w:p w14:paraId="1C95FD71"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1 Day</w:t>
            </w:r>
          </w:p>
        </w:tc>
        <w:tc>
          <w:tcPr>
            <w:tcW w:w="707" w:type="dxa"/>
            <w:tcBorders>
              <w:top w:val="nil"/>
              <w:bottom w:val="single" w:sz="18" w:space="0" w:color="auto"/>
            </w:tcBorders>
            <w:noWrap/>
            <w:vAlign w:val="center"/>
            <w:hideMark/>
          </w:tcPr>
          <w:p w14:paraId="41288EF9"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2 Days</w:t>
            </w:r>
          </w:p>
        </w:tc>
        <w:tc>
          <w:tcPr>
            <w:tcW w:w="707" w:type="dxa"/>
            <w:tcBorders>
              <w:top w:val="nil"/>
              <w:bottom w:val="single" w:sz="18" w:space="0" w:color="auto"/>
            </w:tcBorders>
            <w:noWrap/>
            <w:vAlign w:val="center"/>
            <w:hideMark/>
          </w:tcPr>
          <w:p w14:paraId="4C01C5C4"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3 Days</w:t>
            </w:r>
          </w:p>
        </w:tc>
        <w:tc>
          <w:tcPr>
            <w:tcW w:w="707" w:type="dxa"/>
            <w:tcBorders>
              <w:top w:val="nil"/>
              <w:bottom w:val="single" w:sz="18" w:space="0" w:color="auto"/>
            </w:tcBorders>
            <w:noWrap/>
            <w:vAlign w:val="center"/>
            <w:hideMark/>
          </w:tcPr>
          <w:p w14:paraId="7B0CCBD6"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4 Days</w:t>
            </w:r>
          </w:p>
        </w:tc>
        <w:tc>
          <w:tcPr>
            <w:tcW w:w="746" w:type="dxa"/>
            <w:gridSpan w:val="2"/>
            <w:tcBorders>
              <w:top w:val="nil"/>
              <w:bottom w:val="single" w:sz="18" w:space="0" w:color="auto"/>
              <w:right w:val="single" w:sz="18" w:space="0" w:color="auto"/>
            </w:tcBorders>
            <w:noWrap/>
            <w:vAlign w:val="center"/>
            <w:hideMark/>
          </w:tcPr>
          <w:p w14:paraId="34F4D691" w14:textId="77777777" w:rsidR="00D1715C" w:rsidRPr="00434267" w:rsidRDefault="00D1715C" w:rsidP="00A01A7E">
            <w:pPr>
              <w:suppressAutoHyphens w:val="0"/>
              <w:contextualSpacing w:val="0"/>
              <w:jc w:val="center"/>
              <w:rPr>
                <w:rFonts w:eastAsia="Times New Roman"/>
                <w:b/>
                <w:bCs/>
                <w:color w:val="000000"/>
                <w:kern w:val="0"/>
                <w:sz w:val="20"/>
                <w:szCs w:val="20"/>
                <w14:ligatures w14:val="none"/>
              </w:rPr>
            </w:pPr>
            <w:r w:rsidRPr="00434267">
              <w:rPr>
                <w:rFonts w:eastAsia="Times New Roman"/>
                <w:b/>
                <w:bCs/>
                <w:color w:val="000000"/>
                <w:kern w:val="0"/>
                <w:sz w:val="20"/>
                <w:szCs w:val="20"/>
                <w14:ligatures w14:val="none"/>
              </w:rPr>
              <w:t>5 Days</w:t>
            </w:r>
          </w:p>
        </w:tc>
      </w:tr>
      <w:tr w:rsidR="002B7A2F" w:rsidRPr="00A01A7E" w14:paraId="7CD85480" w14:textId="77777777" w:rsidTr="002B7A2F">
        <w:trPr>
          <w:trHeight w:val="295"/>
          <w:jc w:val="center"/>
        </w:trPr>
        <w:tc>
          <w:tcPr>
            <w:tcW w:w="1057" w:type="dxa"/>
            <w:tcBorders>
              <w:top w:val="single" w:sz="18" w:space="0" w:color="auto"/>
              <w:left w:val="single" w:sz="18" w:space="0" w:color="auto"/>
              <w:bottom w:val="nil"/>
              <w:right w:val="single" w:sz="18" w:space="0" w:color="auto"/>
            </w:tcBorders>
            <w:noWrap/>
            <w:vAlign w:val="center"/>
            <w:hideMark/>
          </w:tcPr>
          <w:p w14:paraId="15840A6D" w14:textId="77777777"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3</w:t>
            </w:r>
          </w:p>
        </w:tc>
        <w:tc>
          <w:tcPr>
            <w:tcW w:w="1148" w:type="dxa"/>
            <w:tcBorders>
              <w:top w:val="single" w:sz="18" w:space="0" w:color="auto"/>
              <w:left w:val="single" w:sz="18" w:space="0" w:color="auto"/>
              <w:right w:val="single" w:sz="18" w:space="0" w:color="auto"/>
            </w:tcBorders>
            <w:noWrap/>
            <w:vAlign w:val="center"/>
            <w:hideMark/>
          </w:tcPr>
          <w:p w14:paraId="0590B352" w14:textId="77777777"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107</w:t>
            </w:r>
          </w:p>
        </w:tc>
        <w:tc>
          <w:tcPr>
            <w:tcW w:w="922" w:type="dxa"/>
            <w:tcBorders>
              <w:top w:val="single" w:sz="18" w:space="0" w:color="auto"/>
              <w:left w:val="single" w:sz="18" w:space="0" w:color="auto"/>
              <w:right w:val="nil"/>
            </w:tcBorders>
            <w:vAlign w:val="center"/>
          </w:tcPr>
          <w:p w14:paraId="3B6099B3" w14:textId="2A9A7970"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D90D39">
              <w:rPr>
                <w:color w:val="000000"/>
                <w:sz w:val="20"/>
                <w:szCs w:val="20"/>
              </w:rPr>
              <w:t>8.53</w:t>
            </w:r>
          </w:p>
        </w:tc>
        <w:tc>
          <w:tcPr>
            <w:tcW w:w="811" w:type="dxa"/>
            <w:tcBorders>
              <w:top w:val="single" w:sz="18" w:space="0" w:color="auto"/>
              <w:left w:val="nil"/>
              <w:right w:val="single" w:sz="18" w:space="0" w:color="auto"/>
            </w:tcBorders>
            <w:vAlign w:val="center"/>
          </w:tcPr>
          <w:p w14:paraId="65B7FF8C" w14:textId="033177E9"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D90D39">
              <w:rPr>
                <w:color w:val="000000"/>
                <w:sz w:val="20"/>
                <w:szCs w:val="20"/>
              </w:rPr>
              <w:t>5.87</w:t>
            </w:r>
          </w:p>
        </w:tc>
        <w:tc>
          <w:tcPr>
            <w:tcW w:w="1136" w:type="dxa"/>
            <w:tcBorders>
              <w:top w:val="single" w:sz="18" w:space="0" w:color="auto"/>
              <w:left w:val="single" w:sz="18" w:space="0" w:color="auto"/>
              <w:right w:val="single" w:sz="18" w:space="0" w:color="auto"/>
            </w:tcBorders>
            <w:noWrap/>
            <w:vAlign w:val="center"/>
            <w:hideMark/>
          </w:tcPr>
          <w:p w14:paraId="1B3BFB5A" w14:textId="083EA120"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49.5</w:t>
            </w:r>
          </w:p>
        </w:tc>
        <w:tc>
          <w:tcPr>
            <w:tcW w:w="680" w:type="dxa"/>
            <w:tcBorders>
              <w:top w:val="single" w:sz="18" w:space="0" w:color="auto"/>
              <w:left w:val="single" w:sz="18" w:space="0" w:color="auto"/>
            </w:tcBorders>
            <w:noWrap/>
            <w:vAlign w:val="center"/>
            <w:hideMark/>
          </w:tcPr>
          <w:p w14:paraId="672665C3" w14:textId="65278CBE"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30.2</w:t>
            </w:r>
          </w:p>
        </w:tc>
        <w:tc>
          <w:tcPr>
            <w:tcW w:w="590" w:type="dxa"/>
            <w:tcBorders>
              <w:top w:val="single" w:sz="18" w:space="0" w:color="auto"/>
            </w:tcBorders>
            <w:noWrap/>
            <w:vAlign w:val="center"/>
            <w:hideMark/>
          </w:tcPr>
          <w:p w14:paraId="471AE147" w14:textId="304F48BB"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22.6</w:t>
            </w:r>
          </w:p>
        </w:tc>
        <w:tc>
          <w:tcPr>
            <w:tcW w:w="707" w:type="dxa"/>
            <w:tcBorders>
              <w:top w:val="single" w:sz="18" w:space="0" w:color="auto"/>
            </w:tcBorders>
            <w:noWrap/>
            <w:vAlign w:val="center"/>
            <w:hideMark/>
          </w:tcPr>
          <w:p w14:paraId="6D4128CC" w14:textId="36DB9BBE"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13.2</w:t>
            </w:r>
          </w:p>
        </w:tc>
        <w:tc>
          <w:tcPr>
            <w:tcW w:w="707" w:type="dxa"/>
            <w:tcBorders>
              <w:top w:val="single" w:sz="18" w:space="0" w:color="auto"/>
            </w:tcBorders>
            <w:noWrap/>
            <w:vAlign w:val="center"/>
            <w:hideMark/>
          </w:tcPr>
          <w:p w14:paraId="77C7094D" w14:textId="73977432"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34.0</w:t>
            </w:r>
          </w:p>
        </w:tc>
        <w:tc>
          <w:tcPr>
            <w:tcW w:w="707" w:type="dxa"/>
            <w:tcBorders>
              <w:top w:val="single" w:sz="18" w:space="0" w:color="auto"/>
            </w:tcBorders>
            <w:noWrap/>
            <w:vAlign w:val="center"/>
            <w:hideMark/>
          </w:tcPr>
          <w:p w14:paraId="29BCBE18" w14:textId="3881F991"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w:t>
            </w:r>
          </w:p>
        </w:tc>
        <w:tc>
          <w:tcPr>
            <w:tcW w:w="703" w:type="dxa"/>
            <w:tcBorders>
              <w:top w:val="single" w:sz="18" w:space="0" w:color="auto"/>
              <w:right w:val="single" w:sz="18" w:space="0" w:color="auto"/>
            </w:tcBorders>
            <w:noWrap/>
            <w:vAlign w:val="center"/>
            <w:hideMark/>
          </w:tcPr>
          <w:p w14:paraId="48D56095" w14:textId="7E323A74"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w:t>
            </w:r>
          </w:p>
        </w:tc>
        <w:tc>
          <w:tcPr>
            <w:tcW w:w="667" w:type="dxa"/>
            <w:tcBorders>
              <w:top w:val="single" w:sz="18" w:space="0" w:color="auto"/>
              <w:left w:val="single" w:sz="18" w:space="0" w:color="auto"/>
            </w:tcBorders>
            <w:noWrap/>
            <w:vAlign w:val="center"/>
            <w:hideMark/>
          </w:tcPr>
          <w:p w14:paraId="3CE70101" w14:textId="58AC7E3B"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47.2</w:t>
            </w:r>
          </w:p>
        </w:tc>
        <w:tc>
          <w:tcPr>
            <w:tcW w:w="574" w:type="dxa"/>
            <w:tcBorders>
              <w:top w:val="single" w:sz="18" w:space="0" w:color="auto"/>
            </w:tcBorders>
            <w:noWrap/>
            <w:vAlign w:val="center"/>
            <w:hideMark/>
          </w:tcPr>
          <w:p w14:paraId="051E6B25" w14:textId="26BEB291"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34.0</w:t>
            </w:r>
          </w:p>
        </w:tc>
        <w:tc>
          <w:tcPr>
            <w:tcW w:w="707" w:type="dxa"/>
            <w:tcBorders>
              <w:top w:val="single" w:sz="18" w:space="0" w:color="auto"/>
            </w:tcBorders>
            <w:noWrap/>
            <w:vAlign w:val="center"/>
            <w:hideMark/>
          </w:tcPr>
          <w:p w14:paraId="7B010D81" w14:textId="189044E0"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7.5</w:t>
            </w:r>
          </w:p>
        </w:tc>
        <w:tc>
          <w:tcPr>
            <w:tcW w:w="707" w:type="dxa"/>
            <w:tcBorders>
              <w:top w:val="single" w:sz="18" w:space="0" w:color="auto"/>
            </w:tcBorders>
            <w:noWrap/>
            <w:vAlign w:val="center"/>
            <w:hideMark/>
          </w:tcPr>
          <w:p w14:paraId="72700E5D" w14:textId="60261985"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11.3</w:t>
            </w:r>
          </w:p>
        </w:tc>
        <w:tc>
          <w:tcPr>
            <w:tcW w:w="707" w:type="dxa"/>
            <w:tcBorders>
              <w:top w:val="single" w:sz="18" w:space="0" w:color="auto"/>
            </w:tcBorders>
            <w:noWrap/>
            <w:vAlign w:val="center"/>
            <w:hideMark/>
          </w:tcPr>
          <w:p w14:paraId="4FE3F368" w14:textId="2165DD27"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w:t>
            </w:r>
          </w:p>
        </w:tc>
        <w:tc>
          <w:tcPr>
            <w:tcW w:w="746" w:type="dxa"/>
            <w:gridSpan w:val="2"/>
            <w:tcBorders>
              <w:top w:val="single" w:sz="18" w:space="0" w:color="auto"/>
              <w:right w:val="single" w:sz="18" w:space="0" w:color="auto"/>
            </w:tcBorders>
            <w:noWrap/>
            <w:vAlign w:val="center"/>
            <w:hideMark/>
          </w:tcPr>
          <w:p w14:paraId="76FDACBA" w14:textId="7575489C"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w:t>
            </w:r>
          </w:p>
        </w:tc>
      </w:tr>
      <w:tr w:rsidR="002B7A2F" w:rsidRPr="00A01A7E" w14:paraId="1A6E55A4" w14:textId="77777777" w:rsidTr="002B7A2F">
        <w:trPr>
          <w:trHeight w:val="295"/>
          <w:jc w:val="center"/>
        </w:trPr>
        <w:tc>
          <w:tcPr>
            <w:tcW w:w="1057" w:type="dxa"/>
            <w:tcBorders>
              <w:top w:val="nil"/>
              <w:left w:val="single" w:sz="18" w:space="0" w:color="auto"/>
              <w:bottom w:val="nil"/>
              <w:right w:val="single" w:sz="18" w:space="0" w:color="auto"/>
            </w:tcBorders>
            <w:noWrap/>
            <w:vAlign w:val="center"/>
            <w:hideMark/>
          </w:tcPr>
          <w:p w14:paraId="122EB94D" w14:textId="77777777"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4</w:t>
            </w:r>
          </w:p>
        </w:tc>
        <w:tc>
          <w:tcPr>
            <w:tcW w:w="1148" w:type="dxa"/>
            <w:tcBorders>
              <w:left w:val="single" w:sz="18" w:space="0" w:color="auto"/>
              <w:bottom w:val="nil"/>
              <w:right w:val="single" w:sz="18" w:space="0" w:color="auto"/>
            </w:tcBorders>
            <w:noWrap/>
            <w:vAlign w:val="center"/>
            <w:hideMark/>
          </w:tcPr>
          <w:p w14:paraId="258769C2" w14:textId="77777777"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193</w:t>
            </w:r>
          </w:p>
        </w:tc>
        <w:tc>
          <w:tcPr>
            <w:tcW w:w="922" w:type="dxa"/>
            <w:tcBorders>
              <w:left w:val="single" w:sz="18" w:space="0" w:color="auto"/>
              <w:bottom w:val="nil"/>
              <w:right w:val="nil"/>
            </w:tcBorders>
            <w:vAlign w:val="center"/>
          </w:tcPr>
          <w:p w14:paraId="64F31FDD" w14:textId="1BD1DE4B"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D90D39">
              <w:rPr>
                <w:color w:val="000000"/>
                <w:sz w:val="20"/>
                <w:szCs w:val="20"/>
              </w:rPr>
              <w:t>9.31</w:t>
            </w:r>
          </w:p>
        </w:tc>
        <w:tc>
          <w:tcPr>
            <w:tcW w:w="811" w:type="dxa"/>
            <w:tcBorders>
              <w:left w:val="nil"/>
              <w:bottom w:val="nil"/>
              <w:right w:val="single" w:sz="18" w:space="0" w:color="auto"/>
            </w:tcBorders>
            <w:vAlign w:val="center"/>
          </w:tcPr>
          <w:p w14:paraId="631E490C" w14:textId="5D49A303"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D90D39">
              <w:rPr>
                <w:color w:val="000000"/>
                <w:sz w:val="20"/>
                <w:szCs w:val="20"/>
              </w:rPr>
              <w:t>6.11</w:t>
            </w:r>
          </w:p>
        </w:tc>
        <w:tc>
          <w:tcPr>
            <w:tcW w:w="1136" w:type="dxa"/>
            <w:tcBorders>
              <w:left w:val="single" w:sz="18" w:space="0" w:color="auto"/>
              <w:bottom w:val="nil"/>
              <w:right w:val="single" w:sz="18" w:space="0" w:color="auto"/>
            </w:tcBorders>
            <w:noWrap/>
            <w:vAlign w:val="center"/>
            <w:hideMark/>
          </w:tcPr>
          <w:p w14:paraId="56F10673" w14:textId="28DDE170"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64.8</w:t>
            </w:r>
          </w:p>
        </w:tc>
        <w:tc>
          <w:tcPr>
            <w:tcW w:w="680" w:type="dxa"/>
            <w:tcBorders>
              <w:left w:val="single" w:sz="18" w:space="0" w:color="auto"/>
              <w:bottom w:val="nil"/>
            </w:tcBorders>
            <w:noWrap/>
            <w:vAlign w:val="center"/>
            <w:hideMark/>
          </w:tcPr>
          <w:p w14:paraId="779154D9" w14:textId="32F7E1BC"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18.4</w:t>
            </w:r>
          </w:p>
        </w:tc>
        <w:tc>
          <w:tcPr>
            <w:tcW w:w="590" w:type="dxa"/>
            <w:tcBorders>
              <w:bottom w:val="nil"/>
            </w:tcBorders>
            <w:noWrap/>
            <w:vAlign w:val="center"/>
            <w:hideMark/>
          </w:tcPr>
          <w:p w14:paraId="1D70F854" w14:textId="717DAB35"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18.4</w:t>
            </w:r>
          </w:p>
        </w:tc>
        <w:tc>
          <w:tcPr>
            <w:tcW w:w="707" w:type="dxa"/>
            <w:tcBorders>
              <w:bottom w:val="nil"/>
            </w:tcBorders>
            <w:noWrap/>
            <w:vAlign w:val="center"/>
            <w:hideMark/>
          </w:tcPr>
          <w:p w14:paraId="11F36CC9" w14:textId="03F19B1F"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15.2</w:t>
            </w:r>
          </w:p>
        </w:tc>
        <w:tc>
          <w:tcPr>
            <w:tcW w:w="707" w:type="dxa"/>
            <w:tcBorders>
              <w:bottom w:val="nil"/>
            </w:tcBorders>
            <w:noWrap/>
            <w:vAlign w:val="center"/>
            <w:hideMark/>
          </w:tcPr>
          <w:p w14:paraId="42A10C53" w14:textId="2103CB32"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13.6</w:t>
            </w:r>
          </w:p>
        </w:tc>
        <w:tc>
          <w:tcPr>
            <w:tcW w:w="707" w:type="dxa"/>
            <w:tcBorders>
              <w:bottom w:val="nil"/>
            </w:tcBorders>
            <w:noWrap/>
            <w:vAlign w:val="center"/>
            <w:hideMark/>
          </w:tcPr>
          <w:p w14:paraId="3762938F" w14:textId="21C530C8"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34.4</w:t>
            </w:r>
          </w:p>
        </w:tc>
        <w:tc>
          <w:tcPr>
            <w:tcW w:w="703" w:type="dxa"/>
            <w:tcBorders>
              <w:bottom w:val="nil"/>
              <w:right w:val="single" w:sz="18" w:space="0" w:color="auto"/>
            </w:tcBorders>
            <w:noWrap/>
            <w:vAlign w:val="center"/>
            <w:hideMark/>
          </w:tcPr>
          <w:p w14:paraId="5BC3B2C2" w14:textId="67F97551"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w:t>
            </w:r>
          </w:p>
        </w:tc>
        <w:tc>
          <w:tcPr>
            <w:tcW w:w="667" w:type="dxa"/>
            <w:tcBorders>
              <w:left w:val="single" w:sz="18" w:space="0" w:color="auto"/>
              <w:bottom w:val="nil"/>
            </w:tcBorders>
            <w:noWrap/>
            <w:vAlign w:val="center"/>
            <w:hideMark/>
          </w:tcPr>
          <w:p w14:paraId="7DADA632" w14:textId="717BA699"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53.6</w:t>
            </w:r>
          </w:p>
        </w:tc>
        <w:tc>
          <w:tcPr>
            <w:tcW w:w="574" w:type="dxa"/>
            <w:tcBorders>
              <w:bottom w:val="nil"/>
            </w:tcBorders>
            <w:noWrap/>
            <w:vAlign w:val="center"/>
            <w:hideMark/>
          </w:tcPr>
          <w:p w14:paraId="09CDD7AF" w14:textId="05AE11F3"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20.8</w:t>
            </w:r>
          </w:p>
        </w:tc>
        <w:tc>
          <w:tcPr>
            <w:tcW w:w="707" w:type="dxa"/>
            <w:tcBorders>
              <w:bottom w:val="nil"/>
            </w:tcBorders>
            <w:noWrap/>
            <w:vAlign w:val="center"/>
            <w:hideMark/>
          </w:tcPr>
          <w:p w14:paraId="38D81071" w14:textId="6CAA49BE"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10.4</w:t>
            </w:r>
          </w:p>
        </w:tc>
        <w:tc>
          <w:tcPr>
            <w:tcW w:w="707" w:type="dxa"/>
            <w:tcBorders>
              <w:bottom w:val="nil"/>
            </w:tcBorders>
            <w:noWrap/>
            <w:vAlign w:val="center"/>
            <w:hideMark/>
          </w:tcPr>
          <w:p w14:paraId="53FB9DE9" w14:textId="1D7370D6"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8.8</w:t>
            </w:r>
          </w:p>
        </w:tc>
        <w:tc>
          <w:tcPr>
            <w:tcW w:w="707" w:type="dxa"/>
            <w:tcBorders>
              <w:bottom w:val="nil"/>
            </w:tcBorders>
            <w:noWrap/>
            <w:vAlign w:val="center"/>
            <w:hideMark/>
          </w:tcPr>
          <w:p w14:paraId="76E5CBD5" w14:textId="0CA12C36"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6.4</w:t>
            </w:r>
          </w:p>
        </w:tc>
        <w:tc>
          <w:tcPr>
            <w:tcW w:w="746" w:type="dxa"/>
            <w:gridSpan w:val="2"/>
            <w:tcBorders>
              <w:bottom w:val="nil"/>
              <w:right w:val="single" w:sz="18" w:space="0" w:color="auto"/>
            </w:tcBorders>
            <w:noWrap/>
            <w:vAlign w:val="center"/>
            <w:hideMark/>
          </w:tcPr>
          <w:p w14:paraId="68C9A290" w14:textId="2F6F91A4"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w:t>
            </w:r>
          </w:p>
        </w:tc>
      </w:tr>
      <w:tr w:rsidR="00731AD1" w:rsidRPr="00A01A7E" w14:paraId="7E866183" w14:textId="77777777" w:rsidTr="00F4420E">
        <w:trPr>
          <w:trHeight w:val="295"/>
          <w:jc w:val="center"/>
        </w:trPr>
        <w:tc>
          <w:tcPr>
            <w:tcW w:w="1057" w:type="dxa"/>
            <w:tcBorders>
              <w:top w:val="nil"/>
              <w:left w:val="single" w:sz="18" w:space="0" w:color="auto"/>
              <w:bottom w:val="single" w:sz="6" w:space="0" w:color="auto"/>
              <w:right w:val="single" w:sz="18" w:space="0" w:color="auto"/>
            </w:tcBorders>
            <w:noWrap/>
            <w:vAlign w:val="center"/>
            <w:hideMark/>
          </w:tcPr>
          <w:p w14:paraId="15D83A90" w14:textId="77777777" w:rsidR="00731AD1" w:rsidRPr="00A01A7E" w:rsidRDefault="00731AD1" w:rsidP="00731AD1">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5</w:t>
            </w:r>
          </w:p>
        </w:tc>
        <w:tc>
          <w:tcPr>
            <w:tcW w:w="1148" w:type="dxa"/>
            <w:tcBorders>
              <w:top w:val="nil"/>
              <w:left w:val="single" w:sz="18" w:space="0" w:color="auto"/>
              <w:bottom w:val="single" w:sz="6" w:space="0" w:color="auto"/>
              <w:right w:val="single" w:sz="18" w:space="0" w:color="auto"/>
            </w:tcBorders>
            <w:noWrap/>
            <w:vAlign w:val="center"/>
            <w:hideMark/>
          </w:tcPr>
          <w:p w14:paraId="234B72D1" w14:textId="77777777" w:rsidR="00731AD1" w:rsidRPr="00A01A7E" w:rsidRDefault="00731AD1" w:rsidP="00731AD1">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399</w:t>
            </w:r>
          </w:p>
        </w:tc>
        <w:tc>
          <w:tcPr>
            <w:tcW w:w="922" w:type="dxa"/>
            <w:tcBorders>
              <w:top w:val="nil"/>
              <w:left w:val="single" w:sz="18" w:space="0" w:color="auto"/>
              <w:bottom w:val="single" w:sz="6" w:space="0" w:color="auto"/>
              <w:right w:val="nil"/>
            </w:tcBorders>
            <w:vAlign w:val="center"/>
          </w:tcPr>
          <w:p w14:paraId="04DA338B" w14:textId="6CFF8AAC" w:rsidR="00731AD1" w:rsidRPr="00A01A7E" w:rsidRDefault="00731AD1" w:rsidP="00731AD1">
            <w:pPr>
              <w:suppressAutoHyphens w:val="0"/>
              <w:contextualSpacing w:val="0"/>
              <w:jc w:val="center"/>
              <w:rPr>
                <w:rFonts w:eastAsia="Times New Roman"/>
                <w:color w:val="000000"/>
                <w:kern w:val="0"/>
                <w:sz w:val="20"/>
                <w:szCs w:val="20"/>
                <w14:ligatures w14:val="none"/>
              </w:rPr>
            </w:pPr>
            <w:r w:rsidRPr="00D90D39">
              <w:rPr>
                <w:color w:val="000000"/>
                <w:sz w:val="20"/>
                <w:szCs w:val="20"/>
              </w:rPr>
              <w:t>9.01</w:t>
            </w:r>
          </w:p>
        </w:tc>
        <w:tc>
          <w:tcPr>
            <w:tcW w:w="811" w:type="dxa"/>
            <w:tcBorders>
              <w:top w:val="nil"/>
              <w:left w:val="nil"/>
              <w:bottom w:val="single" w:sz="6" w:space="0" w:color="auto"/>
              <w:right w:val="single" w:sz="18" w:space="0" w:color="auto"/>
            </w:tcBorders>
            <w:vAlign w:val="center"/>
          </w:tcPr>
          <w:p w14:paraId="5C733A36" w14:textId="2277C77F" w:rsidR="00731AD1" w:rsidRPr="00A01A7E" w:rsidRDefault="00731AD1" w:rsidP="00731AD1">
            <w:pPr>
              <w:suppressAutoHyphens w:val="0"/>
              <w:contextualSpacing w:val="0"/>
              <w:jc w:val="center"/>
              <w:rPr>
                <w:rFonts w:eastAsia="Times New Roman"/>
                <w:color w:val="000000"/>
                <w:kern w:val="0"/>
                <w:sz w:val="20"/>
                <w:szCs w:val="20"/>
                <w14:ligatures w14:val="none"/>
              </w:rPr>
            </w:pPr>
            <w:r w:rsidRPr="00D90D39">
              <w:rPr>
                <w:color w:val="000000"/>
                <w:sz w:val="20"/>
                <w:szCs w:val="20"/>
              </w:rPr>
              <w:t>6.28</w:t>
            </w:r>
          </w:p>
        </w:tc>
        <w:tc>
          <w:tcPr>
            <w:tcW w:w="1136" w:type="dxa"/>
            <w:tcBorders>
              <w:top w:val="nil"/>
              <w:left w:val="single" w:sz="18" w:space="0" w:color="auto"/>
              <w:bottom w:val="single" w:sz="6" w:space="0" w:color="auto"/>
              <w:right w:val="single" w:sz="18" w:space="0" w:color="auto"/>
            </w:tcBorders>
            <w:noWrap/>
            <w:vAlign w:val="center"/>
            <w:hideMark/>
          </w:tcPr>
          <w:p w14:paraId="208080DD" w14:textId="333D9468" w:rsidR="00731AD1" w:rsidRPr="00A01A7E" w:rsidRDefault="00731AD1" w:rsidP="00731AD1">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81.2</w:t>
            </w:r>
          </w:p>
        </w:tc>
        <w:tc>
          <w:tcPr>
            <w:tcW w:w="680" w:type="dxa"/>
            <w:tcBorders>
              <w:top w:val="nil"/>
              <w:left w:val="single" w:sz="18" w:space="0" w:color="auto"/>
              <w:bottom w:val="single" w:sz="6" w:space="0" w:color="auto"/>
            </w:tcBorders>
            <w:noWrap/>
            <w:vAlign w:val="bottom"/>
            <w:hideMark/>
          </w:tcPr>
          <w:p w14:paraId="7CDC55F4" w14:textId="72BC3EA6" w:rsidR="00731AD1" w:rsidRPr="00731AD1"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731AD1">
              <w:rPr>
                <w:color w:val="000000"/>
                <w:sz w:val="20"/>
                <w:szCs w:val="20"/>
              </w:rPr>
              <w:t>16.7</w:t>
            </w:r>
          </w:p>
        </w:tc>
        <w:tc>
          <w:tcPr>
            <w:tcW w:w="590" w:type="dxa"/>
            <w:tcBorders>
              <w:top w:val="nil"/>
              <w:bottom w:val="single" w:sz="6" w:space="0" w:color="auto"/>
            </w:tcBorders>
            <w:noWrap/>
            <w:vAlign w:val="bottom"/>
            <w:hideMark/>
          </w:tcPr>
          <w:p w14:paraId="2BDA7045" w14:textId="64B32937" w:rsidR="00731AD1" w:rsidRPr="00731AD1"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731AD1">
              <w:rPr>
                <w:color w:val="000000"/>
                <w:sz w:val="20"/>
                <w:szCs w:val="20"/>
              </w:rPr>
              <w:t>11.7</w:t>
            </w:r>
          </w:p>
        </w:tc>
        <w:tc>
          <w:tcPr>
            <w:tcW w:w="707" w:type="dxa"/>
            <w:tcBorders>
              <w:top w:val="nil"/>
              <w:bottom w:val="single" w:sz="6" w:space="0" w:color="auto"/>
            </w:tcBorders>
            <w:noWrap/>
            <w:vAlign w:val="bottom"/>
            <w:hideMark/>
          </w:tcPr>
          <w:p w14:paraId="7611E001" w14:textId="0437C789" w:rsidR="00731AD1" w:rsidRPr="00731AD1"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731AD1">
              <w:rPr>
                <w:color w:val="000000"/>
                <w:sz w:val="20"/>
                <w:szCs w:val="20"/>
              </w:rPr>
              <w:t>16.0</w:t>
            </w:r>
          </w:p>
        </w:tc>
        <w:tc>
          <w:tcPr>
            <w:tcW w:w="707" w:type="dxa"/>
            <w:tcBorders>
              <w:top w:val="nil"/>
              <w:bottom w:val="single" w:sz="6" w:space="0" w:color="auto"/>
            </w:tcBorders>
            <w:noWrap/>
            <w:vAlign w:val="bottom"/>
            <w:hideMark/>
          </w:tcPr>
          <w:p w14:paraId="26CB7782" w14:textId="5E10B47E" w:rsidR="00731AD1" w:rsidRPr="00731AD1"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731AD1">
              <w:rPr>
                <w:color w:val="000000"/>
                <w:sz w:val="20"/>
                <w:szCs w:val="20"/>
              </w:rPr>
              <w:t>13.0</w:t>
            </w:r>
          </w:p>
        </w:tc>
        <w:tc>
          <w:tcPr>
            <w:tcW w:w="707" w:type="dxa"/>
            <w:tcBorders>
              <w:top w:val="nil"/>
              <w:bottom w:val="single" w:sz="6" w:space="0" w:color="auto"/>
            </w:tcBorders>
            <w:noWrap/>
            <w:vAlign w:val="bottom"/>
            <w:hideMark/>
          </w:tcPr>
          <w:p w14:paraId="66B4747D" w14:textId="2B56EEB4" w:rsidR="00731AD1" w:rsidRPr="00731AD1"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731AD1">
              <w:rPr>
                <w:color w:val="000000"/>
                <w:sz w:val="20"/>
                <w:szCs w:val="20"/>
              </w:rPr>
              <w:t>14.2</w:t>
            </w:r>
          </w:p>
        </w:tc>
        <w:tc>
          <w:tcPr>
            <w:tcW w:w="703" w:type="dxa"/>
            <w:tcBorders>
              <w:top w:val="nil"/>
              <w:bottom w:val="single" w:sz="6" w:space="0" w:color="auto"/>
              <w:right w:val="single" w:sz="18" w:space="0" w:color="auto"/>
            </w:tcBorders>
            <w:noWrap/>
            <w:vAlign w:val="bottom"/>
            <w:hideMark/>
          </w:tcPr>
          <w:p w14:paraId="33E5DD71" w14:textId="2691883B" w:rsidR="00731AD1" w:rsidRPr="00731AD1"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731AD1">
              <w:rPr>
                <w:color w:val="000000"/>
                <w:sz w:val="20"/>
                <w:szCs w:val="20"/>
              </w:rPr>
              <w:t>28.4</w:t>
            </w:r>
          </w:p>
        </w:tc>
        <w:tc>
          <w:tcPr>
            <w:tcW w:w="667" w:type="dxa"/>
            <w:tcBorders>
              <w:top w:val="nil"/>
              <w:left w:val="single" w:sz="18" w:space="0" w:color="auto"/>
              <w:bottom w:val="single" w:sz="6" w:space="0" w:color="auto"/>
            </w:tcBorders>
            <w:noWrap/>
            <w:vAlign w:val="center"/>
            <w:hideMark/>
          </w:tcPr>
          <w:p w14:paraId="146CFF76" w14:textId="00966A73" w:rsidR="00731AD1" w:rsidRPr="002B7A2F"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43.8</w:t>
            </w:r>
          </w:p>
        </w:tc>
        <w:tc>
          <w:tcPr>
            <w:tcW w:w="574" w:type="dxa"/>
            <w:tcBorders>
              <w:top w:val="nil"/>
              <w:bottom w:val="single" w:sz="6" w:space="0" w:color="auto"/>
            </w:tcBorders>
            <w:noWrap/>
            <w:vAlign w:val="center"/>
            <w:hideMark/>
          </w:tcPr>
          <w:p w14:paraId="34910951" w14:textId="7E054535" w:rsidR="00731AD1" w:rsidRPr="002B7A2F"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20.4</w:t>
            </w:r>
          </w:p>
        </w:tc>
        <w:tc>
          <w:tcPr>
            <w:tcW w:w="707" w:type="dxa"/>
            <w:tcBorders>
              <w:top w:val="nil"/>
              <w:bottom w:val="single" w:sz="6" w:space="0" w:color="auto"/>
            </w:tcBorders>
            <w:noWrap/>
            <w:vAlign w:val="center"/>
            <w:hideMark/>
          </w:tcPr>
          <w:p w14:paraId="3B1F2BC9" w14:textId="5CDAD810" w:rsidR="00731AD1" w:rsidRPr="002B7A2F"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14.8</w:t>
            </w:r>
          </w:p>
        </w:tc>
        <w:tc>
          <w:tcPr>
            <w:tcW w:w="707" w:type="dxa"/>
            <w:tcBorders>
              <w:top w:val="nil"/>
              <w:bottom w:val="single" w:sz="6" w:space="0" w:color="auto"/>
            </w:tcBorders>
            <w:noWrap/>
            <w:vAlign w:val="center"/>
            <w:hideMark/>
          </w:tcPr>
          <w:p w14:paraId="35DFA32C" w14:textId="5799CDB4" w:rsidR="00731AD1" w:rsidRPr="002B7A2F"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9.9</w:t>
            </w:r>
          </w:p>
        </w:tc>
        <w:tc>
          <w:tcPr>
            <w:tcW w:w="707" w:type="dxa"/>
            <w:tcBorders>
              <w:top w:val="nil"/>
              <w:bottom w:val="single" w:sz="6" w:space="0" w:color="auto"/>
            </w:tcBorders>
            <w:noWrap/>
            <w:vAlign w:val="center"/>
            <w:hideMark/>
          </w:tcPr>
          <w:p w14:paraId="5F83B110" w14:textId="56BFDAB9" w:rsidR="00731AD1" w:rsidRPr="002B7A2F"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5.</w:t>
            </w:r>
            <w:r w:rsidR="005A371B">
              <w:rPr>
                <w:sz w:val="20"/>
                <w:szCs w:val="20"/>
              </w:rPr>
              <w:t>5</w:t>
            </w:r>
          </w:p>
        </w:tc>
        <w:tc>
          <w:tcPr>
            <w:tcW w:w="746" w:type="dxa"/>
            <w:gridSpan w:val="2"/>
            <w:tcBorders>
              <w:top w:val="nil"/>
              <w:bottom w:val="single" w:sz="6" w:space="0" w:color="auto"/>
              <w:right w:val="single" w:sz="18" w:space="0" w:color="auto"/>
            </w:tcBorders>
            <w:noWrap/>
            <w:vAlign w:val="center"/>
            <w:hideMark/>
          </w:tcPr>
          <w:p w14:paraId="5A2CAA19" w14:textId="2CD7AC63" w:rsidR="00731AD1" w:rsidRPr="002B7A2F" w:rsidRDefault="00731AD1" w:rsidP="00731AD1">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5.6</w:t>
            </w:r>
          </w:p>
        </w:tc>
      </w:tr>
      <w:tr w:rsidR="002B7A2F" w:rsidRPr="00A01A7E" w14:paraId="2A451A62" w14:textId="77777777" w:rsidTr="002B7A2F">
        <w:trPr>
          <w:trHeight w:val="295"/>
          <w:jc w:val="center"/>
        </w:trPr>
        <w:tc>
          <w:tcPr>
            <w:tcW w:w="1057" w:type="dxa"/>
            <w:tcBorders>
              <w:top w:val="single" w:sz="6" w:space="0" w:color="auto"/>
              <w:left w:val="single" w:sz="18" w:space="0" w:color="auto"/>
              <w:bottom w:val="single" w:sz="18" w:space="0" w:color="auto"/>
              <w:right w:val="single" w:sz="18" w:space="0" w:color="auto"/>
            </w:tcBorders>
            <w:noWrap/>
            <w:vAlign w:val="center"/>
            <w:hideMark/>
          </w:tcPr>
          <w:p w14:paraId="0457D608" w14:textId="77777777"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All Individuals</w:t>
            </w:r>
          </w:p>
        </w:tc>
        <w:tc>
          <w:tcPr>
            <w:tcW w:w="1148" w:type="dxa"/>
            <w:tcBorders>
              <w:top w:val="single" w:sz="6" w:space="0" w:color="auto"/>
              <w:left w:val="single" w:sz="18" w:space="0" w:color="auto"/>
              <w:bottom w:val="single" w:sz="18" w:space="0" w:color="auto"/>
              <w:right w:val="single" w:sz="18" w:space="0" w:color="auto"/>
            </w:tcBorders>
            <w:noWrap/>
            <w:vAlign w:val="center"/>
            <w:hideMark/>
          </w:tcPr>
          <w:p w14:paraId="38BA92B3" w14:textId="77777777"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699</w:t>
            </w:r>
          </w:p>
        </w:tc>
        <w:tc>
          <w:tcPr>
            <w:tcW w:w="922" w:type="dxa"/>
            <w:tcBorders>
              <w:top w:val="single" w:sz="6" w:space="0" w:color="auto"/>
              <w:left w:val="single" w:sz="18" w:space="0" w:color="auto"/>
              <w:bottom w:val="single" w:sz="18" w:space="0" w:color="auto"/>
              <w:right w:val="nil"/>
            </w:tcBorders>
            <w:vAlign w:val="center"/>
          </w:tcPr>
          <w:p w14:paraId="23B811B6" w14:textId="682D12E6"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D90D39">
              <w:rPr>
                <w:color w:val="000000"/>
                <w:sz w:val="20"/>
                <w:szCs w:val="20"/>
              </w:rPr>
              <w:t>9.02</w:t>
            </w:r>
          </w:p>
        </w:tc>
        <w:tc>
          <w:tcPr>
            <w:tcW w:w="811" w:type="dxa"/>
            <w:tcBorders>
              <w:top w:val="single" w:sz="6" w:space="0" w:color="auto"/>
              <w:left w:val="nil"/>
              <w:bottom w:val="single" w:sz="18" w:space="0" w:color="auto"/>
              <w:right w:val="single" w:sz="18" w:space="0" w:color="auto"/>
            </w:tcBorders>
            <w:vAlign w:val="center"/>
          </w:tcPr>
          <w:p w14:paraId="66D074FA" w14:textId="243AF180"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D90D39">
              <w:rPr>
                <w:color w:val="000000"/>
                <w:sz w:val="20"/>
                <w:szCs w:val="20"/>
              </w:rPr>
              <w:t>6.15</w:t>
            </w:r>
          </w:p>
        </w:tc>
        <w:tc>
          <w:tcPr>
            <w:tcW w:w="1136" w:type="dxa"/>
            <w:tcBorders>
              <w:top w:val="single" w:sz="6" w:space="0" w:color="auto"/>
              <w:left w:val="single" w:sz="18" w:space="0" w:color="auto"/>
              <w:bottom w:val="single" w:sz="18" w:space="0" w:color="auto"/>
              <w:right w:val="single" w:sz="18" w:space="0" w:color="auto"/>
            </w:tcBorders>
            <w:noWrap/>
            <w:vAlign w:val="center"/>
            <w:hideMark/>
          </w:tcPr>
          <w:p w14:paraId="689AB3CB" w14:textId="470A078D" w:rsidR="002B7A2F" w:rsidRPr="00A01A7E" w:rsidRDefault="002B7A2F" w:rsidP="002B7A2F">
            <w:pPr>
              <w:suppressAutoHyphens w:val="0"/>
              <w:contextualSpacing w:val="0"/>
              <w:jc w:val="center"/>
              <w:rPr>
                <w:rFonts w:eastAsia="Times New Roman"/>
                <w:color w:val="000000"/>
                <w:kern w:val="0"/>
                <w:sz w:val="20"/>
                <w:szCs w:val="20"/>
                <w14:ligatures w14:val="none"/>
              </w:rPr>
            </w:pPr>
            <w:r w:rsidRPr="00A01A7E">
              <w:rPr>
                <w:rFonts w:eastAsia="Times New Roman"/>
                <w:color w:val="000000"/>
                <w:kern w:val="0"/>
                <w:sz w:val="20"/>
                <w:szCs w:val="20"/>
                <w14:ligatures w14:val="none"/>
              </w:rPr>
              <w:t>71.8</w:t>
            </w:r>
          </w:p>
        </w:tc>
        <w:tc>
          <w:tcPr>
            <w:tcW w:w="680" w:type="dxa"/>
            <w:tcBorders>
              <w:top w:val="single" w:sz="6" w:space="0" w:color="auto"/>
              <w:left w:val="single" w:sz="18" w:space="0" w:color="auto"/>
              <w:bottom w:val="single" w:sz="18" w:space="0" w:color="auto"/>
            </w:tcBorders>
            <w:noWrap/>
            <w:vAlign w:val="center"/>
            <w:hideMark/>
          </w:tcPr>
          <w:p w14:paraId="11F059A0" w14:textId="35AC44C5"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18.5</w:t>
            </w:r>
          </w:p>
        </w:tc>
        <w:tc>
          <w:tcPr>
            <w:tcW w:w="590" w:type="dxa"/>
            <w:tcBorders>
              <w:top w:val="single" w:sz="6" w:space="0" w:color="auto"/>
              <w:bottom w:val="single" w:sz="18" w:space="0" w:color="auto"/>
            </w:tcBorders>
            <w:noWrap/>
            <w:vAlign w:val="center"/>
            <w:hideMark/>
          </w:tcPr>
          <w:p w14:paraId="4CAB11A9" w14:textId="17919DBA"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14.</w:t>
            </w:r>
            <w:r w:rsidR="00270401">
              <w:rPr>
                <w:sz w:val="20"/>
                <w:szCs w:val="20"/>
              </w:rPr>
              <w:t>6</w:t>
            </w:r>
          </w:p>
        </w:tc>
        <w:tc>
          <w:tcPr>
            <w:tcW w:w="707" w:type="dxa"/>
            <w:tcBorders>
              <w:top w:val="single" w:sz="6" w:space="0" w:color="auto"/>
              <w:bottom w:val="single" w:sz="18" w:space="0" w:color="auto"/>
            </w:tcBorders>
            <w:noWrap/>
            <w:vAlign w:val="center"/>
            <w:hideMark/>
          </w:tcPr>
          <w:p w14:paraId="59D1659F" w14:textId="5CEBB598"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15.</w:t>
            </w:r>
            <w:r w:rsidR="005A371B">
              <w:rPr>
                <w:sz w:val="20"/>
                <w:szCs w:val="20"/>
              </w:rPr>
              <w:t>6</w:t>
            </w:r>
          </w:p>
        </w:tc>
        <w:tc>
          <w:tcPr>
            <w:tcW w:w="707" w:type="dxa"/>
            <w:tcBorders>
              <w:top w:val="single" w:sz="6" w:space="0" w:color="auto"/>
              <w:bottom w:val="single" w:sz="18" w:space="0" w:color="auto"/>
            </w:tcBorders>
            <w:noWrap/>
            <w:vAlign w:val="center"/>
            <w:hideMark/>
          </w:tcPr>
          <w:p w14:paraId="51346DCF" w14:textId="74A1A0BF"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15.3</w:t>
            </w:r>
          </w:p>
        </w:tc>
        <w:tc>
          <w:tcPr>
            <w:tcW w:w="707" w:type="dxa"/>
            <w:tcBorders>
              <w:top w:val="single" w:sz="6" w:space="0" w:color="auto"/>
              <w:bottom w:val="single" w:sz="18" w:space="0" w:color="auto"/>
            </w:tcBorders>
            <w:noWrap/>
            <w:vAlign w:val="center"/>
            <w:hideMark/>
          </w:tcPr>
          <w:p w14:paraId="6365915D" w14:textId="694DDEC8"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17.7</w:t>
            </w:r>
          </w:p>
        </w:tc>
        <w:tc>
          <w:tcPr>
            <w:tcW w:w="703" w:type="dxa"/>
            <w:tcBorders>
              <w:top w:val="single" w:sz="6" w:space="0" w:color="auto"/>
              <w:bottom w:val="single" w:sz="18" w:space="0" w:color="auto"/>
              <w:right w:val="single" w:sz="18" w:space="0" w:color="auto"/>
            </w:tcBorders>
            <w:noWrap/>
            <w:vAlign w:val="center"/>
            <w:hideMark/>
          </w:tcPr>
          <w:p w14:paraId="4A867D98" w14:textId="235EE0BD" w:rsidR="002B7A2F" w:rsidRPr="000E62CC"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0E62CC">
              <w:rPr>
                <w:sz w:val="20"/>
                <w:szCs w:val="20"/>
              </w:rPr>
              <w:t>18.3</w:t>
            </w:r>
          </w:p>
        </w:tc>
        <w:tc>
          <w:tcPr>
            <w:tcW w:w="667" w:type="dxa"/>
            <w:tcBorders>
              <w:top w:val="single" w:sz="6" w:space="0" w:color="auto"/>
              <w:left w:val="single" w:sz="18" w:space="0" w:color="auto"/>
              <w:bottom w:val="single" w:sz="18" w:space="0" w:color="auto"/>
            </w:tcBorders>
            <w:noWrap/>
            <w:vAlign w:val="center"/>
            <w:hideMark/>
          </w:tcPr>
          <w:p w14:paraId="248CFDC6" w14:textId="500857BA"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46.6</w:t>
            </w:r>
          </w:p>
        </w:tc>
        <w:tc>
          <w:tcPr>
            <w:tcW w:w="574" w:type="dxa"/>
            <w:tcBorders>
              <w:top w:val="single" w:sz="6" w:space="0" w:color="auto"/>
              <w:bottom w:val="single" w:sz="18" w:space="0" w:color="auto"/>
            </w:tcBorders>
            <w:noWrap/>
            <w:vAlign w:val="center"/>
            <w:hideMark/>
          </w:tcPr>
          <w:p w14:paraId="4FF04854" w14:textId="6E6C9790"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21.9</w:t>
            </w:r>
          </w:p>
        </w:tc>
        <w:tc>
          <w:tcPr>
            <w:tcW w:w="707" w:type="dxa"/>
            <w:tcBorders>
              <w:top w:val="single" w:sz="6" w:space="0" w:color="auto"/>
              <w:bottom w:val="single" w:sz="18" w:space="0" w:color="auto"/>
            </w:tcBorders>
            <w:noWrap/>
            <w:vAlign w:val="center"/>
            <w:hideMark/>
          </w:tcPr>
          <w:p w14:paraId="5013AF95" w14:textId="1BB462C3"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12.9</w:t>
            </w:r>
          </w:p>
        </w:tc>
        <w:tc>
          <w:tcPr>
            <w:tcW w:w="707" w:type="dxa"/>
            <w:tcBorders>
              <w:top w:val="single" w:sz="6" w:space="0" w:color="auto"/>
              <w:bottom w:val="single" w:sz="18" w:space="0" w:color="auto"/>
            </w:tcBorders>
            <w:noWrap/>
            <w:vAlign w:val="center"/>
            <w:hideMark/>
          </w:tcPr>
          <w:p w14:paraId="1E43C4A4" w14:textId="3DC0FE50"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9.8</w:t>
            </w:r>
          </w:p>
        </w:tc>
        <w:tc>
          <w:tcPr>
            <w:tcW w:w="707" w:type="dxa"/>
            <w:tcBorders>
              <w:top w:val="single" w:sz="6" w:space="0" w:color="auto"/>
              <w:bottom w:val="single" w:sz="18" w:space="0" w:color="auto"/>
            </w:tcBorders>
            <w:noWrap/>
            <w:vAlign w:val="center"/>
            <w:hideMark/>
          </w:tcPr>
          <w:p w14:paraId="28DB956E" w14:textId="1D1D9A8F"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5.2</w:t>
            </w:r>
          </w:p>
        </w:tc>
        <w:tc>
          <w:tcPr>
            <w:tcW w:w="746" w:type="dxa"/>
            <w:gridSpan w:val="2"/>
            <w:tcBorders>
              <w:top w:val="single" w:sz="6" w:space="0" w:color="auto"/>
              <w:bottom w:val="single" w:sz="18" w:space="0" w:color="auto"/>
              <w:right w:val="single" w:sz="18" w:space="0" w:color="auto"/>
            </w:tcBorders>
            <w:noWrap/>
            <w:vAlign w:val="center"/>
            <w:hideMark/>
          </w:tcPr>
          <w:p w14:paraId="0B006C3D" w14:textId="2516C5BC" w:rsidR="002B7A2F" w:rsidRPr="002B7A2F" w:rsidRDefault="002B7A2F" w:rsidP="002B7A2F">
            <w:pPr>
              <w:tabs>
                <w:tab w:val="decimal" w:pos="235"/>
              </w:tabs>
              <w:suppressAutoHyphens w:val="0"/>
              <w:contextualSpacing w:val="0"/>
              <w:jc w:val="center"/>
              <w:rPr>
                <w:rFonts w:eastAsia="Times New Roman"/>
                <w:color w:val="000000"/>
                <w:kern w:val="0"/>
                <w:sz w:val="20"/>
                <w:szCs w:val="20"/>
                <w14:ligatures w14:val="none"/>
              </w:rPr>
            </w:pPr>
            <w:r w:rsidRPr="002B7A2F">
              <w:rPr>
                <w:sz w:val="20"/>
                <w:szCs w:val="20"/>
              </w:rPr>
              <w:t>3.6</w:t>
            </w:r>
          </w:p>
        </w:tc>
      </w:tr>
    </w:tbl>
    <w:p w14:paraId="07ACED6F" w14:textId="77777777" w:rsidR="00A01A7E" w:rsidRDefault="00A01A7E" w:rsidP="001D6510"/>
    <w:p w14:paraId="54C039AD" w14:textId="77777777" w:rsidR="006806A9" w:rsidRDefault="006806A9" w:rsidP="001D6510"/>
    <w:p w14:paraId="392F37BE" w14:textId="77777777" w:rsidR="006806A9" w:rsidRDefault="006806A9" w:rsidP="001D6510"/>
    <w:p w14:paraId="637A4FA9" w14:textId="2FEDC729" w:rsidR="006806A9" w:rsidRDefault="006806A9" w:rsidP="006806A9">
      <w:pPr>
        <w:rPr>
          <w:b/>
          <w:bCs/>
        </w:rPr>
      </w:pPr>
      <w:r>
        <w:rPr>
          <w:b/>
          <w:bCs/>
        </w:rPr>
        <w:t>Table 3: Joint Distribution of Full-</w:t>
      </w:r>
      <w:r w:rsidR="00A563F5">
        <w:rPr>
          <w:b/>
          <w:bCs/>
        </w:rPr>
        <w:t>Day</w:t>
      </w:r>
      <w:r>
        <w:rPr>
          <w:b/>
          <w:bCs/>
        </w:rPr>
        <w:t xml:space="preserve"> and Part-</w:t>
      </w:r>
      <w:r w:rsidR="00A563F5">
        <w:rPr>
          <w:b/>
          <w:bCs/>
        </w:rPr>
        <w:t>Day</w:t>
      </w:r>
      <w:r>
        <w:rPr>
          <w:b/>
          <w:bCs/>
        </w:rPr>
        <w:t xml:space="preserve"> Telework Days</w:t>
      </w:r>
    </w:p>
    <w:p w14:paraId="7E9C799C" w14:textId="77777777" w:rsidR="006806A9" w:rsidRDefault="006806A9" w:rsidP="001D6510"/>
    <w:tbl>
      <w:tblPr>
        <w:tblW w:w="7600" w:type="dxa"/>
        <w:jc w:val="center"/>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040"/>
        <w:gridCol w:w="1160"/>
        <w:gridCol w:w="1400"/>
      </w:tblGrid>
      <w:tr w:rsidR="005010A5" w:rsidRPr="009F1842" w14:paraId="436235E7" w14:textId="77777777" w:rsidTr="00F209CC">
        <w:trPr>
          <w:trHeight w:val="295"/>
          <w:jc w:val="center"/>
        </w:trPr>
        <w:tc>
          <w:tcPr>
            <w:tcW w:w="5040" w:type="dxa"/>
            <w:tcBorders>
              <w:top w:val="single" w:sz="18" w:space="0" w:color="auto"/>
              <w:bottom w:val="single" w:sz="18" w:space="0" w:color="auto"/>
            </w:tcBorders>
            <w:noWrap/>
            <w:vAlign w:val="center"/>
            <w:hideMark/>
          </w:tcPr>
          <w:p w14:paraId="468B6A6A" w14:textId="77777777" w:rsidR="005010A5" w:rsidRPr="00B34721" w:rsidRDefault="005010A5" w:rsidP="00F209CC">
            <w:pPr>
              <w:jc w:val="center"/>
              <w:rPr>
                <w:rFonts w:eastAsia="Times New Roman"/>
                <w:b/>
                <w:bCs/>
                <w:kern w:val="0"/>
                <w:sz w:val="20"/>
                <w:szCs w:val="20"/>
                <w14:ligatures w14:val="none"/>
              </w:rPr>
            </w:pPr>
            <w:r w:rsidRPr="00B34721">
              <w:rPr>
                <w:rFonts w:eastAsia="Times New Roman"/>
                <w:b/>
                <w:bCs/>
                <w:kern w:val="0"/>
                <w:sz w:val="20"/>
                <w:szCs w:val="20"/>
                <w14:ligatures w14:val="none"/>
              </w:rPr>
              <w:t>Work Arrangement Combination</w:t>
            </w:r>
          </w:p>
        </w:tc>
        <w:tc>
          <w:tcPr>
            <w:tcW w:w="1160" w:type="dxa"/>
            <w:tcBorders>
              <w:top w:val="single" w:sz="18" w:space="0" w:color="auto"/>
              <w:bottom w:val="single" w:sz="18" w:space="0" w:color="auto"/>
            </w:tcBorders>
            <w:noWrap/>
            <w:vAlign w:val="center"/>
            <w:hideMark/>
          </w:tcPr>
          <w:p w14:paraId="6D7E3E58" w14:textId="77777777" w:rsidR="005010A5" w:rsidRPr="00B34721" w:rsidRDefault="005010A5" w:rsidP="00F209CC">
            <w:pPr>
              <w:jc w:val="center"/>
              <w:rPr>
                <w:rFonts w:eastAsia="Times New Roman"/>
                <w:b/>
                <w:bCs/>
                <w:color w:val="000000"/>
                <w:kern w:val="0"/>
                <w:sz w:val="20"/>
                <w:szCs w:val="20"/>
                <w14:ligatures w14:val="none"/>
              </w:rPr>
            </w:pPr>
            <w:r w:rsidRPr="00B34721">
              <w:rPr>
                <w:rFonts w:eastAsia="Times New Roman"/>
                <w:b/>
                <w:bCs/>
                <w:color w:val="000000"/>
                <w:kern w:val="0"/>
                <w:sz w:val="20"/>
                <w:szCs w:val="20"/>
                <w14:ligatures w14:val="none"/>
              </w:rPr>
              <w:t>Number</w:t>
            </w:r>
          </w:p>
        </w:tc>
        <w:tc>
          <w:tcPr>
            <w:tcW w:w="1400" w:type="dxa"/>
            <w:tcBorders>
              <w:top w:val="single" w:sz="18" w:space="0" w:color="auto"/>
              <w:bottom w:val="single" w:sz="18" w:space="0" w:color="auto"/>
            </w:tcBorders>
            <w:noWrap/>
            <w:vAlign w:val="center"/>
            <w:hideMark/>
          </w:tcPr>
          <w:p w14:paraId="1F2AAE02" w14:textId="77777777" w:rsidR="005010A5" w:rsidRPr="00B34721" w:rsidRDefault="005010A5" w:rsidP="00F209CC">
            <w:pPr>
              <w:jc w:val="center"/>
              <w:rPr>
                <w:rFonts w:eastAsia="Times New Roman"/>
                <w:b/>
                <w:bCs/>
                <w:color w:val="000000"/>
                <w:kern w:val="0"/>
                <w:sz w:val="20"/>
                <w:szCs w:val="20"/>
                <w14:ligatures w14:val="none"/>
              </w:rPr>
            </w:pPr>
            <w:r w:rsidRPr="00B34721">
              <w:rPr>
                <w:rFonts w:eastAsia="Times New Roman"/>
                <w:b/>
                <w:bCs/>
                <w:color w:val="000000"/>
                <w:kern w:val="0"/>
                <w:sz w:val="20"/>
                <w:szCs w:val="20"/>
                <w14:ligatures w14:val="none"/>
              </w:rPr>
              <w:t>Percent</w:t>
            </w:r>
          </w:p>
        </w:tc>
      </w:tr>
      <w:tr w:rsidR="005010A5" w:rsidRPr="009F1842" w14:paraId="4D4E1DAD" w14:textId="77777777" w:rsidTr="00F209CC">
        <w:trPr>
          <w:trHeight w:val="295"/>
          <w:jc w:val="center"/>
        </w:trPr>
        <w:tc>
          <w:tcPr>
            <w:tcW w:w="5040" w:type="dxa"/>
            <w:tcBorders>
              <w:top w:val="single" w:sz="18" w:space="0" w:color="auto"/>
            </w:tcBorders>
            <w:noWrap/>
            <w:vAlign w:val="center"/>
            <w:hideMark/>
          </w:tcPr>
          <w:p w14:paraId="29BABB15" w14:textId="77777777" w:rsidR="005010A5" w:rsidRPr="009F1842" w:rsidRDefault="005010A5" w:rsidP="00F209CC">
            <w:pPr>
              <w:jc w:val="left"/>
              <w:rPr>
                <w:rFonts w:eastAsia="Times New Roman"/>
                <w:color w:val="000000"/>
                <w:kern w:val="0"/>
                <w:sz w:val="20"/>
                <w:szCs w:val="20"/>
                <w14:ligatures w14:val="none"/>
              </w:rPr>
            </w:pPr>
            <w:r>
              <w:rPr>
                <w:rFonts w:eastAsia="Times New Roman"/>
                <w:color w:val="000000"/>
                <w:kern w:val="0"/>
                <w:sz w:val="20"/>
                <w:szCs w:val="20"/>
                <w14:ligatures w14:val="none"/>
              </w:rPr>
              <w:t xml:space="preserve">Full-day </w:t>
            </w:r>
            <w:r w:rsidRPr="009F1842">
              <w:rPr>
                <w:rFonts w:eastAsia="Times New Roman"/>
                <w:color w:val="000000"/>
                <w:kern w:val="0"/>
                <w:sz w:val="20"/>
                <w:szCs w:val="20"/>
                <w14:ligatures w14:val="none"/>
              </w:rPr>
              <w:t>in-person only</w:t>
            </w:r>
          </w:p>
        </w:tc>
        <w:tc>
          <w:tcPr>
            <w:tcW w:w="1160" w:type="dxa"/>
            <w:tcBorders>
              <w:top w:val="single" w:sz="18" w:space="0" w:color="auto"/>
            </w:tcBorders>
            <w:noWrap/>
            <w:vAlign w:val="center"/>
            <w:hideMark/>
          </w:tcPr>
          <w:p w14:paraId="7BA7D823"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197</w:t>
            </w:r>
          </w:p>
        </w:tc>
        <w:tc>
          <w:tcPr>
            <w:tcW w:w="1400" w:type="dxa"/>
            <w:tcBorders>
              <w:top w:val="single" w:sz="18" w:space="0" w:color="auto"/>
            </w:tcBorders>
            <w:noWrap/>
            <w:vAlign w:val="center"/>
            <w:hideMark/>
          </w:tcPr>
          <w:p w14:paraId="711BA9CD"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28.18</w:t>
            </w:r>
          </w:p>
        </w:tc>
      </w:tr>
      <w:tr w:rsidR="005010A5" w:rsidRPr="009F1842" w14:paraId="72777423" w14:textId="77777777" w:rsidTr="00F209CC">
        <w:trPr>
          <w:trHeight w:val="295"/>
          <w:jc w:val="center"/>
        </w:trPr>
        <w:tc>
          <w:tcPr>
            <w:tcW w:w="5040" w:type="dxa"/>
            <w:noWrap/>
            <w:vAlign w:val="center"/>
            <w:hideMark/>
          </w:tcPr>
          <w:p w14:paraId="48D54798" w14:textId="77777777" w:rsidR="005010A5" w:rsidRPr="009F1842" w:rsidRDefault="005010A5" w:rsidP="00F209CC">
            <w:pPr>
              <w:jc w:val="left"/>
              <w:rPr>
                <w:rFonts w:eastAsia="Times New Roman"/>
                <w:color w:val="000000"/>
                <w:kern w:val="0"/>
                <w:sz w:val="20"/>
                <w:szCs w:val="20"/>
                <w14:ligatures w14:val="none"/>
              </w:rPr>
            </w:pPr>
            <w:r w:rsidRPr="009F1842">
              <w:rPr>
                <w:rFonts w:eastAsia="Times New Roman"/>
                <w:color w:val="000000"/>
                <w:kern w:val="0"/>
                <w:sz w:val="20"/>
                <w:szCs w:val="20"/>
                <w14:ligatures w14:val="none"/>
              </w:rPr>
              <w:t>Full-day telework only</w:t>
            </w:r>
          </w:p>
        </w:tc>
        <w:tc>
          <w:tcPr>
            <w:tcW w:w="1160" w:type="dxa"/>
            <w:noWrap/>
            <w:vAlign w:val="center"/>
            <w:hideMark/>
          </w:tcPr>
          <w:p w14:paraId="39287294"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153</w:t>
            </w:r>
          </w:p>
        </w:tc>
        <w:tc>
          <w:tcPr>
            <w:tcW w:w="1400" w:type="dxa"/>
            <w:noWrap/>
            <w:vAlign w:val="center"/>
            <w:hideMark/>
          </w:tcPr>
          <w:p w14:paraId="5FC061DE"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21.89</w:t>
            </w:r>
          </w:p>
        </w:tc>
      </w:tr>
      <w:tr w:rsidR="005010A5" w:rsidRPr="009F1842" w14:paraId="72B35CE8" w14:textId="77777777" w:rsidTr="00F209CC">
        <w:trPr>
          <w:trHeight w:val="295"/>
          <w:jc w:val="center"/>
        </w:trPr>
        <w:tc>
          <w:tcPr>
            <w:tcW w:w="5040" w:type="dxa"/>
            <w:noWrap/>
            <w:vAlign w:val="center"/>
            <w:hideMark/>
          </w:tcPr>
          <w:p w14:paraId="6BAF5188" w14:textId="77777777" w:rsidR="005010A5" w:rsidRPr="009F1842" w:rsidRDefault="005010A5" w:rsidP="00F209CC">
            <w:pPr>
              <w:jc w:val="left"/>
              <w:rPr>
                <w:rFonts w:eastAsia="Times New Roman"/>
                <w:color w:val="000000"/>
                <w:kern w:val="0"/>
                <w:sz w:val="20"/>
                <w:szCs w:val="20"/>
                <w14:ligatures w14:val="none"/>
              </w:rPr>
            </w:pPr>
            <w:r w:rsidRPr="009F1842">
              <w:rPr>
                <w:rFonts w:eastAsia="Times New Roman"/>
                <w:color w:val="000000"/>
                <w:kern w:val="0"/>
                <w:sz w:val="20"/>
                <w:szCs w:val="20"/>
                <w14:ligatures w14:val="none"/>
              </w:rPr>
              <w:t>Part-day telework only</w:t>
            </w:r>
          </w:p>
        </w:tc>
        <w:tc>
          <w:tcPr>
            <w:tcW w:w="1160" w:type="dxa"/>
            <w:noWrap/>
            <w:vAlign w:val="center"/>
            <w:hideMark/>
          </w:tcPr>
          <w:p w14:paraId="3FD7C11F"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32</w:t>
            </w:r>
          </w:p>
        </w:tc>
        <w:tc>
          <w:tcPr>
            <w:tcW w:w="1400" w:type="dxa"/>
            <w:noWrap/>
            <w:vAlign w:val="center"/>
            <w:hideMark/>
          </w:tcPr>
          <w:p w14:paraId="53189FB2"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4.58</w:t>
            </w:r>
          </w:p>
        </w:tc>
      </w:tr>
      <w:tr w:rsidR="005010A5" w:rsidRPr="009F1842" w14:paraId="12E6867A" w14:textId="77777777" w:rsidTr="00F209CC">
        <w:trPr>
          <w:trHeight w:val="295"/>
          <w:jc w:val="center"/>
        </w:trPr>
        <w:tc>
          <w:tcPr>
            <w:tcW w:w="5040" w:type="dxa"/>
            <w:noWrap/>
            <w:vAlign w:val="center"/>
            <w:hideMark/>
          </w:tcPr>
          <w:p w14:paraId="66002A0A" w14:textId="77777777" w:rsidR="005010A5" w:rsidRPr="009F1842" w:rsidRDefault="005010A5" w:rsidP="00F209CC">
            <w:pPr>
              <w:jc w:val="left"/>
              <w:rPr>
                <w:rFonts w:eastAsia="Times New Roman"/>
                <w:color w:val="000000"/>
                <w:kern w:val="0"/>
                <w:sz w:val="20"/>
                <w:szCs w:val="20"/>
                <w14:ligatures w14:val="none"/>
              </w:rPr>
            </w:pPr>
            <w:r>
              <w:rPr>
                <w:rFonts w:eastAsia="Times New Roman"/>
                <w:color w:val="000000"/>
                <w:kern w:val="0"/>
                <w:sz w:val="20"/>
                <w:szCs w:val="20"/>
                <w14:ligatures w14:val="none"/>
              </w:rPr>
              <w:t xml:space="preserve">Full-day </w:t>
            </w:r>
            <w:r w:rsidRPr="009F1842">
              <w:rPr>
                <w:rFonts w:eastAsia="Times New Roman"/>
                <w:color w:val="000000"/>
                <w:kern w:val="0"/>
                <w:sz w:val="20"/>
                <w:szCs w:val="20"/>
                <w14:ligatures w14:val="none"/>
              </w:rPr>
              <w:t>in-person and full-day telework</w:t>
            </w:r>
          </w:p>
        </w:tc>
        <w:tc>
          <w:tcPr>
            <w:tcW w:w="1160" w:type="dxa"/>
            <w:noWrap/>
            <w:vAlign w:val="center"/>
            <w:hideMark/>
          </w:tcPr>
          <w:p w14:paraId="2F59A1EB"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81</w:t>
            </w:r>
          </w:p>
        </w:tc>
        <w:tc>
          <w:tcPr>
            <w:tcW w:w="1400" w:type="dxa"/>
            <w:noWrap/>
            <w:vAlign w:val="center"/>
            <w:hideMark/>
          </w:tcPr>
          <w:p w14:paraId="1CA57782"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11.59</w:t>
            </w:r>
          </w:p>
        </w:tc>
      </w:tr>
      <w:tr w:rsidR="005010A5" w:rsidRPr="009F1842" w14:paraId="24BB1459" w14:textId="77777777" w:rsidTr="00F209CC">
        <w:trPr>
          <w:trHeight w:val="295"/>
          <w:jc w:val="center"/>
        </w:trPr>
        <w:tc>
          <w:tcPr>
            <w:tcW w:w="5040" w:type="dxa"/>
            <w:noWrap/>
            <w:vAlign w:val="center"/>
            <w:hideMark/>
          </w:tcPr>
          <w:p w14:paraId="30C1BE67" w14:textId="77777777" w:rsidR="005010A5" w:rsidRPr="009F1842" w:rsidRDefault="005010A5" w:rsidP="00F209CC">
            <w:pPr>
              <w:jc w:val="left"/>
              <w:rPr>
                <w:rFonts w:eastAsia="Times New Roman"/>
                <w:color w:val="000000"/>
                <w:kern w:val="0"/>
                <w:sz w:val="20"/>
                <w:szCs w:val="20"/>
                <w14:ligatures w14:val="none"/>
              </w:rPr>
            </w:pPr>
            <w:r>
              <w:rPr>
                <w:rFonts w:eastAsia="Times New Roman"/>
                <w:color w:val="000000"/>
                <w:kern w:val="0"/>
                <w:sz w:val="20"/>
                <w:szCs w:val="20"/>
                <w14:ligatures w14:val="none"/>
              </w:rPr>
              <w:t xml:space="preserve">Full-day </w:t>
            </w:r>
            <w:r w:rsidRPr="009F1842">
              <w:rPr>
                <w:rFonts w:eastAsia="Times New Roman"/>
                <w:color w:val="000000"/>
                <w:kern w:val="0"/>
                <w:sz w:val="20"/>
                <w:szCs w:val="20"/>
                <w14:ligatures w14:val="none"/>
              </w:rPr>
              <w:t>in-person and part-day telework</w:t>
            </w:r>
          </w:p>
        </w:tc>
        <w:tc>
          <w:tcPr>
            <w:tcW w:w="1160" w:type="dxa"/>
            <w:noWrap/>
            <w:vAlign w:val="center"/>
            <w:hideMark/>
          </w:tcPr>
          <w:p w14:paraId="13B24538"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61</w:t>
            </w:r>
          </w:p>
        </w:tc>
        <w:tc>
          <w:tcPr>
            <w:tcW w:w="1400" w:type="dxa"/>
            <w:noWrap/>
            <w:vAlign w:val="center"/>
            <w:hideMark/>
          </w:tcPr>
          <w:p w14:paraId="391639FB"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8.73</w:t>
            </w:r>
          </w:p>
        </w:tc>
      </w:tr>
      <w:tr w:rsidR="005010A5" w:rsidRPr="009F1842" w14:paraId="510FD0FE" w14:textId="77777777" w:rsidTr="00F209CC">
        <w:trPr>
          <w:trHeight w:val="295"/>
          <w:jc w:val="center"/>
        </w:trPr>
        <w:tc>
          <w:tcPr>
            <w:tcW w:w="5040" w:type="dxa"/>
            <w:noWrap/>
            <w:vAlign w:val="center"/>
            <w:hideMark/>
          </w:tcPr>
          <w:p w14:paraId="38085CB8" w14:textId="77777777" w:rsidR="005010A5" w:rsidRPr="009F1842" w:rsidRDefault="005010A5" w:rsidP="00F209CC">
            <w:pPr>
              <w:jc w:val="left"/>
              <w:rPr>
                <w:rFonts w:eastAsia="Times New Roman"/>
                <w:color w:val="000000"/>
                <w:kern w:val="0"/>
                <w:sz w:val="20"/>
                <w:szCs w:val="20"/>
                <w14:ligatures w14:val="none"/>
              </w:rPr>
            </w:pPr>
            <w:r>
              <w:rPr>
                <w:rFonts w:eastAsia="Times New Roman"/>
                <w:color w:val="000000"/>
                <w:kern w:val="0"/>
                <w:sz w:val="20"/>
                <w:szCs w:val="20"/>
                <w14:ligatures w14:val="none"/>
              </w:rPr>
              <w:t>F</w:t>
            </w:r>
            <w:r w:rsidRPr="009F1842">
              <w:rPr>
                <w:rFonts w:eastAsia="Times New Roman"/>
                <w:color w:val="000000"/>
                <w:kern w:val="0"/>
                <w:sz w:val="20"/>
                <w:szCs w:val="20"/>
                <w14:ligatures w14:val="none"/>
              </w:rPr>
              <w:t xml:space="preserve">ull-day </w:t>
            </w:r>
            <w:r>
              <w:rPr>
                <w:rFonts w:eastAsia="Times New Roman"/>
                <w:color w:val="000000"/>
                <w:kern w:val="0"/>
                <w:sz w:val="20"/>
                <w:szCs w:val="20"/>
                <w14:ligatures w14:val="none"/>
              </w:rPr>
              <w:t xml:space="preserve">telework </w:t>
            </w:r>
            <w:r w:rsidRPr="009F1842">
              <w:rPr>
                <w:rFonts w:eastAsia="Times New Roman"/>
                <w:color w:val="000000"/>
                <w:kern w:val="0"/>
                <w:sz w:val="20"/>
                <w:szCs w:val="20"/>
                <w14:ligatures w14:val="none"/>
              </w:rPr>
              <w:t>and part-day telework</w:t>
            </w:r>
          </w:p>
        </w:tc>
        <w:tc>
          <w:tcPr>
            <w:tcW w:w="1160" w:type="dxa"/>
            <w:noWrap/>
            <w:vAlign w:val="center"/>
            <w:hideMark/>
          </w:tcPr>
          <w:p w14:paraId="33D9D623"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127</w:t>
            </w:r>
          </w:p>
        </w:tc>
        <w:tc>
          <w:tcPr>
            <w:tcW w:w="1400" w:type="dxa"/>
            <w:noWrap/>
            <w:vAlign w:val="center"/>
            <w:hideMark/>
          </w:tcPr>
          <w:p w14:paraId="46F8C7A5"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18.17</w:t>
            </w:r>
          </w:p>
        </w:tc>
      </w:tr>
      <w:tr w:rsidR="005010A5" w:rsidRPr="009F1842" w14:paraId="6A50DC15" w14:textId="77777777" w:rsidTr="00F209CC">
        <w:trPr>
          <w:trHeight w:val="295"/>
          <w:jc w:val="center"/>
        </w:trPr>
        <w:tc>
          <w:tcPr>
            <w:tcW w:w="5040" w:type="dxa"/>
            <w:noWrap/>
            <w:vAlign w:val="center"/>
            <w:hideMark/>
          </w:tcPr>
          <w:p w14:paraId="66D1881F" w14:textId="71DE8FA1" w:rsidR="005010A5" w:rsidRPr="009F1842" w:rsidRDefault="005010A5" w:rsidP="00F209CC">
            <w:pPr>
              <w:jc w:val="left"/>
              <w:rPr>
                <w:rFonts w:eastAsia="Times New Roman"/>
                <w:color w:val="000000"/>
                <w:kern w:val="0"/>
                <w:sz w:val="20"/>
                <w:szCs w:val="20"/>
                <w14:ligatures w14:val="none"/>
              </w:rPr>
            </w:pPr>
            <w:r>
              <w:rPr>
                <w:rFonts w:eastAsia="Times New Roman"/>
                <w:color w:val="000000"/>
                <w:kern w:val="0"/>
                <w:sz w:val="20"/>
                <w:szCs w:val="20"/>
                <w14:ligatures w14:val="none"/>
              </w:rPr>
              <w:t xml:space="preserve">Full-day </w:t>
            </w:r>
            <w:r w:rsidRPr="009F1842">
              <w:rPr>
                <w:rFonts w:eastAsia="Times New Roman"/>
                <w:color w:val="000000"/>
                <w:kern w:val="0"/>
                <w:sz w:val="20"/>
                <w:szCs w:val="20"/>
                <w14:ligatures w14:val="none"/>
              </w:rPr>
              <w:t>in</w:t>
            </w:r>
            <w:r w:rsidR="003E6E50">
              <w:rPr>
                <w:rFonts w:eastAsia="Times New Roman"/>
                <w:color w:val="000000"/>
                <w:kern w:val="0"/>
                <w:sz w:val="20"/>
                <w:szCs w:val="20"/>
                <w14:ligatures w14:val="none"/>
              </w:rPr>
              <w:t>-</w:t>
            </w:r>
            <w:r w:rsidRPr="009F1842">
              <w:rPr>
                <w:rFonts w:eastAsia="Times New Roman"/>
                <w:color w:val="000000"/>
                <w:kern w:val="0"/>
                <w:sz w:val="20"/>
                <w:szCs w:val="20"/>
                <w14:ligatures w14:val="none"/>
              </w:rPr>
              <w:t>person, full-day</w:t>
            </w:r>
            <w:r>
              <w:rPr>
                <w:rFonts w:eastAsia="Times New Roman"/>
                <w:color w:val="000000"/>
                <w:kern w:val="0"/>
                <w:sz w:val="20"/>
                <w:szCs w:val="20"/>
                <w14:ligatures w14:val="none"/>
              </w:rPr>
              <w:t xml:space="preserve"> telework</w:t>
            </w:r>
            <w:r w:rsidRPr="009F1842">
              <w:rPr>
                <w:rFonts w:eastAsia="Times New Roman"/>
                <w:color w:val="000000"/>
                <w:kern w:val="0"/>
                <w:sz w:val="20"/>
                <w:szCs w:val="20"/>
                <w14:ligatures w14:val="none"/>
              </w:rPr>
              <w:t>, and part-day telework</w:t>
            </w:r>
          </w:p>
        </w:tc>
        <w:tc>
          <w:tcPr>
            <w:tcW w:w="1160" w:type="dxa"/>
            <w:noWrap/>
            <w:vAlign w:val="center"/>
            <w:hideMark/>
          </w:tcPr>
          <w:p w14:paraId="0F600407"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48</w:t>
            </w:r>
          </w:p>
        </w:tc>
        <w:tc>
          <w:tcPr>
            <w:tcW w:w="1400" w:type="dxa"/>
            <w:noWrap/>
            <w:vAlign w:val="center"/>
            <w:hideMark/>
          </w:tcPr>
          <w:p w14:paraId="71873032" w14:textId="77777777" w:rsidR="005010A5" w:rsidRPr="009F1842" w:rsidRDefault="005010A5" w:rsidP="00F209CC">
            <w:pPr>
              <w:tabs>
                <w:tab w:val="decimal" w:pos="340"/>
              </w:tabs>
              <w:jc w:val="center"/>
              <w:rPr>
                <w:rFonts w:eastAsia="Times New Roman"/>
                <w:color w:val="000000"/>
                <w:kern w:val="0"/>
                <w:sz w:val="20"/>
                <w:szCs w:val="20"/>
                <w14:ligatures w14:val="none"/>
              </w:rPr>
            </w:pPr>
            <w:r w:rsidRPr="009F1842">
              <w:rPr>
                <w:rFonts w:eastAsia="Times New Roman"/>
                <w:color w:val="000000"/>
                <w:kern w:val="0"/>
                <w:sz w:val="20"/>
                <w:szCs w:val="20"/>
                <w14:ligatures w14:val="none"/>
              </w:rPr>
              <w:t>6.87</w:t>
            </w:r>
          </w:p>
        </w:tc>
      </w:tr>
    </w:tbl>
    <w:p w14:paraId="79B88BA1" w14:textId="77CCCD26" w:rsidR="005010A5" w:rsidRDefault="005010A5" w:rsidP="001D6510">
      <w:pPr>
        <w:sectPr w:rsidR="005010A5" w:rsidSect="00A01A7E">
          <w:pgSz w:w="15840" w:h="12240" w:orient="landscape"/>
          <w:pgMar w:top="1440" w:right="1440" w:bottom="1440" w:left="1440" w:header="720" w:footer="720" w:gutter="0"/>
          <w:cols w:space="720"/>
          <w:docGrid w:linePitch="360"/>
        </w:sectPr>
      </w:pPr>
    </w:p>
    <w:p w14:paraId="32E7A7F3" w14:textId="3F4E526D" w:rsidR="00B6518B" w:rsidRPr="00A80760" w:rsidRDefault="00B6518B" w:rsidP="00B6518B">
      <w:pPr>
        <w:rPr>
          <w:b/>
          <w:bCs/>
        </w:rPr>
      </w:pPr>
      <w:r w:rsidRPr="00A80760">
        <w:rPr>
          <w:b/>
          <w:bCs/>
        </w:rPr>
        <w:lastRenderedPageBreak/>
        <w:t xml:space="preserve">Table </w:t>
      </w:r>
      <w:r w:rsidR="006806A9">
        <w:rPr>
          <w:b/>
          <w:bCs/>
        </w:rPr>
        <w:t>4</w:t>
      </w:r>
      <w:r w:rsidRPr="00A80760">
        <w:rPr>
          <w:b/>
          <w:bCs/>
        </w:rPr>
        <w:t>: Descriptive Statistics of Exogenous Variables</w:t>
      </w:r>
    </w:p>
    <w:p w14:paraId="7C22D88F" w14:textId="77777777" w:rsidR="00B6518B" w:rsidRPr="00A80760" w:rsidRDefault="00B6518B" w:rsidP="00B6518B"/>
    <w:tbl>
      <w:tblPr>
        <w:tblW w:w="8540" w:type="dxa"/>
        <w:jc w:val="center"/>
        <w:tblLook w:val="04A0" w:firstRow="1" w:lastRow="0" w:firstColumn="1" w:lastColumn="0" w:noHBand="0" w:noVBand="1"/>
      </w:tblPr>
      <w:tblGrid>
        <w:gridCol w:w="2240"/>
        <w:gridCol w:w="850"/>
        <w:gridCol w:w="617"/>
        <w:gridCol w:w="3360"/>
        <w:gridCol w:w="850"/>
        <w:gridCol w:w="623"/>
      </w:tblGrid>
      <w:tr w:rsidR="00B6518B" w:rsidRPr="00A80760" w14:paraId="3495BDBD" w14:textId="77777777" w:rsidTr="00AB6CBE">
        <w:trPr>
          <w:trHeight w:val="20"/>
          <w:jc w:val="center"/>
        </w:trPr>
        <w:tc>
          <w:tcPr>
            <w:tcW w:w="2240" w:type="dxa"/>
            <w:tcBorders>
              <w:top w:val="single" w:sz="18" w:space="0" w:color="auto"/>
              <w:left w:val="single" w:sz="18" w:space="0" w:color="auto"/>
              <w:bottom w:val="single" w:sz="18" w:space="0" w:color="auto"/>
              <w:right w:val="nil"/>
            </w:tcBorders>
            <w:noWrap/>
            <w:vAlign w:val="center"/>
            <w:hideMark/>
          </w:tcPr>
          <w:p w14:paraId="5FDAEA7F"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Variable</w:t>
            </w:r>
          </w:p>
        </w:tc>
        <w:tc>
          <w:tcPr>
            <w:tcW w:w="850" w:type="dxa"/>
            <w:tcBorders>
              <w:top w:val="single" w:sz="18" w:space="0" w:color="auto"/>
              <w:left w:val="nil"/>
              <w:bottom w:val="single" w:sz="18" w:space="0" w:color="auto"/>
              <w:right w:val="nil"/>
            </w:tcBorders>
            <w:noWrap/>
            <w:vAlign w:val="center"/>
            <w:hideMark/>
          </w:tcPr>
          <w:p w14:paraId="6C62F069" w14:textId="77777777" w:rsidR="00B6518B" w:rsidRPr="00A80760" w:rsidRDefault="00B6518B" w:rsidP="00C975AE">
            <w:pPr>
              <w:jc w:val="cente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Sample</w:t>
            </w:r>
          </w:p>
        </w:tc>
        <w:tc>
          <w:tcPr>
            <w:tcW w:w="617" w:type="dxa"/>
            <w:tcBorders>
              <w:top w:val="single" w:sz="18" w:space="0" w:color="auto"/>
              <w:left w:val="nil"/>
              <w:bottom w:val="single" w:sz="18" w:space="0" w:color="auto"/>
              <w:right w:val="single" w:sz="8" w:space="0" w:color="auto"/>
            </w:tcBorders>
            <w:noWrap/>
            <w:vAlign w:val="center"/>
            <w:hideMark/>
          </w:tcPr>
          <w:p w14:paraId="2AADEA07" w14:textId="77777777" w:rsidR="00B6518B" w:rsidRPr="00A80760" w:rsidRDefault="00B6518B" w:rsidP="00C975AE">
            <w:pPr>
              <w:jc w:val="cente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ACS</w:t>
            </w:r>
          </w:p>
        </w:tc>
        <w:tc>
          <w:tcPr>
            <w:tcW w:w="3360" w:type="dxa"/>
            <w:tcBorders>
              <w:top w:val="single" w:sz="18" w:space="0" w:color="auto"/>
              <w:left w:val="nil"/>
              <w:bottom w:val="single" w:sz="18" w:space="0" w:color="auto"/>
              <w:right w:val="nil"/>
            </w:tcBorders>
            <w:noWrap/>
            <w:vAlign w:val="center"/>
            <w:hideMark/>
          </w:tcPr>
          <w:p w14:paraId="6CF7C803"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Variable</w:t>
            </w:r>
          </w:p>
        </w:tc>
        <w:tc>
          <w:tcPr>
            <w:tcW w:w="850" w:type="dxa"/>
            <w:tcBorders>
              <w:top w:val="single" w:sz="18" w:space="0" w:color="auto"/>
              <w:left w:val="nil"/>
              <w:bottom w:val="single" w:sz="18" w:space="0" w:color="auto"/>
              <w:right w:val="nil"/>
            </w:tcBorders>
            <w:noWrap/>
            <w:vAlign w:val="center"/>
            <w:hideMark/>
          </w:tcPr>
          <w:p w14:paraId="78C10124" w14:textId="77777777" w:rsidR="00B6518B" w:rsidRPr="00A80760" w:rsidRDefault="00B6518B" w:rsidP="00C975AE">
            <w:pPr>
              <w:jc w:val="cente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Sample</w:t>
            </w:r>
          </w:p>
        </w:tc>
        <w:tc>
          <w:tcPr>
            <w:tcW w:w="623" w:type="dxa"/>
            <w:tcBorders>
              <w:top w:val="single" w:sz="18" w:space="0" w:color="auto"/>
              <w:left w:val="nil"/>
              <w:bottom w:val="single" w:sz="18" w:space="0" w:color="auto"/>
              <w:right w:val="single" w:sz="18" w:space="0" w:color="auto"/>
            </w:tcBorders>
            <w:noWrap/>
            <w:vAlign w:val="center"/>
            <w:hideMark/>
          </w:tcPr>
          <w:p w14:paraId="1F55AB34" w14:textId="77777777" w:rsidR="00B6518B" w:rsidRPr="00A80760" w:rsidRDefault="00B6518B" w:rsidP="00C975AE">
            <w:pPr>
              <w:jc w:val="cente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ACS</w:t>
            </w:r>
          </w:p>
        </w:tc>
      </w:tr>
      <w:tr w:rsidR="00B6518B" w:rsidRPr="00A80760" w14:paraId="6A703271" w14:textId="77777777" w:rsidTr="00AB6CBE">
        <w:trPr>
          <w:trHeight w:val="20"/>
          <w:jc w:val="center"/>
        </w:trPr>
        <w:tc>
          <w:tcPr>
            <w:tcW w:w="8540" w:type="dxa"/>
            <w:gridSpan w:val="6"/>
            <w:tcBorders>
              <w:top w:val="single" w:sz="18" w:space="0" w:color="auto"/>
              <w:left w:val="single" w:sz="18" w:space="0" w:color="auto"/>
              <w:bottom w:val="single" w:sz="18" w:space="0" w:color="auto"/>
              <w:right w:val="single" w:sz="18" w:space="0" w:color="auto"/>
            </w:tcBorders>
            <w:noWrap/>
            <w:vAlign w:val="center"/>
            <w:hideMark/>
          </w:tcPr>
          <w:p w14:paraId="6F9CB8F3" w14:textId="77777777" w:rsidR="00B6518B" w:rsidRPr="00AB6CBE" w:rsidRDefault="00B6518B" w:rsidP="00C975AE">
            <w:pPr>
              <w:jc w:val="center"/>
              <w:rPr>
                <w:rFonts w:eastAsia="Times New Roman"/>
                <w:b/>
                <w:bCs/>
                <w:i/>
                <w:iCs/>
                <w:color w:val="000000"/>
                <w:kern w:val="0"/>
                <w:sz w:val="20"/>
                <w:szCs w:val="20"/>
                <w14:ligatures w14:val="none"/>
              </w:rPr>
            </w:pPr>
            <w:r w:rsidRPr="00AB6CBE">
              <w:rPr>
                <w:rFonts w:eastAsia="Times New Roman"/>
                <w:b/>
                <w:bCs/>
                <w:i/>
                <w:iCs/>
                <w:color w:val="000000"/>
                <w:kern w:val="0"/>
                <w:sz w:val="20"/>
                <w:szCs w:val="20"/>
                <w14:ligatures w14:val="none"/>
              </w:rPr>
              <w:t>Individual Demographics</w:t>
            </w:r>
          </w:p>
        </w:tc>
      </w:tr>
      <w:tr w:rsidR="00B6518B" w:rsidRPr="00A80760" w14:paraId="6623C91B" w14:textId="77777777" w:rsidTr="00AB6CBE">
        <w:trPr>
          <w:trHeight w:val="20"/>
          <w:jc w:val="center"/>
        </w:trPr>
        <w:tc>
          <w:tcPr>
            <w:tcW w:w="2240" w:type="dxa"/>
            <w:tcBorders>
              <w:top w:val="single" w:sz="18" w:space="0" w:color="auto"/>
              <w:left w:val="single" w:sz="18" w:space="0" w:color="auto"/>
              <w:bottom w:val="nil"/>
              <w:right w:val="nil"/>
            </w:tcBorders>
            <w:noWrap/>
            <w:vAlign w:val="center"/>
            <w:hideMark/>
          </w:tcPr>
          <w:p w14:paraId="6D4C161B"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Gender</w:t>
            </w:r>
          </w:p>
        </w:tc>
        <w:tc>
          <w:tcPr>
            <w:tcW w:w="850" w:type="dxa"/>
            <w:tcBorders>
              <w:top w:val="single" w:sz="18" w:space="0" w:color="auto"/>
              <w:left w:val="nil"/>
              <w:bottom w:val="nil"/>
              <w:right w:val="nil"/>
            </w:tcBorders>
            <w:noWrap/>
            <w:vAlign w:val="center"/>
            <w:hideMark/>
          </w:tcPr>
          <w:p w14:paraId="1AF8E9B8"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617" w:type="dxa"/>
            <w:tcBorders>
              <w:top w:val="single" w:sz="18" w:space="0" w:color="auto"/>
              <w:left w:val="nil"/>
              <w:bottom w:val="nil"/>
              <w:right w:val="single" w:sz="8" w:space="0" w:color="auto"/>
            </w:tcBorders>
            <w:noWrap/>
            <w:vAlign w:val="center"/>
            <w:hideMark/>
          </w:tcPr>
          <w:p w14:paraId="5A2AFE80"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3360" w:type="dxa"/>
            <w:tcBorders>
              <w:top w:val="single" w:sz="18" w:space="0" w:color="auto"/>
              <w:left w:val="nil"/>
              <w:bottom w:val="nil"/>
              <w:right w:val="nil"/>
            </w:tcBorders>
            <w:noWrap/>
            <w:vAlign w:val="center"/>
            <w:hideMark/>
          </w:tcPr>
          <w:p w14:paraId="3E72595B" w14:textId="77777777" w:rsidR="00B6518B" w:rsidRPr="00A80760" w:rsidRDefault="00B6518B" w:rsidP="00C975AE">
            <w:pPr>
              <w:rPr>
                <w:rFonts w:eastAsia="Times New Roman"/>
                <w:color w:val="000000"/>
                <w:kern w:val="0"/>
                <w:sz w:val="20"/>
                <w:szCs w:val="20"/>
                <w14:ligatures w14:val="none"/>
              </w:rPr>
            </w:pPr>
            <w:r w:rsidRPr="00A80760">
              <w:rPr>
                <w:rFonts w:eastAsia="Times New Roman"/>
                <w:b/>
                <w:bCs/>
                <w:color w:val="000000"/>
                <w:kern w:val="0"/>
                <w:sz w:val="20"/>
                <w:szCs w:val="20"/>
                <w14:ligatures w14:val="none"/>
              </w:rPr>
              <w:t>Education</w:t>
            </w:r>
          </w:p>
        </w:tc>
        <w:tc>
          <w:tcPr>
            <w:tcW w:w="850" w:type="dxa"/>
            <w:tcBorders>
              <w:top w:val="single" w:sz="18" w:space="0" w:color="auto"/>
              <w:left w:val="nil"/>
              <w:bottom w:val="nil"/>
              <w:right w:val="nil"/>
            </w:tcBorders>
            <w:noWrap/>
            <w:vAlign w:val="bottom"/>
            <w:hideMark/>
          </w:tcPr>
          <w:p w14:paraId="43DABE44" w14:textId="77777777" w:rsidR="00B6518B" w:rsidRPr="00A80760" w:rsidRDefault="00B6518B" w:rsidP="00C975AE">
            <w:pPr>
              <w:rPr>
                <w:rFonts w:eastAsia="Times New Roman"/>
                <w:kern w:val="0"/>
                <w:sz w:val="20"/>
                <w:szCs w:val="20"/>
                <w14:ligatures w14:val="none"/>
              </w:rPr>
            </w:pPr>
          </w:p>
        </w:tc>
        <w:tc>
          <w:tcPr>
            <w:tcW w:w="623" w:type="dxa"/>
            <w:tcBorders>
              <w:top w:val="single" w:sz="18" w:space="0" w:color="auto"/>
              <w:left w:val="nil"/>
              <w:bottom w:val="nil"/>
              <w:right w:val="single" w:sz="18" w:space="0" w:color="auto"/>
            </w:tcBorders>
            <w:noWrap/>
            <w:vAlign w:val="bottom"/>
            <w:hideMark/>
          </w:tcPr>
          <w:p w14:paraId="39C2181C"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r>
      <w:tr w:rsidR="00B6518B" w:rsidRPr="00A80760" w14:paraId="310BDD2A" w14:textId="77777777" w:rsidTr="00AB6CBE">
        <w:trPr>
          <w:trHeight w:val="20"/>
          <w:jc w:val="center"/>
        </w:trPr>
        <w:tc>
          <w:tcPr>
            <w:tcW w:w="2240" w:type="dxa"/>
            <w:tcBorders>
              <w:top w:val="nil"/>
              <w:left w:val="single" w:sz="18" w:space="0" w:color="auto"/>
              <w:bottom w:val="nil"/>
              <w:right w:val="nil"/>
            </w:tcBorders>
            <w:noWrap/>
            <w:vAlign w:val="center"/>
            <w:hideMark/>
          </w:tcPr>
          <w:p w14:paraId="05E6EFF9"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Male</w:t>
            </w:r>
          </w:p>
        </w:tc>
        <w:tc>
          <w:tcPr>
            <w:tcW w:w="850" w:type="dxa"/>
            <w:tcBorders>
              <w:top w:val="nil"/>
              <w:left w:val="nil"/>
              <w:bottom w:val="nil"/>
              <w:right w:val="nil"/>
            </w:tcBorders>
            <w:noWrap/>
            <w:vAlign w:val="center"/>
            <w:hideMark/>
          </w:tcPr>
          <w:p w14:paraId="0790CACC"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49.3</w:t>
            </w:r>
          </w:p>
        </w:tc>
        <w:tc>
          <w:tcPr>
            <w:tcW w:w="617" w:type="dxa"/>
            <w:tcBorders>
              <w:top w:val="nil"/>
              <w:left w:val="nil"/>
              <w:bottom w:val="nil"/>
              <w:right w:val="single" w:sz="8" w:space="0" w:color="auto"/>
            </w:tcBorders>
            <w:noWrap/>
            <w:vAlign w:val="center"/>
            <w:hideMark/>
          </w:tcPr>
          <w:p w14:paraId="58C0B572"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50.6</w:t>
            </w:r>
          </w:p>
        </w:tc>
        <w:tc>
          <w:tcPr>
            <w:tcW w:w="3360" w:type="dxa"/>
            <w:tcBorders>
              <w:top w:val="nil"/>
              <w:left w:val="nil"/>
              <w:bottom w:val="nil"/>
              <w:right w:val="nil"/>
            </w:tcBorders>
            <w:noWrap/>
            <w:vAlign w:val="center"/>
          </w:tcPr>
          <w:p w14:paraId="73FDBF3C"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color w:val="000000"/>
                <w:kern w:val="0"/>
                <w:sz w:val="20"/>
                <w:szCs w:val="20"/>
                <w14:ligatures w14:val="none"/>
              </w:rPr>
              <w:t xml:space="preserve">    Less than bachelor’s degree</w:t>
            </w:r>
          </w:p>
        </w:tc>
        <w:tc>
          <w:tcPr>
            <w:tcW w:w="850" w:type="dxa"/>
            <w:tcBorders>
              <w:top w:val="nil"/>
              <w:left w:val="nil"/>
              <w:bottom w:val="nil"/>
              <w:right w:val="nil"/>
            </w:tcBorders>
            <w:noWrap/>
            <w:vAlign w:val="center"/>
          </w:tcPr>
          <w:p w14:paraId="689E656B" w14:textId="77777777" w:rsidR="00B6518B" w:rsidRPr="00A80760" w:rsidRDefault="00B6518B" w:rsidP="00C975AE">
            <w:pPr>
              <w:jc w:val="right"/>
              <w:rPr>
                <w:rFonts w:eastAsia="Times New Roman"/>
                <w:b/>
                <w:bCs/>
                <w:color w:val="000000"/>
                <w:kern w:val="0"/>
                <w:sz w:val="20"/>
                <w:szCs w:val="20"/>
                <w14:ligatures w14:val="none"/>
              </w:rPr>
            </w:pPr>
            <w:r w:rsidRPr="00A80760">
              <w:rPr>
                <w:rFonts w:eastAsia="Times New Roman"/>
                <w:color w:val="000000"/>
                <w:kern w:val="0"/>
                <w:sz w:val="20"/>
                <w:szCs w:val="20"/>
                <w14:ligatures w14:val="none"/>
              </w:rPr>
              <w:t>20.8</w:t>
            </w:r>
          </w:p>
        </w:tc>
        <w:tc>
          <w:tcPr>
            <w:tcW w:w="623" w:type="dxa"/>
            <w:tcBorders>
              <w:top w:val="nil"/>
              <w:left w:val="nil"/>
              <w:bottom w:val="nil"/>
              <w:right w:val="single" w:sz="18" w:space="0" w:color="auto"/>
            </w:tcBorders>
            <w:noWrap/>
            <w:vAlign w:val="center"/>
          </w:tcPr>
          <w:p w14:paraId="1FA5A732"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52.0</w:t>
            </w:r>
          </w:p>
        </w:tc>
      </w:tr>
      <w:tr w:rsidR="00B6518B" w:rsidRPr="00A80760" w14:paraId="2FB9ED86" w14:textId="77777777" w:rsidTr="00AB6CBE">
        <w:trPr>
          <w:trHeight w:val="20"/>
          <w:jc w:val="center"/>
        </w:trPr>
        <w:tc>
          <w:tcPr>
            <w:tcW w:w="2240" w:type="dxa"/>
            <w:tcBorders>
              <w:top w:val="nil"/>
              <w:left w:val="single" w:sz="18" w:space="0" w:color="auto"/>
              <w:bottom w:val="nil"/>
              <w:right w:val="nil"/>
            </w:tcBorders>
            <w:noWrap/>
            <w:vAlign w:val="center"/>
            <w:hideMark/>
          </w:tcPr>
          <w:p w14:paraId="2F307059"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Female</w:t>
            </w:r>
          </w:p>
        </w:tc>
        <w:tc>
          <w:tcPr>
            <w:tcW w:w="850" w:type="dxa"/>
            <w:tcBorders>
              <w:top w:val="nil"/>
              <w:left w:val="nil"/>
              <w:bottom w:val="nil"/>
              <w:right w:val="nil"/>
            </w:tcBorders>
            <w:noWrap/>
            <w:vAlign w:val="center"/>
            <w:hideMark/>
          </w:tcPr>
          <w:p w14:paraId="7052C2DF"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45.8</w:t>
            </w:r>
          </w:p>
        </w:tc>
        <w:tc>
          <w:tcPr>
            <w:tcW w:w="617" w:type="dxa"/>
            <w:tcBorders>
              <w:top w:val="nil"/>
              <w:left w:val="nil"/>
              <w:bottom w:val="nil"/>
              <w:right w:val="single" w:sz="8" w:space="0" w:color="auto"/>
            </w:tcBorders>
            <w:noWrap/>
            <w:vAlign w:val="center"/>
            <w:hideMark/>
          </w:tcPr>
          <w:p w14:paraId="320ADC39"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49.4</w:t>
            </w:r>
          </w:p>
        </w:tc>
        <w:tc>
          <w:tcPr>
            <w:tcW w:w="3360" w:type="dxa"/>
            <w:tcBorders>
              <w:top w:val="nil"/>
              <w:left w:val="nil"/>
              <w:bottom w:val="nil"/>
              <w:right w:val="nil"/>
            </w:tcBorders>
            <w:noWrap/>
            <w:vAlign w:val="center"/>
          </w:tcPr>
          <w:p w14:paraId="65AF503F"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Bachelor's degree</w:t>
            </w:r>
          </w:p>
        </w:tc>
        <w:tc>
          <w:tcPr>
            <w:tcW w:w="850" w:type="dxa"/>
            <w:tcBorders>
              <w:top w:val="nil"/>
              <w:left w:val="nil"/>
              <w:bottom w:val="nil"/>
              <w:right w:val="nil"/>
            </w:tcBorders>
            <w:noWrap/>
            <w:vAlign w:val="center"/>
          </w:tcPr>
          <w:p w14:paraId="11A65D0D"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39.9</w:t>
            </w:r>
          </w:p>
        </w:tc>
        <w:tc>
          <w:tcPr>
            <w:tcW w:w="623" w:type="dxa"/>
            <w:tcBorders>
              <w:top w:val="nil"/>
              <w:left w:val="nil"/>
              <w:bottom w:val="nil"/>
              <w:right w:val="single" w:sz="18" w:space="0" w:color="auto"/>
            </w:tcBorders>
            <w:noWrap/>
            <w:vAlign w:val="center"/>
          </w:tcPr>
          <w:p w14:paraId="364C7F3C"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28.5</w:t>
            </w:r>
          </w:p>
        </w:tc>
      </w:tr>
      <w:tr w:rsidR="00B6518B" w:rsidRPr="00A80760" w14:paraId="4552D43C" w14:textId="77777777" w:rsidTr="00AB6CBE">
        <w:trPr>
          <w:trHeight w:val="20"/>
          <w:jc w:val="center"/>
        </w:trPr>
        <w:tc>
          <w:tcPr>
            <w:tcW w:w="2240" w:type="dxa"/>
            <w:tcBorders>
              <w:top w:val="nil"/>
              <w:left w:val="single" w:sz="18" w:space="0" w:color="auto"/>
              <w:bottom w:val="nil"/>
              <w:right w:val="nil"/>
            </w:tcBorders>
            <w:noWrap/>
            <w:vAlign w:val="center"/>
            <w:hideMark/>
          </w:tcPr>
          <w:p w14:paraId="0ADA0786"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Nonbinary</w:t>
            </w:r>
          </w:p>
        </w:tc>
        <w:tc>
          <w:tcPr>
            <w:tcW w:w="850" w:type="dxa"/>
            <w:tcBorders>
              <w:top w:val="nil"/>
              <w:left w:val="nil"/>
              <w:bottom w:val="nil"/>
              <w:right w:val="nil"/>
            </w:tcBorders>
            <w:noWrap/>
            <w:vAlign w:val="center"/>
            <w:hideMark/>
          </w:tcPr>
          <w:p w14:paraId="695F4AFC"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4.9</w:t>
            </w:r>
          </w:p>
        </w:tc>
        <w:tc>
          <w:tcPr>
            <w:tcW w:w="617" w:type="dxa"/>
            <w:tcBorders>
              <w:top w:val="nil"/>
              <w:left w:val="nil"/>
              <w:bottom w:val="nil"/>
              <w:right w:val="single" w:sz="8" w:space="0" w:color="auto"/>
            </w:tcBorders>
            <w:noWrap/>
            <w:vAlign w:val="center"/>
            <w:hideMark/>
          </w:tcPr>
          <w:p w14:paraId="07CCA54E"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nil"/>
              <w:bottom w:val="nil"/>
              <w:right w:val="nil"/>
            </w:tcBorders>
            <w:noWrap/>
            <w:vAlign w:val="center"/>
          </w:tcPr>
          <w:p w14:paraId="50EE4932"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Graduate degree</w:t>
            </w:r>
          </w:p>
        </w:tc>
        <w:tc>
          <w:tcPr>
            <w:tcW w:w="850" w:type="dxa"/>
            <w:tcBorders>
              <w:top w:val="nil"/>
              <w:left w:val="nil"/>
              <w:bottom w:val="nil"/>
              <w:right w:val="nil"/>
            </w:tcBorders>
            <w:noWrap/>
            <w:vAlign w:val="center"/>
          </w:tcPr>
          <w:p w14:paraId="607AF547"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39.3</w:t>
            </w:r>
          </w:p>
        </w:tc>
        <w:tc>
          <w:tcPr>
            <w:tcW w:w="623" w:type="dxa"/>
            <w:tcBorders>
              <w:top w:val="nil"/>
              <w:left w:val="nil"/>
              <w:bottom w:val="nil"/>
              <w:right w:val="single" w:sz="18" w:space="0" w:color="auto"/>
            </w:tcBorders>
            <w:noWrap/>
            <w:vAlign w:val="center"/>
          </w:tcPr>
          <w:p w14:paraId="68209722"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19.5</w:t>
            </w:r>
          </w:p>
        </w:tc>
      </w:tr>
      <w:tr w:rsidR="00B6518B" w:rsidRPr="00A80760" w14:paraId="2259B8E7" w14:textId="77777777" w:rsidTr="00AB6CBE">
        <w:trPr>
          <w:trHeight w:val="20"/>
          <w:jc w:val="center"/>
        </w:trPr>
        <w:tc>
          <w:tcPr>
            <w:tcW w:w="2240" w:type="dxa"/>
            <w:tcBorders>
              <w:top w:val="nil"/>
              <w:left w:val="single" w:sz="18" w:space="0" w:color="auto"/>
              <w:bottom w:val="nil"/>
              <w:right w:val="nil"/>
            </w:tcBorders>
            <w:noWrap/>
            <w:vAlign w:val="center"/>
            <w:hideMark/>
          </w:tcPr>
          <w:p w14:paraId="15A4D652"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Age</w:t>
            </w:r>
          </w:p>
        </w:tc>
        <w:tc>
          <w:tcPr>
            <w:tcW w:w="850" w:type="dxa"/>
            <w:tcBorders>
              <w:top w:val="nil"/>
              <w:left w:val="nil"/>
              <w:bottom w:val="nil"/>
              <w:right w:val="nil"/>
            </w:tcBorders>
            <w:noWrap/>
            <w:vAlign w:val="center"/>
            <w:hideMark/>
          </w:tcPr>
          <w:p w14:paraId="6FBEB711" w14:textId="77777777" w:rsidR="00B6518B" w:rsidRPr="00A80760" w:rsidRDefault="00B6518B" w:rsidP="00C975AE">
            <w:pPr>
              <w:jc w:val="right"/>
              <w:rPr>
                <w:rFonts w:eastAsia="Times New Roman"/>
                <w:b/>
                <w:bCs/>
                <w:color w:val="000000"/>
                <w:kern w:val="0"/>
                <w:sz w:val="20"/>
                <w:szCs w:val="20"/>
                <w14:ligatures w14:val="none"/>
              </w:rPr>
            </w:pPr>
          </w:p>
        </w:tc>
        <w:tc>
          <w:tcPr>
            <w:tcW w:w="617" w:type="dxa"/>
            <w:tcBorders>
              <w:top w:val="nil"/>
              <w:left w:val="nil"/>
              <w:bottom w:val="nil"/>
              <w:right w:val="single" w:sz="8" w:space="0" w:color="auto"/>
            </w:tcBorders>
            <w:noWrap/>
            <w:vAlign w:val="center"/>
            <w:hideMark/>
          </w:tcPr>
          <w:p w14:paraId="0281F89F"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3360" w:type="dxa"/>
            <w:tcBorders>
              <w:top w:val="nil"/>
              <w:left w:val="nil"/>
              <w:bottom w:val="nil"/>
              <w:right w:val="nil"/>
            </w:tcBorders>
            <w:noWrap/>
            <w:vAlign w:val="center"/>
          </w:tcPr>
          <w:p w14:paraId="4F2B9F89" w14:textId="77777777" w:rsidR="00B6518B" w:rsidRPr="00A80760" w:rsidRDefault="00B6518B" w:rsidP="00C975AE">
            <w:pPr>
              <w:rPr>
                <w:rFonts w:eastAsia="Times New Roman"/>
                <w:color w:val="000000"/>
                <w:kern w:val="0"/>
                <w:sz w:val="20"/>
                <w:szCs w:val="20"/>
                <w14:ligatures w14:val="none"/>
              </w:rPr>
            </w:pPr>
            <w:r w:rsidRPr="00A80760">
              <w:rPr>
                <w:rFonts w:eastAsia="Times New Roman"/>
                <w:b/>
                <w:bCs/>
                <w:color w:val="000000"/>
                <w:kern w:val="0"/>
                <w:sz w:val="20"/>
                <w:szCs w:val="20"/>
                <w14:ligatures w14:val="none"/>
              </w:rPr>
              <w:t>Race</w:t>
            </w:r>
          </w:p>
        </w:tc>
        <w:tc>
          <w:tcPr>
            <w:tcW w:w="850" w:type="dxa"/>
            <w:tcBorders>
              <w:top w:val="nil"/>
              <w:left w:val="nil"/>
              <w:bottom w:val="nil"/>
              <w:right w:val="nil"/>
            </w:tcBorders>
            <w:noWrap/>
            <w:vAlign w:val="center"/>
          </w:tcPr>
          <w:p w14:paraId="57943851" w14:textId="77777777" w:rsidR="00B6518B" w:rsidRPr="00A80760" w:rsidRDefault="00B6518B" w:rsidP="00C975AE">
            <w:pPr>
              <w:jc w:val="right"/>
              <w:rPr>
                <w:rFonts w:eastAsia="Times New Roman"/>
                <w:color w:val="000000"/>
                <w:kern w:val="0"/>
                <w:sz w:val="20"/>
                <w:szCs w:val="20"/>
                <w14:ligatures w14:val="none"/>
              </w:rPr>
            </w:pPr>
          </w:p>
        </w:tc>
        <w:tc>
          <w:tcPr>
            <w:tcW w:w="623" w:type="dxa"/>
            <w:tcBorders>
              <w:top w:val="nil"/>
              <w:left w:val="nil"/>
              <w:bottom w:val="nil"/>
              <w:right w:val="single" w:sz="18" w:space="0" w:color="auto"/>
            </w:tcBorders>
            <w:noWrap/>
            <w:vAlign w:val="center"/>
          </w:tcPr>
          <w:p w14:paraId="6C415B55" w14:textId="77777777" w:rsidR="00B6518B" w:rsidRPr="00A80760" w:rsidRDefault="00B6518B" w:rsidP="00C975AE">
            <w:pPr>
              <w:jc w:val="right"/>
              <w:rPr>
                <w:rFonts w:eastAsia="Times New Roman"/>
                <w:color w:val="000000"/>
                <w:kern w:val="0"/>
                <w:sz w:val="20"/>
                <w:szCs w:val="20"/>
                <w14:ligatures w14:val="none"/>
              </w:rPr>
            </w:pPr>
          </w:p>
        </w:tc>
      </w:tr>
      <w:tr w:rsidR="00B6518B" w:rsidRPr="00A80760" w14:paraId="68FFA4F9" w14:textId="77777777" w:rsidTr="00AB6CBE">
        <w:trPr>
          <w:trHeight w:val="20"/>
          <w:jc w:val="center"/>
        </w:trPr>
        <w:tc>
          <w:tcPr>
            <w:tcW w:w="2240" w:type="dxa"/>
            <w:tcBorders>
              <w:top w:val="nil"/>
              <w:left w:val="single" w:sz="18" w:space="0" w:color="auto"/>
              <w:bottom w:val="nil"/>
              <w:right w:val="nil"/>
            </w:tcBorders>
            <w:noWrap/>
            <w:vAlign w:val="center"/>
            <w:hideMark/>
          </w:tcPr>
          <w:p w14:paraId="6717347B"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18-24</w:t>
            </w:r>
          </w:p>
        </w:tc>
        <w:tc>
          <w:tcPr>
            <w:tcW w:w="850" w:type="dxa"/>
            <w:tcBorders>
              <w:top w:val="nil"/>
              <w:left w:val="nil"/>
              <w:bottom w:val="nil"/>
              <w:right w:val="nil"/>
            </w:tcBorders>
            <w:noWrap/>
            <w:vAlign w:val="center"/>
            <w:hideMark/>
          </w:tcPr>
          <w:p w14:paraId="0045463A"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5.6</w:t>
            </w:r>
          </w:p>
        </w:tc>
        <w:tc>
          <w:tcPr>
            <w:tcW w:w="617" w:type="dxa"/>
            <w:tcBorders>
              <w:top w:val="nil"/>
              <w:left w:val="nil"/>
              <w:bottom w:val="nil"/>
              <w:right w:val="single" w:sz="8" w:space="0" w:color="auto"/>
            </w:tcBorders>
            <w:noWrap/>
            <w:vAlign w:val="center"/>
            <w:hideMark/>
          </w:tcPr>
          <w:p w14:paraId="7CA3D5FD"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10.1</w:t>
            </w:r>
          </w:p>
        </w:tc>
        <w:tc>
          <w:tcPr>
            <w:tcW w:w="3360" w:type="dxa"/>
            <w:tcBorders>
              <w:top w:val="nil"/>
              <w:left w:val="nil"/>
              <w:bottom w:val="nil"/>
              <w:right w:val="nil"/>
            </w:tcBorders>
            <w:noWrap/>
            <w:vAlign w:val="center"/>
          </w:tcPr>
          <w:p w14:paraId="34555096"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color w:val="000000"/>
                <w:kern w:val="0"/>
                <w:sz w:val="20"/>
                <w:szCs w:val="20"/>
                <w14:ligatures w14:val="none"/>
              </w:rPr>
              <w:t xml:space="preserve">    White</w:t>
            </w:r>
          </w:p>
        </w:tc>
        <w:tc>
          <w:tcPr>
            <w:tcW w:w="850" w:type="dxa"/>
            <w:tcBorders>
              <w:top w:val="nil"/>
              <w:left w:val="nil"/>
              <w:bottom w:val="nil"/>
              <w:right w:val="nil"/>
            </w:tcBorders>
            <w:noWrap/>
            <w:vAlign w:val="center"/>
          </w:tcPr>
          <w:p w14:paraId="48014E27"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67.4</w:t>
            </w:r>
          </w:p>
        </w:tc>
        <w:tc>
          <w:tcPr>
            <w:tcW w:w="623" w:type="dxa"/>
            <w:tcBorders>
              <w:top w:val="nil"/>
              <w:left w:val="nil"/>
              <w:bottom w:val="nil"/>
              <w:right w:val="single" w:sz="18" w:space="0" w:color="auto"/>
            </w:tcBorders>
            <w:noWrap/>
            <w:vAlign w:val="center"/>
          </w:tcPr>
          <w:p w14:paraId="752008D4"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59.2</w:t>
            </w:r>
          </w:p>
        </w:tc>
      </w:tr>
      <w:tr w:rsidR="00B6518B" w:rsidRPr="00A80760" w14:paraId="2F026DD1" w14:textId="77777777" w:rsidTr="00AB6CBE">
        <w:trPr>
          <w:trHeight w:val="20"/>
          <w:jc w:val="center"/>
        </w:trPr>
        <w:tc>
          <w:tcPr>
            <w:tcW w:w="2240" w:type="dxa"/>
            <w:tcBorders>
              <w:top w:val="nil"/>
              <w:left w:val="single" w:sz="18" w:space="0" w:color="auto"/>
              <w:bottom w:val="nil"/>
              <w:right w:val="nil"/>
            </w:tcBorders>
            <w:noWrap/>
            <w:vAlign w:val="center"/>
            <w:hideMark/>
          </w:tcPr>
          <w:p w14:paraId="3268DD51"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25-34</w:t>
            </w:r>
          </w:p>
        </w:tc>
        <w:tc>
          <w:tcPr>
            <w:tcW w:w="850" w:type="dxa"/>
            <w:tcBorders>
              <w:top w:val="nil"/>
              <w:left w:val="nil"/>
              <w:bottom w:val="nil"/>
              <w:right w:val="nil"/>
            </w:tcBorders>
            <w:noWrap/>
            <w:vAlign w:val="center"/>
            <w:hideMark/>
          </w:tcPr>
          <w:p w14:paraId="7BFF45BD"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35.6</w:t>
            </w:r>
          </w:p>
        </w:tc>
        <w:tc>
          <w:tcPr>
            <w:tcW w:w="617" w:type="dxa"/>
            <w:tcBorders>
              <w:top w:val="nil"/>
              <w:left w:val="nil"/>
              <w:bottom w:val="nil"/>
              <w:right w:val="single" w:sz="8" w:space="0" w:color="auto"/>
            </w:tcBorders>
            <w:noWrap/>
            <w:vAlign w:val="center"/>
            <w:hideMark/>
          </w:tcPr>
          <w:p w14:paraId="0B235149"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20.9</w:t>
            </w:r>
          </w:p>
        </w:tc>
        <w:tc>
          <w:tcPr>
            <w:tcW w:w="3360" w:type="dxa"/>
            <w:tcBorders>
              <w:top w:val="nil"/>
              <w:left w:val="nil"/>
              <w:bottom w:val="nil"/>
              <w:right w:val="nil"/>
            </w:tcBorders>
            <w:noWrap/>
            <w:vAlign w:val="center"/>
          </w:tcPr>
          <w:p w14:paraId="64F2071A"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Non-white</w:t>
            </w:r>
          </w:p>
        </w:tc>
        <w:tc>
          <w:tcPr>
            <w:tcW w:w="850" w:type="dxa"/>
            <w:tcBorders>
              <w:top w:val="nil"/>
              <w:left w:val="nil"/>
              <w:bottom w:val="nil"/>
              <w:right w:val="nil"/>
            </w:tcBorders>
            <w:noWrap/>
            <w:vAlign w:val="center"/>
          </w:tcPr>
          <w:p w14:paraId="34076961"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32.6</w:t>
            </w:r>
          </w:p>
        </w:tc>
        <w:tc>
          <w:tcPr>
            <w:tcW w:w="623" w:type="dxa"/>
            <w:tcBorders>
              <w:top w:val="nil"/>
              <w:left w:val="nil"/>
              <w:bottom w:val="nil"/>
              <w:right w:val="single" w:sz="18" w:space="0" w:color="auto"/>
            </w:tcBorders>
            <w:noWrap/>
            <w:vAlign w:val="center"/>
          </w:tcPr>
          <w:p w14:paraId="1B628E86"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40.8</w:t>
            </w:r>
          </w:p>
        </w:tc>
      </w:tr>
      <w:tr w:rsidR="00B6518B" w:rsidRPr="00A80760" w14:paraId="33FF4B7D" w14:textId="77777777" w:rsidTr="00AB6CBE">
        <w:trPr>
          <w:trHeight w:val="20"/>
          <w:jc w:val="center"/>
        </w:trPr>
        <w:tc>
          <w:tcPr>
            <w:tcW w:w="2240" w:type="dxa"/>
            <w:tcBorders>
              <w:top w:val="nil"/>
              <w:left w:val="single" w:sz="18" w:space="0" w:color="auto"/>
              <w:bottom w:val="nil"/>
              <w:right w:val="nil"/>
            </w:tcBorders>
            <w:noWrap/>
            <w:vAlign w:val="center"/>
            <w:hideMark/>
          </w:tcPr>
          <w:p w14:paraId="0B3BBB2D"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35-44</w:t>
            </w:r>
          </w:p>
        </w:tc>
        <w:tc>
          <w:tcPr>
            <w:tcW w:w="850" w:type="dxa"/>
            <w:tcBorders>
              <w:top w:val="nil"/>
              <w:left w:val="nil"/>
              <w:bottom w:val="nil"/>
              <w:right w:val="nil"/>
            </w:tcBorders>
            <w:noWrap/>
            <w:vAlign w:val="center"/>
            <w:hideMark/>
          </w:tcPr>
          <w:p w14:paraId="0D88756F"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29.9</w:t>
            </w:r>
          </w:p>
        </w:tc>
        <w:tc>
          <w:tcPr>
            <w:tcW w:w="617" w:type="dxa"/>
            <w:tcBorders>
              <w:top w:val="nil"/>
              <w:left w:val="nil"/>
              <w:bottom w:val="nil"/>
              <w:right w:val="single" w:sz="8" w:space="0" w:color="auto"/>
            </w:tcBorders>
            <w:noWrap/>
            <w:vAlign w:val="center"/>
            <w:hideMark/>
          </w:tcPr>
          <w:p w14:paraId="470DCCC2"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19.8</w:t>
            </w:r>
          </w:p>
        </w:tc>
        <w:tc>
          <w:tcPr>
            <w:tcW w:w="3360" w:type="dxa"/>
            <w:tcBorders>
              <w:top w:val="nil"/>
              <w:left w:val="nil"/>
              <w:bottom w:val="nil"/>
              <w:right w:val="nil"/>
            </w:tcBorders>
            <w:noWrap/>
            <w:vAlign w:val="center"/>
          </w:tcPr>
          <w:p w14:paraId="77751979" w14:textId="77777777" w:rsidR="00B6518B" w:rsidRPr="00A80760" w:rsidRDefault="00B6518B" w:rsidP="00C975AE">
            <w:pPr>
              <w:rPr>
                <w:rFonts w:eastAsia="Times New Roman"/>
                <w:color w:val="000000"/>
                <w:kern w:val="0"/>
                <w:sz w:val="20"/>
                <w:szCs w:val="20"/>
                <w14:ligatures w14:val="none"/>
              </w:rPr>
            </w:pPr>
            <w:r w:rsidRPr="00A80760">
              <w:rPr>
                <w:rFonts w:eastAsia="Times New Roman"/>
                <w:b/>
                <w:bCs/>
                <w:color w:val="000000"/>
                <w:kern w:val="0"/>
                <w:sz w:val="20"/>
                <w:szCs w:val="20"/>
                <w14:ligatures w14:val="none"/>
              </w:rPr>
              <w:t>Ethnicity</w:t>
            </w:r>
          </w:p>
        </w:tc>
        <w:tc>
          <w:tcPr>
            <w:tcW w:w="850" w:type="dxa"/>
            <w:tcBorders>
              <w:top w:val="nil"/>
              <w:left w:val="nil"/>
              <w:bottom w:val="nil"/>
              <w:right w:val="nil"/>
            </w:tcBorders>
            <w:noWrap/>
            <w:vAlign w:val="center"/>
          </w:tcPr>
          <w:p w14:paraId="625F1F7B" w14:textId="77777777" w:rsidR="00B6518B" w:rsidRPr="00A80760" w:rsidRDefault="00B6518B" w:rsidP="00C975AE">
            <w:pPr>
              <w:jc w:val="right"/>
              <w:rPr>
                <w:rFonts w:eastAsia="Times New Roman"/>
                <w:color w:val="000000"/>
                <w:kern w:val="0"/>
                <w:sz w:val="20"/>
                <w:szCs w:val="20"/>
                <w14:ligatures w14:val="none"/>
              </w:rPr>
            </w:pPr>
          </w:p>
        </w:tc>
        <w:tc>
          <w:tcPr>
            <w:tcW w:w="623" w:type="dxa"/>
            <w:tcBorders>
              <w:top w:val="nil"/>
              <w:left w:val="nil"/>
              <w:bottom w:val="nil"/>
              <w:right w:val="single" w:sz="18" w:space="0" w:color="auto"/>
            </w:tcBorders>
            <w:noWrap/>
            <w:vAlign w:val="center"/>
          </w:tcPr>
          <w:p w14:paraId="76479A81"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r>
      <w:tr w:rsidR="00B6518B" w:rsidRPr="00A80760" w14:paraId="69159B92" w14:textId="77777777" w:rsidTr="00AB6CBE">
        <w:trPr>
          <w:trHeight w:val="20"/>
          <w:jc w:val="center"/>
        </w:trPr>
        <w:tc>
          <w:tcPr>
            <w:tcW w:w="2240" w:type="dxa"/>
            <w:tcBorders>
              <w:top w:val="nil"/>
              <w:left w:val="single" w:sz="18" w:space="0" w:color="auto"/>
              <w:bottom w:val="nil"/>
              <w:right w:val="nil"/>
            </w:tcBorders>
            <w:noWrap/>
            <w:vAlign w:val="center"/>
            <w:hideMark/>
          </w:tcPr>
          <w:p w14:paraId="63FFC15E"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45-54</w:t>
            </w:r>
          </w:p>
        </w:tc>
        <w:tc>
          <w:tcPr>
            <w:tcW w:w="850" w:type="dxa"/>
            <w:tcBorders>
              <w:top w:val="nil"/>
              <w:left w:val="nil"/>
              <w:bottom w:val="nil"/>
              <w:right w:val="nil"/>
            </w:tcBorders>
            <w:noWrap/>
            <w:vAlign w:val="center"/>
            <w:hideMark/>
          </w:tcPr>
          <w:p w14:paraId="65AA0D83"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12.7</w:t>
            </w:r>
          </w:p>
        </w:tc>
        <w:tc>
          <w:tcPr>
            <w:tcW w:w="617" w:type="dxa"/>
            <w:tcBorders>
              <w:top w:val="nil"/>
              <w:left w:val="nil"/>
              <w:bottom w:val="nil"/>
              <w:right w:val="single" w:sz="8" w:space="0" w:color="auto"/>
            </w:tcBorders>
            <w:noWrap/>
            <w:vAlign w:val="center"/>
            <w:hideMark/>
          </w:tcPr>
          <w:p w14:paraId="47D536AD"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15.6</w:t>
            </w:r>
          </w:p>
        </w:tc>
        <w:tc>
          <w:tcPr>
            <w:tcW w:w="3360" w:type="dxa"/>
            <w:tcBorders>
              <w:top w:val="nil"/>
              <w:left w:val="nil"/>
              <w:bottom w:val="nil"/>
              <w:right w:val="nil"/>
            </w:tcBorders>
            <w:noWrap/>
            <w:vAlign w:val="center"/>
          </w:tcPr>
          <w:p w14:paraId="599F6DC0"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color w:val="000000"/>
                <w:kern w:val="0"/>
                <w:sz w:val="20"/>
                <w:szCs w:val="20"/>
                <w14:ligatures w14:val="none"/>
              </w:rPr>
              <w:t xml:space="preserve">    Hispanic</w:t>
            </w:r>
          </w:p>
        </w:tc>
        <w:tc>
          <w:tcPr>
            <w:tcW w:w="850" w:type="dxa"/>
            <w:tcBorders>
              <w:top w:val="nil"/>
              <w:left w:val="nil"/>
              <w:bottom w:val="nil"/>
              <w:right w:val="nil"/>
            </w:tcBorders>
            <w:noWrap/>
            <w:vAlign w:val="center"/>
          </w:tcPr>
          <w:p w14:paraId="544255F6" w14:textId="77777777" w:rsidR="00B6518B" w:rsidRPr="00A80760" w:rsidRDefault="00B6518B" w:rsidP="00C975AE">
            <w:pPr>
              <w:jc w:val="right"/>
              <w:rPr>
                <w:rFonts w:eastAsia="Times New Roman"/>
                <w:b/>
                <w:bCs/>
                <w:color w:val="000000"/>
                <w:kern w:val="0"/>
                <w:sz w:val="20"/>
                <w:szCs w:val="20"/>
                <w14:ligatures w14:val="none"/>
              </w:rPr>
            </w:pPr>
            <w:r w:rsidRPr="00A80760">
              <w:rPr>
                <w:rFonts w:eastAsia="Times New Roman"/>
                <w:color w:val="000000"/>
                <w:kern w:val="0"/>
                <w:sz w:val="20"/>
                <w:szCs w:val="20"/>
                <w14:ligatures w14:val="none"/>
              </w:rPr>
              <w:t>15.0</w:t>
            </w:r>
          </w:p>
        </w:tc>
        <w:tc>
          <w:tcPr>
            <w:tcW w:w="623" w:type="dxa"/>
            <w:tcBorders>
              <w:top w:val="nil"/>
              <w:left w:val="nil"/>
              <w:bottom w:val="nil"/>
              <w:right w:val="single" w:sz="18" w:space="0" w:color="auto"/>
            </w:tcBorders>
            <w:noWrap/>
            <w:vAlign w:val="center"/>
          </w:tcPr>
          <w:p w14:paraId="0FE897D6"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11.7</w:t>
            </w:r>
          </w:p>
        </w:tc>
      </w:tr>
      <w:tr w:rsidR="00B6518B" w:rsidRPr="00A80760" w14:paraId="11FC9024" w14:textId="77777777" w:rsidTr="00AB6CBE">
        <w:trPr>
          <w:trHeight w:val="20"/>
          <w:jc w:val="center"/>
        </w:trPr>
        <w:tc>
          <w:tcPr>
            <w:tcW w:w="2240" w:type="dxa"/>
            <w:tcBorders>
              <w:top w:val="nil"/>
              <w:left w:val="single" w:sz="18" w:space="0" w:color="auto"/>
              <w:bottom w:val="nil"/>
              <w:right w:val="nil"/>
            </w:tcBorders>
            <w:noWrap/>
            <w:vAlign w:val="center"/>
            <w:hideMark/>
          </w:tcPr>
          <w:p w14:paraId="7CFE1E08"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55-64</w:t>
            </w:r>
          </w:p>
        </w:tc>
        <w:tc>
          <w:tcPr>
            <w:tcW w:w="850" w:type="dxa"/>
            <w:tcBorders>
              <w:top w:val="nil"/>
              <w:left w:val="nil"/>
              <w:bottom w:val="nil"/>
              <w:right w:val="nil"/>
            </w:tcBorders>
            <w:noWrap/>
            <w:vAlign w:val="center"/>
            <w:hideMark/>
          </w:tcPr>
          <w:p w14:paraId="3BD30B9F"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11.9</w:t>
            </w:r>
          </w:p>
        </w:tc>
        <w:tc>
          <w:tcPr>
            <w:tcW w:w="617" w:type="dxa"/>
            <w:tcBorders>
              <w:top w:val="nil"/>
              <w:left w:val="nil"/>
              <w:bottom w:val="nil"/>
              <w:right w:val="single" w:sz="8" w:space="0" w:color="auto"/>
            </w:tcBorders>
            <w:noWrap/>
            <w:vAlign w:val="center"/>
            <w:hideMark/>
          </w:tcPr>
          <w:p w14:paraId="2A71B033"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14.5</w:t>
            </w:r>
          </w:p>
        </w:tc>
        <w:tc>
          <w:tcPr>
            <w:tcW w:w="3360" w:type="dxa"/>
            <w:tcBorders>
              <w:top w:val="nil"/>
              <w:left w:val="nil"/>
              <w:bottom w:val="nil"/>
              <w:right w:val="nil"/>
            </w:tcBorders>
            <w:noWrap/>
            <w:vAlign w:val="center"/>
          </w:tcPr>
          <w:p w14:paraId="66815B68"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Not Hispanic</w:t>
            </w:r>
          </w:p>
        </w:tc>
        <w:tc>
          <w:tcPr>
            <w:tcW w:w="850" w:type="dxa"/>
            <w:tcBorders>
              <w:top w:val="nil"/>
              <w:left w:val="nil"/>
              <w:bottom w:val="nil"/>
              <w:right w:val="nil"/>
            </w:tcBorders>
            <w:noWrap/>
            <w:vAlign w:val="center"/>
          </w:tcPr>
          <w:p w14:paraId="0B9C9E8B"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85.0</w:t>
            </w:r>
          </w:p>
        </w:tc>
        <w:tc>
          <w:tcPr>
            <w:tcW w:w="623" w:type="dxa"/>
            <w:tcBorders>
              <w:top w:val="nil"/>
              <w:left w:val="nil"/>
              <w:bottom w:val="nil"/>
              <w:right w:val="single" w:sz="18" w:space="0" w:color="auto"/>
            </w:tcBorders>
            <w:noWrap/>
            <w:vAlign w:val="center"/>
          </w:tcPr>
          <w:p w14:paraId="127AF458"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88.3</w:t>
            </w:r>
          </w:p>
        </w:tc>
      </w:tr>
      <w:tr w:rsidR="00B6518B" w:rsidRPr="00A80760" w14:paraId="2DD43CBB" w14:textId="77777777" w:rsidTr="00AB6CBE">
        <w:trPr>
          <w:trHeight w:val="20"/>
          <w:jc w:val="center"/>
        </w:trPr>
        <w:tc>
          <w:tcPr>
            <w:tcW w:w="2240" w:type="dxa"/>
            <w:tcBorders>
              <w:top w:val="nil"/>
              <w:left w:val="single" w:sz="18" w:space="0" w:color="auto"/>
              <w:bottom w:val="nil"/>
              <w:right w:val="nil"/>
            </w:tcBorders>
            <w:noWrap/>
            <w:vAlign w:val="center"/>
            <w:hideMark/>
          </w:tcPr>
          <w:p w14:paraId="21326316"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65+</w:t>
            </w:r>
          </w:p>
        </w:tc>
        <w:tc>
          <w:tcPr>
            <w:tcW w:w="850" w:type="dxa"/>
            <w:tcBorders>
              <w:top w:val="nil"/>
              <w:left w:val="nil"/>
              <w:bottom w:val="nil"/>
              <w:right w:val="nil"/>
            </w:tcBorders>
            <w:noWrap/>
            <w:vAlign w:val="center"/>
            <w:hideMark/>
          </w:tcPr>
          <w:p w14:paraId="25100AB3"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4.3</w:t>
            </w:r>
          </w:p>
        </w:tc>
        <w:tc>
          <w:tcPr>
            <w:tcW w:w="617" w:type="dxa"/>
            <w:tcBorders>
              <w:top w:val="nil"/>
              <w:left w:val="nil"/>
              <w:bottom w:val="nil"/>
              <w:right w:val="single" w:sz="8" w:space="0" w:color="auto"/>
            </w:tcBorders>
            <w:noWrap/>
            <w:vAlign w:val="center"/>
            <w:hideMark/>
          </w:tcPr>
          <w:p w14:paraId="73774858"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19.1</w:t>
            </w:r>
          </w:p>
        </w:tc>
        <w:tc>
          <w:tcPr>
            <w:tcW w:w="3360" w:type="dxa"/>
            <w:tcBorders>
              <w:top w:val="nil"/>
              <w:left w:val="nil"/>
              <w:bottom w:val="nil"/>
              <w:right w:val="nil"/>
            </w:tcBorders>
            <w:noWrap/>
            <w:vAlign w:val="center"/>
          </w:tcPr>
          <w:p w14:paraId="421F5792" w14:textId="77777777" w:rsidR="00B6518B" w:rsidRPr="00A80760" w:rsidRDefault="00B6518B" w:rsidP="00C975AE">
            <w:pPr>
              <w:rPr>
                <w:rFonts w:eastAsia="Times New Roman"/>
                <w:color w:val="000000"/>
                <w:kern w:val="0"/>
                <w:sz w:val="20"/>
                <w:szCs w:val="20"/>
                <w14:ligatures w14:val="none"/>
              </w:rPr>
            </w:pPr>
            <w:r w:rsidRPr="00A80760">
              <w:rPr>
                <w:rFonts w:eastAsia="Times New Roman"/>
                <w:b/>
                <w:bCs/>
                <w:color w:val="000000"/>
                <w:kern w:val="0"/>
                <w:sz w:val="20"/>
                <w:szCs w:val="20"/>
                <w14:ligatures w14:val="none"/>
              </w:rPr>
              <w:t>Disability that Impacts Travel</w:t>
            </w:r>
          </w:p>
        </w:tc>
        <w:tc>
          <w:tcPr>
            <w:tcW w:w="850" w:type="dxa"/>
            <w:tcBorders>
              <w:top w:val="nil"/>
              <w:left w:val="nil"/>
              <w:bottom w:val="nil"/>
              <w:right w:val="nil"/>
            </w:tcBorders>
            <w:noWrap/>
            <w:vAlign w:val="center"/>
          </w:tcPr>
          <w:p w14:paraId="476F62C4" w14:textId="77777777" w:rsidR="00B6518B" w:rsidRPr="00A80760" w:rsidRDefault="00B6518B" w:rsidP="00C975AE">
            <w:pPr>
              <w:jc w:val="right"/>
              <w:rPr>
                <w:rFonts w:eastAsia="Times New Roman"/>
                <w:color w:val="000000"/>
                <w:kern w:val="0"/>
                <w:sz w:val="20"/>
                <w:szCs w:val="20"/>
                <w14:ligatures w14:val="none"/>
              </w:rPr>
            </w:pPr>
          </w:p>
        </w:tc>
        <w:tc>
          <w:tcPr>
            <w:tcW w:w="623" w:type="dxa"/>
            <w:tcBorders>
              <w:top w:val="nil"/>
              <w:left w:val="nil"/>
              <w:bottom w:val="nil"/>
              <w:right w:val="single" w:sz="18" w:space="0" w:color="auto"/>
            </w:tcBorders>
            <w:noWrap/>
            <w:vAlign w:val="center"/>
          </w:tcPr>
          <w:p w14:paraId="172CD42B"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r>
      <w:tr w:rsidR="00B6518B" w:rsidRPr="00A80760" w14:paraId="7B29DDC9" w14:textId="77777777" w:rsidTr="00AB6CBE">
        <w:trPr>
          <w:trHeight w:val="20"/>
          <w:jc w:val="center"/>
        </w:trPr>
        <w:tc>
          <w:tcPr>
            <w:tcW w:w="2240" w:type="dxa"/>
            <w:tcBorders>
              <w:top w:val="nil"/>
              <w:left w:val="single" w:sz="18" w:space="0" w:color="auto"/>
              <w:bottom w:val="nil"/>
              <w:right w:val="nil"/>
            </w:tcBorders>
            <w:noWrap/>
            <w:vAlign w:val="bottom"/>
            <w:hideMark/>
          </w:tcPr>
          <w:p w14:paraId="422A93DF"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850" w:type="dxa"/>
            <w:tcBorders>
              <w:top w:val="nil"/>
              <w:left w:val="nil"/>
              <w:bottom w:val="nil"/>
              <w:right w:val="nil"/>
            </w:tcBorders>
            <w:noWrap/>
            <w:vAlign w:val="center"/>
            <w:hideMark/>
          </w:tcPr>
          <w:p w14:paraId="7677A5DA" w14:textId="77777777" w:rsidR="00B6518B" w:rsidRPr="00A80760" w:rsidRDefault="00B6518B" w:rsidP="00C975AE">
            <w:pPr>
              <w:jc w:val="right"/>
              <w:rPr>
                <w:rFonts w:eastAsia="Times New Roman"/>
                <w:color w:val="000000"/>
                <w:kern w:val="0"/>
                <w:sz w:val="20"/>
                <w:szCs w:val="20"/>
                <w14:ligatures w14:val="none"/>
              </w:rPr>
            </w:pPr>
          </w:p>
        </w:tc>
        <w:tc>
          <w:tcPr>
            <w:tcW w:w="617" w:type="dxa"/>
            <w:tcBorders>
              <w:top w:val="nil"/>
              <w:left w:val="nil"/>
              <w:bottom w:val="nil"/>
              <w:right w:val="single" w:sz="8" w:space="0" w:color="auto"/>
            </w:tcBorders>
            <w:noWrap/>
            <w:vAlign w:val="center"/>
            <w:hideMark/>
          </w:tcPr>
          <w:p w14:paraId="6722A636"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3360" w:type="dxa"/>
            <w:tcBorders>
              <w:top w:val="nil"/>
              <w:left w:val="nil"/>
              <w:bottom w:val="nil"/>
              <w:right w:val="nil"/>
            </w:tcBorders>
            <w:noWrap/>
            <w:vAlign w:val="center"/>
          </w:tcPr>
          <w:p w14:paraId="374F55F0"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color w:val="000000"/>
                <w:kern w:val="0"/>
                <w:sz w:val="20"/>
                <w:szCs w:val="20"/>
                <w14:ligatures w14:val="none"/>
              </w:rPr>
              <w:t xml:space="preserve">    Yes</w:t>
            </w:r>
          </w:p>
        </w:tc>
        <w:tc>
          <w:tcPr>
            <w:tcW w:w="850" w:type="dxa"/>
            <w:tcBorders>
              <w:top w:val="nil"/>
              <w:left w:val="nil"/>
              <w:bottom w:val="nil"/>
              <w:right w:val="nil"/>
            </w:tcBorders>
            <w:noWrap/>
            <w:vAlign w:val="center"/>
          </w:tcPr>
          <w:p w14:paraId="79A09660" w14:textId="77777777" w:rsidR="00B6518B" w:rsidRPr="00A80760" w:rsidRDefault="00B6518B" w:rsidP="00C975AE">
            <w:pPr>
              <w:jc w:val="right"/>
              <w:rPr>
                <w:rFonts w:eastAsia="Times New Roman"/>
                <w:b/>
                <w:bCs/>
                <w:color w:val="000000"/>
                <w:kern w:val="0"/>
                <w:sz w:val="20"/>
                <w:szCs w:val="20"/>
                <w14:ligatures w14:val="none"/>
              </w:rPr>
            </w:pPr>
            <w:r w:rsidRPr="00A80760">
              <w:rPr>
                <w:rFonts w:eastAsia="Times New Roman"/>
                <w:color w:val="000000"/>
                <w:kern w:val="0"/>
                <w:sz w:val="20"/>
                <w:szCs w:val="20"/>
                <w14:ligatures w14:val="none"/>
              </w:rPr>
              <w:t>5.6</w:t>
            </w:r>
          </w:p>
        </w:tc>
        <w:tc>
          <w:tcPr>
            <w:tcW w:w="623" w:type="dxa"/>
            <w:tcBorders>
              <w:top w:val="nil"/>
              <w:left w:val="nil"/>
              <w:bottom w:val="nil"/>
              <w:right w:val="single" w:sz="18" w:space="0" w:color="auto"/>
            </w:tcBorders>
            <w:noWrap/>
            <w:vAlign w:val="center"/>
          </w:tcPr>
          <w:p w14:paraId="20B5D7F0"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12.0</w:t>
            </w:r>
          </w:p>
        </w:tc>
      </w:tr>
      <w:tr w:rsidR="00B6518B" w:rsidRPr="00A80760" w14:paraId="51145B97" w14:textId="77777777" w:rsidTr="00AB6CBE">
        <w:trPr>
          <w:trHeight w:val="20"/>
          <w:jc w:val="center"/>
        </w:trPr>
        <w:tc>
          <w:tcPr>
            <w:tcW w:w="2240" w:type="dxa"/>
            <w:tcBorders>
              <w:top w:val="nil"/>
              <w:left w:val="single" w:sz="18" w:space="0" w:color="auto"/>
              <w:bottom w:val="single" w:sz="18" w:space="0" w:color="auto"/>
              <w:right w:val="nil"/>
            </w:tcBorders>
            <w:noWrap/>
            <w:vAlign w:val="bottom"/>
            <w:hideMark/>
          </w:tcPr>
          <w:p w14:paraId="102E72CA"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850" w:type="dxa"/>
            <w:tcBorders>
              <w:top w:val="nil"/>
              <w:left w:val="nil"/>
              <w:bottom w:val="single" w:sz="18" w:space="0" w:color="auto"/>
              <w:right w:val="nil"/>
            </w:tcBorders>
            <w:noWrap/>
            <w:vAlign w:val="bottom"/>
            <w:hideMark/>
          </w:tcPr>
          <w:p w14:paraId="60F67224" w14:textId="77777777" w:rsidR="00B6518B" w:rsidRPr="00A80760" w:rsidRDefault="00B6518B" w:rsidP="00C975AE">
            <w:pPr>
              <w:rPr>
                <w:rFonts w:eastAsia="Times New Roman"/>
                <w:color w:val="000000"/>
                <w:kern w:val="0"/>
                <w:sz w:val="20"/>
                <w:szCs w:val="20"/>
                <w14:ligatures w14:val="none"/>
              </w:rPr>
            </w:pPr>
          </w:p>
        </w:tc>
        <w:tc>
          <w:tcPr>
            <w:tcW w:w="617" w:type="dxa"/>
            <w:tcBorders>
              <w:top w:val="nil"/>
              <w:left w:val="nil"/>
              <w:bottom w:val="single" w:sz="18" w:space="0" w:color="auto"/>
              <w:right w:val="single" w:sz="8" w:space="0" w:color="auto"/>
            </w:tcBorders>
            <w:noWrap/>
            <w:vAlign w:val="bottom"/>
            <w:hideMark/>
          </w:tcPr>
          <w:p w14:paraId="6985C936"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3360" w:type="dxa"/>
            <w:tcBorders>
              <w:top w:val="nil"/>
              <w:left w:val="nil"/>
              <w:bottom w:val="single" w:sz="18" w:space="0" w:color="auto"/>
              <w:right w:val="nil"/>
            </w:tcBorders>
            <w:noWrap/>
            <w:vAlign w:val="center"/>
          </w:tcPr>
          <w:p w14:paraId="4C84F94E"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No</w:t>
            </w:r>
          </w:p>
        </w:tc>
        <w:tc>
          <w:tcPr>
            <w:tcW w:w="850" w:type="dxa"/>
            <w:tcBorders>
              <w:top w:val="nil"/>
              <w:left w:val="nil"/>
              <w:bottom w:val="single" w:sz="18" w:space="0" w:color="auto"/>
              <w:right w:val="nil"/>
            </w:tcBorders>
            <w:noWrap/>
            <w:vAlign w:val="center"/>
          </w:tcPr>
          <w:p w14:paraId="245CF343"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94.4</w:t>
            </w:r>
          </w:p>
        </w:tc>
        <w:tc>
          <w:tcPr>
            <w:tcW w:w="623" w:type="dxa"/>
            <w:tcBorders>
              <w:top w:val="nil"/>
              <w:left w:val="nil"/>
              <w:bottom w:val="single" w:sz="18" w:space="0" w:color="auto"/>
              <w:right w:val="single" w:sz="18" w:space="0" w:color="auto"/>
            </w:tcBorders>
            <w:noWrap/>
            <w:vAlign w:val="center"/>
          </w:tcPr>
          <w:p w14:paraId="1CED2796"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88.0</w:t>
            </w:r>
          </w:p>
        </w:tc>
      </w:tr>
      <w:tr w:rsidR="00B6518B" w:rsidRPr="00A80760" w14:paraId="5125F9C4" w14:textId="77777777" w:rsidTr="00AB6CBE">
        <w:trPr>
          <w:trHeight w:val="20"/>
          <w:jc w:val="center"/>
        </w:trPr>
        <w:tc>
          <w:tcPr>
            <w:tcW w:w="8540" w:type="dxa"/>
            <w:gridSpan w:val="6"/>
            <w:tcBorders>
              <w:top w:val="single" w:sz="18" w:space="0" w:color="auto"/>
              <w:left w:val="single" w:sz="18" w:space="0" w:color="auto"/>
              <w:bottom w:val="single" w:sz="18" w:space="0" w:color="auto"/>
              <w:right w:val="single" w:sz="18" w:space="0" w:color="auto"/>
            </w:tcBorders>
            <w:noWrap/>
            <w:vAlign w:val="center"/>
            <w:hideMark/>
          </w:tcPr>
          <w:p w14:paraId="150A8F3E" w14:textId="77777777" w:rsidR="00B6518B" w:rsidRPr="00AB6CBE" w:rsidRDefault="00B6518B" w:rsidP="00C975AE">
            <w:pPr>
              <w:jc w:val="center"/>
              <w:rPr>
                <w:rFonts w:eastAsia="Times New Roman"/>
                <w:b/>
                <w:bCs/>
                <w:i/>
                <w:iCs/>
                <w:color w:val="000000"/>
                <w:kern w:val="0"/>
                <w:sz w:val="20"/>
                <w:szCs w:val="20"/>
                <w14:ligatures w14:val="none"/>
              </w:rPr>
            </w:pPr>
            <w:r w:rsidRPr="00AB6CBE">
              <w:rPr>
                <w:rFonts w:eastAsia="Times New Roman"/>
                <w:b/>
                <w:bCs/>
                <w:i/>
                <w:iCs/>
                <w:color w:val="000000"/>
                <w:kern w:val="0"/>
                <w:sz w:val="20"/>
                <w:szCs w:val="20"/>
                <w14:ligatures w14:val="none"/>
              </w:rPr>
              <w:t>Household Characteristics and Location</w:t>
            </w:r>
          </w:p>
        </w:tc>
      </w:tr>
      <w:tr w:rsidR="00B6518B" w:rsidRPr="00A80760" w14:paraId="3F34A60F" w14:textId="77777777" w:rsidTr="00AB6CBE">
        <w:trPr>
          <w:trHeight w:val="20"/>
          <w:jc w:val="center"/>
        </w:trPr>
        <w:tc>
          <w:tcPr>
            <w:tcW w:w="3090" w:type="dxa"/>
            <w:gridSpan w:val="2"/>
            <w:tcBorders>
              <w:top w:val="single" w:sz="18" w:space="0" w:color="auto"/>
              <w:left w:val="single" w:sz="18" w:space="0" w:color="auto"/>
              <w:bottom w:val="nil"/>
              <w:right w:val="nil"/>
            </w:tcBorders>
            <w:noWrap/>
            <w:vAlign w:val="center"/>
            <w:hideMark/>
          </w:tcPr>
          <w:p w14:paraId="38EBAF8B"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Household Composition</w:t>
            </w:r>
          </w:p>
        </w:tc>
        <w:tc>
          <w:tcPr>
            <w:tcW w:w="617" w:type="dxa"/>
            <w:tcBorders>
              <w:top w:val="single" w:sz="18" w:space="0" w:color="auto"/>
              <w:left w:val="nil"/>
              <w:bottom w:val="nil"/>
              <w:right w:val="single" w:sz="8" w:space="0" w:color="auto"/>
            </w:tcBorders>
            <w:noWrap/>
            <w:vAlign w:val="bottom"/>
            <w:hideMark/>
          </w:tcPr>
          <w:p w14:paraId="44BA2B15"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4210" w:type="dxa"/>
            <w:gridSpan w:val="2"/>
            <w:tcBorders>
              <w:top w:val="single" w:sz="18" w:space="0" w:color="auto"/>
              <w:left w:val="nil"/>
              <w:bottom w:val="nil"/>
              <w:right w:val="nil"/>
            </w:tcBorders>
            <w:noWrap/>
            <w:vAlign w:val="center"/>
          </w:tcPr>
          <w:p w14:paraId="35139853"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Population Density (people per square mile)</w:t>
            </w:r>
          </w:p>
        </w:tc>
        <w:tc>
          <w:tcPr>
            <w:tcW w:w="623" w:type="dxa"/>
            <w:tcBorders>
              <w:top w:val="single" w:sz="18" w:space="0" w:color="auto"/>
              <w:left w:val="nil"/>
              <w:bottom w:val="nil"/>
              <w:right w:val="single" w:sz="18" w:space="0" w:color="auto"/>
            </w:tcBorders>
            <w:noWrap/>
            <w:vAlign w:val="bottom"/>
          </w:tcPr>
          <w:p w14:paraId="4BC77DDF"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r>
      <w:tr w:rsidR="00B6518B" w:rsidRPr="00A80760" w14:paraId="238A764A" w14:textId="77777777" w:rsidTr="00AB6CBE">
        <w:trPr>
          <w:trHeight w:val="20"/>
          <w:jc w:val="center"/>
        </w:trPr>
        <w:tc>
          <w:tcPr>
            <w:tcW w:w="2240" w:type="dxa"/>
            <w:tcBorders>
              <w:top w:val="nil"/>
              <w:left w:val="single" w:sz="18" w:space="0" w:color="auto"/>
              <w:bottom w:val="nil"/>
              <w:right w:val="nil"/>
            </w:tcBorders>
            <w:noWrap/>
            <w:vAlign w:val="center"/>
            <w:hideMark/>
          </w:tcPr>
          <w:p w14:paraId="61D36351"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Single adult</w:t>
            </w:r>
          </w:p>
        </w:tc>
        <w:tc>
          <w:tcPr>
            <w:tcW w:w="850" w:type="dxa"/>
            <w:tcBorders>
              <w:top w:val="nil"/>
              <w:left w:val="nil"/>
              <w:bottom w:val="nil"/>
              <w:right w:val="nil"/>
            </w:tcBorders>
            <w:noWrap/>
            <w:vAlign w:val="center"/>
            <w:hideMark/>
          </w:tcPr>
          <w:p w14:paraId="0595FA6A"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39.9</w:t>
            </w:r>
          </w:p>
        </w:tc>
        <w:tc>
          <w:tcPr>
            <w:tcW w:w="617" w:type="dxa"/>
            <w:tcBorders>
              <w:top w:val="nil"/>
              <w:left w:val="nil"/>
              <w:bottom w:val="nil"/>
              <w:right w:val="single" w:sz="8" w:space="0" w:color="auto"/>
            </w:tcBorders>
            <w:noWrap/>
            <w:vAlign w:val="center"/>
            <w:hideMark/>
          </w:tcPr>
          <w:p w14:paraId="65B45BC5"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38.8</w:t>
            </w:r>
          </w:p>
        </w:tc>
        <w:tc>
          <w:tcPr>
            <w:tcW w:w="3360" w:type="dxa"/>
            <w:tcBorders>
              <w:top w:val="nil"/>
              <w:left w:val="nil"/>
              <w:bottom w:val="nil"/>
              <w:right w:val="nil"/>
            </w:tcBorders>
            <w:noWrap/>
            <w:vAlign w:val="center"/>
          </w:tcPr>
          <w:p w14:paraId="5331754C"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Less than 2,000</w:t>
            </w:r>
          </w:p>
        </w:tc>
        <w:tc>
          <w:tcPr>
            <w:tcW w:w="850" w:type="dxa"/>
            <w:tcBorders>
              <w:top w:val="nil"/>
              <w:left w:val="nil"/>
              <w:bottom w:val="nil"/>
              <w:right w:val="nil"/>
            </w:tcBorders>
            <w:noWrap/>
            <w:vAlign w:val="center"/>
          </w:tcPr>
          <w:p w14:paraId="2B6DD18F"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23.0</w:t>
            </w:r>
          </w:p>
        </w:tc>
        <w:tc>
          <w:tcPr>
            <w:tcW w:w="623" w:type="dxa"/>
            <w:tcBorders>
              <w:top w:val="nil"/>
              <w:left w:val="nil"/>
              <w:bottom w:val="nil"/>
              <w:right w:val="single" w:sz="18" w:space="0" w:color="auto"/>
            </w:tcBorders>
            <w:noWrap/>
            <w:vAlign w:val="center"/>
          </w:tcPr>
          <w:p w14:paraId="2F0D1279"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63EA480E" w14:textId="77777777" w:rsidTr="00AB6CBE">
        <w:trPr>
          <w:trHeight w:val="20"/>
          <w:jc w:val="center"/>
        </w:trPr>
        <w:tc>
          <w:tcPr>
            <w:tcW w:w="2240" w:type="dxa"/>
            <w:tcBorders>
              <w:top w:val="nil"/>
              <w:left w:val="single" w:sz="18" w:space="0" w:color="auto"/>
              <w:bottom w:val="nil"/>
              <w:right w:val="nil"/>
            </w:tcBorders>
            <w:noWrap/>
            <w:vAlign w:val="center"/>
            <w:hideMark/>
          </w:tcPr>
          <w:p w14:paraId="11E8AF8E"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Single parent</w:t>
            </w:r>
          </w:p>
        </w:tc>
        <w:tc>
          <w:tcPr>
            <w:tcW w:w="850" w:type="dxa"/>
            <w:tcBorders>
              <w:top w:val="nil"/>
              <w:left w:val="nil"/>
              <w:bottom w:val="nil"/>
              <w:right w:val="nil"/>
            </w:tcBorders>
            <w:noWrap/>
            <w:vAlign w:val="center"/>
            <w:hideMark/>
          </w:tcPr>
          <w:p w14:paraId="26A396AE"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2.1</w:t>
            </w:r>
          </w:p>
        </w:tc>
        <w:tc>
          <w:tcPr>
            <w:tcW w:w="617" w:type="dxa"/>
            <w:tcBorders>
              <w:top w:val="nil"/>
              <w:left w:val="nil"/>
              <w:bottom w:val="nil"/>
              <w:right w:val="single" w:sz="8" w:space="0" w:color="auto"/>
            </w:tcBorders>
            <w:noWrap/>
            <w:vAlign w:val="center"/>
            <w:hideMark/>
          </w:tcPr>
          <w:p w14:paraId="6CD85E9C"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4.5</w:t>
            </w:r>
          </w:p>
        </w:tc>
        <w:tc>
          <w:tcPr>
            <w:tcW w:w="3360" w:type="dxa"/>
            <w:tcBorders>
              <w:top w:val="nil"/>
              <w:left w:val="nil"/>
              <w:bottom w:val="nil"/>
              <w:right w:val="nil"/>
            </w:tcBorders>
            <w:noWrap/>
            <w:vAlign w:val="center"/>
          </w:tcPr>
          <w:p w14:paraId="43B278DD"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2,000 - 3,999</w:t>
            </w:r>
          </w:p>
        </w:tc>
        <w:tc>
          <w:tcPr>
            <w:tcW w:w="850" w:type="dxa"/>
            <w:tcBorders>
              <w:top w:val="nil"/>
              <w:left w:val="nil"/>
              <w:bottom w:val="nil"/>
              <w:right w:val="nil"/>
            </w:tcBorders>
            <w:noWrap/>
            <w:vAlign w:val="center"/>
          </w:tcPr>
          <w:p w14:paraId="30D3893B"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28.3</w:t>
            </w:r>
          </w:p>
        </w:tc>
        <w:tc>
          <w:tcPr>
            <w:tcW w:w="623" w:type="dxa"/>
            <w:tcBorders>
              <w:top w:val="nil"/>
              <w:left w:val="nil"/>
              <w:bottom w:val="nil"/>
              <w:right w:val="single" w:sz="18" w:space="0" w:color="auto"/>
            </w:tcBorders>
            <w:noWrap/>
            <w:vAlign w:val="center"/>
          </w:tcPr>
          <w:p w14:paraId="3E447932"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2B7220C5" w14:textId="77777777" w:rsidTr="00AB6CBE">
        <w:trPr>
          <w:trHeight w:val="20"/>
          <w:jc w:val="center"/>
        </w:trPr>
        <w:tc>
          <w:tcPr>
            <w:tcW w:w="2240" w:type="dxa"/>
            <w:tcBorders>
              <w:top w:val="nil"/>
              <w:left w:val="single" w:sz="18" w:space="0" w:color="auto"/>
              <w:bottom w:val="nil"/>
              <w:right w:val="nil"/>
            </w:tcBorders>
            <w:noWrap/>
            <w:vAlign w:val="center"/>
            <w:hideMark/>
          </w:tcPr>
          <w:p w14:paraId="2DDB3992"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Nuclear </w:t>
            </w:r>
          </w:p>
        </w:tc>
        <w:tc>
          <w:tcPr>
            <w:tcW w:w="850" w:type="dxa"/>
            <w:tcBorders>
              <w:top w:val="nil"/>
              <w:left w:val="nil"/>
              <w:bottom w:val="nil"/>
              <w:right w:val="nil"/>
            </w:tcBorders>
            <w:noWrap/>
            <w:vAlign w:val="center"/>
            <w:hideMark/>
          </w:tcPr>
          <w:p w14:paraId="4E3C72E0"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16.5</w:t>
            </w:r>
          </w:p>
        </w:tc>
        <w:tc>
          <w:tcPr>
            <w:tcW w:w="617" w:type="dxa"/>
            <w:tcBorders>
              <w:top w:val="nil"/>
              <w:left w:val="nil"/>
              <w:bottom w:val="nil"/>
              <w:right w:val="single" w:sz="8" w:space="0" w:color="auto"/>
            </w:tcBorders>
            <w:noWrap/>
            <w:vAlign w:val="center"/>
            <w:hideMark/>
          </w:tcPr>
          <w:p w14:paraId="000FD73E"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19.8</w:t>
            </w:r>
          </w:p>
        </w:tc>
        <w:tc>
          <w:tcPr>
            <w:tcW w:w="3360" w:type="dxa"/>
            <w:tcBorders>
              <w:top w:val="nil"/>
              <w:left w:val="nil"/>
              <w:bottom w:val="nil"/>
              <w:right w:val="nil"/>
            </w:tcBorders>
            <w:noWrap/>
            <w:vAlign w:val="center"/>
          </w:tcPr>
          <w:p w14:paraId="7AC10D28"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4,000 - 5,999</w:t>
            </w:r>
          </w:p>
        </w:tc>
        <w:tc>
          <w:tcPr>
            <w:tcW w:w="850" w:type="dxa"/>
            <w:tcBorders>
              <w:top w:val="nil"/>
              <w:left w:val="nil"/>
              <w:bottom w:val="nil"/>
              <w:right w:val="nil"/>
            </w:tcBorders>
            <w:noWrap/>
            <w:vAlign w:val="center"/>
          </w:tcPr>
          <w:p w14:paraId="5B22BB1B"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15.6</w:t>
            </w:r>
          </w:p>
        </w:tc>
        <w:tc>
          <w:tcPr>
            <w:tcW w:w="623" w:type="dxa"/>
            <w:tcBorders>
              <w:top w:val="nil"/>
              <w:left w:val="nil"/>
              <w:bottom w:val="nil"/>
              <w:right w:val="single" w:sz="18" w:space="0" w:color="auto"/>
            </w:tcBorders>
            <w:noWrap/>
            <w:vAlign w:val="center"/>
          </w:tcPr>
          <w:p w14:paraId="5E70E0EF"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2CF217DF" w14:textId="77777777" w:rsidTr="00AB6CBE">
        <w:trPr>
          <w:trHeight w:val="20"/>
          <w:jc w:val="center"/>
        </w:trPr>
        <w:tc>
          <w:tcPr>
            <w:tcW w:w="2240" w:type="dxa"/>
            <w:tcBorders>
              <w:top w:val="nil"/>
              <w:left w:val="single" w:sz="18" w:space="0" w:color="auto"/>
              <w:bottom w:val="nil"/>
              <w:right w:val="nil"/>
            </w:tcBorders>
            <w:noWrap/>
            <w:vAlign w:val="center"/>
            <w:hideMark/>
          </w:tcPr>
          <w:p w14:paraId="545FE747"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Couple</w:t>
            </w:r>
          </w:p>
        </w:tc>
        <w:tc>
          <w:tcPr>
            <w:tcW w:w="850" w:type="dxa"/>
            <w:tcBorders>
              <w:top w:val="nil"/>
              <w:left w:val="nil"/>
              <w:bottom w:val="nil"/>
              <w:right w:val="nil"/>
            </w:tcBorders>
            <w:noWrap/>
            <w:vAlign w:val="center"/>
            <w:hideMark/>
          </w:tcPr>
          <w:p w14:paraId="7E387418"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37.9</w:t>
            </w:r>
          </w:p>
        </w:tc>
        <w:tc>
          <w:tcPr>
            <w:tcW w:w="617" w:type="dxa"/>
            <w:tcBorders>
              <w:top w:val="nil"/>
              <w:left w:val="nil"/>
              <w:bottom w:val="nil"/>
              <w:right w:val="single" w:sz="8" w:space="0" w:color="auto"/>
            </w:tcBorders>
            <w:noWrap/>
            <w:vAlign w:val="center"/>
            <w:hideMark/>
          </w:tcPr>
          <w:p w14:paraId="56CAACBC"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28.4</w:t>
            </w:r>
          </w:p>
        </w:tc>
        <w:tc>
          <w:tcPr>
            <w:tcW w:w="3360" w:type="dxa"/>
            <w:tcBorders>
              <w:top w:val="nil"/>
              <w:left w:val="nil"/>
              <w:bottom w:val="nil"/>
              <w:right w:val="nil"/>
            </w:tcBorders>
            <w:noWrap/>
            <w:vAlign w:val="center"/>
          </w:tcPr>
          <w:p w14:paraId="3851976B"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6,000 or more</w:t>
            </w:r>
          </w:p>
        </w:tc>
        <w:tc>
          <w:tcPr>
            <w:tcW w:w="850" w:type="dxa"/>
            <w:tcBorders>
              <w:top w:val="nil"/>
              <w:left w:val="nil"/>
              <w:bottom w:val="nil"/>
              <w:right w:val="nil"/>
            </w:tcBorders>
            <w:noWrap/>
            <w:vAlign w:val="center"/>
          </w:tcPr>
          <w:p w14:paraId="2D2AA5A9"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33.1</w:t>
            </w:r>
          </w:p>
        </w:tc>
        <w:tc>
          <w:tcPr>
            <w:tcW w:w="623" w:type="dxa"/>
            <w:tcBorders>
              <w:top w:val="nil"/>
              <w:left w:val="nil"/>
              <w:bottom w:val="nil"/>
              <w:right w:val="single" w:sz="18" w:space="0" w:color="auto"/>
            </w:tcBorders>
            <w:noWrap/>
            <w:vAlign w:val="center"/>
          </w:tcPr>
          <w:p w14:paraId="58220A4D"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21551306" w14:textId="77777777" w:rsidTr="00AB6CBE">
        <w:trPr>
          <w:trHeight w:val="20"/>
          <w:jc w:val="center"/>
        </w:trPr>
        <w:tc>
          <w:tcPr>
            <w:tcW w:w="2240" w:type="dxa"/>
            <w:tcBorders>
              <w:top w:val="nil"/>
              <w:left w:val="single" w:sz="18" w:space="0" w:color="auto"/>
              <w:bottom w:val="nil"/>
              <w:right w:val="nil"/>
            </w:tcBorders>
            <w:noWrap/>
            <w:vAlign w:val="center"/>
            <w:hideMark/>
          </w:tcPr>
          <w:p w14:paraId="5E8A8F11"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Other</w:t>
            </w:r>
          </w:p>
        </w:tc>
        <w:tc>
          <w:tcPr>
            <w:tcW w:w="850" w:type="dxa"/>
            <w:tcBorders>
              <w:top w:val="nil"/>
              <w:left w:val="nil"/>
              <w:bottom w:val="nil"/>
              <w:right w:val="nil"/>
            </w:tcBorders>
            <w:noWrap/>
            <w:vAlign w:val="center"/>
            <w:hideMark/>
          </w:tcPr>
          <w:p w14:paraId="049F5CD7"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3.6</w:t>
            </w:r>
          </w:p>
        </w:tc>
        <w:tc>
          <w:tcPr>
            <w:tcW w:w="617" w:type="dxa"/>
            <w:tcBorders>
              <w:top w:val="nil"/>
              <w:left w:val="nil"/>
              <w:bottom w:val="nil"/>
              <w:right w:val="single" w:sz="8" w:space="0" w:color="auto"/>
            </w:tcBorders>
            <w:noWrap/>
            <w:vAlign w:val="center"/>
            <w:hideMark/>
          </w:tcPr>
          <w:p w14:paraId="70B95987"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8.5</w:t>
            </w:r>
          </w:p>
        </w:tc>
        <w:tc>
          <w:tcPr>
            <w:tcW w:w="4833" w:type="dxa"/>
            <w:gridSpan w:val="3"/>
            <w:tcBorders>
              <w:top w:val="nil"/>
              <w:left w:val="nil"/>
              <w:bottom w:val="nil"/>
              <w:right w:val="single" w:sz="18" w:space="0" w:color="auto"/>
            </w:tcBorders>
            <w:noWrap/>
            <w:vAlign w:val="center"/>
          </w:tcPr>
          <w:p w14:paraId="11AC7D71"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Employment Within 0.5 Miles of Transit Stop</w:t>
            </w:r>
          </w:p>
        </w:tc>
      </w:tr>
      <w:tr w:rsidR="00B6518B" w:rsidRPr="00A80760" w14:paraId="0918604C" w14:textId="77777777" w:rsidTr="00AB6CBE">
        <w:trPr>
          <w:trHeight w:val="20"/>
          <w:jc w:val="center"/>
        </w:trPr>
        <w:tc>
          <w:tcPr>
            <w:tcW w:w="2240" w:type="dxa"/>
            <w:tcBorders>
              <w:top w:val="nil"/>
              <w:left w:val="single" w:sz="18" w:space="0" w:color="auto"/>
              <w:bottom w:val="nil"/>
              <w:right w:val="nil"/>
            </w:tcBorders>
            <w:noWrap/>
            <w:vAlign w:val="center"/>
            <w:hideMark/>
          </w:tcPr>
          <w:p w14:paraId="57C77EC8"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Household Income</w:t>
            </w:r>
          </w:p>
        </w:tc>
        <w:tc>
          <w:tcPr>
            <w:tcW w:w="850" w:type="dxa"/>
            <w:tcBorders>
              <w:top w:val="nil"/>
              <w:left w:val="nil"/>
              <w:bottom w:val="nil"/>
              <w:right w:val="nil"/>
            </w:tcBorders>
            <w:noWrap/>
            <w:vAlign w:val="center"/>
            <w:hideMark/>
          </w:tcPr>
          <w:p w14:paraId="1B57A1F0" w14:textId="77777777" w:rsidR="00B6518B" w:rsidRPr="00A80760" w:rsidRDefault="00B6518B" w:rsidP="00C975AE">
            <w:pPr>
              <w:jc w:val="right"/>
              <w:rPr>
                <w:rFonts w:eastAsia="Times New Roman"/>
                <w:b/>
                <w:bCs/>
                <w:color w:val="000000"/>
                <w:kern w:val="0"/>
                <w:sz w:val="20"/>
                <w:szCs w:val="20"/>
                <w14:ligatures w14:val="none"/>
              </w:rPr>
            </w:pPr>
          </w:p>
        </w:tc>
        <w:tc>
          <w:tcPr>
            <w:tcW w:w="617" w:type="dxa"/>
            <w:tcBorders>
              <w:top w:val="nil"/>
              <w:left w:val="nil"/>
              <w:bottom w:val="nil"/>
              <w:right w:val="single" w:sz="8" w:space="0" w:color="auto"/>
            </w:tcBorders>
            <w:noWrap/>
            <w:vAlign w:val="center"/>
            <w:hideMark/>
          </w:tcPr>
          <w:p w14:paraId="0BEC4184"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3360" w:type="dxa"/>
            <w:tcBorders>
              <w:top w:val="nil"/>
              <w:left w:val="nil"/>
              <w:bottom w:val="nil"/>
              <w:right w:val="nil"/>
            </w:tcBorders>
            <w:noWrap/>
            <w:vAlign w:val="center"/>
          </w:tcPr>
          <w:p w14:paraId="019A29D1"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No transit accessibility</w:t>
            </w:r>
          </w:p>
        </w:tc>
        <w:tc>
          <w:tcPr>
            <w:tcW w:w="850" w:type="dxa"/>
            <w:tcBorders>
              <w:top w:val="nil"/>
              <w:left w:val="nil"/>
              <w:bottom w:val="nil"/>
              <w:right w:val="nil"/>
            </w:tcBorders>
            <w:noWrap/>
            <w:vAlign w:val="center"/>
          </w:tcPr>
          <w:p w14:paraId="1242E7A2"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70.7</w:t>
            </w:r>
          </w:p>
        </w:tc>
        <w:tc>
          <w:tcPr>
            <w:tcW w:w="623" w:type="dxa"/>
            <w:tcBorders>
              <w:top w:val="nil"/>
              <w:left w:val="nil"/>
              <w:bottom w:val="nil"/>
              <w:right w:val="single" w:sz="18" w:space="0" w:color="auto"/>
            </w:tcBorders>
            <w:noWrap/>
            <w:vAlign w:val="center"/>
          </w:tcPr>
          <w:p w14:paraId="2BBCE7E1"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776CBB2C" w14:textId="77777777" w:rsidTr="00AB6CBE">
        <w:trPr>
          <w:trHeight w:val="20"/>
          <w:jc w:val="center"/>
        </w:trPr>
        <w:tc>
          <w:tcPr>
            <w:tcW w:w="2240" w:type="dxa"/>
            <w:tcBorders>
              <w:top w:val="nil"/>
              <w:left w:val="single" w:sz="18" w:space="0" w:color="auto"/>
              <w:bottom w:val="nil"/>
              <w:right w:val="nil"/>
            </w:tcBorders>
            <w:noWrap/>
            <w:vAlign w:val="center"/>
            <w:hideMark/>
          </w:tcPr>
          <w:p w14:paraId="0732EC43"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Less than $50,000</w:t>
            </w:r>
          </w:p>
        </w:tc>
        <w:tc>
          <w:tcPr>
            <w:tcW w:w="850" w:type="dxa"/>
            <w:tcBorders>
              <w:top w:val="nil"/>
              <w:left w:val="nil"/>
              <w:bottom w:val="nil"/>
              <w:right w:val="nil"/>
            </w:tcBorders>
            <w:noWrap/>
            <w:vAlign w:val="center"/>
            <w:hideMark/>
          </w:tcPr>
          <w:p w14:paraId="479E7B5A"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17.3</w:t>
            </w:r>
          </w:p>
        </w:tc>
        <w:tc>
          <w:tcPr>
            <w:tcW w:w="617" w:type="dxa"/>
            <w:tcBorders>
              <w:top w:val="nil"/>
              <w:left w:val="nil"/>
              <w:bottom w:val="nil"/>
              <w:right w:val="single" w:sz="8" w:space="0" w:color="auto"/>
            </w:tcBorders>
            <w:noWrap/>
            <w:vAlign w:val="center"/>
            <w:hideMark/>
          </w:tcPr>
          <w:p w14:paraId="25EF05F3"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21.1</w:t>
            </w:r>
          </w:p>
        </w:tc>
        <w:tc>
          <w:tcPr>
            <w:tcW w:w="3360" w:type="dxa"/>
            <w:tcBorders>
              <w:top w:val="nil"/>
              <w:left w:val="nil"/>
              <w:bottom w:val="nil"/>
              <w:right w:val="nil"/>
            </w:tcBorders>
            <w:noWrap/>
            <w:vAlign w:val="center"/>
          </w:tcPr>
          <w:p w14:paraId="5DC3F9C4"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Any transit accessibility</w:t>
            </w:r>
          </w:p>
        </w:tc>
        <w:tc>
          <w:tcPr>
            <w:tcW w:w="850" w:type="dxa"/>
            <w:tcBorders>
              <w:top w:val="nil"/>
              <w:left w:val="nil"/>
              <w:bottom w:val="nil"/>
              <w:right w:val="nil"/>
            </w:tcBorders>
            <w:noWrap/>
            <w:vAlign w:val="center"/>
          </w:tcPr>
          <w:p w14:paraId="4251C0C6"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29.3</w:t>
            </w:r>
          </w:p>
        </w:tc>
        <w:tc>
          <w:tcPr>
            <w:tcW w:w="623" w:type="dxa"/>
            <w:tcBorders>
              <w:top w:val="nil"/>
              <w:left w:val="nil"/>
              <w:bottom w:val="nil"/>
              <w:right w:val="single" w:sz="18" w:space="0" w:color="auto"/>
            </w:tcBorders>
            <w:noWrap/>
            <w:vAlign w:val="center"/>
          </w:tcPr>
          <w:p w14:paraId="555D4D56"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1A820CB7" w14:textId="77777777" w:rsidTr="00AB6CBE">
        <w:trPr>
          <w:trHeight w:val="20"/>
          <w:jc w:val="center"/>
        </w:trPr>
        <w:tc>
          <w:tcPr>
            <w:tcW w:w="2240" w:type="dxa"/>
            <w:tcBorders>
              <w:top w:val="nil"/>
              <w:left w:val="single" w:sz="18" w:space="0" w:color="auto"/>
              <w:bottom w:val="nil"/>
              <w:right w:val="nil"/>
            </w:tcBorders>
            <w:noWrap/>
            <w:vAlign w:val="center"/>
            <w:hideMark/>
          </w:tcPr>
          <w:p w14:paraId="21558C82"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$50,000 - $99,999</w:t>
            </w:r>
          </w:p>
        </w:tc>
        <w:tc>
          <w:tcPr>
            <w:tcW w:w="850" w:type="dxa"/>
            <w:tcBorders>
              <w:top w:val="nil"/>
              <w:left w:val="nil"/>
              <w:bottom w:val="nil"/>
              <w:right w:val="nil"/>
            </w:tcBorders>
            <w:noWrap/>
            <w:vAlign w:val="center"/>
            <w:hideMark/>
          </w:tcPr>
          <w:p w14:paraId="69FC2513"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26.5</w:t>
            </w:r>
          </w:p>
        </w:tc>
        <w:tc>
          <w:tcPr>
            <w:tcW w:w="617" w:type="dxa"/>
            <w:tcBorders>
              <w:top w:val="nil"/>
              <w:left w:val="nil"/>
              <w:bottom w:val="nil"/>
              <w:right w:val="single" w:sz="8" w:space="0" w:color="auto"/>
            </w:tcBorders>
            <w:noWrap/>
            <w:vAlign w:val="center"/>
            <w:hideMark/>
          </w:tcPr>
          <w:p w14:paraId="09273F8B"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24.2</w:t>
            </w:r>
          </w:p>
        </w:tc>
        <w:tc>
          <w:tcPr>
            <w:tcW w:w="3360" w:type="dxa"/>
            <w:tcBorders>
              <w:top w:val="nil"/>
              <w:left w:val="nil"/>
              <w:bottom w:val="nil"/>
              <w:right w:val="nil"/>
            </w:tcBorders>
            <w:noWrap/>
            <w:vAlign w:val="center"/>
          </w:tcPr>
          <w:p w14:paraId="41BD71B7"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National Walkability Index</w:t>
            </w:r>
          </w:p>
        </w:tc>
        <w:tc>
          <w:tcPr>
            <w:tcW w:w="850" w:type="dxa"/>
            <w:tcBorders>
              <w:top w:val="nil"/>
              <w:left w:val="nil"/>
              <w:bottom w:val="nil"/>
              <w:right w:val="nil"/>
            </w:tcBorders>
            <w:noWrap/>
            <w:vAlign w:val="center"/>
          </w:tcPr>
          <w:p w14:paraId="1BC0587E" w14:textId="77777777" w:rsidR="00B6518B" w:rsidRPr="00A80760" w:rsidRDefault="00B6518B" w:rsidP="00C975AE">
            <w:pPr>
              <w:jc w:val="right"/>
              <w:rPr>
                <w:rFonts w:eastAsia="Times New Roman"/>
                <w:b/>
                <w:bCs/>
                <w:color w:val="000000"/>
                <w:kern w:val="0"/>
                <w:sz w:val="20"/>
                <w:szCs w:val="20"/>
                <w14:ligatures w14:val="none"/>
              </w:rPr>
            </w:pPr>
          </w:p>
        </w:tc>
        <w:tc>
          <w:tcPr>
            <w:tcW w:w="623" w:type="dxa"/>
            <w:tcBorders>
              <w:top w:val="nil"/>
              <w:left w:val="nil"/>
              <w:bottom w:val="nil"/>
              <w:right w:val="single" w:sz="18" w:space="0" w:color="auto"/>
            </w:tcBorders>
            <w:noWrap/>
            <w:vAlign w:val="center"/>
          </w:tcPr>
          <w:p w14:paraId="3D0F998A"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r>
      <w:tr w:rsidR="00B6518B" w:rsidRPr="00A80760" w14:paraId="6AC6B063" w14:textId="77777777" w:rsidTr="00AB6CBE">
        <w:trPr>
          <w:trHeight w:val="20"/>
          <w:jc w:val="center"/>
        </w:trPr>
        <w:tc>
          <w:tcPr>
            <w:tcW w:w="2240" w:type="dxa"/>
            <w:tcBorders>
              <w:top w:val="nil"/>
              <w:left w:val="single" w:sz="18" w:space="0" w:color="auto"/>
              <w:bottom w:val="nil"/>
              <w:right w:val="nil"/>
            </w:tcBorders>
            <w:noWrap/>
            <w:vAlign w:val="center"/>
            <w:hideMark/>
          </w:tcPr>
          <w:p w14:paraId="0A2E8A32"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$100,000 - $199,999</w:t>
            </w:r>
          </w:p>
        </w:tc>
        <w:tc>
          <w:tcPr>
            <w:tcW w:w="850" w:type="dxa"/>
            <w:tcBorders>
              <w:top w:val="nil"/>
              <w:left w:val="nil"/>
              <w:bottom w:val="nil"/>
              <w:right w:val="nil"/>
            </w:tcBorders>
            <w:noWrap/>
            <w:vAlign w:val="center"/>
            <w:hideMark/>
          </w:tcPr>
          <w:p w14:paraId="36785F1B"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32.3</w:t>
            </w:r>
          </w:p>
        </w:tc>
        <w:tc>
          <w:tcPr>
            <w:tcW w:w="617" w:type="dxa"/>
            <w:tcBorders>
              <w:top w:val="nil"/>
              <w:left w:val="nil"/>
              <w:bottom w:val="nil"/>
              <w:right w:val="single" w:sz="8" w:space="0" w:color="auto"/>
            </w:tcBorders>
            <w:noWrap/>
            <w:vAlign w:val="center"/>
            <w:hideMark/>
          </w:tcPr>
          <w:p w14:paraId="42E55877"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31.6</w:t>
            </w:r>
          </w:p>
        </w:tc>
        <w:tc>
          <w:tcPr>
            <w:tcW w:w="3360" w:type="dxa"/>
            <w:tcBorders>
              <w:top w:val="nil"/>
              <w:left w:val="nil"/>
              <w:bottom w:val="nil"/>
              <w:right w:val="nil"/>
            </w:tcBorders>
            <w:noWrap/>
            <w:vAlign w:val="center"/>
          </w:tcPr>
          <w:p w14:paraId="737F95E8"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Less than 10</w:t>
            </w:r>
          </w:p>
        </w:tc>
        <w:tc>
          <w:tcPr>
            <w:tcW w:w="850" w:type="dxa"/>
            <w:tcBorders>
              <w:top w:val="nil"/>
              <w:left w:val="nil"/>
              <w:bottom w:val="nil"/>
              <w:right w:val="nil"/>
            </w:tcBorders>
            <w:noWrap/>
            <w:vAlign w:val="center"/>
          </w:tcPr>
          <w:p w14:paraId="00A6ECD5"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12.9</w:t>
            </w:r>
          </w:p>
        </w:tc>
        <w:tc>
          <w:tcPr>
            <w:tcW w:w="623" w:type="dxa"/>
            <w:tcBorders>
              <w:top w:val="nil"/>
              <w:left w:val="nil"/>
              <w:bottom w:val="nil"/>
              <w:right w:val="single" w:sz="18" w:space="0" w:color="auto"/>
            </w:tcBorders>
            <w:noWrap/>
            <w:vAlign w:val="center"/>
          </w:tcPr>
          <w:p w14:paraId="1ED84B1F"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3FD66B29" w14:textId="77777777" w:rsidTr="00AB6CBE">
        <w:trPr>
          <w:trHeight w:val="20"/>
          <w:jc w:val="center"/>
        </w:trPr>
        <w:tc>
          <w:tcPr>
            <w:tcW w:w="2240" w:type="dxa"/>
            <w:tcBorders>
              <w:top w:val="nil"/>
              <w:left w:val="single" w:sz="18" w:space="0" w:color="auto"/>
              <w:bottom w:val="nil"/>
              <w:right w:val="nil"/>
            </w:tcBorders>
            <w:noWrap/>
            <w:vAlign w:val="center"/>
            <w:hideMark/>
          </w:tcPr>
          <w:p w14:paraId="6369C049"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$200,000 or more</w:t>
            </w:r>
          </w:p>
        </w:tc>
        <w:tc>
          <w:tcPr>
            <w:tcW w:w="850" w:type="dxa"/>
            <w:tcBorders>
              <w:top w:val="nil"/>
              <w:left w:val="nil"/>
              <w:bottom w:val="nil"/>
              <w:right w:val="nil"/>
            </w:tcBorders>
            <w:noWrap/>
            <w:vAlign w:val="center"/>
            <w:hideMark/>
          </w:tcPr>
          <w:p w14:paraId="6B028B8E"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23.9</w:t>
            </w:r>
          </w:p>
        </w:tc>
        <w:tc>
          <w:tcPr>
            <w:tcW w:w="617" w:type="dxa"/>
            <w:tcBorders>
              <w:top w:val="nil"/>
              <w:left w:val="nil"/>
              <w:bottom w:val="nil"/>
              <w:right w:val="single" w:sz="8" w:space="0" w:color="auto"/>
            </w:tcBorders>
            <w:noWrap/>
            <w:vAlign w:val="center"/>
            <w:hideMark/>
          </w:tcPr>
          <w:p w14:paraId="5BB0BB06"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23.1</w:t>
            </w:r>
          </w:p>
        </w:tc>
        <w:tc>
          <w:tcPr>
            <w:tcW w:w="3360" w:type="dxa"/>
            <w:tcBorders>
              <w:top w:val="nil"/>
              <w:left w:val="nil"/>
              <w:bottom w:val="nil"/>
              <w:right w:val="nil"/>
            </w:tcBorders>
            <w:noWrap/>
            <w:vAlign w:val="center"/>
          </w:tcPr>
          <w:p w14:paraId="2603B983"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10 - 14.9</w:t>
            </w:r>
          </w:p>
        </w:tc>
        <w:tc>
          <w:tcPr>
            <w:tcW w:w="850" w:type="dxa"/>
            <w:tcBorders>
              <w:top w:val="nil"/>
              <w:left w:val="nil"/>
              <w:bottom w:val="nil"/>
              <w:right w:val="nil"/>
            </w:tcBorders>
            <w:noWrap/>
            <w:vAlign w:val="center"/>
          </w:tcPr>
          <w:p w14:paraId="77F09261"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35.0</w:t>
            </w:r>
          </w:p>
        </w:tc>
        <w:tc>
          <w:tcPr>
            <w:tcW w:w="623" w:type="dxa"/>
            <w:tcBorders>
              <w:top w:val="nil"/>
              <w:left w:val="nil"/>
              <w:bottom w:val="nil"/>
              <w:right w:val="single" w:sz="18" w:space="0" w:color="auto"/>
            </w:tcBorders>
            <w:noWrap/>
            <w:vAlign w:val="center"/>
          </w:tcPr>
          <w:p w14:paraId="632C917E"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2C642CAC" w14:textId="77777777" w:rsidTr="00AB6CBE">
        <w:trPr>
          <w:trHeight w:val="20"/>
          <w:jc w:val="center"/>
        </w:trPr>
        <w:tc>
          <w:tcPr>
            <w:tcW w:w="2240" w:type="dxa"/>
            <w:tcBorders>
              <w:top w:val="nil"/>
              <w:left w:val="single" w:sz="18" w:space="0" w:color="auto"/>
              <w:bottom w:val="nil"/>
              <w:right w:val="nil"/>
            </w:tcBorders>
            <w:noWrap/>
            <w:vAlign w:val="center"/>
            <w:hideMark/>
          </w:tcPr>
          <w:p w14:paraId="1FD9DC50" w14:textId="77777777" w:rsidR="00B6518B" w:rsidRPr="00A80760" w:rsidRDefault="00B6518B" w:rsidP="00C975AE">
            <w:pPr>
              <w:rPr>
                <w:rFonts w:eastAsia="Times New Roman"/>
                <w:b/>
                <w:bCs/>
                <w:color w:val="000000"/>
                <w:kern w:val="0"/>
                <w:sz w:val="20"/>
                <w:szCs w:val="20"/>
                <w14:ligatures w14:val="none"/>
              </w:rPr>
            </w:pPr>
            <w:r w:rsidRPr="00A80760">
              <w:rPr>
                <w:rFonts w:eastAsia="Times New Roman"/>
                <w:b/>
                <w:bCs/>
                <w:color w:val="000000"/>
                <w:kern w:val="0"/>
                <w:sz w:val="20"/>
                <w:szCs w:val="20"/>
                <w14:ligatures w14:val="none"/>
              </w:rPr>
              <w:t>Household Type</w:t>
            </w:r>
          </w:p>
        </w:tc>
        <w:tc>
          <w:tcPr>
            <w:tcW w:w="850" w:type="dxa"/>
            <w:tcBorders>
              <w:top w:val="nil"/>
              <w:left w:val="nil"/>
              <w:bottom w:val="nil"/>
              <w:right w:val="nil"/>
            </w:tcBorders>
            <w:noWrap/>
            <w:vAlign w:val="center"/>
            <w:hideMark/>
          </w:tcPr>
          <w:p w14:paraId="03E5A96E" w14:textId="77777777" w:rsidR="00B6518B" w:rsidRPr="00A80760" w:rsidRDefault="00B6518B" w:rsidP="00C975AE">
            <w:pPr>
              <w:jc w:val="right"/>
              <w:rPr>
                <w:rFonts w:eastAsia="Times New Roman"/>
                <w:b/>
                <w:bCs/>
                <w:color w:val="000000"/>
                <w:kern w:val="0"/>
                <w:sz w:val="20"/>
                <w:szCs w:val="20"/>
                <w14:ligatures w14:val="none"/>
              </w:rPr>
            </w:pPr>
          </w:p>
        </w:tc>
        <w:tc>
          <w:tcPr>
            <w:tcW w:w="617" w:type="dxa"/>
            <w:tcBorders>
              <w:top w:val="nil"/>
              <w:left w:val="nil"/>
              <w:bottom w:val="nil"/>
              <w:right w:val="single" w:sz="8" w:space="0" w:color="auto"/>
            </w:tcBorders>
            <w:noWrap/>
            <w:vAlign w:val="center"/>
            <w:hideMark/>
          </w:tcPr>
          <w:p w14:paraId="1CA19590"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3360" w:type="dxa"/>
            <w:tcBorders>
              <w:top w:val="nil"/>
              <w:left w:val="nil"/>
              <w:bottom w:val="nil"/>
              <w:right w:val="nil"/>
            </w:tcBorders>
            <w:noWrap/>
            <w:vAlign w:val="center"/>
          </w:tcPr>
          <w:p w14:paraId="7DF37C6A"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15 or more</w:t>
            </w:r>
          </w:p>
        </w:tc>
        <w:tc>
          <w:tcPr>
            <w:tcW w:w="850" w:type="dxa"/>
            <w:tcBorders>
              <w:top w:val="nil"/>
              <w:left w:val="nil"/>
              <w:bottom w:val="nil"/>
              <w:right w:val="nil"/>
            </w:tcBorders>
            <w:noWrap/>
            <w:vAlign w:val="center"/>
          </w:tcPr>
          <w:p w14:paraId="00F8FD2D"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52.1</w:t>
            </w:r>
          </w:p>
        </w:tc>
        <w:tc>
          <w:tcPr>
            <w:tcW w:w="623" w:type="dxa"/>
            <w:tcBorders>
              <w:top w:val="nil"/>
              <w:left w:val="nil"/>
              <w:bottom w:val="nil"/>
              <w:right w:val="single" w:sz="18" w:space="0" w:color="auto"/>
            </w:tcBorders>
            <w:noWrap/>
            <w:vAlign w:val="center"/>
          </w:tcPr>
          <w:p w14:paraId="6B1554D4"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B6518B" w:rsidRPr="00A80760" w14:paraId="58E9B315" w14:textId="77777777" w:rsidTr="008F19BD">
        <w:trPr>
          <w:trHeight w:val="20"/>
          <w:jc w:val="center"/>
        </w:trPr>
        <w:tc>
          <w:tcPr>
            <w:tcW w:w="2240" w:type="dxa"/>
            <w:tcBorders>
              <w:top w:val="nil"/>
              <w:left w:val="single" w:sz="18" w:space="0" w:color="auto"/>
              <w:bottom w:val="nil"/>
              <w:right w:val="nil"/>
            </w:tcBorders>
            <w:noWrap/>
            <w:vAlign w:val="center"/>
            <w:hideMark/>
          </w:tcPr>
          <w:p w14:paraId="1A1297D5"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Single family home</w:t>
            </w:r>
          </w:p>
        </w:tc>
        <w:tc>
          <w:tcPr>
            <w:tcW w:w="850" w:type="dxa"/>
            <w:tcBorders>
              <w:top w:val="nil"/>
              <w:left w:val="nil"/>
              <w:right w:val="nil"/>
            </w:tcBorders>
            <w:noWrap/>
            <w:vAlign w:val="center"/>
            <w:hideMark/>
          </w:tcPr>
          <w:p w14:paraId="56577595"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37.3</w:t>
            </w:r>
          </w:p>
        </w:tc>
        <w:tc>
          <w:tcPr>
            <w:tcW w:w="617" w:type="dxa"/>
            <w:tcBorders>
              <w:top w:val="nil"/>
              <w:left w:val="nil"/>
              <w:right w:val="single" w:sz="8" w:space="0" w:color="auto"/>
            </w:tcBorders>
            <w:noWrap/>
            <w:vAlign w:val="center"/>
            <w:hideMark/>
          </w:tcPr>
          <w:p w14:paraId="7446BF99"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56.3</w:t>
            </w:r>
          </w:p>
        </w:tc>
        <w:tc>
          <w:tcPr>
            <w:tcW w:w="3360" w:type="dxa"/>
            <w:tcBorders>
              <w:top w:val="nil"/>
              <w:left w:val="nil"/>
              <w:right w:val="nil"/>
            </w:tcBorders>
            <w:noWrap/>
            <w:vAlign w:val="center"/>
            <w:hideMark/>
          </w:tcPr>
          <w:p w14:paraId="5931550E" w14:textId="77777777" w:rsidR="00B6518B" w:rsidRPr="00A80760" w:rsidRDefault="00B6518B" w:rsidP="00C975AE">
            <w:pPr>
              <w:rPr>
                <w:rFonts w:eastAsia="Times New Roman"/>
                <w:color w:val="000000"/>
                <w:kern w:val="0"/>
                <w:sz w:val="20"/>
                <w:szCs w:val="20"/>
                <w14:ligatures w14:val="none"/>
              </w:rPr>
            </w:pPr>
          </w:p>
        </w:tc>
        <w:tc>
          <w:tcPr>
            <w:tcW w:w="850" w:type="dxa"/>
            <w:tcBorders>
              <w:top w:val="nil"/>
              <w:left w:val="nil"/>
              <w:right w:val="nil"/>
            </w:tcBorders>
            <w:noWrap/>
            <w:vAlign w:val="bottom"/>
            <w:hideMark/>
          </w:tcPr>
          <w:p w14:paraId="5498D952" w14:textId="77777777" w:rsidR="00B6518B" w:rsidRPr="00A80760" w:rsidRDefault="00B6518B" w:rsidP="00C975AE">
            <w:pPr>
              <w:rPr>
                <w:rFonts w:eastAsia="Times New Roman"/>
                <w:kern w:val="0"/>
                <w:sz w:val="20"/>
                <w:szCs w:val="20"/>
                <w14:ligatures w14:val="none"/>
              </w:rPr>
            </w:pPr>
          </w:p>
        </w:tc>
        <w:tc>
          <w:tcPr>
            <w:tcW w:w="623" w:type="dxa"/>
            <w:tcBorders>
              <w:top w:val="nil"/>
              <w:left w:val="nil"/>
              <w:bottom w:val="nil"/>
              <w:right w:val="single" w:sz="18" w:space="0" w:color="auto"/>
            </w:tcBorders>
            <w:noWrap/>
            <w:vAlign w:val="bottom"/>
            <w:hideMark/>
          </w:tcPr>
          <w:p w14:paraId="06D5F376"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r>
      <w:tr w:rsidR="00B6518B" w:rsidRPr="00A80760" w14:paraId="10997386" w14:textId="77777777" w:rsidTr="008F19BD">
        <w:trPr>
          <w:trHeight w:val="20"/>
          <w:jc w:val="center"/>
        </w:trPr>
        <w:tc>
          <w:tcPr>
            <w:tcW w:w="2240" w:type="dxa"/>
            <w:tcBorders>
              <w:top w:val="nil"/>
              <w:left w:val="single" w:sz="18" w:space="0" w:color="auto"/>
              <w:bottom w:val="single" w:sz="18" w:space="0" w:color="auto"/>
              <w:right w:val="nil"/>
            </w:tcBorders>
            <w:noWrap/>
            <w:vAlign w:val="center"/>
            <w:hideMark/>
          </w:tcPr>
          <w:p w14:paraId="188815D5"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Multi-family dwelling</w:t>
            </w:r>
          </w:p>
        </w:tc>
        <w:tc>
          <w:tcPr>
            <w:tcW w:w="850" w:type="dxa"/>
            <w:tcBorders>
              <w:top w:val="nil"/>
              <w:left w:val="nil"/>
              <w:right w:val="nil"/>
            </w:tcBorders>
            <w:noWrap/>
            <w:vAlign w:val="center"/>
            <w:hideMark/>
          </w:tcPr>
          <w:p w14:paraId="37BA40C1"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62.7</w:t>
            </w:r>
          </w:p>
        </w:tc>
        <w:tc>
          <w:tcPr>
            <w:tcW w:w="617" w:type="dxa"/>
            <w:tcBorders>
              <w:top w:val="nil"/>
              <w:left w:val="nil"/>
              <w:right w:val="single" w:sz="8" w:space="0" w:color="auto"/>
            </w:tcBorders>
            <w:noWrap/>
            <w:vAlign w:val="center"/>
            <w:hideMark/>
          </w:tcPr>
          <w:p w14:paraId="7F5304AD" w14:textId="77777777" w:rsidR="00B6518B" w:rsidRPr="00A80760" w:rsidRDefault="00B6518B" w:rsidP="00C975AE">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43.7</w:t>
            </w:r>
          </w:p>
        </w:tc>
        <w:tc>
          <w:tcPr>
            <w:tcW w:w="3360" w:type="dxa"/>
            <w:tcBorders>
              <w:top w:val="nil"/>
              <w:left w:val="nil"/>
              <w:right w:val="nil"/>
            </w:tcBorders>
            <w:noWrap/>
            <w:vAlign w:val="bottom"/>
            <w:hideMark/>
          </w:tcPr>
          <w:p w14:paraId="2EE75583" w14:textId="77777777" w:rsidR="00B6518B" w:rsidRPr="00A80760" w:rsidRDefault="00B6518B" w:rsidP="00C975AE">
            <w:pPr>
              <w:jc w:val="right"/>
              <w:rPr>
                <w:rFonts w:eastAsia="Times New Roman"/>
                <w:color w:val="000000"/>
                <w:kern w:val="0"/>
                <w:sz w:val="20"/>
                <w:szCs w:val="20"/>
                <w14:ligatures w14:val="none"/>
              </w:rPr>
            </w:pPr>
          </w:p>
        </w:tc>
        <w:tc>
          <w:tcPr>
            <w:tcW w:w="850" w:type="dxa"/>
            <w:tcBorders>
              <w:top w:val="nil"/>
              <w:left w:val="nil"/>
              <w:right w:val="nil"/>
            </w:tcBorders>
            <w:noWrap/>
            <w:vAlign w:val="bottom"/>
            <w:hideMark/>
          </w:tcPr>
          <w:p w14:paraId="7BC85562" w14:textId="77777777" w:rsidR="00B6518B" w:rsidRPr="00A80760" w:rsidRDefault="00B6518B" w:rsidP="00C975AE">
            <w:pPr>
              <w:rPr>
                <w:rFonts w:eastAsia="Times New Roman"/>
                <w:kern w:val="0"/>
                <w:sz w:val="20"/>
                <w:szCs w:val="20"/>
                <w14:ligatures w14:val="none"/>
              </w:rPr>
            </w:pPr>
          </w:p>
        </w:tc>
        <w:tc>
          <w:tcPr>
            <w:tcW w:w="623" w:type="dxa"/>
            <w:tcBorders>
              <w:top w:val="nil"/>
              <w:left w:val="nil"/>
              <w:bottom w:val="single" w:sz="18" w:space="0" w:color="auto"/>
              <w:right w:val="single" w:sz="18" w:space="0" w:color="auto"/>
            </w:tcBorders>
            <w:noWrap/>
            <w:vAlign w:val="bottom"/>
            <w:hideMark/>
          </w:tcPr>
          <w:p w14:paraId="4F8085CA" w14:textId="77777777" w:rsidR="00B6518B" w:rsidRPr="00A80760" w:rsidRDefault="00B6518B" w:rsidP="00C975AE">
            <w:pPr>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r>
      <w:tr w:rsidR="00B6518B" w:rsidRPr="00A80760" w14:paraId="71C8F1D0" w14:textId="77777777" w:rsidTr="00180BE2">
        <w:trPr>
          <w:trHeight w:val="99"/>
          <w:jc w:val="center"/>
        </w:trPr>
        <w:tc>
          <w:tcPr>
            <w:tcW w:w="8540" w:type="dxa"/>
            <w:gridSpan w:val="6"/>
            <w:tcBorders>
              <w:top w:val="single" w:sz="18" w:space="0" w:color="auto"/>
              <w:left w:val="single" w:sz="18" w:space="0" w:color="auto"/>
              <w:bottom w:val="single" w:sz="18" w:space="0" w:color="auto"/>
              <w:right w:val="single" w:sz="18" w:space="0" w:color="auto"/>
            </w:tcBorders>
            <w:noWrap/>
            <w:vAlign w:val="center"/>
            <w:hideMark/>
          </w:tcPr>
          <w:p w14:paraId="69F186B0" w14:textId="77777777" w:rsidR="00B6518B" w:rsidRPr="00AB6CBE" w:rsidRDefault="00B6518B" w:rsidP="00C975AE">
            <w:pPr>
              <w:jc w:val="center"/>
              <w:rPr>
                <w:rFonts w:eastAsia="Times New Roman"/>
                <w:b/>
                <w:bCs/>
                <w:i/>
                <w:iCs/>
                <w:color w:val="000000"/>
                <w:kern w:val="0"/>
                <w:sz w:val="20"/>
                <w:szCs w:val="20"/>
                <w14:ligatures w14:val="none"/>
              </w:rPr>
            </w:pPr>
            <w:r w:rsidRPr="00AB6CBE">
              <w:rPr>
                <w:rFonts w:eastAsia="Times New Roman"/>
                <w:b/>
                <w:bCs/>
                <w:i/>
                <w:iCs/>
                <w:color w:val="000000"/>
                <w:kern w:val="0"/>
                <w:sz w:val="20"/>
                <w:szCs w:val="20"/>
                <w14:ligatures w14:val="none"/>
              </w:rPr>
              <w:t>Employment Details</w:t>
            </w:r>
          </w:p>
        </w:tc>
      </w:tr>
      <w:tr w:rsidR="00A44D63" w:rsidRPr="00A80760" w14:paraId="70FD049E" w14:textId="77777777" w:rsidTr="00A44D63">
        <w:trPr>
          <w:trHeight w:val="20"/>
          <w:jc w:val="center"/>
        </w:trPr>
        <w:tc>
          <w:tcPr>
            <w:tcW w:w="2240" w:type="dxa"/>
            <w:tcBorders>
              <w:top w:val="nil"/>
              <w:left w:val="single" w:sz="18" w:space="0" w:color="auto"/>
              <w:bottom w:val="nil"/>
              <w:right w:val="nil"/>
            </w:tcBorders>
            <w:noWrap/>
            <w:vAlign w:val="center"/>
          </w:tcPr>
          <w:p w14:paraId="63D937F1" w14:textId="06D02DA1" w:rsidR="00A44D63" w:rsidRPr="00A80760" w:rsidRDefault="00A44D63" w:rsidP="00A44D63">
            <w:pPr>
              <w:rPr>
                <w:rFonts w:eastAsia="Times New Roman"/>
                <w:color w:val="000000"/>
                <w:kern w:val="0"/>
                <w:sz w:val="20"/>
                <w:szCs w:val="20"/>
                <w14:ligatures w14:val="none"/>
              </w:rPr>
            </w:pPr>
            <w:r w:rsidRPr="00A80760">
              <w:rPr>
                <w:rFonts w:eastAsia="Times New Roman"/>
                <w:b/>
                <w:bCs/>
                <w:color w:val="000000"/>
                <w:kern w:val="0"/>
                <w:sz w:val="20"/>
                <w:szCs w:val="20"/>
                <w14:ligatures w14:val="none"/>
              </w:rPr>
              <w:t>Employment</w:t>
            </w:r>
          </w:p>
        </w:tc>
        <w:tc>
          <w:tcPr>
            <w:tcW w:w="850" w:type="dxa"/>
            <w:tcBorders>
              <w:top w:val="nil"/>
              <w:left w:val="nil"/>
              <w:bottom w:val="nil"/>
              <w:right w:val="nil"/>
            </w:tcBorders>
            <w:noWrap/>
            <w:vAlign w:val="center"/>
          </w:tcPr>
          <w:p w14:paraId="1F4414DC" w14:textId="7B732492"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617" w:type="dxa"/>
            <w:tcBorders>
              <w:top w:val="nil"/>
              <w:left w:val="nil"/>
              <w:bottom w:val="nil"/>
              <w:right w:val="nil"/>
            </w:tcBorders>
            <w:noWrap/>
            <w:vAlign w:val="center"/>
          </w:tcPr>
          <w:p w14:paraId="11E0FC83" w14:textId="0B4EDFE4"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 </w:t>
            </w:r>
          </w:p>
        </w:tc>
        <w:tc>
          <w:tcPr>
            <w:tcW w:w="3360" w:type="dxa"/>
            <w:tcBorders>
              <w:top w:val="nil"/>
              <w:left w:val="single" w:sz="8" w:space="0" w:color="auto"/>
              <w:bottom w:val="nil"/>
              <w:right w:val="nil"/>
            </w:tcBorders>
            <w:noWrap/>
            <w:vAlign w:val="center"/>
          </w:tcPr>
          <w:p w14:paraId="7F43F717" w14:textId="483DD111" w:rsidR="00A44D63" w:rsidRPr="00A80760" w:rsidRDefault="00A44D63" w:rsidP="00A44D63">
            <w:pPr>
              <w:rPr>
                <w:rFonts w:eastAsia="Times New Roman"/>
                <w:color w:val="000000"/>
                <w:kern w:val="0"/>
                <w:sz w:val="20"/>
                <w:szCs w:val="20"/>
                <w14:ligatures w14:val="none"/>
              </w:rPr>
            </w:pPr>
            <w:r w:rsidRPr="00A80760">
              <w:rPr>
                <w:rFonts w:eastAsia="Times New Roman"/>
                <w:b/>
                <w:bCs/>
                <w:color w:val="000000"/>
                <w:kern w:val="0"/>
                <w:sz w:val="20"/>
                <w:szCs w:val="20"/>
                <w14:ligatures w14:val="none"/>
              </w:rPr>
              <w:t>Free or subsidized parking</w:t>
            </w:r>
          </w:p>
        </w:tc>
        <w:tc>
          <w:tcPr>
            <w:tcW w:w="850" w:type="dxa"/>
            <w:tcBorders>
              <w:top w:val="nil"/>
              <w:left w:val="nil"/>
              <w:bottom w:val="nil"/>
              <w:right w:val="nil"/>
            </w:tcBorders>
            <w:noWrap/>
            <w:vAlign w:val="center"/>
          </w:tcPr>
          <w:p w14:paraId="6D6B34D3" w14:textId="69E1283B" w:rsidR="00A44D63" w:rsidRPr="00A80760" w:rsidRDefault="00A44D63" w:rsidP="00A44D63">
            <w:pPr>
              <w:jc w:val="right"/>
              <w:rPr>
                <w:rFonts w:eastAsia="Times New Roman"/>
                <w:color w:val="000000"/>
                <w:kern w:val="0"/>
                <w:sz w:val="20"/>
                <w:szCs w:val="20"/>
                <w14:ligatures w14:val="none"/>
              </w:rPr>
            </w:pPr>
          </w:p>
        </w:tc>
        <w:tc>
          <w:tcPr>
            <w:tcW w:w="623" w:type="dxa"/>
            <w:tcBorders>
              <w:top w:val="nil"/>
              <w:left w:val="nil"/>
              <w:bottom w:val="nil"/>
              <w:right w:val="single" w:sz="18" w:space="0" w:color="auto"/>
            </w:tcBorders>
            <w:noWrap/>
            <w:vAlign w:val="center"/>
          </w:tcPr>
          <w:p w14:paraId="44D66C14" w14:textId="35DC9231" w:rsidR="00A44D63" w:rsidRPr="00A80760" w:rsidRDefault="00A44D63" w:rsidP="00A44D63">
            <w:pPr>
              <w:jc w:val="right"/>
              <w:rPr>
                <w:rFonts w:eastAsia="Times New Roman"/>
                <w:color w:val="000000"/>
                <w:kern w:val="0"/>
                <w:sz w:val="20"/>
                <w:szCs w:val="20"/>
                <w14:ligatures w14:val="none"/>
              </w:rPr>
            </w:pPr>
          </w:p>
        </w:tc>
      </w:tr>
      <w:tr w:rsidR="00A44D63" w:rsidRPr="00A80760" w14:paraId="280A285A" w14:textId="77777777" w:rsidTr="00A44D63">
        <w:trPr>
          <w:trHeight w:val="20"/>
          <w:jc w:val="center"/>
        </w:trPr>
        <w:tc>
          <w:tcPr>
            <w:tcW w:w="2240" w:type="dxa"/>
            <w:tcBorders>
              <w:top w:val="nil"/>
              <w:left w:val="single" w:sz="18" w:space="0" w:color="auto"/>
              <w:bottom w:val="nil"/>
              <w:right w:val="nil"/>
            </w:tcBorders>
            <w:noWrap/>
            <w:vAlign w:val="center"/>
          </w:tcPr>
          <w:p w14:paraId="35A71AEF" w14:textId="6BEFE233"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Full-time</w:t>
            </w:r>
          </w:p>
        </w:tc>
        <w:tc>
          <w:tcPr>
            <w:tcW w:w="850" w:type="dxa"/>
            <w:tcBorders>
              <w:top w:val="nil"/>
              <w:left w:val="nil"/>
              <w:bottom w:val="nil"/>
              <w:right w:val="nil"/>
            </w:tcBorders>
            <w:noWrap/>
            <w:vAlign w:val="center"/>
          </w:tcPr>
          <w:p w14:paraId="66C10E46" w14:textId="6CC5BD74"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82.2</w:t>
            </w:r>
          </w:p>
        </w:tc>
        <w:tc>
          <w:tcPr>
            <w:tcW w:w="617" w:type="dxa"/>
            <w:tcBorders>
              <w:top w:val="nil"/>
              <w:left w:val="nil"/>
              <w:bottom w:val="nil"/>
              <w:right w:val="nil"/>
            </w:tcBorders>
            <w:noWrap/>
            <w:vAlign w:val="center"/>
          </w:tcPr>
          <w:p w14:paraId="174D9043" w14:textId="7901FFF3"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single" w:sz="8" w:space="0" w:color="auto"/>
              <w:bottom w:val="nil"/>
              <w:right w:val="nil"/>
            </w:tcBorders>
            <w:noWrap/>
            <w:vAlign w:val="center"/>
          </w:tcPr>
          <w:p w14:paraId="15A42559" w14:textId="77C05B1C"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Yes</w:t>
            </w:r>
          </w:p>
        </w:tc>
        <w:tc>
          <w:tcPr>
            <w:tcW w:w="850" w:type="dxa"/>
            <w:tcBorders>
              <w:top w:val="nil"/>
              <w:left w:val="nil"/>
              <w:bottom w:val="nil"/>
              <w:right w:val="nil"/>
            </w:tcBorders>
            <w:noWrap/>
            <w:vAlign w:val="center"/>
          </w:tcPr>
          <w:p w14:paraId="553973FD" w14:textId="29742CB2"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36.9</w:t>
            </w:r>
          </w:p>
        </w:tc>
        <w:tc>
          <w:tcPr>
            <w:tcW w:w="623" w:type="dxa"/>
            <w:tcBorders>
              <w:top w:val="nil"/>
              <w:left w:val="nil"/>
              <w:bottom w:val="nil"/>
              <w:right w:val="single" w:sz="18" w:space="0" w:color="auto"/>
            </w:tcBorders>
            <w:noWrap/>
            <w:vAlign w:val="center"/>
          </w:tcPr>
          <w:p w14:paraId="182394A4" w14:textId="68E37550"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A44D63" w:rsidRPr="00A80760" w14:paraId="4FA65B5C" w14:textId="77777777" w:rsidTr="00F25848">
        <w:trPr>
          <w:trHeight w:val="20"/>
          <w:jc w:val="center"/>
        </w:trPr>
        <w:tc>
          <w:tcPr>
            <w:tcW w:w="2240" w:type="dxa"/>
            <w:tcBorders>
              <w:top w:val="nil"/>
              <w:left w:val="single" w:sz="18" w:space="0" w:color="auto"/>
              <w:bottom w:val="nil"/>
              <w:right w:val="nil"/>
            </w:tcBorders>
            <w:noWrap/>
            <w:vAlign w:val="center"/>
          </w:tcPr>
          <w:p w14:paraId="7F8D1EEB" w14:textId="5CC5145F"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Part-time</w:t>
            </w:r>
          </w:p>
        </w:tc>
        <w:tc>
          <w:tcPr>
            <w:tcW w:w="850" w:type="dxa"/>
            <w:tcBorders>
              <w:top w:val="nil"/>
              <w:left w:val="nil"/>
              <w:bottom w:val="nil"/>
              <w:right w:val="nil"/>
            </w:tcBorders>
            <w:noWrap/>
            <w:vAlign w:val="center"/>
          </w:tcPr>
          <w:p w14:paraId="63E825AA" w14:textId="0FAB6D89"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9.2</w:t>
            </w:r>
          </w:p>
        </w:tc>
        <w:tc>
          <w:tcPr>
            <w:tcW w:w="617" w:type="dxa"/>
            <w:tcBorders>
              <w:top w:val="nil"/>
              <w:left w:val="nil"/>
              <w:bottom w:val="nil"/>
              <w:right w:val="nil"/>
            </w:tcBorders>
            <w:noWrap/>
            <w:vAlign w:val="center"/>
          </w:tcPr>
          <w:p w14:paraId="5BF9D42E" w14:textId="3E95DF43"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single" w:sz="8" w:space="0" w:color="auto"/>
              <w:bottom w:val="nil"/>
              <w:right w:val="nil"/>
            </w:tcBorders>
            <w:noWrap/>
            <w:vAlign w:val="center"/>
          </w:tcPr>
          <w:p w14:paraId="1A4DD85B" w14:textId="5AEB41CB"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No</w:t>
            </w:r>
          </w:p>
        </w:tc>
        <w:tc>
          <w:tcPr>
            <w:tcW w:w="850" w:type="dxa"/>
            <w:tcBorders>
              <w:top w:val="nil"/>
              <w:left w:val="nil"/>
              <w:bottom w:val="nil"/>
              <w:right w:val="nil"/>
            </w:tcBorders>
            <w:noWrap/>
            <w:vAlign w:val="center"/>
          </w:tcPr>
          <w:p w14:paraId="3771E743" w14:textId="0E47E9C8"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63.1</w:t>
            </w:r>
          </w:p>
        </w:tc>
        <w:tc>
          <w:tcPr>
            <w:tcW w:w="623" w:type="dxa"/>
            <w:tcBorders>
              <w:top w:val="nil"/>
              <w:left w:val="nil"/>
              <w:bottom w:val="nil"/>
              <w:right w:val="single" w:sz="18" w:space="0" w:color="auto"/>
            </w:tcBorders>
            <w:noWrap/>
            <w:vAlign w:val="center"/>
          </w:tcPr>
          <w:p w14:paraId="27C1C4C4" w14:textId="77E059BF"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r>
      <w:tr w:rsidR="00A44D63" w:rsidRPr="00A80760" w14:paraId="6B7FD7B1" w14:textId="77777777" w:rsidTr="00F25848">
        <w:trPr>
          <w:trHeight w:val="20"/>
          <w:jc w:val="center"/>
        </w:trPr>
        <w:tc>
          <w:tcPr>
            <w:tcW w:w="2240" w:type="dxa"/>
            <w:tcBorders>
              <w:top w:val="nil"/>
              <w:left w:val="single" w:sz="18" w:space="0" w:color="auto"/>
              <w:bottom w:val="nil"/>
              <w:right w:val="nil"/>
            </w:tcBorders>
            <w:noWrap/>
            <w:vAlign w:val="center"/>
          </w:tcPr>
          <w:p w14:paraId="6F89C92A" w14:textId="16A2D38D"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Self-employed</w:t>
            </w:r>
          </w:p>
        </w:tc>
        <w:tc>
          <w:tcPr>
            <w:tcW w:w="850" w:type="dxa"/>
            <w:tcBorders>
              <w:top w:val="nil"/>
              <w:left w:val="nil"/>
              <w:bottom w:val="nil"/>
              <w:right w:val="nil"/>
            </w:tcBorders>
            <w:noWrap/>
            <w:vAlign w:val="center"/>
          </w:tcPr>
          <w:p w14:paraId="13F74BE4" w14:textId="7F9A8343"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8.6</w:t>
            </w:r>
          </w:p>
        </w:tc>
        <w:tc>
          <w:tcPr>
            <w:tcW w:w="617" w:type="dxa"/>
            <w:tcBorders>
              <w:top w:val="nil"/>
              <w:left w:val="nil"/>
              <w:bottom w:val="nil"/>
              <w:right w:val="nil"/>
            </w:tcBorders>
            <w:noWrap/>
            <w:vAlign w:val="center"/>
          </w:tcPr>
          <w:p w14:paraId="11273895" w14:textId="65AAA6A3"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single" w:sz="8" w:space="0" w:color="auto"/>
              <w:bottom w:val="nil"/>
              <w:right w:val="nil"/>
            </w:tcBorders>
            <w:noWrap/>
            <w:vAlign w:val="center"/>
          </w:tcPr>
          <w:p w14:paraId="28B25BEF" w14:textId="7557448C" w:rsidR="00A44D63" w:rsidRPr="00A80760" w:rsidRDefault="00A44D63" w:rsidP="00A44D63">
            <w:pPr>
              <w:rPr>
                <w:rFonts w:eastAsia="Times New Roman"/>
                <w:color w:val="000000"/>
                <w:kern w:val="0"/>
                <w:sz w:val="20"/>
                <w:szCs w:val="20"/>
                <w14:ligatures w14:val="none"/>
              </w:rPr>
            </w:pPr>
            <w:r w:rsidRPr="00A80760">
              <w:rPr>
                <w:rFonts w:eastAsia="Times New Roman"/>
                <w:b/>
                <w:bCs/>
                <w:color w:val="000000"/>
                <w:kern w:val="0"/>
                <w:sz w:val="20"/>
                <w:szCs w:val="20"/>
                <w14:ligatures w14:val="none"/>
              </w:rPr>
              <w:t>Industry</w:t>
            </w:r>
          </w:p>
        </w:tc>
        <w:tc>
          <w:tcPr>
            <w:tcW w:w="850" w:type="dxa"/>
            <w:tcBorders>
              <w:top w:val="nil"/>
              <w:left w:val="nil"/>
              <w:bottom w:val="nil"/>
              <w:right w:val="nil"/>
            </w:tcBorders>
            <w:noWrap/>
            <w:vAlign w:val="center"/>
          </w:tcPr>
          <w:p w14:paraId="5D7DB551" w14:textId="77777777" w:rsidR="00A44D63" w:rsidRPr="00A80760" w:rsidRDefault="00A44D63" w:rsidP="00A44D63">
            <w:pPr>
              <w:jc w:val="right"/>
              <w:rPr>
                <w:rFonts w:eastAsia="Times New Roman"/>
                <w:color w:val="000000"/>
                <w:kern w:val="0"/>
                <w:sz w:val="20"/>
                <w:szCs w:val="20"/>
                <w14:ligatures w14:val="none"/>
              </w:rPr>
            </w:pPr>
          </w:p>
        </w:tc>
        <w:tc>
          <w:tcPr>
            <w:tcW w:w="623" w:type="dxa"/>
            <w:tcBorders>
              <w:top w:val="nil"/>
              <w:left w:val="nil"/>
              <w:bottom w:val="nil"/>
              <w:right w:val="single" w:sz="18" w:space="0" w:color="auto"/>
            </w:tcBorders>
            <w:noWrap/>
            <w:vAlign w:val="center"/>
          </w:tcPr>
          <w:p w14:paraId="3AA1C7EE" w14:textId="77777777" w:rsidR="00A44D63" w:rsidRPr="00A80760" w:rsidRDefault="00A44D63" w:rsidP="00A44D63">
            <w:pPr>
              <w:jc w:val="right"/>
              <w:rPr>
                <w:rFonts w:eastAsia="Times New Roman"/>
                <w:color w:val="000000"/>
                <w:kern w:val="0"/>
                <w:sz w:val="20"/>
                <w:szCs w:val="20"/>
                <w14:ligatures w14:val="none"/>
              </w:rPr>
            </w:pPr>
          </w:p>
        </w:tc>
      </w:tr>
      <w:tr w:rsidR="00A44D63" w:rsidRPr="00A80760" w14:paraId="3275B25C" w14:textId="77777777" w:rsidTr="00715BB8">
        <w:trPr>
          <w:trHeight w:val="20"/>
          <w:jc w:val="center"/>
        </w:trPr>
        <w:tc>
          <w:tcPr>
            <w:tcW w:w="3090" w:type="dxa"/>
            <w:gridSpan w:val="2"/>
            <w:tcBorders>
              <w:top w:val="nil"/>
              <w:left w:val="single" w:sz="18" w:space="0" w:color="auto"/>
              <w:bottom w:val="nil"/>
              <w:right w:val="nil"/>
            </w:tcBorders>
            <w:noWrap/>
            <w:vAlign w:val="center"/>
          </w:tcPr>
          <w:p w14:paraId="1DBF180E" w14:textId="2A59053D" w:rsidR="00A44D63" w:rsidRPr="00A80760" w:rsidRDefault="00A44D63" w:rsidP="00A44D63">
            <w:pPr>
              <w:jc w:val="left"/>
              <w:rPr>
                <w:rFonts w:eastAsia="Times New Roman"/>
                <w:color w:val="000000"/>
                <w:kern w:val="0"/>
                <w:sz w:val="20"/>
                <w:szCs w:val="20"/>
                <w14:ligatures w14:val="none"/>
              </w:rPr>
            </w:pPr>
            <w:r>
              <w:rPr>
                <w:rFonts w:eastAsia="Times New Roman"/>
                <w:b/>
                <w:bCs/>
                <w:color w:val="000000"/>
                <w:kern w:val="0"/>
                <w:sz w:val="20"/>
                <w:szCs w:val="20"/>
                <w14:ligatures w14:val="none"/>
              </w:rPr>
              <w:t>Number of Working Days</w:t>
            </w:r>
          </w:p>
        </w:tc>
        <w:tc>
          <w:tcPr>
            <w:tcW w:w="617" w:type="dxa"/>
            <w:tcBorders>
              <w:top w:val="nil"/>
              <w:left w:val="nil"/>
              <w:bottom w:val="nil"/>
              <w:right w:val="nil"/>
            </w:tcBorders>
            <w:noWrap/>
            <w:vAlign w:val="center"/>
          </w:tcPr>
          <w:p w14:paraId="470A9472" w14:textId="77777777" w:rsidR="00A44D63" w:rsidRPr="00A80760" w:rsidRDefault="00A44D63" w:rsidP="00A44D63">
            <w:pPr>
              <w:jc w:val="right"/>
              <w:rPr>
                <w:rFonts w:eastAsia="Times New Roman"/>
                <w:color w:val="000000"/>
                <w:kern w:val="0"/>
                <w:sz w:val="20"/>
                <w:szCs w:val="20"/>
                <w14:ligatures w14:val="none"/>
              </w:rPr>
            </w:pPr>
          </w:p>
        </w:tc>
        <w:tc>
          <w:tcPr>
            <w:tcW w:w="3360" w:type="dxa"/>
            <w:tcBorders>
              <w:top w:val="nil"/>
              <w:left w:val="single" w:sz="8" w:space="0" w:color="auto"/>
              <w:bottom w:val="nil"/>
              <w:right w:val="nil"/>
            </w:tcBorders>
            <w:noWrap/>
            <w:vAlign w:val="center"/>
          </w:tcPr>
          <w:p w14:paraId="7BEDBE90" w14:textId="2D629AC0"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Health</w:t>
            </w:r>
          </w:p>
        </w:tc>
        <w:tc>
          <w:tcPr>
            <w:tcW w:w="850" w:type="dxa"/>
            <w:tcBorders>
              <w:top w:val="nil"/>
              <w:left w:val="nil"/>
              <w:bottom w:val="nil"/>
              <w:right w:val="nil"/>
            </w:tcBorders>
            <w:noWrap/>
            <w:vAlign w:val="center"/>
          </w:tcPr>
          <w:p w14:paraId="6AB4A2C1" w14:textId="3AD78155"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11.2</w:t>
            </w:r>
          </w:p>
        </w:tc>
        <w:tc>
          <w:tcPr>
            <w:tcW w:w="623" w:type="dxa"/>
            <w:vMerge w:val="restart"/>
            <w:tcBorders>
              <w:top w:val="nil"/>
              <w:left w:val="nil"/>
              <w:right w:val="single" w:sz="18" w:space="0" w:color="auto"/>
            </w:tcBorders>
            <w:noWrap/>
            <w:vAlign w:val="center"/>
          </w:tcPr>
          <w:p w14:paraId="2ED4BD7A" w14:textId="575E8031"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21.0</w:t>
            </w:r>
          </w:p>
        </w:tc>
      </w:tr>
      <w:tr w:rsidR="00A44D63" w:rsidRPr="00A80760" w14:paraId="172C53B7" w14:textId="77777777" w:rsidTr="00F44375">
        <w:trPr>
          <w:trHeight w:val="20"/>
          <w:jc w:val="center"/>
        </w:trPr>
        <w:tc>
          <w:tcPr>
            <w:tcW w:w="2240" w:type="dxa"/>
            <w:tcBorders>
              <w:top w:val="nil"/>
              <w:left w:val="single" w:sz="18" w:space="0" w:color="auto"/>
              <w:bottom w:val="nil"/>
              <w:right w:val="nil"/>
            </w:tcBorders>
            <w:noWrap/>
            <w:vAlign w:val="center"/>
          </w:tcPr>
          <w:p w14:paraId="318944FA" w14:textId="20F136B5" w:rsidR="00A44D63" w:rsidRPr="00A80760" w:rsidRDefault="00A44D63" w:rsidP="00A44D63">
            <w:pPr>
              <w:rPr>
                <w:rFonts w:eastAsia="Times New Roman"/>
                <w:color w:val="000000"/>
                <w:kern w:val="0"/>
                <w:sz w:val="20"/>
                <w:szCs w:val="20"/>
                <w14:ligatures w14:val="none"/>
              </w:rPr>
            </w:pPr>
            <w:r>
              <w:rPr>
                <w:rFonts w:eastAsia="Times New Roman"/>
                <w:color w:val="000000"/>
                <w:kern w:val="0"/>
                <w:sz w:val="20"/>
                <w:szCs w:val="20"/>
                <w14:ligatures w14:val="none"/>
              </w:rPr>
              <w:t xml:space="preserve">    3</w:t>
            </w:r>
          </w:p>
        </w:tc>
        <w:tc>
          <w:tcPr>
            <w:tcW w:w="850" w:type="dxa"/>
            <w:tcBorders>
              <w:top w:val="nil"/>
              <w:left w:val="nil"/>
              <w:bottom w:val="nil"/>
              <w:right w:val="nil"/>
            </w:tcBorders>
            <w:noWrap/>
            <w:vAlign w:val="center"/>
          </w:tcPr>
          <w:p w14:paraId="7A27F991" w14:textId="60CC9019" w:rsidR="00A44D63" w:rsidRPr="00A80760" w:rsidRDefault="00A44D63" w:rsidP="00A44D63">
            <w:pPr>
              <w:jc w:val="right"/>
              <w:rPr>
                <w:rFonts w:eastAsia="Times New Roman"/>
                <w:color w:val="000000"/>
                <w:kern w:val="0"/>
                <w:sz w:val="20"/>
                <w:szCs w:val="20"/>
                <w14:ligatures w14:val="none"/>
              </w:rPr>
            </w:pPr>
            <w:r>
              <w:rPr>
                <w:rFonts w:eastAsia="Times New Roman"/>
                <w:color w:val="000000"/>
                <w:kern w:val="0"/>
                <w:sz w:val="20"/>
                <w:szCs w:val="20"/>
                <w14:ligatures w14:val="none"/>
              </w:rPr>
              <w:t>15.3</w:t>
            </w:r>
          </w:p>
        </w:tc>
        <w:tc>
          <w:tcPr>
            <w:tcW w:w="617" w:type="dxa"/>
            <w:tcBorders>
              <w:top w:val="nil"/>
              <w:left w:val="nil"/>
              <w:bottom w:val="nil"/>
              <w:right w:val="nil"/>
            </w:tcBorders>
            <w:noWrap/>
            <w:vAlign w:val="center"/>
          </w:tcPr>
          <w:p w14:paraId="6A9E2C34" w14:textId="22C100D3"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single" w:sz="8" w:space="0" w:color="auto"/>
              <w:bottom w:val="nil"/>
              <w:right w:val="nil"/>
            </w:tcBorders>
            <w:noWrap/>
            <w:vAlign w:val="center"/>
          </w:tcPr>
          <w:p w14:paraId="5112C2E5" w14:textId="74DC2311"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Education or social work</w:t>
            </w:r>
          </w:p>
        </w:tc>
        <w:tc>
          <w:tcPr>
            <w:tcW w:w="850" w:type="dxa"/>
            <w:tcBorders>
              <w:top w:val="nil"/>
              <w:left w:val="nil"/>
              <w:bottom w:val="nil"/>
              <w:right w:val="nil"/>
            </w:tcBorders>
            <w:noWrap/>
            <w:vAlign w:val="center"/>
          </w:tcPr>
          <w:p w14:paraId="57CBBCA2" w14:textId="3C3A3F7B"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14.2</w:t>
            </w:r>
          </w:p>
        </w:tc>
        <w:tc>
          <w:tcPr>
            <w:tcW w:w="623" w:type="dxa"/>
            <w:vMerge/>
            <w:tcBorders>
              <w:left w:val="nil"/>
              <w:bottom w:val="nil"/>
              <w:right w:val="single" w:sz="18" w:space="0" w:color="auto"/>
            </w:tcBorders>
            <w:noWrap/>
            <w:vAlign w:val="center"/>
          </w:tcPr>
          <w:p w14:paraId="3E106CD7" w14:textId="77777777" w:rsidR="00A44D63" w:rsidRPr="00A80760" w:rsidRDefault="00A44D63" w:rsidP="00A44D63">
            <w:pPr>
              <w:jc w:val="right"/>
              <w:rPr>
                <w:rFonts w:eastAsia="Times New Roman"/>
                <w:color w:val="000000"/>
                <w:kern w:val="0"/>
                <w:sz w:val="20"/>
                <w:szCs w:val="20"/>
                <w14:ligatures w14:val="none"/>
              </w:rPr>
            </w:pPr>
          </w:p>
        </w:tc>
      </w:tr>
      <w:tr w:rsidR="00A44D63" w:rsidRPr="00A80760" w14:paraId="142E3950" w14:textId="77777777" w:rsidTr="00F25848">
        <w:trPr>
          <w:trHeight w:val="20"/>
          <w:jc w:val="center"/>
        </w:trPr>
        <w:tc>
          <w:tcPr>
            <w:tcW w:w="2240" w:type="dxa"/>
            <w:tcBorders>
              <w:top w:val="nil"/>
              <w:left w:val="single" w:sz="18" w:space="0" w:color="auto"/>
              <w:bottom w:val="nil"/>
              <w:right w:val="nil"/>
            </w:tcBorders>
            <w:noWrap/>
            <w:vAlign w:val="center"/>
          </w:tcPr>
          <w:p w14:paraId="6CD512A2" w14:textId="61496E26" w:rsidR="00A44D63" w:rsidRPr="00A80760" w:rsidRDefault="00A44D63" w:rsidP="00A44D63">
            <w:pPr>
              <w:rPr>
                <w:rFonts w:eastAsia="Times New Roman"/>
                <w:color w:val="000000"/>
                <w:kern w:val="0"/>
                <w:sz w:val="20"/>
                <w:szCs w:val="20"/>
                <w14:ligatures w14:val="none"/>
              </w:rPr>
            </w:pPr>
            <w:r>
              <w:rPr>
                <w:rFonts w:eastAsia="Times New Roman"/>
                <w:color w:val="000000"/>
                <w:kern w:val="0"/>
                <w:sz w:val="20"/>
                <w:szCs w:val="20"/>
                <w14:ligatures w14:val="none"/>
              </w:rPr>
              <w:t xml:space="preserve">    4</w:t>
            </w:r>
          </w:p>
        </w:tc>
        <w:tc>
          <w:tcPr>
            <w:tcW w:w="850" w:type="dxa"/>
            <w:tcBorders>
              <w:top w:val="nil"/>
              <w:left w:val="nil"/>
              <w:bottom w:val="nil"/>
              <w:right w:val="nil"/>
            </w:tcBorders>
            <w:noWrap/>
            <w:vAlign w:val="center"/>
          </w:tcPr>
          <w:p w14:paraId="4538B7F4" w14:textId="59139D4B" w:rsidR="00A44D63" w:rsidRPr="00A80760" w:rsidRDefault="00A44D63" w:rsidP="00A44D63">
            <w:pPr>
              <w:jc w:val="right"/>
              <w:rPr>
                <w:rFonts w:eastAsia="Times New Roman"/>
                <w:color w:val="000000"/>
                <w:kern w:val="0"/>
                <w:sz w:val="20"/>
                <w:szCs w:val="20"/>
                <w14:ligatures w14:val="none"/>
              </w:rPr>
            </w:pPr>
            <w:r>
              <w:rPr>
                <w:rFonts w:eastAsia="Times New Roman"/>
                <w:color w:val="000000"/>
                <w:kern w:val="0"/>
                <w:sz w:val="20"/>
                <w:szCs w:val="20"/>
                <w14:ligatures w14:val="none"/>
              </w:rPr>
              <w:t>27.6</w:t>
            </w:r>
          </w:p>
        </w:tc>
        <w:tc>
          <w:tcPr>
            <w:tcW w:w="617" w:type="dxa"/>
            <w:tcBorders>
              <w:top w:val="nil"/>
              <w:left w:val="nil"/>
              <w:bottom w:val="nil"/>
              <w:right w:val="nil"/>
            </w:tcBorders>
            <w:noWrap/>
            <w:vAlign w:val="center"/>
          </w:tcPr>
          <w:p w14:paraId="2BF5E315" w14:textId="608618E4"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single" w:sz="8" w:space="0" w:color="auto"/>
              <w:bottom w:val="nil"/>
              <w:right w:val="nil"/>
            </w:tcBorders>
            <w:noWrap/>
            <w:vAlign w:val="center"/>
          </w:tcPr>
          <w:p w14:paraId="1315757F" w14:textId="0E74DFDD"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Construction and manufacturing</w:t>
            </w:r>
          </w:p>
        </w:tc>
        <w:tc>
          <w:tcPr>
            <w:tcW w:w="850" w:type="dxa"/>
            <w:tcBorders>
              <w:top w:val="nil"/>
              <w:left w:val="nil"/>
              <w:bottom w:val="nil"/>
              <w:right w:val="nil"/>
            </w:tcBorders>
            <w:noWrap/>
            <w:vAlign w:val="center"/>
          </w:tcPr>
          <w:p w14:paraId="39494CF3" w14:textId="34BCCC5F"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12.7</w:t>
            </w:r>
          </w:p>
        </w:tc>
        <w:tc>
          <w:tcPr>
            <w:tcW w:w="623" w:type="dxa"/>
            <w:tcBorders>
              <w:top w:val="nil"/>
              <w:left w:val="nil"/>
              <w:bottom w:val="nil"/>
              <w:right w:val="single" w:sz="18" w:space="0" w:color="auto"/>
            </w:tcBorders>
            <w:noWrap/>
            <w:vAlign w:val="center"/>
          </w:tcPr>
          <w:p w14:paraId="4C19C883" w14:textId="49F91CFF"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15.7</w:t>
            </w:r>
          </w:p>
        </w:tc>
      </w:tr>
      <w:tr w:rsidR="00A44D63" w:rsidRPr="00A80760" w14:paraId="11F42A58" w14:textId="77777777" w:rsidTr="00F25848">
        <w:trPr>
          <w:trHeight w:val="20"/>
          <w:jc w:val="center"/>
        </w:trPr>
        <w:tc>
          <w:tcPr>
            <w:tcW w:w="2240" w:type="dxa"/>
            <w:tcBorders>
              <w:top w:val="nil"/>
              <w:left w:val="single" w:sz="18" w:space="0" w:color="auto"/>
              <w:bottom w:val="nil"/>
              <w:right w:val="nil"/>
            </w:tcBorders>
            <w:noWrap/>
            <w:vAlign w:val="center"/>
          </w:tcPr>
          <w:p w14:paraId="650B5B71" w14:textId="1375CA15" w:rsidR="00A44D63" w:rsidRPr="00A80760" w:rsidRDefault="00A44D63" w:rsidP="00A44D63">
            <w:pPr>
              <w:rPr>
                <w:rFonts w:eastAsia="Times New Roman"/>
                <w:color w:val="000000"/>
                <w:kern w:val="0"/>
                <w:sz w:val="20"/>
                <w:szCs w:val="20"/>
                <w14:ligatures w14:val="none"/>
              </w:rPr>
            </w:pPr>
            <w:r>
              <w:rPr>
                <w:rFonts w:eastAsia="Times New Roman"/>
                <w:color w:val="000000"/>
                <w:kern w:val="0"/>
                <w:sz w:val="20"/>
                <w:szCs w:val="20"/>
                <w14:ligatures w14:val="none"/>
              </w:rPr>
              <w:t xml:space="preserve">    5</w:t>
            </w:r>
          </w:p>
        </w:tc>
        <w:tc>
          <w:tcPr>
            <w:tcW w:w="850" w:type="dxa"/>
            <w:tcBorders>
              <w:top w:val="nil"/>
              <w:left w:val="nil"/>
              <w:bottom w:val="nil"/>
              <w:right w:val="nil"/>
            </w:tcBorders>
            <w:noWrap/>
            <w:vAlign w:val="center"/>
          </w:tcPr>
          <w:p w14:paraId="7FBFECCB" w14:textId="28D646A5" w:rsidR="00A44D63" w:rsidRPr="00A80760" w:rsidRDefault="00A44D63" w:rsidP="00A44D63">
            <w:pPr>
              <w:jc w:val="right"/>
              <w:rPr>
                <w:rFonts w:eastAsia="Times New Roman"/>
                <w:color w:val="000000"/>
                <w:kern w:val="0"/>
                <w:sz w:val="20"/>
                <w:szCs w:val="20"/>
                <w14:ligatures w14:val="none"/>
              </w:rPr>
            </w:pPr>
            <w:r>
              <w:rPr>
                <w:rFonts w:eastAsia="Times New Roman"/>
                <w:color w:val="000000"/>
                <w:kern w:val="0"/>
                <w:sz w:val="20"/>
                <w:szCs w:val="20"/>
                <w14:ligatures w14:val="none"/>
              </w:rPr>
              <w:t>57.1</w:t>
            </w:r>
          </w:p>
        </w:tc>
        <w:tc>
          <w:tcPr>
            <w:tcW w:w="617" w:type="dxa"/>
            <w:tcBorders>
              <w:top w:val="nil"/>
              <w:left w:val="nil"/>
              <w:bottom w:val="nil"/>
              <w:right w:val="nil"/>
            </w:tcBorders>
            <w:noWrap/>
            <w:vAlign w:val="center"/>
          </w:tcPr>
          <w:p w14:paraId="00EC136C" w14:textId="3F60F891"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single" w:sz="8" w:space="0" w:color="auto"/>
              <w:bottom w:val="nil"/>
              <w:right w:val="nil"/>
            </w:tcBorders>
            <w:noWrap/>
            <w:vAlign w:val="center"/>
          </w:tcPr>
          <w:p w14:paraId="7BB1CA75" w14:textId="6477BC13"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Information and finance</w:t>
            </w:r>
          </w:p>
        </w:tc>
        <w:tc>
          <w:tcPr>
            <w:tcW w:w="850" w:type="dxa"/>
            <w:tcBorders>
              <w:top w:val="nil"/>
              <w:left w:val="nil"/>
              <w:bottom w:val="nil"/>
              <w:right w:val="nil"/>
            </w:tcBorders>
            <w:noWrap/>
            <w:vAlign w:val="center"/>
          </w:tcPr>
          <w:p w14:paraId="6EB0DB7F" w14:textId="60770A6E"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10.1</w:t>
            </w:r>
          </w:p>
        </w:tc>
        <w:tc>
          <w:tcPr>
            <w:tcW w:w="623" w:type="dxa"/>
            <w:tcBorders>
              <w:top w:val="nil"/>
              <w:left w:val="nil"/>
              <w:bottom w:val="nil"/>
              <w:right w:val="single" w:sz="18" w:space="0" w:color="auto"/>
            </w:tcBorders>
            <w:noWrap/>
            <w:vAlign w:val="center"/>
          </w:tcPr>
          <w:p w14:paraId="11E17939" w14:textId="51D7FC85"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9.3</w:t>
            </w:r>
          </w:p>
        </w:tc>
      </w:tr>
      <w:tr w:rsidR="00A44D63" w:rsidRPr="00A80760" w14:paraId="2C7531C5" w14:textId="77777777" w:rsidTr="006A7E1D">
        <w:trPr>
          <w:trHeight w:val="20"/>
          <w:jc w:val="center"/>
        </w:trPr>
        <w:tc>
          <w:tcPr>
            <w:tcW w:w="3090" w:type="dxa"/>
            <w:gridSpan w:val="2"/>
            <w:tcBorders>
              <w:top w:val="nil"/>
              <w:left w:val="single" w:sz="18" w:space="0" w:color="auto"/>
              <w:bottom w:val="nil"/>
              <w:right w:val="nil"/>
            </w:tcBorders>
            <w:noWrap/>
            <w:vAlign w:val="center"/>
          </w:tcPr>
          <w:p w14:paraId="5BBAC51C" w14:textId="42A8CDF7" w:rsidR="00A44D63" w:rsidRDefault="00A44D63" w:rsidP="00A44D63">
            <w:pPr>
              <w:jc w:val="left"/>
              <w:rPr>
                <w:rFonts w:eastAsia="Times New Roman"/>
                <w:color w:val="000000"/>
                <w:kern w:val="0"/>
                <w:sz w:val="20"/>
                <w:szCs w:val="20"/>
                <w14:ligatures w14:val="none"/>
              </w:rPr>
            </w:pPr>
            <w:r w:rsidRPr="00A80760">
              <w:rPr>
                <w:rFonts w:eastAsia="Times New Roman"/>
                <w:b/>
                <w:bCs/>
                <w:color w:val="000000"/>
                <w:kern w:val="0"/>
                <w:sz w:val="20"/>
                <w:szCs w:val="20"/>
                <w14:ligatures w14:val="none"/>
              </w:rPr>
              <w:t>Free or subsidized transit pass</w:t>
            </w:r>
          </w:p>
        </w:tc>
        <w:tc>
          <w:tcPr>
            <w:tcW w:w="617" w:type="dxa"/>
            <w:tcBorders>
              <w:top w:val="nil"/>
              <w:left w:val="nil"/>
              <w:bottom w:val="nil"/>
              <w:right w:val="nil"/>
            </w:tcBorders>
            <w:noWrap/>
            <w:vAlign w:val="center"/>
          </w:tcPr>
          <w:p w14:paraId="2728A987" w14:textId="77777777" w:rsidR="00A44D63" w:rsidRPr="00A80760" w:rsidRDefault="00A44D63" w:rsidP="00A44D63">
            <w:pPr>
              <w:jc w:val="right"/>
              <w:rPr>
                <w:rFonts w:eastAsia="Times New Roman"/>
                <w:color w:val="000000"/>
                <w:kern w:val="0"/>
                <w:sz w:val="20"/>
                <w:szCs w:val="20"/>
                <w14:ligatures w14:val="none"/>
              </w:rPr>
            </w:pPr>
          </w:p>
        </w:tc>
        <w:tc>
          <w:tcPr>
            <w:tcW w:w="3360" w:type="dxa"/>
            <w:tcBorders>
              <w:top w:val="nil"/>
              <w:left w:val="single" w:sz="8" w:space="0" w:color="auto"/>
              <w:bottom w:val="nil"/>
              <w:right w:val="nil"/>
            </w:tcBorders>
            <w:noWrap/>
            <w:vAlign w:val="center"/>
          </w:tcPr>
          <w:p w14:paraId="5DFC582A" w14:textId="0AD2E6A3"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Technology</w:t>
            </w:r>
          </w:p>
        </w:tc>
        <w:tc>
          <w:tcPr>
            <w:tcW w:w="850" w:type="dxa"/>
            <w:tcBorders>
              <w:top w:val="nil"/>
              <w:left w:val="nil"/>
              <w:bottom w:val="nil"/>
              <w:right w:val="nil"/>
            </w:tcBorders>
            <w:noWrap/>
            <w:vAlign w:val="center"/>
          </w:tcPr>
          <w:p w14:paraId="34CF1EF9" w14:textId="57E6C192"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20.9</w:t>
            </w:r>
          </w:p>
        </w:tc>
        <w:tc>
          <w:tcPr>
            <w:tcW w:w="623" w:type="dxa"/>
            <w:tcBorders>
              <w:top w:val="nil"/>
              <w:left w:val="nil"/>
              <w:bottom w:val="nil"/>
              <w:right w:val="single" w:sz="18" w:space="0" w:color="auto"/>
            </w:tcBorders>
            <w:noWrap/>
            <w:vAlign w:val="center"/>
          </w:tcPr>
          <w:p w14:paraId="08E3F686" w14:textId="4A9CED62"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18.2</w:t>
            </w:r>
          </w:p>
        </w:tc>
      </w:tr>
      <w:tr w:rsidR="00A44D63" w:rsidRPr="00A80760" w14:paraId="4B415366" w14:textId="77777777" w:rsidTr="00F25848">
        <w:trPr>
          <w:trHeight w:val="20"/>
          <w:jc w:val="center"/>
        </w:trPr>
        <w:tc>
          <w:tcPr>
            <w:tcW w:w="2240" w:type="dxa"/>
            <w:tcBorders>
              <w:top w:val="nil"/>
              <w:left w:val="single" w:sz="18" w:space="0" w:color="auto"/>
              <w:bottom w:val="nil"/>
              <w:right w:val="nil"/>
            </w:tcBorders>
            <w:noWrap/>
            <w:vAlign w:val="center"/>
          </w:tcPr>
          <w:p w14:paraId="7A87086E" w14:textId="57DCC708" w:rsidR="00A44D63"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Yes</w:t>
            </w:r>
          </w:p>
        </w:tc>
        <w:tc>
          <w:tcPr>
            <w:tcW w:w="850" w:type="dxa"/>
            <w:tcBorders>
              <w:top w:val="nil"/>
              <w:left w:val="nil"/>
              <w:bottom w:val="nil"/>
              <w:right w:val="nil"/>
            </w:tcBorders>
            <w:noWrap/>
            <w:vAlign w:val="center"/>
          </w:tcPr>
          <w:p w14:paraId="295B6A75" w14:textId="4BCC57AC" w:rsidR="00A44D63"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41.1</w:t>
            </w:r>
          </w:p>
        </w:tc>
        <w:tc>
          <w:tcPr>
            <w:tcW w:w="617" w:type="dxa"/>
            <w:tcBorders>
              <w:top w:val="nil"/>
              <w:left w:val="nil"/>
              <w:bottom w:val="nil"/>
              <w:right w:val="nil"/>
            </w:tcBorders>
            <w:noWrap/>
            <w:vAlign w:val="center"/>
          </w:tcPr>
          <w:p w14:paraId="330FE624" w14:textId="794C2C2F"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single" w:sz="8" w:space="0" w:color="auto"/>
              <w:bottom w:val="nil"/>
              <w:right w:val="nil"/>
            </w:tcBorders>
            <w:noWrap/>
            <w:vAlign w:val="center"/>
          </w:tcPr>
          <w:p w14:paraId="03FCD28A" w14:textId="70B9DB5A"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Public administration</w:t>
            </w:r>
          </w:p>
        </w:tc>
        <w:tc>
          <w:tcPr>
            <w:tcW w:w="850" w:type="dxa"/>
            <w:tcBorders>
              <w:top w:val="nil"/>
              <w:left w:val="nil"/>
              <w:bottom w:val="nil"/>
              <w:right w:val="nil"/>
            </w:tcBorders>
            <w:noWrap/>
            <w:vAlign w:val="center"/>
          </w:tcPr>
          <w:p w14:paraId="1525BB59" w14:textId="2520FB6A"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7.3</w:t>
            </w:r>
          </w:p>
        </w:tc>
        <w:tc>
          <w:tcPr>
            <w:tcW w:w="623" w:type="dxa"/>
            <w:tcBorders>
              <w:top w:val="nil"/>
              <w:left w:val="nil"/>
              <w:bottom w:val="nil"/>
              <w:right w:val="single" w:sz="18" w:space="0" w:color="auto"/>
            </w:tcBorders>
            <w:noWrap/>
            <w:vAlign w:val="center"/>
          </w:tcPr>
          <w:p w14:paraId="6390F62F" w14:textId="7D59E4C0"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10.0</w:t>
            </w:r>
          </w:p>
        </w:tc>
      </w:tr>
      <w:tr w:rsidR="00A44D63" w:rsidRPr="00A80760" w14:paraId="4DD678A7" w14:textId="77777777" w:rsidTr="00A44D63">
        <w:trPr>
          <w:trHeight w:val="20"/>
          <w:jc w:val="center"/>
        </w:trPr>
        <w:tc>
          <w:tcPr>
            <w:tcW w:w="2240" w:type="dxa"/>
            <w:tcBorders>
              <w:top w:val="nil"/>
              <w:left w:val="single" w:sz="18" w:space="0" w:color="auto"/>
              <w:right w:val="nil"/>
            </w:tcBorders>
            <w:noWrap/>
            <w:vAlign w:val="center"/>
          </w:tcPr>
          <w:p w14:paraId="2B94895B" w14:textId="7A480AF2" w:rsidR="00A44D63"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No</w:t>
            </w:r>
          </w:p>
        </w:tc>
        <w:tc>
          <w:tcPr>
            <w:tcW w:w="850" w:type="dxa"/>
            <w:tcBorders>
              <w:top w:val="nil"/>
              <w:left w:val="nil"/>
              <w:right w:val="nil"/>
            </w:tcBorders>
            <w:noWrap/>
            <w:vAlign w:val="center"/>
          </w:tcPr>
          <w:p w14:paraId="7C66256C" w14:textId="38D8DA21" w:rsidR="00A44D63"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58.9</w:t>
            </w:r>
          </w:p>
        </w:tc>
        <w:tc>
          <w:tcPr>
            <w:tcW w:w="617" w:type="dxa"/>
            <w:tcBorders>
              <w:top w:val="nil"/>
              <w:left w:val="nil"/>
              <w:right w:val="nil"/>
            </w:tcBorders>
            <w:noWrap/>
            <w:vAlign w:val="center"/>
          </w:tcPr>
          <w:p w14:paraId="75B6975E" w14:textId="7234F356"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w:t>
            </w:r>
          </w:p>
        </w:tc>
        <w:tc>
          <w:tcPr>
            <w:tcW w:w="3360" w:type="dxa"/>
            <w:tcBorders>
              <w:top w:val="nil"/>
              <w:left w:val="single" w:sz="8" w:space="0" w:color="auto"/>
              <w:right w:val="nil"/>
            </w:tcBorders>
            <w:noWrap/>
            <w:vAlign w:val="center"/>
          </w:tcPr>
          <w:p w14:paraId="78D9EA28" w14:textId="7CA99262"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Hospitality</w:t>
            </w:r>
          </w:p>
        </w:tc>
        <w:tc>
          <w:tcPr>
            <w:tcW w:w="850" w:type="dxa"/>
            <w:tcBorders>
              <w:top w:val="nil"/>
              <w:left w:val="nil"/>
              <w:right w:val="nil"/>
            </w:tcBorders>
            <w:noWrap/>
            <w:vAlign w:val="center"/>
          </w:tcPr>
          <w:p w14:paraId="5AF8E7DB" w14:textId="1061A487"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8.7</w:t>
            </w:r>
          </w:p>
        </w:tc>
        <w:tc>
          <w:tcPr>
            <w:tcW w:w="623" w:type="dxa"/>
            <w:tcBorders>
              <w:top w:val="nil"/>
              <w:left w:val="nil"/>
              <w:right w:val="single" w:sz="18" w:space="0" w:color="auto"/>
            </w:tcBorders>
            <w:noWrap/>
            <w:vAlign w:val="center"/>
          </w:tcPr>
          <w:p w14:paraId="19E3A8FC" w14:textId="0CF18A51"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8.4</w:t>
            </w:r>
          </w:p>
        </w:tc>
      </w:tr>
      <w:tr w:rsidR="00A44D63" w:rsidRPr="00A80760" w14:paraId="2D8C1034" w14:textId="77777777" w:rsidTr="00A44D63">
        <w:trPr>
          <w:trHeight w:val="20"/>
          <w:jc w:val="center"/>
        </w:trPr>
        <w:tc>
          <w:tcPr>
            <w:tcW w:w="2240" w:type="dxa"/>
            <w:tcBorders>
              <w:top w:val="nil"/>
              <w:left w:val="single" w:sz="18" w:space="0" w:color="auto"/>
              <w:bottom w:val="single" w:sz="18" w:space="0" w:color="auto"/>
              <w:right w:val="nil"/>
            </w:tcBorders>
            <w:noWrap/>
            <w:vAlign w:val="center"/>
          </w:tcPr>
          <w:p w14:paraId="2DCA4735" w14:textId="1DFD5167" w:rsidR="00A44D63" w:rsidRPr="00A80760" w:rsidRDefault="00A44D63" w:rsidP="00A44D63">
            <w:pPr>
              <w:rPr>
                <w:rFonts w:eastAsia="Times New Roman"/>
                <w:color w:val="000000"/>
                <w:kern w:val="0"/>
                <w:sz w:val="20"/>
                <w:szCs w:val="20"/>
                <w14:ligatures w14:val="none"/>
              </w:rPr>
            </w:pPr>
          </w:p>
        </w:tc>
        <w:tc>
          <w:tcPr>
            <w:tcW w:w="850" w:type="dxa"/>
            <w:tcBorders>
              <w:top w:val="nil"/>
              <w:left w:val="nil"/>
              <w:bottom w:val="single" w:sz="18" w:space="0" w:color="auto"/>
              <w:right w:val="nil"/>
            </w:tcBorders>
            <w:noWrap/>
            <w:vAlign w:val="center"/>
          </w:tcPr>
          <w:p w14:paraId="441A7546" w14:textId="440F675E" w:rsidR="00A44D63" w:rsidRPr="00A80760" w:rsidRDefault="00A44D63" w:rsidP="00A44D63">
            <w:pPr>
              <w:jc w:val="right"/>
              <w:rPr>
                <w:rFonts w:eastAsia="Times New Roman"/>
                <w:color w:val="000000"/>
                <w:kern w:val="0"/>
                <w:sz w:val="20"/>
                <w:szCs w:val="20"/>
                <w14:ligatures w14:val="none"/>
              </w:rPr>
            </w:pPr>
          </w:p>
        </w:tc>
        <w:tc>
          <w:tcPr>
            <w:tcW w:w="617" w:type="dxa"/>
            <w:tcBorders>
              <w:top w:val="nil"/>
              <w:left w:val="nil"/>
              <w:bottom w:val="single" w:sz="18" w:space="0" w:color="auto"/>
              <w:right w:val="nil"/>
            </w:tcBorders>
            <w:noWrap/>
            <w:vAlign w:val="center"/>
          </w:tcPr>
          <w:p w14:paraId="4611E109" w14:textId="00291B77" w:rsidR="00A44D63" w:rsidRPr="00A80760" w:rsidRDefault="00A44D63" w:rsidP="00A44D63">
            <w:pPr>
              <w:jc w:val="right"/>
              <w:rPr>
                <w:rFonts w:eastAsia="Times New Roman"/>
                <w:color w:val="000000"/>
                <w:kern w:val="0"/>
                <w:sz w:val="20"/>
                <w:szCs w:val="20"/>
                <w14:ligatures w14:val="none"/>
              </w:rPr>
            </w:pPr>
          </w:p>
        </w:tc>
        <w:tc>
          <w:tcPr>
            <w:tcW w:w="3360" w:type="dxa"/>
            <w:tcBorders>
              <w:top w:val="nil"/>
              <w:left w:val="single" w:sz="8" w:space="0" w:color="auto"/>
              <w:bottom w:val="single" w:sz="18" w:space="0" w:color="auto"/>
              <w:right w:val="nil"/>
            </w:tcBorders>
            <w:noWrap/>
            <w:vAlign w:val="center"/>
          </w:tcPr>
          <w:p w14:paraId="36F2F19C" w14:textId="74FCB574" w:rsidR="00A44D63" w:rsidRPr="00A80760" w:rsidRDefault="00A44D63" w:rsidP="00A44D63">
            <w:pPr>
              <w:rPr>
                <w:rFonts w:eastAsia="Times New Roman"/>
                <w:color w:val="000000"/>
                <w:kern w:val="0"/>
                <w:sz w:val="20"/>
                <w:szCs w:val="20"/>
                <w14:ligatures w14:val="none"/>
              </w:rPr>
            </w:pPr>
            <w:r w:rsidRPr="00A80760">
              <w:rPr>
                <w:rFonts w:eastAsia="Times New Roman"/>
                <w:color w:val="000000"/>
                <w:kern w:val="0"/>
                <w:sz w:val="20"/>
                <w:szCs w:val="20"/>
                <w14:ligatures w14:val="none"/>
              </w:rPr>
              <w:t xml:space="preserve">    Other</w:t>
            </w:r>
          </w:p>
        </w:tc>
        <w:tc>
          <w:tcPr>
            <w:tcW w:w="850" w:type="dxa"/>
            <w:tcBorders>
              <w:top w:val="nil"/>
              <w:left w:val="nil"/>
              <w:bottom w:val="single" w:sz="18" w:space="0" w:color="auto"/>
              <w:right w:val="nil"/>
            </w:tcBorders>
            <w:noWrap/>
            <w:vAlign w:val="center"/>
          </w:tcPr>
          <w:p w14:paraId="212BB142" w14:textId="1DCA0D2B"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14.9</w:t>
            </w:r>
          </w:p>
        </w:tc>
        <w:tc>
          <w:tcPr>
            <w:tcW w:w="623" w:type="dxa"/>
            <w:tcBorders>
              <w:top w:val="nil"/>
              <w:left w:val="nil"/>
              <w:bottom w:val="single" w:sz="18" w:space="0" w:color="auto"/>
              <w:right w:val="single" w:sz="18" w:space="0" w:color="auto"/>
            </w:tcBorders>
            <w:noWrap/>
            <w:vAlign w:val="center"/>
          </w:tcPr>
          <w:p w14:paraId="243C04AC" w14:textId="6B67DEFE" w:rsidR="00A44D63" w:rsidRPr="00A80760" w:rsidRDefault="00A44D63" w:rsidP="00A44D63">
            <w:pPr>
              <w:jc w:val="right"/>
              <w:rPr>
                <w:rFonts w:eastAsia="Times New Roman"/>
                <w:color w:val="000000"/>
                <w:kern w:val="0"/>
                <w:sz w:val="20"/>
                <w:szCs w:val="20"/>
                <w14:ligatures w14:val="none"/>
              </w:rPr>
            </w:pPr>
            <w:r w:rsidRPr="00A80760">
              <w:rPr>
                <w:rFonts w:eastAsia="Times New Roman"/>
                <w:color w:val="000000"/>
                <w:kern w:val="0"/>
                <w:sz w:val="20"/>
                <w:szCs w:val="20"/>
                <w14:ligatures w14:val="none"/>
              </w:rPr>
              <w:t>17.4</w:t>
            </w:r>
          </w:p>
        </w:tc>
      </w:tr>
    </w:tbl>
    <w:p w14:paraId="33A1E721" w14:textId="77777777" w:rsidR="00B6518B" w:rsidRPr="00A80760" w:rsidRDefault="00B6518B" w:rsidP="00B6518B"/>
    <w:p w14:paraId="4745203F" w14:textId="77777777" w:rsidR="00B6518B" w:rsidRDefault="00B6518B" w:rsidP="00B6518B">
      <w:pPr>
        <w:sectPr w:rsidR="00B6518B" w:rsidSect="00A01A7E">
          <w:pgSz w:w="12240" w:h="15840"/>
          <w:pgMar w:top="1440" w:right="1440" w:bottom="1440" w:left="1440" w:header="720" w:footer="720" w:gutter="0"/>
          <w:cols w:space="720"/>
          <w:docGrid w:linePitch="360"/>
        </w:sectPr>
      </w:pPr>
    </w:p>
    <w:p w14:paraId="652CAF55" w14:textId="0B5BF4A7" w:rsidR="00B6518B" w:rsidRPr="00A80760" w:rsidRDefault="00B6518B" w:rsidP="00B6518B"/>
    <w:p w14:paraId="74B158C7" w14:textId="52BB5655" w:rsidR="006F2D61" w:rsidRPr="00A80760" w:rsidRDefault="00B6518B" w:rsidP="00B6518B">
      <w:pPr>
        <w:rPr>
          <w:b/>
          <w:bCs/>
        </w:rPr>
      </w:pPr>
      <w:r w:rsidRPr="00A80760">
        <w:rPr>
          <w:b/>
          <w:bCs/>
        </w:rPr>
        <w:t xml:space="preserve">Table </w:t>
      </w:r>
      <w:r w:rsidR="006806A9">
        <w:rPr>
          <w:b/>
          <w:bCs/>
        </w:rPr>
        <w:t>5</w:t>
      </w:r>
      <w:r w:rsidRPr="00A80760">
        <w:rPr>
          <w:b/>
          <w:bCs/>
        </w:rPr>
        <w:t>: Main Estimation Results</w:t>
      </w:r>
    </w:p>
    <w:tbl>
      <w:tblPr>
        <w:tblW w:w="8921" w:type="dxa"/>
        <w:tblCellMar>
          <w:left w:w="29" w:type="dxa"/>
          <w:right w:w="58" w:type="dxa"/>
        </w:tblCellMar>
        <w:tblLook w:val="04A0" w:firstRow="1" w:lastRow="0" w:firstColumn="1" w:lastColumn="0" w:noHBand="0" w:noVBand="1"/>
      </w:tblPr>
      <w:tblGrid>
        <w:gridCol w:w="4220"/>
        <w:gridCol w:w="593"/>
        <w:gridCol w:w="669"/>
        <w:gridCol w:w="630"/>
        <w:gridCol w:w="541"/>
        <w:gridCol w:w="593"/>
        <w:gridCol w:w="541"/>
        <w:gridCol w:w="593"/>
        <w:gridCol w:w="541"/>
      </w:tblGrid>
      <w:tr w:rsidR="009F0C7D" w:rsidRPr="00EC051A" w14:paraId="06EB897B" w14:textId="77777777" w:rsidTr="0000496D">
        <w:trPr>
          <w:trHeight w:val="144"/>
          <w:tblHeader/>
        </w:trPr>
        <w:tc>
          <w:tcPr>
            <w:tcW w:w="4220" w:type="dxa"/>
            <w:vMerge w:val="restart"/>
            <w:tcBorders>
              <w:top w:val="single" w:sz="18" w:space="0" w:color="auto"/>
              <w:left w:val="single" w:sz="18" w:space="0" w:color="auto"/>
              <w:right w:val="single" w:sz="18" w:space="0" w:color="auto"/>
            </w:tcBorders>
            <w:noWrap/>
            <w:vAlign w:val="center"/>
            <w:hideMark/>
          </w:tcPr>
          <w:p w14:paraId="27EDAEA5"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Variables (base)</w:t>
            </w:r>
          </w:p>
        </w:tc>
        <w:tc>
          <w:tcPr>
            <w:tcW w:w="1262" w:type="dxa"/>
            <w:gridSpan w:val="2"/>
            <w:tcBorders>
              <w:top w:val="single" w:sz="18" w:space="0" w:color="auto"/>
              <w:left w:val="single" w:sz="18" w:space="0" w:color="auto"/>
              <w:bottom w:val="single" w:sz="18" w:space="0" w:color="auto"/>
              <w:right w:val="single" w:sz="4" w:space="0" w:color="000000"/>
            </w:tcBorders>
            <w:noWrap/>
            <w:vAlign w:val="center"/>
            <w:hideMark/>
          </w:tcPr>
          <w:p w14:paraId="6451AA9C" w14:textId="77777777" w:rsidR="009F0C7D" w:rsidRPr="00EC051A" w:rsidRDefault="009F0C7D" w:rsidP="00EC051A">
            <w:pPr>
              <w:jc w:val="center"/>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Commute Distance</w:t>
            </w:r>
          </w:p>
        </w:tc>
        <w:tc>
          <w:tcPr>
            <w:tcW w:w="1171" w:type="dxa"/>
            <w:gridSpan w:val="2"/>
            <w:tcBorders>
              <w:top w:val="single" w:sz="18" w:space="0" w:color="auto"/>
              <w:left w:val="nil"/>
              <w:bottom w:val="single" w:sz="18" w:space="0" w:color="auto"/>
              <w:right w:val="single" w:sz="4" w:space="0" w:color="000000"/>
            </w:tcBorders>
            <w:noWrap/>
            <w:vAlign w:val="center"/>
            <w:hideMark/>
          </w:tcPr>
          <w:p w14:paraId="2C0B0521" w14:textId="77777777" w:rsidR="009F0C7D" w:rsidRPr="00EC051A" w:rsidRDefault="009F0C7D" w:rsidP="00EC051A">
            <w:pPr>
              <w:jc w:val="center"/>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Telework Adoption</w:t>
            </w:r>
          </w:p>
        </w:tc>
        <w:tc>
          <w:tcPr>
            <w:tcW w:w="1134" w:type="dxa"/>
            <w:gridSpan w:val="2"/>
            <w:tcBorders>
              <w:top w:val="single" w:sz="18" w:space="0" w:color="auto"/>
              <w:left w:val="nil"/>
              <w:bottom w:val="single" w:sz="18" w:space="0" w:color="auto"/>
              <w:right w:val="single" w:sz="4" w:space="0" w:color="000000"/>
            </w:tcBorders>
            <w:noWrap/>
            <w:vAlign w:val="center"/>
            <w:hideMark/>
          </w:tcPr>
          <w:p w14:paraId="3DD09064" w14:textId="4247AA1C" w:rsidR="009F0C7D" w:rsidRPr="00EC051A" w:rsidRDefault="009F0C7D" w:rsidP="00EC051A">
            <w:pPr>
              <w:jc w:val="center"/>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Full-Day Frequency</w:t>
            </w:r>
          </w:p>
        </w:tc>
        <w:tc>
          <w:tcPr>
            <w:tcW w:w="1134" w:type="dxa"/>
            <w:gridSpan w:val="2"/>
            <w:tcBorders>
              <w:top w:val="single" w:sz="18" w:space="0" w:color="auto"/>
              <w:left w:val="nil"/>
              <w:bottom w:val="single" w:sz="18" w:space="0" w:color="auto"/>
              <w:right w:val="single" w:sz="18" w:space="0" w:color="auto"/>
            </w:tcBorders>
            <w:noWrap/>
            <w:vAlign w:val="center"/>
            <w:hideMark/>
          </w:tcPr>
          <w:p w14:paraId="05401829" w14:textId="506E1786" w:rsidR="009F0C7D" w:rsidRPr="00EC051A" w:rsidRDefault="009F0C7D" w:rsidP="00EC051A">
            <w:pPr>
              <w:jc w:val="center"/>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Part-Day Frequency</w:t>
            </w:r>
          </w:p>
        </w:tc>
      </w:tr>
      <w:tr w:rsidR="009F0C7D" w:rsidRPr="00EC051A" w14:paraId="5B8C0283" w14:textId="77777777" w:rsidTr="00226B7E">
        <w:trPr>
          <w:trHeight w:val="144"/>
          <w:tblHeader/>
        </w:trPr>
        <w:tc>
          <w:tcPr>
            <w:tcW w:w="4220" w:type="dxa"/>
            <w:vMerge/>
            <w:tcBorders>
              <w:left w:val="single" w:sz="18" w:space="0" w:color="auto"/>
              <w:bottom w:val="single" w:sz="18" w:space="0" w:color="auto"/>
              <w:right w:val="single" w:sz="18" w:space="0" w:color="auto"/>
            </w:tcBorders>
            <w:vAlign w:val="center"/>
            <w:hideMark/>
          </w:tcPr>
          <w:p w14:paraId="1505EA16" w14:textId="77777777" w:rsidR="009F0C7D" w:rsidRPr="00EC051A" w:rsidRDefault="009F0C7D" w:rsidP="00EC051A">
            <w:pPr>
              <w:jc w:val="center"/>
              <w:rPr>
                <w:rFonts w:eastAsia="Times New Roman"/>
                <w:color w:val="000000"/>
                <w:kern w:val="0"/>
                <w:sz w:val="20"/>
                <w:szCs w:val="20"/>
                <w14:ligatures w14:val="none"/>
              </w:rPr>
            </w:pPr>
          </w:p>
        </w:tc>
        <w:tc>
          <w:tcPr>
            <w:tcW w:w="593" w:type="dxa"/>
            <w:tcBorders>
              <w:top w:val="single" w:sz="18" w:space="0" w:color="auto"/>
              <w:left w:val="single" w:sz="18" w:space="0" w:color="auto"/>
              <w:bottom w:val="single" w:sz="18" w:space="0" w:color="auto"/>
              <w:right w:val="nil"/>
            </w:tcBorders>
            <w:noWrap/>
            <w:vAlign w:val="center"/>
            <w:hideMark/>
          </w:tcPr>
          <w:p w14:paraId="1EF1FC86"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Coeff.</w:t>
            </w:r>
          </w:p>
        </w:tc>
        <w:tc>
          <w:tcPr>
            <w:tcW w:w="669" w:type="dxa"/>
            <w:tcBorders>
              <w:top w:val="single" w:sz="18" w:space="0" w:color="auto"/>
              <w:left w:val="nil"/>
              <w:bottom w:val="single" w:sz="18" w:space="0" w:color="auto"/>
              <w:right w:val="single" w:sz="4" w:space="0" w:color="auto"/>
            </w:tcBorders>
            <w:noWrap/>
            <w:vAlign w:val="center"/>
            <w:hideMark/>
          </w:tcPr>
          <w:p w14:paraId="447172CD"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t-stat</w:t>
            </w:r>
          </w:p>
        </w:tc>
        <w:tc>
          <w:tcPr>
            <w:tcW w:w="630" w:type="dxa"/>
            <w:tcBorders>
              <w:top w:val="single" w:sz="18" w:space="0" w:color="auto"/>
              <w:left w:val="nil"/>
              <w:bottom w:val="single" w:sz="18" w:space="0" w:color="auto"/>
              <w:right w:val="nil"/>
            </w:tcBorders>
            <w:noWrap/>
            <w:vAlign w:val="center"/>
            <w:hideMark/>
          </w:tcPr>
          <w:p w14:paraId="4F4DFF4F"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Coeff.</w:t>
            </w:r>
          </w:p>
        </w:tc>
        <w:tc>
          <w:tcPr>
            <w:tcW w:w="541" w:type="dxa"/>
            <w:tcBorders>
              <w:top w:val="single" w:sz="18" w:space="0" w:color="auto"/>
              <w:left w:val="nil"/>
              <w:bottom w:val="single" w:sz="18" w:space="0" w:color="auto"/>
              <w:right w:val="single" w:sz="4" w:space="0" w:color="auto"/>
            </w:tcBorders>
            <w:noWrap/>
            <w:vAlign w:val="center"/>
            <w:hideMark/>
          </w:tcPr>
          <w:p w14:paraId="7E48558F"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t-stat</w:t>
            </w:r>
          </w:p>
        </w:tc>
        <w:tc>
          <w:tcPr>
            <w:tcW w:w="593" w:type="dxa"/>
            <w:tcBorders>
              <w:top w:val="single" w:sz="18" w:space="0" w:color="auto"/>
              <w:left w:val="nil"/>
              <w:bottom w:val="single" w:sz="18" w:space="0" w:color="auto"/>
              <w:right w:val="nil"/>
            </w:tcBorders>
            <w:noWrap/>
            <w:vAlign w:val="center"/>
            <w:hideMark/>
          </w:tcPr>
          <w:p w14:paraId="38074350"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Coeff.</w:t>
            </w:r>
          </w:p>
        </w:tc>
        <w:tc>
          <w:tcPr>
            <w:tcW w:w="541" w:type="dxa"/>
            <w:tcBorders>
              <w:top w:val="single" w:sz="18" w:space="0" w:color="auto"/>
              <w:left w:val="nil"/>
              <w:bottom w:val="single" w:sz="18" w:space="0" w:color="auto"/>
              <w:right w:val="single" w:sz="4" w:space="0" w:color="auto"/>
            </w:tcBorders>
            <w:noWrap/>
            <w:vAlign w:val="center"/>
            <w:hideMark/>
          </w:tcPr>
          <w:p w14:paraId="09AE315A"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t-stat</w:t>
            </w:r>
          </w:p>
        </w:tc>
        <w:tc>
          <w:tcPr>
            <w:tcW w:w="593" w:type="dxa"/>
            <w:tcBorders>
              <w:top w:val="single" w:sz="18" w:space="0" w:color="auto"/>
              <w:left w:val="nil"/>
              <w:bottom w:val="single" w:sz="18" w:space="0" w:color="auto"/>
              <w:right w:val="nil"/>
            </w:tcBorders>
            <w:noWrap/>
            <w:vAlign w:val="center"/>
            <w:hideMark/>
          </w:tcPr>
          <w:p w14:paraId="7AA802A3"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Coeff.</w:t>
            </w:r>
          </w:p>
        </w:tc>
        <w:tc>
          <w:tcPr>
            <w:tcW w:w="541" w:type="dxa"/>
            <w:tcBorders>
              <w:top w:val="single" w:sz="18" w:space="0" w:color="auto"/>
              <w:left w:val="nil"/>
              <w:bottom w:val="single" w:sz="18" w:space="0" w:color="auto"/>
              <w:right w:val="single" w:sz="18" w:space="0" w:color="auto"/>
            </w:tcBorders>
            <w:noWrap/>
            <w:vAlign w:val="center"/>
            <w:hideMark/>
          </w:tcPr>
          <w:p w14:paraId="1A7A2938" w14:textId="77777777" w:rsidR="009F0C7D" w:rsidRPr="00EC051A" w:rsidRDefault="009F0C7D" w:rsidP="00EC051A">
            <w:pPr>
              <w:jc w:val="center"/>
              <w:rPr>
                <w:rFonts w:eastAsia="Times New Roman"/>
                <w:color w:val="000000"/>
                <w:kern w:val="0"/>
                <w:sz w:val="20"/>
                <w:szCs w:val="20"/>
                <w14:ligatures w14:val="none"/>
              </w:rPr>
            </w:pPr>
            <w:r w:rsidRPr="00EC051A">
              <w:rPr>
                <w:rFonts w:eastAsia="Times New Roman"/>
                <w:color w:val="000000"/>
                <w:kern w:val="0"/>
                <w:sz w:val="20"/>
                <w:szCs w:val="20"/>
                <w14:ligatures w14:val="none"/>
              </w:rPr>
              <w:t>t-stat</w:t>
            </w:r>
          </w:p>
        </w:tc>
      </w:tr>
      <w:tr w:rsidR="0000496D" w:rsidRPr="00EC051A" w14:paraId="366E4C2A" w14:textId="77777777" w:rsidTr="00226B7E">
        <w:trPr>
          <w:trHeight w:val="144"/>
        </w:trPr>
        <w:tc>
          <w:tcPr>
            <w:tcW w:w="8921" w:type="dxa"/>
            <w:gridSpan w:val="9"/>
            <w:tcBorders>
              <w:top w:val="single" w:sz="18" w:space="0" w:color="auto"/>
              <w:left w:val="single" w:sz="18" w:space="0" w:color="auto"/>
              <w:bottom w:val="single" w:sz="18" w:space="0" w:color="auto"/>
              <w:right w:val="single" w:sz="18" w:space="0" w:color="auto"/>
            </w:tcBorders>
            <w:noWrap/>
            <w:vAlign w:val="center"/>
            <w:hideMark/>
          </w:tcPr>
          <w:p w14:paraId="570CA99F" w14:textId="3D419A75" w:rsidR="0000496D" w:rsidRPr="00EC051A" w:rsidRDefault="0000496D" w:rsidP="00226B7E">
            <w:pPr>
              <w:rPr>
                <w:rFonts w:eastAsia="Times New Roman"/>
                <w:color w:val="000000"/>
                <w:kern w:val="0"/>
                <w:sz w:val="20"/>
                <w:szCs w:val="20"/>
                <w14:ligatures w14:val="none"/>
              </w:rPr>
            </w:pPr>
            <w:r>
              <w:rPr>
                <w:rFonts w:eastAsia="Times New Roman"/>
                <w:b/>
                <w:bCs/>
                <w:i/>
                <w:iCs/>
                <w:color w:val="000000"/>
                <w:kern w:val="0"/>
                <w:sz w:val="20"/>
                <w:szCs w:val="20"/>
                <w14:ligatures w14:val="none"/>
              </w:rPr>
              <w:t>Individual Demographics</w:t>
            </w:r>
          </w:p>
          <w:p w14:paraId="4192C3CC" w14:textId="15B35721" w:rsidR="0000496D" w:rsidRPr="00EC051A" w:rsidRDefault="0000496D" w:rsidP="00226B7E">
            <w:pPr>
              <w:jc w:val="center"/>
              <w:rPr>
                <w:rFonts w:eastAsia="Times New Roman"/>
                <w:color w:val="000000"/>
                <w:kern w:val="0"/>
                <w:sz w:val="20"/>
                <w:szCs w:val="20"/>
                <w14:ligatures w14:val="none"/>
              </w:rPr>
            </w:pPr>
          </w:p>
        </w:tc>
      </w:tr>
      <w:tr w:rsidR="0000496D" w:rsidRPr="00EC051A" w14:paraId="42E00868" w14:textId="77777777" w:rsidTr="00226B7E">
        <w:trPr>
          <w:trHeight w:val="144"/>
        </w:trPr>
        <w:tc>
          <w:tcPr>
            <w:tcW w:w="4220" w:type="dxa"/>
            <w:tcBorders>
              <w:top w:val="single" w:sz="18" w:space="0" w:color="auto"/>
              <w:left w:val="single" w:sz="18" w:space="0" w:color="auto"/>
              <w:bottom w:val="nil"/>
              <w:right w:val="single" w:sz="18" w:space="0" w:color="auto"/>
            </w:tcBorders>
            <w:noWrap/>
            <w:vAlign w:val="center"/>
          </w:tcPr>
          <w:p w14:paraId="126AA45F" w14:textId="49B6A36C" w:rsidR="0000496D" w:rsidRPr="00EC051A" w:rsidRDefault="0000496D"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Gender (male)</w:t>
            </w:r>
          </w:p>
        </w:tc>
        <w:tc>
          <w:tcPr>
            <w:tcW w:w="593" w:type="dxa"/>
            <w:tcBorders>
              <w:top w:val="single" w:sz="18" w:space="0" w:color="auto"/>
              <w:left w:val="single" w:sz="18" w:space="0" w:color="auto"/>
              <w:bottom w:val="nil"/>
              <w:right w:val="nil"/>
            </w:tcBorders>
            <w:noWrap/>
            <w:vAlign w:val="center"/>
          </w:tcPr>
          <w:p w14:paraId="20307AD9" w14:textId="77777777" w:rsidR="0000496D" w:rsidRPr="00EC051A" w:rsidRDefault="0000496D" w:rsidP="00EC051A">
            <w:pPr>
              <w:rPr>
                <w:rFonts w:eastAsia="Times New Roman"/>
                <w:color w:val="000000"/>
                <w:kern w:val="0"/>
                <w:sz w:val="20"/>
                <w:szCs w:val="20"/>
                <w14:ligatures w14:val="none"/>
              </w:rPr>
            </w:pPr>
          </w:p>
        </w:tc>
        <w:tc>
          <w:tcPr>
            <w:tcW w:w="669" w:type="dxa"/>
            <w:tcBorders>
              <w:top w:val="single" w:sz="18" w:space="0" w:color="auto"/>
              <w:left w:val="nil"/>
              <w:bottom w:val="nil"/>
              <w:right w:val="single" w:sz="4" w:space="0" w:color="auto"/>
            </w:tcBorders>
            <w:noWrap/>
            <w:vAlign w:val="center"/>
          </w:tcPr>
          <w:p w14:paraId="7EE5A25B" w14:textId="77777777" w:rsidR="0000496D" w:rsidRPr="00EC051A" w:rsidRDefault="0000496D" w:rsidP="00EC051A">
            <w:pPr>
              <w:jc w:val="right"/>
              <w:rPr>
                <w:rFonts w:eastAsia="Times New Roman"/>
                <w:color w:val="000000"/>
                <w:kern w:val="0"/>
                <w:sz w:val="20"/>
                <w:szCs w:val="20"/>
                <w14:ligatures w14:val="none"/>
              </w:rPr>
            </w:pPr>
          </w:p>
        </w:tc>
        <w:tc>
          <w:tcPr>
            <w:tcW w:w="630" w:type="dxa"/>
            <w:tcBorders>
              <w:top w:val="single" w:sz="18" w:space="0" w:color="auto"/>
              <w:left w:val="nil"/>
              <w:bottom w:val="nil"/>
              <w:right w:val="nil"/>
            </w:tcBorders>
            <w:noWrap/>
            <w:vAlign w:val="center"/>
          </w:tcPr>
          <w:p w14:paraId="4A9280DB" w14:textId="77777777" w:rsidR="0000496D" w:rsidRPr="00EC051A" w:rsidRDefault="0000496D"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tcPr>
          <w:p w14:paraId="71663EE0" w14:textId="77777777" w:rsidR="0000496D" w:rsidRPr="00EC051A" w:rsidRDefault="0000496D" w:rsidP="00EC051A">
            <w:pPr>
              <w:jc w:val="right"/>
              <w:rPr>
                <w:rFonts w:eastAsia="Times New Roman"/>
                <w:color w:val="000000"/>
                <w:kern w:val="0"/>
                <w:sz w:val="20"/>
                <w:szCs w:val="20"/>
                <w14:ligatures w14:val="none"/>
              </w:rPr>
            </w:pPr>
          </w:p>
        </w:tc>
        <w:tc>
          <w:tcPr>
            <w:tcW w:w="593" w:type="dxa"/>
            <w:tcBorders>
              <w:top w:val="single" w:sz="18" w:space="0" w:color="auto"/>
              <w:left w:val="nil"/>
              <w:bottom w:val="nil"/>
              <w:right w:val="nil"/>
            </w:tcBorders>
            <w:noWrap/>
            <w:vAlign w:val="center"/>
          </w:tcPr>
          <w:p w14:paraId="7A871819" w14:textId="77777777" w:rsidR="0000496D" w:rsidRPr="00EC051A" w:rsidRDefault="0000496D"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tcPr>
          <w:p w14:paraId="2BB479AF" w14:textId="77777777" w:rsidR="0000496D" w:rsidRPr="00EC051A" w:rsidRDefault="0000496D" w:rsidP="00EC051A">
            <w:pPr>
              <w:jc w:val="right"/>
              <w:rPr>
                <w:rFonts w:eastAsia="Times New Roman"/>
                <w:color w:val="000000"/>
                <w:kern w:val="0"/>
                <w:sz w:val="20"/>
                <w:szCs w:val="20"/>
                <w14:ligatures w14:val="none"/>
              </w:rPr>
            </w:pPr>
          </w:p>
        </w:tc>
        <w:tc>
          <w:tcPr>
            <w:tcW w:w="593" w:type="dxa"/>
            <w:tcBorders>
              <w:top w:val="single" w:sz="18" w:space="0" w:color="auto"/>
              <w:left w:val="nil"/>
              <w:bottom w:val="nil"/>
              <w:right w:val="nil"/>
            </w:tcBorders>
            <w:noWrap/>
            <w:vAlign w:val="center"/>
          </w:tcPr>
          <w:p w14:paraId="45ACF921" w14:textId="77777777" w:rsidR="0000496D" w:rsidRPr="00EC051A" w:rsidRDefault="0000496D"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18" w:space="0" w:color="auto"/>
            </w:tcBorders>
            <w:noWrap/>
            <w:vAlign w:val="center"/>
          </w:tcPr>
          <w:p w14:paraId="17DE3691" w14:textId="77777777" w:rsidR="0000496D" w:rsidRPr="00EC051A" w:rsidRDefault="0000496D" w:rsidP="00EC051A">
            <w:pPr>
              <w:jc w:val="right"/>
              <w:rPr>
                <w:rFonts w:eastAsia="Times New Roman"/>
                <w:color w:val="000000"/>
                <w:kern w:val="0"/>
                <w:sz w:val="20"/>
                <w:szCs w:val="20"/>
                <w14:ligatures w14:val="none"/>
              </w:rPr>
            </w:pPr>
          </w:p>
        </w:tc>
      </w:tr>
      <w:tr w:rsidR="00676CF0" w:rsidRPr="00EC051A" w14:paraId="245D2D43"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406CC60B" w14:textId="77777777" w:rsidR="00676CF0" w:rsidRPr="00EC051A" w:rsidRDefault="00676CF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Female</w:t>
            </w:r>
          </w:p>
        </w:tc>
        <w:tc>
          <w:tcPr>
            <w:tcW w:w="593" w:type="dxa"/>
            <w:tcBorders>
              <w:top w:val="nil"/>
              <w:left w:val="single" w:sz="18" w:space="0" w:color="auto"/>
              <w:bottom w:val="nil"/>
              <w:right w:val="nil"/>
            </w:tcBorders>
            <w:noWrap/>
            <w:vAlign w:val="bottom"/>
            <w:hideMark/>
          </w:tcPr>
          <w:p w14:paraId="27F66538" w14:textId="60BB55D8"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-0.19</w:t>
            </w:r>
          </w:p>
        </w:tc>
        <w:tc>
          <w:tcPr>
            <w:tcW w:w="669" w:type="dxa"/>
            <w:tcBorders>
              <w:top w:val="nil"/>
              <w:left w:val="nil"/>
              <w:bottom w:val="nil"/>
              <w:right w:val="single" w:sz="4" w:space="0" w:color="auto"/>
            </w:tcBorders>
            <w:noWrap/>
            <w:vAlign w:val="bottom"/>
            <w:hideMark/>
          </w:tcPr>
          <w:p w14:paraId="3295EB4A" w14:textId="5DEEAEE3"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-2.11</w:t>
            </w:r>
          </w:p>
        </w:tc>
        <w:tc>
          <w:tcPr>
            <w:tcW w:w="630" w:type="dxa"/>
            <w:tcBorders>
              <w:top w:val="nil"/>
              <w:left w:val="nil"/>
              <w:bottom w:val="nil"/>
              <w:right w:val="nil"/>
            </w:tcBorders>
            <w:noWrap/>
            <w:vAlign w:val="bottom"/>
            <w:hideMark/>
          </w:tcPr>
          <w:p w14:paraId="3C703679" w14:textId="16FE22DB"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0.17</w:t>
            </w:r>
          </w:p>
        </w:tc>
        <w:tc>
          <w:tcPr>
            <w:tcW w:w="541" w:type="dxa"/>
            <w:tcBorders>
              <w:top w:val="nil"/>
              <w:left w:val="nil"/>
              <w:bottom w:val="nil"/>
              <w:right w:val="single" w:sz="4" w:space="0" w:color="auto"/>
            </w:tcBorders>
            <w:noWrap/>
            <w:vAlign w:val="bottom"/>
            <w:hideMark/>
          </w:tcPr>
          <w:p w14:paraId="37E68976" w14:textId="4AD50174"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1.49</w:t>
            </w:r>
          </w:p>
        </w:tc>
        <w:tc>
          <w:tcPr>
            <w:tcW w:w="593" w:type="dxa"/>
            <w:tcBorders>
              <w:top w:val="nil"/>
              <w:left w:val="nil"/>
              <w:bottom w:val="nil"/>
              <w:right w:val="nil"/>
            </w:tcBorders>
            <w:noWrap/>
            <w:vAlign w:val="center"/>
            <w:hideMark/>
          </w:tcPr>
          <w:p w14:paraId="223454FA" w14:textId="61228EE0" w:rsidR="00676CF0" w:rsidRPr="00EC051A" w:rsidRDefault="00676CF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4CACBDE1" w14:textId="1C4938ED" w:rsidR="00676CF0" w:rsidRPr="00EC051A" w:rsidRDefault="00676CF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19FD5062" w14:textId="15524108" w:rsidR="00676CF0" w:rsidRPr="00EC051A" w:rsidRDefault="00676CF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26018BCE" w14:textId="76AFEED4" w:rsidR="00676CF0" w:rsidRPr="00EC051A" w:rsidRDefault="00676CF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407219" w:rsidRPr="00EC051A" w14:paraId="286E0E3D"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259E2B7F" w14:textId="77777777" w:rsidR="00407219" w:rsidRPr="00EC051A" w:rsidRDefault="00407219"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Nonbinary</w:t>
            </w:r>
          </w:p>
        </w:tc>
        <w:tc>
          <w:tcPr>
            <w:tcW w:w="593" w:type="dxa"/>
            <w:tcBorders>
              <w:top w:val="nil"/>
              <w:left w:val="single" w:sz="18" w:space="0" w:color="auto"/>
              <w:bottom w:val="nil"/>
              <w:right w:val="nil"/>
            </w:tcBorders>
            <w:noWrap/>
            <w:vAlign w:val="center"/>
            <w:hideMark/>
          </w:tcPr>
          <w:p w14:paraId="3FF77DE7" w14:textId="77777777" w:rsidR="00407219" w:rsidRPr="00EC051A" w:rsidRDefault="0040721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14A5EDCC" w14:textId="77777777" w:rsidR="00407219" w:rsidRPr="00EC051A" w:rsidRDefault="00407219" w:rsidP="00EC051A">
            <w:pPr>
              <w:jc w:val="right"/>
              <w:rPr>
                <w:rFonts w:eastAsia="Times New Roman"/>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bottom"/>
            <w:hideMark/>
          </w:tcPr>
          <w:p w14:paraId="3CA06DA5" w14:textId="341E6487" w:rsidR="00407219" w:rsidRPr="00EC051A" w:rsidRDefault="00407219" w:rsidP="00EC051A">
            <w:pPr>
              <w:jc w:val="right"/>
              <w:rPr>
                <w:rFonts w:eastAsia="Times New Roman"/>
                <w:color w:val="000000"/>
                <w:kern w:val="0"/>
                <w:sz w:val="20"/>
                <w:szCs w:val="20"/>
                <w14:ligatures w14:val="none"/>
              </w:rPr>
            </w:pPr>
            <w:r w:rsidRPr="00EC051A">
              <w:rPr>
                <w:color w:val="000000"/>
                <w:sz w:val="20"/>
                <w:szCs w:val="20"/>
              </w:rPr>
              <w:t>-0.22</w:t>
            </w:r>
          </w:p>
        </w:tc>
        <w:tc>
          <w:tcPr>
            <w:tcW w:w="541" w:type="dxa"/>
            <w:tcBorders>
              <w:top w:val="nil"/>
              <w:left w:val="nil"/>
              <w:bottom w:val="nil"/>
              <w:right w:val="single" w:sz="4" w:space="0" w:color="auto"/>
            </w:tcBorders>
            <w:noWrap/>
            <w:vAlign w:val="bottom"/>
            <w:hideMark/>
          </w:tcPr>
          <w:p w14:paraId="719B382B" w14:textId="572BF427" w:rsidR="00407219" w:rsidRPr="00EC051A" w:rsidRDefault="00407219" w:rsidP="00EC051A">
            <w:pPr>
              <w:jc w:val="right"/>
              <w:rPr>
                <w:rFonts w:eastAsia="Times New Roman"/>
                <w:color w:val="000000"/>
                <w:kern w:val="0"/>
                <w:sz w:val="20"/>
                <w:szCs w:val="20"/>
                <w14:ligatures w14:val="none"/>
              </w:rPr>
            </w:pPr>
            <w:r w:rsidRPr="00EC051A">
              <w:rPr>
                <w:color w:val="000000"/>
                <w:sz w:val="20"/>
                <w:szCs w:val="20"/>
              </w:rPr>
              <w:t>-1.34</w:t>
            </w:r>
          </w:p>
        </w:tc>
        <w:tc>
          <w:tcPr>
            <w:tcW w:w="593" w:type="dxa"/>
            <w:tcBorders>
              <w:top w:val="nil"/>
              <w:left w:val="nil"/>
              <w:bottom w:val="nil"/>
              <w:right w:val="nil"/>
            </w:tcBorders>
            <w:noWrap/>
            <w:vAlign w:val="center"/>
            <w:hideMark/>
          </w:tcPr>
          <w:p w14:paraId="6AC6B2AB" w14:textId="2FC28AC8" w:rsidR="00407219" w:rsidRPr="00EC051A" w:rsidRDefault="0040721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63C13D6F" w14:textId="69FC037F" w:rsidR="00407219" w:rsidRPr="00EC051A" w:rsidRDefault="0040721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075EBA26" w14:textId="45463B77" w:rsidR="00407219" w:rsidRPr="00EC051A" w:rsidRDefault="0040721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5817E9B8" w14:textId="479476AF" w:rsidR="00407219" w:rsidRPr="00EC051A" w:rsidRDefault="0040721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5B0799" w:rsidRPr="00EC051A" w14:paraId="7A3FAA54"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2124FE32"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Age (18-24)</w:t>
            </w:r>
          </w:p>
        </w:tc>
        <w:tc>
          <w:tcPr>
            <w:tcW w:w="593" w:type="dxa"/>
            <w:tcBorders>
              <w:top w:val="nil"/>
              <w:left w:val="single" w:sz="18" w:space="0" w:color="auto"/>
              <w:bottom w:val="nil"/>
              <w:right w:val="nil"/>
            </w:tcBorders>
            <w:noWrap/>
            <w:vAlign w:val="center"/>
            <w:hideMark/>
          </w:tcPr>
          <w:p w14:paraId="23389B4F"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4DAAE2B1"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2FC77499"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11D0D253"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13216B3C"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041B8F4D" w14:textId="375E7129"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305540C9"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51A32141" w14:textId="1C793092"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DD6150" w:rsidRPr="00EC051A" w14:paraId="2EA8CE8B"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7776520C" w14:textId="77777777" w:rsidR="00DD6150" w:rsidRPr="00EC051A" w:rsidRDefault="00DD615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25-44</w:t>
            </w:r>
          </w:p>
        </w:tc>
        <w:tc>
          <w:tcPr>
            <w:tcW w:w="593" w:type="dxa"/>
            <w:tcBorders>
              <w:top w:val="nil"/>
              <w:left w:val="single" w:sz="18" w:space="0" w:color="auto"/>
              <w:bottom w:val="nil"/>
              <w:right w:val="nil"/>
            </w:tcBorders>
            <w:noWrap/>
            <w:vAlign w:val="bottom"/>
            <w:hideMark/>
          </w:tcPr>
          <w:p w14:paraId="1136882E" w14:textId="7457CD30"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0.23</w:t>
            </w:r>
          </w:p>
        </w:tc>
        <w:tc>
          <w:tcPr>
            <w:tcW w:w="669" w:type="dxa"/>
            <w:tcBorders>
              <w:top w:val="nil"/>
              <w:left w:val="nil"/>
              <w:bottom w:val="nil"/>
              <w:right w:val="single" w:sz="4" w:space="0" w:color="auto"/>
            </w:tcBorders>
            <w:noWrap/>
            <w:vAlign w:val="bottom"/>
            <w:hideMark/>
          </w:tcPr>
          <w:p w14:paraId="7412FCE3" w14:textId="0C1EC8F4"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1.95</w:t>
            </w:r>
          </w:p>
        </w:tc>
        <w:tc>
          <w:tcPr>
            <w:tcW w:w="630" w:type="dxa"/>
            <w:tcBorders>
              <w:top w:val="nil"/>
              <w:left w:val="nil"/>
              <w:bottom w:val="nil"/>
              <w:right w:val="nil"/>
            </w:tcBorders>
            <w:noWrap/>
            <w:vAlign w:val="bottom"/>
            <w:hideMark/>
          </w:tcPr>
          <w:p w14:paraId="177C88CD" w14:textId="4A78F175"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-0.17</w:t>
            </w:r>
          </w:p>
        </w:tc>
        <w:tc>
          <w:tcPr>
            <w:tcW w:w="541" w:type="dxa"/>
            <w:tcBorders>
              <w:top w:val="nil"/>
              <w:left w:val="nil"/>
              <w:bottom w:val="nil"/>
              <w:right w:val="single" w:sz="4" w:space="0" w:color="auto"/>
            </w:tcBorders>
            <w:noWrap/>
            <w:vAlign w:val="bottom"/>
            <w:hideMark/>
          </w:tcPr>
          <w:p w14:paraId="1F98EF86" w14:textId="0B5DBFF4"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-1.30</w:t>
            </w:r>
          </w:p>
        </w:tc>
        <w:tc>
          <w:tcPr>
            <w:tcW w:w="593" w:type="dxa"/>
            <w:tcBorders>
              <w:top w:val="nil"/>
              <w:left w:val="nil"/>
              <w:bottom w:val="nil"/>
              <w:right w:val="nil"/>
            </w:tcBorders>
            <w:noWrap/>
            <w:vAlign w:val="bottom"/>
            <w:hideMark/>
          </w:tcPr>
          <w:p w14:paraId="4929B35B" w14:textId="1315043D"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-0.23</w:t>
            </w:r>
          </w:p>
        </w:tc>
        <w:tc>
          <w:tcPr>
            <w:tcW w:w="541" w:type="dxa"/>
            <w:tcBorders>
              <w:top w:val="nil"/>
              <w:left w:val="nil"/>
              <w:bottom w:val="nil"/>
              <w:right w:val="single" w:sz="4" w:space="0" w:color="auto"/>
            </w:tcBorders>
            <w:noWrap/>
            <w:vAlign w:val="bottom"/>
            <w:hideMark/>
          </w:tcPr>
          <w:p w14:paraId="5FD2956E" w14:textId="2AE5A43A"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-1.52</w:t>
            </w:r>
          </w:p>
        </w:tc>
        <w:tc>
          <w:tcPr>
            <w:tcW w:w="593" w:type="dxa"/>
            <w:tcBorders>
              <w:top w:val="nil"/>
              <w:left w:val="nil"/>
              <w:bottom w:val="nil"/>
              <w:right w:val="nil"/>
            </w:tcBorders>
            <w:noWrap/>
            <w:vAlign w:val="bottom"/>
            <w:hideMark/>
          </w:tcPr>
          <w:p w14:paraId="2CBB81F7" w14:textId="0669C2A4"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0.26</w:t>
            </w:r>
          </w:p>
        </w:tc>
        <w:tc>
          <w:tcPr>
            <w:tcW w:w="541" w:type="dxa"/>
            <w:tcBorders>
              <w:top w:val="nil"/>
              <w:left w:val="nil"/>
              <w:bottom w:val="nil"/>
              <w:right w:val="single" w:sz="18" w:space="0" w:color="auto"/>
            </w:tcBorders>
            <w:noWrap/>
            <w:vAlign w:val="bottom"/>
            <w:hideMark/>
          </w:tcPr>
          <w:p w14:paraId="3075B4E0" w14:textId="5AFCAC8B"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1.91</w:t>
            </w:r>
          </w:p>
        </w:tc>
      </w:tr>
      <w:tr w:rsidR="00DD6150" w:rsidRPr="00EC051A" w14:paraId="356B5C57"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1D0863D2" w14:textId="77777777" w:rsidR="00DD6150" w:rsidRPr="00EC051A" w:rsidRDefault="00DD615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45-54</w:t>
            </w:r>
          </w:p>
        </w:tc>
        <w:tc>
          <w:tcPr>
            <w:tcW w:w="593" w:type="dxa"/>
            <w:tcBorders>
              <w:top w:val="nil"/>
              <w:left w:val="single" w:sz="18" w:space="0" w:color="auto"/>
              <w:bottom w:val="nil"/>
              <w:right w:val="nil"/>
            </w:tcBorders>
            <w:noWrap/>
            <w:vAlign w:val="bottom"/>
            <w:hideMark/>
          </w:tcPr>
          <w:p w14:paraId="65EA210A" w14:textId="4274A5FA"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0.47</w:t>
            </w:r>
          </w:p>
        </w:tc>
        <w:tc>
          <w:tcPr>
            <w:tcW w:w="669" w:type="dxa"/>
            <w:tcBorders>
              <w:top w:val="nil"/>
              <w:left w:val="nil"/>
              <w:bottom w:val="nil"/>
              <w:right w:val="single" w:sz="4" w:space="0" w:color="auto"/>
            </w:tcBorders>
            <w:noWrap/>
            <w:vAlign w:val="bottom"/>
            <w:hideMark/>
          </w:tcPr>
          <w:p w14:paraId="62026DD9" w14:textId="57E24287"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3.06</w:t>
            </w:r>
          </w:p>
        </w:tc>
        <w:tc>
          <w:tcPr>
            <w:tcW w:w="630" w:type="dxa"/>
            <w:tcBorders>
              <w:top w:val="nil"/>
              <w:left w:val="nil"/>
              <w:bottom w:val="nil"/>
              <w:right w:val="nil"/>
            </w:tcBorders>
            <w:noWrap/>
            <w:vAlign w:val="bottom"/>
            <w:hideMark/>
          </w:tcPr>
          <w:p w14:paraId="123D0948" w14:textId="6E87C8C2" w:rsidR="00DD6150" w:rsidRPr="008455D1" w:rsidRDefault="00DD6150" w:rsidP="00EC051A">
            <w:pPr>
              <w:jc w:val="right"/>
              <w:rPr>
                <w:rFonts w:eastAsia="Times New Roman"/>
                <w:color w:val="000000"/>
                <w:kern w:val="0"/>
                <w:sz w:val="20"/>
                <w:szCs w:val="20"/>
                <w14:ligatures w14:val="none"/>
              </w:rPr>
            </w:pPr>
            <w:r w:rsidRPr="008455D1">
              <w:rPr>
                <w:color w:val="000000"/>
                <w:sz w:val="20"/>
                <w:szCs w:val="20"/>
              </w:rPr>
              <w:t>-0.38</w:t>
            </w:r>
          </w:p>
        </w:tc>
        <w:tc>
          <w:tcPr>
            <w:tcW w:w="541" w:type="dxa"/>
            <w:tcBorders>
              <w:top w:val="nil"/>
              <w:left w:val="nil"/>
              <w:bottom w:val="nil"/>
              <w:right w:val="single" w:sz="4" w:space="0" w:color="auto"/>
            </w:tcBorders>
            <w:noWrap/>
            <w:vAlign w:val="bottom"/>
            <w:hideMark/>
          </w:tcPr>
          <w:p w14:paraId="4A99D4C4" w14:textId="770EFA93"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-2.01</w:t>
            </w:r>
          </w:p>
        </w:tc>
        <w:tc>
          <w:tcPr>
            <w:tcW w:w="593" w:type="dxa"/>
            <w:tcBorders>
              <w:top w:val="nil"/>
              <w:left w:val="nil"/>
              <w:bottom w:val="nil"/>
              <w:right w:val="nil"/>
            </w:tcBorders>
            <w:noWrap/>
            <w:vAlign w:val="bottom"/>
            <w:hideMark/>
          </w:tcPr>
          <w:p w14:paraId="0A84333B" w14:textId="3493B3D9"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-0.42</w:t>
            </w:r>
          </w:p>
        </w:tc>
        <w:tc>
          <w:tcPr>
            <w:tcW w:w="541" w:type="dxa"/>
            <w:tcBorders>
              <w:top w:val="nil"/>
              <w:left w:val="nil"/>
              <w:bottom w:val="nil"/>
              <w:right w:val="single" w:sz="4" w:space="0" w:color="auto"/>
            </w:tcBorders>
            <w:noWrap/>
            <w:vAlign w:val="bottom"/>
            <w:hideMark/>
          </w:tcPr>
          <w:p w14:paraId="0CAE119D" w14:textId="1774E07F"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-1.86</w:t>
            </w:r>
          </w:p>
        </w:tc>
        <w:tc>
          <w:tcPr>
            <w:tcW w:w="593" w:type="dxa"/>
            <w:tcBorders>
              <w:top w:val="nil"/>
              <w:left w:val="nil"/>
              <w:bottom w:val="nil"/>
              <w:right w:val="nil"/>
            </w:tcBorders>
            <w:noWrap/>
            <w:vAlign w:val="bottom"/>
            <w:hideMark/>
          </w:tcPr>
          <w:p w14:paraId="0CE669D6" w14:textId="4552595F"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0.36</w:t>
            </w:r>
          </w:p>
        </w:tc>
        <w:tc>
          <w:tcPr>
            <w:tcW w:w="541" w:type="dxa"/>
            <w:tcBorders>
              <w:top w:val="nil"/>
              <w:left w:val="nil"/>
              <w:bottom w:val="nil"/>
              <w:right w:val="single" w:sz="18" w:space="0" w:color="auto"/>
            </w:tcBorders>
            <w:noWrap/>
            <w:vAlign w:val="bottom"/>
            <w:hideMark/>
          </w:tcPr>
          <w:p w14:paraId="7E76FA40" w14:textId="19BD4B6E"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1.73</w:t>
            </w:r>
          </w:p>
        </w:tc>
      </w:tr>
      <w:tr w:rsidR="00B14B4F" w:rsidRPr="00EC051A" w14:paraId="0DB5E8EE"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72C24F71" w14:textId="77777777" w:rsidR="00B14B4F" w:rsidRPr="00EC051A" w:rsidRDefault="00B14B4F"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55+</w:t>
            </w:r>
          </w:p>
        </w:tc>
        <w:tc>
          <w:tcPr>
            <w:tcW w:w="593" w:type="dxa"/>
            <w:tcBorders>
              <w:top w:val="nil"/>
              <w:left w:val="single" w:sz="18" w:space="0" w:color="auto"/>
              <w:bottom w:val="nil"/>
              <w:right w:val="nil"/>
            </w:tcBorders>
            <w:noWrap/>
            <w:vAlign w:val="center"/>
            <w:hideMark/>
          </w:tcPr>
          <w:p w14:paraId="236E9A17" w14:textId="77777777" w:rsidR="00B14B4F" w:rsidRPr="00EC051A" w:rsidRDefault="00B14B4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651A1788" w14:textId="77777777" w:rsidR="00B14B4F" w:rsidRPr="00EC051A" w:rsidRDefault="00B14B4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tcPr>
          <w:p w14:paraId="35059892" w14:textId="6551EDAF" w:rsidR="00B14B4F" w:rsidRPr="008455D1" w:rsidRDefault="00B14B4F" w:rsidP="00EC051A">
            <w:pPr>
              <w:jc w:val="right"/>
              <w:rPr>
                <w:rFonts w:eastAsia="Times New Roman"/>
                <w:color w:val="000000"/>
                <w:kern w:val="0"/>
                <w:sz w:val="20"/>
                <w:szCs w:val="20"/>
                <w14:ligatures w14:val="none"/>
              </w:rPr>
            </w:pPr>
            <w:r w:rsidRPr="008455D1">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tcPr>
          <w:p w14:paraId="32BADC8D" w14:textId="5F3862C5" w:rsidR="00B14B4F" w:rsidRPr="00EC051A" w:rsidRDefault="00B14B4F" w:rsidP="00EC051A">
            <w:pPr>
              <w:jc w:val="right"/>
              <w:rPr>
                <w:rFonts w:eastAsia="Times New Roman"/>
                <w:color w:val="000000"/>
                <w:kern w:val="0"/>
                <w:sz w:val="20"/>
                <w:szCs w:val="20"/>
                <w14:ligatures w14:val="none"/>
              </w:rPr>
            </w:pPr>
          </w:p>
        </w:tc>
        <w:tc>
          <w:tcPr>
            <w:tcW w:w="593" w:type="dxa"/>
            <w:tcBorders>
              <w:top w:val="nil"/>
              <w:left w:val="nil"/>
              <w:bottom w:val="nil"/>
              <w:right w:val="nil"/>
            </w:tcBorders>
            <w:noWrap/>
            <w:vAlign w:val="bottom"/>
            <w:hideMark/>
          </w:tcPr>
          <w:p w14:paraId="45ABD9F3" w14:textId="7E5D958B" w:rsidR="00B14B4F" w:rsidRPr="00EC051A" w:rsidRDefault="00B14B4F" w:rsidP="00EC051A">
            <w:pPr>
              <w:jc w:val="right"/>
              <w:rPr>
                <w:rFonts w:eastAsia="Times New Roman"/>
                <w:color w:val="000000"/>
                <w:kern w:val="0"/>
                <w:sz w:val="20"/>
                <w:szCs w:val="20"/>
                <w14:ligatures w14:val="none"/>
              </w:rPr>
            </w:pPr>
            <w:r w:rsidRPr="00EC051A">
              <w:rPr>
                <w:color w:val="000000"/>
                <w:sz w:val="20"/>
                <w:szCs w:val="20"/>
              </w:rPr>
              <w:t>-0.17</w:t>
            </w:r>
          </w:p>
        </w:tc>
        <w:tc>
          <w:tcPr>
            <w:tcW w:w="541" w:type="dxa"/>
            <w:tcBorders>
              <w:top w:val="nil"/>
              <w:left w:val="nil"/>
              <w:bottom w:val="nil"/>
              <w:right w:val="single" w:sz="4" w:space="0" w:color="auto"/>
            </w:tcBorders>
            <w:noWrap/>
            <w:vAlign w:val="bottom"/>
            <w:hideMark/>
          </w:tcPr>
          <w:p w14:paraId="6CD5191D" w14:textId="726DC7EA" w:rsidR="00B14B4F" w:rsidRPr="00EC051A" w:rsidRDefault="00B14B4F" w:rsidP="00EC051A">
            <w:pPr>
              <w:jc w:val="right"/>
              <w:rPr>
                <w:rFonts w:eastAsia="Times New Roman"/>
                <w:color w:val="000000"/>
                <w:kern w:val="0"/>
                <w:sz w:val="20"/>
                <w:szCs w:val="20"/>
                <w14:ligatures w14:val="none"/>
              </w:rPr>
            </w:pPr>
            <w:r w:rsidRPr="00EC051A">
              <w:rPr>
                <w:color w:val="000000"/>
                <w:sz w:val="20"/>
                <w:szCs w:val="20"/>
              </w:rPr>
              <w:t>-1.56</w:t>
            </w:r>
          </w:p>
        </w:tc>
        <w:tc>
          <w:tcPr>
            <w:tcW w:w="593" w:type="dxa"/>
            <w:tcBorders>
              <w:top w:val="nil"/>
              <w:left w:val="nil"/>
              <w:bottom w:val="nil"/>
              <w:right w:val="nil"/>
            </w:tcBorders>
            <w:noWrap/>
            <w:vAlign w:val="center"/>
            <w:hideMark/>
          </w:tcPr>
          <w:p w14:paraId="46316592" w14:textId="24EE2DAB" w:rsidR="00B14B4F" w:rsidRPr="00EC051A" w:rsidRDefault="00B14B4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70126B93" w14:textId="15736608" w:rsidR="00B14B4F" w:rsidRPr="00EC051A" w:rsidRDefault="00B14B4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5B0799" w:rsidRPr="00EC051A" w14:paraId="6CBC38EB"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16B5B620"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Education (bachelor’s or less)</w:t>
            </w:r>
          </w:p>
        </w:tc>
        <w:tc>
          <w:tcPr>
            <w:tcW w:w="593" w:type="dxa"/>
            <w:tcBorders>
              <w:top w:val="nil"/>
              <w:left w:val="single" w:sz="18" w:space="0" w:color="auto"/>
              <w:bottom w:val="nil"/>
              <w:right w:val="nil"/>
            </w:tcBorders>
            <w:noWrap/>
            <w:vAlign w:val="center"/>
            <w:hideMark/>
          </w:tcPr>
          <w:p w14:paraId="54189DED"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4F6F5EB2"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7E90A515" w14:textId="77777777" w:rsidR="005B0799" w:rsidRPr="008455D1"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0E1A0F57"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18CB4810"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49983DEB" w14:textId="65D89BDB"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708C2B5F"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4C68D4E5" w14:textId="2349445F"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546BAC" w:rsidRPr="00EC051A" w14:paraId="226ADD87"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0BE08683" w14:textId="77777777" w:rsidR="00546BAC" w:rsidRPr="00EC051A" w:rsidRDefault="00546BAC"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Graduate degree</w:t>
            </w:r>
          </w:p>
        </w:tc>
        <w:tc>
          <w:tcPr>
            <w:tcW w:w="593" w:type="dxa"/>
            <w:tcBorders>
              <w:top w:val="nil"/>
              <w:left w:val="single" w:sz="18" w:space="0" w:color="auto"/>
              <w:bottom w:val="nil"/>
              <w:right w:val="nil"/>
            </w:tcBorders>
            <w:noWrap/>
            <w:vAlign w:val="center"/>
            <w:hideMark/>
          </w:tcPr>
          <w:p w14:paraId="3F94FBDF" w14:textId="77777777" w:rsidR="00546BAC" w:rsidRPr="00EC051A" w:rsidRDefault="00546BAC"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518F8143" w14:textId="77777777" w:rsidR="00546BAC" w:rsidRPr="00EC051A" w:rsidRDefault="00546BAC"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095ECCB9" w14:textId="64BB39CE" w:rsidR="00546BAC" w:rsidRPr="008455D1" w:rsidRDefault="00546BAC" w:rsidP="00EC051A">
            <w:pPr>
              <w:jc w:val="right"/>
              <w:rPr>
                <w:rFonts w:eastAsia="Times New Roman"/>
                <w:color w:val="000000"/>
                <w:kern w:val="0"/>
                <w:sz w:val="20"/>
                <w:szCs w:val="20"/>
                <w14:ligatures w14:val="none"/>
              </w:rPr>
            </w:pPr>
            <w:r w:rsidRPr="008455D1">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14E07F78" w14:textId="5E9D21C8" w:rsidR="00546BAC" w:rsidRPr="00EC051A" w:rsidRDefault="00546BAC" w:rsidP="00EC051A">
            <w:pPr>
              <w:jc w:val="right"/>
              <w:rPr>
                <w:rFonts w:eastAsia="Times New Roman"/>
                <w:color w:val="000000"/>
                <w:kern w:val="0"/>
                <w:sz w:val="20"/>
                <w:szCs w:val="20"/>
                <w:highlight w:val="yellow"/>
                <w14:ligatures w14:val="none"/>
              </w:rPr>
            </w:pPr>
          </w:p>
        </w:tc>
        <w:tc>
          <w:tcPr>
            <w:tcW w:w="593" w:type="dxa"/>
            <w:tcBorders>
              <w:top w:val="nil"/>
              <w:left w:val="nil"/>
              <w:bottom w:val="nil"/>
              <w:right w:val="nil"/>
            </w:tcBorders>
            <w:noWrap/>
            <w:vAlign w:val="bottom"/>
            <w:hideMark/>
          </w:tcPr>
          <w:p w14:paraId="0386E328" w14:textId="18E1D498" w:rsidR="00546BAC" w:rsidRPr="00EC051A" w:rsidRDefault="00546BAC" w:rsidP="00EC051A">
            <w:pPr>
              <w:jc w:val="right"/>
              <w:rPr>
                <w:rFonts w:eastAsia="Times New Roman"/>
                <w:color w:val="000000"/>
                <w:kern w:val="0"/>
                <w:sz w:val="20"/>
                <w:szCs w:val="20"/>
                <w14:ligatures w14:val="none"/>
              </w:rPr>
            </w:pPr>
            <w:r w:rsidRPr="00EC051A">
              <w:rPr>
                <w:color w:val="000000"/>
                <w:sz w:val="20"/>
                <w:szCs w:val="20"/>
              </w:rPr>
              <w:t>0.20</w:t>
            </w:r>
          </w:p>
        </w:tc>
        <w:tc>
          <w:tcPr>
            <w:tcW w:w="541" w:type="dxa"/>
            <w:tcBorders>
              <w:top w:val="nil"/>
              <w:left w:val="nil"/>
              <w:bottom w:val="nil"/>
              <w:right w:val="single" w:sz="4" w:space="0" w:color="auto"/>
            </w:tcBorders>
            <w:noWrap/>
            <w:vAlign w:val="bottom"/>
            <w:hideMark/>
          </w:tcPr>
          <w:p w14:paraId="68C530B9" w14:textId="2AE5F9BC" w:rsidR="00546BAC" w:rsidRPr="00EC051A" w:rsidRDefault="00546BAC" w:rsidP="00EC051A">
            <w:pPr>
              <w:jc w:val="right"/>
              <w:rPr>
                <w:rFonts w:eastAsia="Times New Roman"/>
                <w:color w:val="000000"/>
                <w:kern w:val="0"/>
                <w:sz w:val="20"/>
                <w:szCs w:val="20"/>
                <w14:ligatures w14:val="none"/>
              </w:rPr>
            </w:pPr>
            <w:r w:rsidRPr="00EC051A">
              <w:rPr>
                <w:color w:val="000000"/>
                <w:sz w:val="20"/>
                <w:szCs w:val="20"/>
              </w:rPr>
              <w:t>1.85</w:t>
            </w:r>
          </w:p>
        </w:tc>
        <w:tc>
          <w:tcPr>
            <w:tcW w:w="593" w:type="dxa"/>
            <w:tcBorders>
              <w:top w:val="nil"/>
              <w:left w:val="nil"/>
              <w:bottom w:val="nil"/>
              <w:right w:val="nil"/>
            </w:tcBorders>
            <w:noWrap/>
            <w:vAlign w:val="bottom"/>
            <w:hideMark/>
          </w:tcPr>
          <w:p w14:paraId="6FEB1613" w14:textId="6014D122" w:rsidR="00546BAC" w:rsidRPr="00EC051A" w:rsidRDefault="00546BAC" w:rsidP="00EC051A">
            <w:pPr>
              <w:jc w:val="right"/>
              <w:rPr>
                <w:rFonts w:eastAsia="Times New Roman"/>
                <w:color w:val="000000"/>
                <w:kern w:val="0"/>
                <w:sz w:val="20"/>
                <w:szCs w:val="20"/>
                <w14:ligatures w14:val="none"/>
              </w:rPr>
            </w:pPr>
            <w:r w:rsidRPr="00EC051A">
              <w:rPr>
                <w:color w:val="000000"/>
                <w:sz w:val="20"/>
                <w:szCs w:val="20"/>
              </w:rPr>
              <w:t>-0.31</w:t>
            </w:r>
          </w:p>
        </w:tc>
        <w:tc>
          <w:tcPr>
            <w:tcW w:w="541" w:type="dxa"/>
            <w:tcBorders>
              <w:top w:val="nil"/>
              <w:left w:val="nil"/>
              <w:bottom w:val="nil"/>
              <w:right w:val="single" w:sz="18" w:space="0" w:color="auto"/>
            </w:tcBorders>
            <w:noWrap/>
            <w:vAlign w:val="bottom"/>
            <w:hideMark/>
          </w:tcPr>
          <w:p w14:paraId="28BAD42F" w14:textId="58DF4453" w:rsidR="00546BAC" w:rsidRPr="00EC051A" w:rsidRDefault="00546BAC" w:rsidP="00EC051A">
            <w:pPr>
              <w:jc w:val="right"/>
              <w:rPr>
                <w:rFonts w:eastAsia="Times New Roman"/>
                <w:color w:val="000000"/>
                <w:kern w:val="0"/>
                <w:sz w:val="20"/>
                <w:szCs w:val="20"/>
                <w14:ligatures w14:val="none"/>
              </w:rPr>
            </w:pPr>
            <w:r w:rsidRPr="00EC051A">
              <w:rPr>
                <w:color w:val="000000"/>
                <w:sz w:val="20"/>
                <w:szCs w:val="20"/>
              </w:rPr>
              <w:t>-2.87</w:t>
            </w:r>
          </w:p>
        </w:tc>
      </w:tr>
      <w:tr w:rsidR="005B0799" w:rsidRPr="00EC051A" w14:paraId="0B15C4CE"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78C13E56"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Race (white)</w:t>
            </w:r>
          </w:p>
        </w:tc>
        <w:tc>
          <w:tcPr>
            <w:tcW w:w="593" w:type="dxa"/>
            <w:tcBorders>
              <w:top w:val="nil"/>
              <w:left w:val="single" w:sz="18" w:space="0" w:color="auto"/>
              <w:bottom w:val="nil"/>
              <w:right w:val="nil"/>
            </w:tcBorders>
            <w:noWrap/>
            <w:vAlign w:val="center"/>
            <w:hideMark/>
          </w:tcPr>
          <w:p w14:paraId="28814F39"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03C8F96E"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50159B85" w14:textId="77777777" w:rsidR="005B0799" w:rsidRPr="008455D1"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67FC1DBF"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4E0E1FD2"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0EE7A9A9" w14:textId="03AA417E"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68648139"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72BE56D3" w14:textId="7ACA05D6"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1B3186" w:rsidRPr="00EC051A" w14:paraId="503D5393"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5D2BD8E4" w14:textId="77777777" w:rsidR="001B3186" w:rsidRPr="00EC051A" w:rsidRDefault="001B3186"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Non-white</w:t>
            </w:r>
          </w:p>
        </w:tc>
        <w:tc>
          <w:tcPr>
            <w:tcW w:w="593" w:type="dxa"/>
            <w:tcBorders>
              <w:top w:val="nil"/>
              <w:left w:val="single" w:sz="18" w:space="0" w:color="auto"/>
              <w:bottom w:val="nil"/>
              <w:right w:val="nil"/>
            </w:tcBorders>
            <w:noWrap/>
            <w:vAlign w:val="center"/>
            <w:hideMark/>
          </w:tcPr>
          <w:p w14:paraId="762C9CA9" w14:textId="77777777" w:rsidR="001B3186" w:rsidRPr="00EC051A" w:rsidRDefault="001B3186"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2882E693" w14:textId="77777777" w:rsidR="001B3186" w:rsidRPr="00EC051A" w:rsidRDefault="001B3186"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40D44D86" w14:textId="77777777" w:rsidR="001B3186" w:rsidRPr="00EC051A" w:rsidRDefault="001B3186"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2BAEE965" w14:textId="77777777" w:rsidR="001B3186" w:rsidRPr="00EC051A" w:rsidRDefault="001B3186"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703C87C1" w14:textId="36BF39C7" w:rsidR="001B3186" w:rsidRPr="00EC051A" w:rsidRDefault="001B3186"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5D30DC91" w14:textId="7D7E9C1A" w:rsidR="001B3186" w:rsidRPr="00EC051A" w:rsidRDefault="001B3186"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368A7E6B" w14:textId="2ED668DE" w:rsidR="001B3186" w:rsidRPr="00EC051A" w:rsidRDefault="001B3186" w:rsidP="00EC051A">
            <w:pPr>
              <w:jc w:val="right"/>
              <w:rPr>
                <w:rFonts w:eastAsia="Times New Roman"/>
                <w:color w:val="000000"/>
                <w:kern w:val="0"/>
                <w:sz w:val="20"/>
                <w:szCs w:val="20"/>
                <w14:ligatures w14:val="none"/>
              </w:rPr>
            </w:pPr>
            <w:r w:rsidRPr="00EC051A">
              <w:rPr>
                <w:color w:val="000000"/>
                <w:sz w:val="20"/>
                <w:szCs w:val="20"/>
              </w:rPr>
              <w:t>-0.12</w:t>
            </w:r>
          </w:p>
        </w:tc>
        <w:tc>
          <w:tcPr>
            <w:tcW w:w="541" w:type="dxa"/>
            <w:tcBorders>
              <w:top w:val="nil"/>
              <w:left w:val="nil"/>
              <w:bottom w:val="nil"/>
              <w:right w:val="single" w:sz="18" w:space="0" w:color="auto"/>
            </w:tcBorders>
            <w:noWrap/>
            <w:vAlign w:val="bottom"/>
            <w:hideMark/>
          </w:tcPr>
          <w:p w14:paraId="7A209D3E" w14:textId="78B6E625" w:rsidR="001B3186" w:rsidRPr="00EC051A" w:rsidRDefault="001B3186" w:rsidP="00EC051A">
            <w:pPr>
              <w:jc w:val="right"/>
              <w:rPr>
                <w:rFonts w:eastAsia="Times New Roman"/>
                <w:color w:val="000000"/>
                <w:kern w:val="0"/>
                <w:sz w:val="20"/>
                <w:szCs w:val="20"/>
                <w14:ligatures w14:val="none"/>
              </w:rPr>
            </w:pPr>
            <w:r w:rsidRPr="00EC051A">
              <w:rPr>
                <w:color w:val="000000"/>
                <w:sz w:val="20"/>
                <w:szCs w:val="20"/>
              </w:rPr>
              <w:t>-1.37</w:t>
            </w:r>
          </w:p>
        </w:tc>
      </w:tr>
      <w:tr w:rsidR="005B0799" w:rsidRPr="00EC051A" w14:paraId="0EF5D068"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5BBC1893"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Ethnicity (not Hispanic)</w:t>
            </w:r>
          </w:p>
        </w:tc>
        <w:tc>
          <w:tcPr>
            <w:tcW w:w="593" w:type="dxa"/>
            <w:tcBorders>
              <w:top w:val="nil"/>
              <w:left w:val="single" w:sz="18" w:space="0" w:color="auto"/>
              <w:bottom w:val="nil"/>
              <w:right w:val="nil"/>
            </w:tcBorders>
            <w:noWrap/>
            <w:vAlign w:val="center"/>
            <w:hideMark/>
          </w:tcPr>
          <w:p w14:paraId="5A07A800"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72C4F7B7"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09602105"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47DF61E8"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5FBBD7BF"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4450ABC1" w14:textId="54F8A05D"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65D9DE22"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722BA214" w14:textId="54E3FBBB"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DD6150" w:rsidRPr="00EC051A" w14:paraId="0498EC58"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0748D211" w14:textId="77777777" w:rsidR="00DD6150" w:rsidRPr="00EC051A" w:rsidRDefault="00DD615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Hispanic</w:t>
            </w:r>
          </w:p>
        </w:tc>
        <w:tc>
          <w:tcPr>
            <w:tcW w:w="593" w:type="dxa"/>
            <w:tcBorders>
              <w:top w:val="nil"/>
              <w:left w:val="single" w:sz="18" w:space="0" w:color="auto"/>
              <w:bottom w:val="nil"/>
              <w:right w:val="nil"/>
            </w:tcBorders>
            <w:noWrap/>
            <w:vAlign w:val="bottom"/>
            <w:hideMark/>
          </w:tcPr>
          <w:p w14:paraId="0FAF9711" w14:textId="5D3C6A80"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-0.25</w:t>
            </w:r>
          </w:p>
        </w:tc>
        <w:tc>
          <w:tcPr>
            <w:tcW w:w="669" w:type="dxa"/>
            <w:tcBorders>
              <w:top w:val="nil"/>
              <w:left w:val="nil"/>
              <w:bottom w:val="nil"/>
              <w:right w:val="single" w:sz="4" w:space="0" w:color="auto"/>
            </w:tcBorders>
            <w:noWrap/>
            <w:vAlign w:val="bottom"/>
            <w:hideMark/>
          </w:tcPr>
          <w:p w14:paraId="5E432630" w14:textId="1F6C7170"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-1.79</w:t>
            </w:r>
          </w:p>
        </w:tc>
        <w:tc>
          <w:tcPr>
            <w:tcW w:w="630" w:type="dxa"/>
            <w:tcBorders>
              <w:top w:val="nil"/>
              <w:left w:val="nil"/>
              <w:bottom w:val="nil"/>
              <w:right w:val="nil"/>
            </w:tcBorders>
            <w:noWrap/>
            <w:vAlign w:val="center"/>
            <w:hideMark/>
          </w:tcPr>
          <w:p w14:paraId="511CF66C" w14:textId="77777777"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5F267828" w14:textId="77777777"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61DC7816" w14:textId="67B3CBEE"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0.17</w:t>
            </w:r>
          </w:p>
        </w:tc>
        <w:tc>
          <w:tcPr>
            <w:tcW w:w="541" w:type="dxa"/>
            <w:tcBorders>
              <w:top w:val="nil"/>
              <w:left w:val="nil"/>
              <w:bottom w:val="nil"/>
              <w:right w:val="single" w:sz="4" w:space="0" w:color="auto"/>
            </w:tcBorders>
            <w:noWrap/>
            <w:vAlign w:val="bottom"/>
            <w:hideMark/>
          </w:tcPr>
          <w:p w14:paraId="61F7D0DC" w14:textId="52EB7280"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1.31</w:t>
            </w:r>
          </w:p>
        </w:tc>
        <w:tc>
          <w:tcPr>
            <w:tcW w:w="593" w:type="dxa"/>
            <w:tcBorders>
              <w:top w:val="nil"/>
              <w:left w:val="nil"/>
              <w:bottom w:val="nil"/>
              <w:right w:val="nil"/>
            </w:tcBorders>
            <w:noWrap/>
            <w:vAlign w:val="center"/>
            <w:hideMark/>
          </w:tcPr>
          <w:p w14:paraId="7B148533" w14:textId="4663F3FD"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5D46EA57" w14:textId="633644DB"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5B0799" w:rsidRPr="00EC051A" w14:paraId="7C584627"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79AF8C2F"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Disability that Impacts Travel (no)</w:t>
            </w:r>
          </w:p>
        </w:tc>
        <w:tc>
          <w:tcPr>
            <w:tcW w:w="593" w:type="dxa"/>
            <w:tcBorders>
              <w:top w:val="nil"/>
              <w:left w:val="single" w:sz="18" w:space="0" w:color="auto"/>
              <w:bottom w:val="nil"/>
              <w:right w:val="nil"/>
            </w:tcBorders>
            <w:noWrap/>
            <w:vAlign w:val="center"/>
            <w:hideMark/>
          </w:tcPr>
          <w:p w14:paraId="5EA1EB52"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04CD998F"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5E88C496"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3FEA8CD4"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24296ECB"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648C2A0D" w14:textId="12448401"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7036196C"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667A493B" w14:textId="791D4196"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4B10D7" w:rsidRPr="00EC051A" w14:paraId="522C9ADF" w14:textId="77777777" w:rsidTr="00226B7E">
        <w:trPr>
          <w:trHeight w:val="144"/>
        </w:trPr>
        <w:tc>
          <w:tcPr>
            <w:tcW w:w="4220" w:type="dxa"/>
            <w:tcBorders>
              <w:top w:val="nil"/>
              <w:left w:val="single" w:sz="18" w:space="0" w:color="auto"/>
              <w:bottom w:val="single" w:sz="18" w:space="0" w:color="auto"/>
              <w:right w:val="single" w:sz="18" w:space="0" w:color="auto"/>
            </w:tcBorders>
            <w:noWrap/>
            <w:vAlign w:val="center"/>
            <w:hideMark/>
          </w:tcPr>
          <w:p w14:paraId="618851AF" w14:textId="77777777" w:rsidR="004B10D7" w:rsidRPr="00EC051A" w:rsidRDefault="004B10D7"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Yes</w:t>
            </w:r>
          </w:p>
        </w:tc>
        <w:tc>
          <w:tcPr>
            <w:tcW w:w="593" w:type="dxa"/>
            <w:tcBorders>
              <w:top w:val="nil"/>
              <w:left w:val="single" w:sz="18" w:space="0" w:color="auto"/>
              <w:bottom w:val="single" w:sz="18" w:space="0" w:color="auto"/>
              <w:right w:val="nil"/>
            </w:tcBorders>
            <w:noWrap/>
            <w:vAlign w:val="center"/>
            <w:hideMark/>
          </w:tcPr>
          <w:p w14:paraId="45B288CE" w14:textId="77777777" w:rsidR="004B10D7" w:rsidRPr="00EC051A" w:rsidRDefault="004B10D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single" w:sz="18" w:space="0" w:color="auto"/>
              <w:right w:val="single" w:sz="4" w:space="0" w:color="auto"/>
            </w:tcBorders>
            <w:noWrap/>
            <w:vAlign w:val="center"/>
            <w:hideMark/>
          </w:tcPr>
          <w:p w14:paraId="6D3725B1" w14:textId="77777777" w:rsidR="004B10D7" w:rsidRPr="00EC051A" w:rsidRDefault="004B10D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single" w:sz="18" w:space="0" w:color="auto"/>
              <w:right w:val="nil"/>
            </w:tcBorders>
            <w:noWrap/>
            <w:vAlign w:val="bottom"/>
            <w:hideMark/>
          </w:tcPr>
          <w:p w14:paraId="77ADF5DA" w14:textId="0FF2525B" w:rsidR="004B10D7" w:rsidRPr="00EC051A" w:rsidRDefault="004B10D7" w:rsidP="00EC051A">
            <w:pPr>
              <w:jc w:val="right"/>
              <w:rPr>
                <w:rFonts w:eastAsia="Times New Roman"/>
                <w:color w:val="000000"/>
                <w:kern w:val="0"/>
                <w:sz w:val="20"/>
                <w:szCs w:val="20"/>
                <w14:ligatures w14:val="none"/>
              </w:rPr>
            </w:pPr>
            <w:r w:rsidRPr="00EC051A">
              <w:rPr>
                <w:color w:val="000000"/>
                <w:sz w:val="20"/>
                <w:szCs w:val="20"/>
              </w:rPr>
              <w:t>0.35</w:t>
            </w:r>
          </w:p>
        </w:tc>
        <w:tc>
          <w:tcPr>
            <w:tcW w:w="541" w:type="dxa"/>
            <w:tcBorders>
              <w:top w:val="nil"/>
              <w:left w:val="nil"/>
              <w:bottom w:val="single" w:sz="18" w:space="0" w:color="auto"/>
              <w:right w:val="single" w:sz="4" w:space="0" w:color="auto"/>
            </w:tcBorders>
            <w:noWrap/>
            <w:vAlign w:val="bottom"/>
            <w:hideMark/>
          </w:tcPr>
          <w:p w14:paraId="67BDA474" w14:textId="786240FF" w:rsidR="004B10D7" w:rsidRPr="00EC051A" w:rsidRDefault="004B10D7" w:rsidP="00EC051A">
            <w:pPr>
              <w:jc w:val="right"/>
              <w:rPr>
                <w:rFonts w:eastAsia="Times New Roman"/>
                <w:color w:val="000000"/>
                <w:kern w:val="0"/>
                <w:sz w:val="20"/>
                <w:szCs w:val="20"/>
                <w14:ligatures w14:val="none"/>
              </w:rPr>
            </w:pPr>
            <w:r w:rsidRPr="00EC051A">
              <w:rPr>
                <w:color w:val="000000"/>
                <w:sz w:val="20"/>
                <w:szCs w:val="20"/>
              </w:rPr>
              <w:t>1.72</w:t>
            </w:r>
          </w:p>
        </w:tc>
        <w:tc>
          <w:tcPr>
            <w:tcW w:w="593" w:type="dxa"/>
            <w:tcBorders>
              <w:top w:val="nil"/>
              <w:left w:val="nil"/>
              <w:bottom w:val="single" w:sz="18" w:space="0" w:color="auto"/>
              <w:right w:val="nil"/>
            </w:tcBorders>
            <w:noWrap/>
            <w:vAlign w:val="bottom"/>
            <w:hideMark/>
          </w:tcPr>
          <w:p w14:paraId="715AE482" w14:textId="24DEE1B1" w:rsidR="004B10D7" w:rsidRPr="00EC051A" w:rsidRDefault="004B10D7" w:rsidP="00EC051A">
            <w:pPr>
              <w:jc w:val="right"/>
              <w:rPr>
                <w:rFonts w:eastAsia="Times New Roman"/>
                <w:color w:val="000000"/>
                <w:kern w:val="0"/>
                <w:sz w:val="20"/>
                <w:szCs w:val="20"/>
                <w14:ligatures w14:val="none"/>
              </w:rPr>
            </w:pPr>
            <w:r w:rsidRPr="00EC051A">
              <w:rPr>
                <w:color w:val="000000"/>
                <w:sz w:val="20"/>
                <w:szCs w:val="20"/>
              </w:rPr>
              <w:t>0.26</w:t>
            </w:r>
          </w:p>
        </w:tc>
        <w:tc>
          <w:tcPr>
            <w:tcW w:w="541" w:type="dxa"/>
            <w:tcBorders>
              <w:top w:val="nil"/>
              <w:left w:val="nil"/>
              <w:bottom w:val="single" w:sz="18" w:space="0" w:color="auto"/>
              <w:right w:val="single" w:sz="4" w:space="0" w:color="auto"/>
            </w:tcBorders>
            <w:noWrap/>
            <w:vAlign w:val="bottom"/>
            <w:hideMark/>
          </w:tcPr>
          <w:p w14:paraId="46FD3E6C" w14:textId="2DE9E931" w:rsidR="004B10D7" w:rsidRPr="00EC051A" w:rsidRDefault="004B10D7" w:rsidP="00EC051A">
            <w:pPr>
              <w:jc w:val="right"/>
              <w:rPr>
                <w:rFonts w:eastAsia="Times New Roman"/>
                <w:color w:val="000000"/>
                <w:kern w:val="0"/>
                <w:sz w:val="20"/>
                <w:szCs w:val="20"/>
                <w14:ligatures w14:val="none"/>
              </w:rPr>
            </w:pPr>
            <w:r w:rsidRPr="00EC051A">
              <w:rPr>
                <w:color w:val="000000"/>
                <w:sz w:val="20"/>
                <w:szCs w:val="20"/>
              </w:rPr>
              <w:t>1.67</w:t>
            </w:r>
          </w:p>
        </w:tc>
        <w:tc>
          <w:tcPr>
            <w:tcW w:w="593" w:type="dxa"/>
            <w:tcBorders>
              <w:top w:val="nil"/>
              <w:left w:val="nil"/>
              <w:bottom w:val="single" w:sz="18" w:space="0" w:color="auto"/>
              <w:right w:val="nil"/>
            </w:tcBorders>
            <w:noWrap/>
            <w:vAlign w:val="center"/>
            <w:hideMark/>
          </w:tcPr>
          <w:p w14:paraId="7C507DFD" w14:textId="6B527707" w:rsidR="004B10D7" w:rsidRPr="00EC051A" w:rsidRDefault="004B10D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single" w:sz="18" w:space="0" w:color="auto"/>
              <w:right w:val="single" w:sz="18" w:space="0" w:color="auto"/>
            </w:tcBorders>
            <w:noWrap/>
            <w:vAlign w:val="center"/>
            <w:hideMark/>
          </w:tcPr>
          <w:p w14:paraId="36FE3B10" w14:textId="6FB269A7" w:rsidR="004B10D7" w:rsidRPr="00EC051A" w:rsidRDefault="004B10D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226B7E" w:rsidRPr="00EC051A" w14:paraId="4949CB5E" w14:textId="77777777" w:rsidTr="00734F54">
        <w:trPr>
          <w:trHeight w:val="144"/>
        </w:trPr>
        <w:tc>
          <w:tcPr>
            <w:tcW w:w="8921" w:type="dxa"/>
            <w:gridSpan w:val="9"/>
            <w:tcBorders>
              <w:top w:val="single" w:sz="18" w:space="0" w:color="auto"/>
              <w:left w:val="single" w:sz="18" w:space="0" w:color="auto"/>
              <w:bottom w:val="single" w:sz="18" w:space="0" w:color="auto"/>
              <w:right w:val="single" w:sz="18" w:space="0" w:color="auto"/>
            </w:tcBorders>
            <w:noWrap/>
            <w:vAlign w:val="center"/>
          </w:tcPr>
          <w:p w14:paraId="6C02FA50" w14:textId="79B7AEF6" w:rsidR="00226B7E" w:rsidRPr="00EC051A" w:rsidRDefault="00226B7E" w:rsidP="00226B7E">
            <w:pPr>
              <w:rPr>
                <w:rFonts w:eastAsia="Times New Roman"/>
                <w:color w:val="000000"/>
                <w:kern w:val="0"/>
                <w:sz w:val="20"/>
                <w:szCs w:val="20"/>
                <w14:ligatures w14:val="none"/>
              </w:rPr>
            </w:pPr>
            <w:r w:rsidRPr="0000496D">
              <w:rPr>
                <w:rFonts w:eastAsia="Times New Roman"/>
                <w:b/>
                <w:bCs/>
                <w:i/>
                <w:iCs/>
                <w:color w:val="000000"/>
                <w:kern w:val="0"/>
                <w:sz w:val="20"/>
                <w:szCs w:val="20"/>
                <w14:ligatures w14:val="none"/>
              </w:rPr>
              <w:t>Household Characteristics and Location</w:t>
            </w:r>
          </w:p>
        </w:tc>
      </w:tr>
      <w:tr w:rsidR="005B0799" w:rsidRPr="00EC051A" w14:paraId="21F3A8B7" w14:textId="77777777" w:rsidTr="00226B7E">
        <w:trPr>
          <w:trHeight w:val="144"/>
        </w:trPr>
        <w:tc>
          <w:tcPr>
            <w:tcW w:w="4220" w:type="dxa"/>
            <w:tcBorders>
              <w:top w:val="single" w:sz="18" w:space="0" w:color="auto"/>
              <w:left w:val="single" w:sz="18" w:space="0" w:color="auto"/>
              <w:bottom w:val="nil"/>
              <w:right w:val="single" w:sz="18" w:space="0" w:color="auto"/>
            </w:tcBorders>
            <w:noWrap/>
            <w:vAlign w:val="center"/>
            <w:hideMark/>
          </w:tcPr>
          <w:p w14:paraId="143E307C"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Household Composition (single adult)</w:t>
            </w:r>
          </w:p>
        </w:tc>
        <w:tc>
          <w:tcPr>
            <w:tcW w:w="593" w:type="dxa"/>
            <w:tcBorders>
              <w:top w:val="single" w:sz="18" w:space="0" w:color="auto"/>
              <w:left w:val="single" w:sz="18" w:space="0" w:color="auto"/>
              <w:bottom w:val="nil"/>
              <w:right w:val="nil"/>
            </w:tcBorders>
            <w:noWrap/>
            <w:vAlign w:val="center"/>
            <w:hideMark/>
          </w:tcPr>
          <w:p w14:paraId="30D6C5DC" w14:textId="77777777" w:rsidR="005B0799" w:rsidRPr="00EC051A" w:rsidRDefault="005B0799" w:rsidP="00EC051A">
            <w:pPr>
              <w:rPr>
                <w:rFonts w:eastAsia="Times New Roman"/>
                <w:color w:val="000000"/>
                <w:kern w:val="0"/>
                <w:sz w:val="20"/>
                <w:szCs w:val="20"/>
                <w14:ligatures w14:val="none"/>
              </w:rPr>
            </w:pPr>
          </w:p>
        </w:tc>
        <w:tc>
          <w:tcPr>
            <w:tcW w:w="669" w:type="dxa"/>
            <w:tcBorders>
              <w:top w:val="single" w:sz="18" w:space="0" w:color="auto"/>
              <w:left w:val="nil"/>
              <w:bottom w:val="nil"/>
              <w:right w:val="single" w:sz="4" w:space="0" w:color="auto"/>
            </w:tcBorders>
            <w:noWrap/>
            <w:vAlign w:val="center"/>
            <w:hideMark/>
          </w:tcPr>
          <w:p w14:paraId="3A716755"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single" w:sz="18" w:space="0" w:color="auto"/>
              <w:left w:val="nil"/>
              <w:bottom w:val="nil"/>
              <w:right w:val="nil"/>
            </w:tcBorders>
            <w:noWrap/>
            <w:vAlign w:val="center"/>
            <w:hideMark/>
          </w:tcPr>
          <w:p w14:paraId="2B95FCA0"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hideMark/>
          </w:tcPr>
          <w:p w14:paraId="34094A50"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single" w:sz="18" w:space="0" w:color="auto"/>
              <w:left w:val="nil"/>
              <w:bottom w:val="nil"/>
              <w:right w:val="nil"/>
            </w:tcBorders>
            <w:noWrap/>
            <w:vAlign w:val="center"/>
            <w:hideMark/>
          </w:tcPr>
          <w:p w14:paraId="63749DC7"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hideMark/>
          </w:tcPr>
          <w:p w14:paraId="0BD5B669"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single" w:sz="18" w:space="0" w:color="auto"/>
              <w:left w:val="nil"/>
              <w:bottom w:val="nil"/>
              <w:right w:val="nil"/>
            </w:tcBorders>
            <w:noWrap/>
            <w:vAlign w:val="center"/>
            <w:hideMark/>
          </w:tcPr>
          <w:p w14:paraId="20C388D4"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18" w:space="0" w:color="auto"/>
            </w:tcBorders>
            <w:noWrap/>
            <w:vAlign w:val="center"/>
            <w:hideMark/>
          </w:tcPr>
          <w:p w14:paraId="0864E6B7" w14:textId="5E61FCFF"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DD6150" w:rsidRPr="00EC051A" w14:paraId="28AFB0AE"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1B9C2ABB" w14:textId="77777777" w:rsidR="00DD6150" w:rsidRPr="00EC051A" w:rsidRDefault="00DD615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Single Parent</w:t>
            </w:r>
          </w:p>
        </w:tc>
        <w:tc>
          <w:tcPr>
            <w:tcW w:w="593" w:type="dxa"/>
            <w:tcBorders>
              <w:top w:val="nil"/>
              <w:left w:val="single" w:sz="18" w:space="0" w:color="auto"/>
              <w:bottom w:val="nil"/>
              <w:right w:val="nil"/>
            </w:tcBorders>
            <w:noWrap/>
            <w:vAlign w:val="bottom"/>
            <w:hideMark/>
          </w:tcPr>
          <w:p w14:paraId="51200EE4" w14:textId="776131D9"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0.17</w:t>
            </w:r>
          </w:p>
        </w:tc>
        <w:tc>
          <w:tcPr>
            <w:tcW w:w="669" w:type="dxa"/>
            <w:tcBorders>
              <w:top w:val="nil"/>
              <w:left w:val="nil"/>
              <w:bottom w:val="nil"/>
              <w:right w:val="single" w:sz="4" w:space="0" w:color="auto"/>
            </w:tcBorders>
            <w:noWrap/>
            <w:vAlign w:val="bottom"/>
            <w:hideMark/>
          </w:tcPr>
          <w:p w14:paraId="55E81B31" w14:textId="44179FF4"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1.43</w:t>
            </w:r>
          </w:p>
        </w:tc>
        <w:tc>
          <w:tcPr>
            <w:tcW w:w="630" w:type="dxa"/>
            <w:tcBorders>
              <w:top w:val="nil"/>
              <w:left w:val="nil"/>
              <w:bottom w:val="nil"/>
              <w:right w:val="nil"/>
            </w:tcBorders>
            <w:noWrap/>
            <w:vAlign w:val="bottom"/>
            <w:hideMark/>
          </w:tcPr>
          <w:p w14:paraId="446802E3" w14:textId="71CFB2A3"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-0.38</w:t>
            </w:r>
          </w:p>
        </w:tc>
        <w:tc>
          <w:tcPr>
            <w:tcW w:w="541" w:type="dxa"/>
            <w:tcBorders>
              <w:top w:val="nil"/>
              <w:left w:val="nil"/>
              <w:bottom w:val="nil"/>
              <w:right w:val="single" w:sz="4" w:space="0" w:color="auto"/>
            </w:tcBorders>
            <w:noWrap/>
            <w:vAlign w:val="bottom"/>
            <w:hideMark/>
          </w:tcPr>
          <w:p w14:paraId="6543A15E" w14:textId="05C4FC9B"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-1.36</w:t>
            </w:r>
          </w:p>
        </w:tc>
        <w:tc>
          <w:tcPr>
            <w:tcW w:w="593" w:type="dxa"/>
            <w:tcBorders>
              <w:top w:val="nil"/>
              <w:left w:val="nil"/>
              <w:bottom w:val="nil"/>
              <w:right w:val="nil"/>
            </w:tcBorders>
            <w:noWrap/>
            <w:vAlign w:val="center"/>
            <w:hideMark/>
          </w:tcPr>
          <w:p w14:paraId="6E928A5B" w14:textId="6F76FD4A"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06D2C4E4" w14:textId="26E5F85D"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5ED80DCE" w14:textId="08DB50EA"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219693C5" w14:textId="23968AE8"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DD6150" w:rsidRPr="00EC051A" w14:paraId="70C904B5"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7719BAF4" w14:textId="00BCC2F8" w:rsidR="00DD6150" w:rsidRPr="00EC051A" w:rsidRDefault="00DD615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Nuclear</w:t>
            </w:r>
          </w:p>
        </w:tc>
        <w:tc>
          <w:tcPr>
            <w:tcW w:w="593" w:type="dxa"/>
            <w:tcBorders>
              <w:top w:val="nil"/>
              <w:left w:val="single" w:sz="18" w:space="0" w:color="auto"/>
              <w:bottom w:val="nil"/>
              <w:right w:val="nil"/>
            </w:tcBorders>
            <w:noWrap/>
            <w:vAlign w:val="bottom"/>
            <w:hideMark/>
          </w:tcPr>
          <w:p w14:paraId="3126283D" w14:textId="58C94459"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0.17</w:t>
            </w:r>
          </w:p>
        </w:tc>
        <w:tc>
          <w:tcPr>
            <w:tcW w:w="669" w:type="dxa"/>
            <w:tcBorders>
              <w:top w:val="nil"/>
              <w:left w:val="nil"/>
              <w:bottom w:val="nil"/>
              <w:right w:val="single" w:sz="4" w:space="0" w:color="auto"/>
            </w:tcBorders>
            <w:noWrap/>
            <w:vAlign w:val="bottom"/>
            <w:hideMark/>
          </w:tcPr>
          <w:p w14:paraId="1FE280E8" w14:textId="60A095C4"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1.43</w:t>
            </w:r>
          </w:p>
        </w:tc>
        <w:tc>
          <w:tcPr>
            <w:tcW w:w="630" w:type="dxa"/>
            <w:tcBorders>
              <w:top w:val="nil"/>
              <w:left w:val="nil"/>
              <w:bottom w:val="nil"/>
              <w:right w:val="nil"/>
            </w:tcBorders>
            <w:noWrap/>
            <w:vAlign w:val="center"/>
            <w:hideMark/>
          </w:tcPr>
          <w:p w14:paraId="4F780877" w14:textId="77777777"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4AE9A24F" w14:textId="77777777"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00048BD1" w14:textId="677E48C0"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-0.11</w:t>
            </w:r>
          </w:p>
        </w:tc>
        <w:tc>
          <w:tcPr>
            <w:tcW w:w="541" w:type="dxa"/>
            <w:tcBorders>
              <w:top w:val="nil"/>
              <w:left w:val="nil"/>
              <w:bottom w:val="nil"/>
              <w:right w:val="single" w:sz="4" w:space="0" w:color="auto"/>
            </w:tcBorders>
            <w:noWrap/>
            <w:vAlign w:val="bottom"/>
            <w:hideMark/>
          </w:tcPr>
          <w:p w14:paraId="49747F9B" w14:textId="5E83827F"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-1.35</w:t>
            </w:r>
          </w:p>
        </w:tc>
        <w:tc>
          <w:tcPr>
            <w:tcW w:w="593" w:type="dxa"/>
            <w:tcBorders>
              <w:top w:val="nil"/>
              <w:left w:val="nil"/>
              <w:bottom w:val="nil"/>
              <w:right w:val="nil"/>
            </w:tcBorders>
            <w:noWrap/>
            <w:vAlign w:val="center"/>
            <w:hideMark/>
          </w:tcPr>
          <w:p w14:paraId="15503D5F" w14:textId="156253E8"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424F219B" w14:textId="55D706C9"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546BAC" w:rsidRPr="00EC051A" w14:paraId="20FCC538"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6AC685F1" w14:textId="77777777" w:rsidR="00546BAC" w:rsidRPr="00EC051A" w:rsidRDefault="00546BAC"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Couple</w:t>
            </w:r>
          </w:p>
        </w:tc>
        <w:tc>
          <w:tcPr>
            <w:tcW w:w="593" w:type="dxa"/>
            <w:tcBorders>
              <w:top w:val="nil"/>
              <w:left w:val="single" w:sz="18" w:space="0" w:color="auto"/>
              <w:bottom w:val="nil"/>
              <w:right w:val="nil"/>
            </w:tcBorders>
            <w:noWrap/>
            <w:vAlign w:val="center"/>
            <w:hideMark/>
          </w:tcPr>
          <w:p w14:paraId="5D0D67DC" w14:textId="77777777" w:rsidR="00546BAC" w:rsidRPr="00EC051A" w:rsidRDefault="00546BAC"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66563FC2" w14:textId="77777777" w:rsidR="00546BAC" w:rsidRPr="00EC051A" w:rsidRDefault="00546BAC"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15D8D157" w14:textId="77777777" w:rsidR="00546BAC" w:rsidRPr="00EC051A" w:rsidRDefault="00546BAC"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39E3C49B" w14:textId="77777777" w:rsidR="00546BAC" w:rsidRPr="00EC051A" w:rsidRDefault="00546BAC"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71FA4B84" w14:textId="7E8173CB" w:rsidR="00546BAC" w:rsidRPr="00EC051A" w:rsidRDefault="00546BAC" w:rsidP="00EC051A">
            <w:pPr>
              <w:jc w:val="right"/>
              <w:rPr>
                <w:rFonts w:eastAsia="Times New Roman"/>
                <w:color w:val="000000"/>
                <w:kern w:val="0"/>
                <w:sz w:val="20"/>
                <w:szCs w:val="20"/>
                <w14:ligatures w14:val="none"/>
              </w:rPr>
            </w:pPr>
            <w:r w:rsidRPr="00EC051A">
              <w:rPr>
                <w:color w:val="000000"/>
                <w:sz w:val="20"/>
                <w:szCs w:val="20"/>
              </w:rPr>
              <w:t>-0.16</w:t>
            </w:r>
          </w:p>
        </w:tc>
        <w:tc>
          <w:tcPr>
            <w:tcW w:w="541" w:type="dxa"/>
            <w:tcBorders>
              <w:top w:val="nil"/>
              <w:left w:val="nil"/>
              <w:bottom w:val="nil"/>
              <w:right w:val="single" w:sz="4" w:space="0" w:color="auto"/>
            </w:tcBorders>
            <w:noWrap/>
            <w:vAlign w:val="bottom"/>
            <w:hideMark/>
          </w:tcPr>
          <w:p w14:paraId="2A3005A9" w14:textId="205D4F44" w:rsidR="00546BAC" w:rsidRPr="00EC051A" w:rsidRDefault="00546BAC" w:rsidP="00EC051A">
            <w:pPr>
              <w:jc w:val="right"/>
              <w:rPr>
                <w:rFonts w:eastAsia="Times New Roman"/>
                <w:color w:val="000000"/>
                <w:kern w:val="0"/>
                <w:sz w:val="20"/>
                <w:szCs w:val="20"/>
                <w14:ligatures w14:val="none"/>
              </w:rPr>
            </w:pPr>
            <w:r w:rsidRPr="00EC051A">
              <w:rPr>
                <w:color w:val="000000"/>
                <w:sz w:val="20"/>
                <w:szCs w:val="20"/>
              </w:rPr>
              <w:t>-1.45</w:t>
            </w:r>
          </w:p>
        </w:tc>
        <w:tc>
          <w:tcPr>
            <w:tcW w:w="593" w:type="dxa"/>
            <w:tcBorders>
              <w:top w:val="nil"/>
              <w:left w:val="nil"/>
              <w:bottom w:val="nil"/>
              <w:right w:val="nil"/>
            </w:tcBorders>
            <w:noWrap/>
            <w:vAlign w:val="bottom"/>
            <w:hideMark/>
          </w:tcPr>
          <w:p w14:paraId="0F55DDDE" w14:textId="6193AF18" w:rsidR="00546BAC" w:rsidRPr="00EC051A" w:rsidRDefault="00546BAC" w:rsidP="00EC051A">
            <w:pPr>
              <w:jc w:val="right"/>
              <w:rPr>
                <w:rFonts w:eastAsia="Times New Roman"/>
                <w:color w:val="000000"/>
                <w:kern w:val="0"/>
                <w:sz w:val="20"/>
                <w:szCs w:val="20"/>
                <w14:ligatures w14:val="none"/>
              </w:rPr>
            </w:pPr>
            <w:r w:rsidRPr="00EC051A">
              <w:rPr>
                <w:color w:val="000000"/>
                <w:sz w:val="20"/>
                <w:szCs w:val="20"/>
              </w:rPr>
              <w:t>-0.15</w:t>
            </w:r>
          </w:p>
        </w:tc>
        <w:tc>
          <w:tcPr>
            <w:tcW w:w="541" w:type="dxa"/>
            <w:tcBorders>
              <w:top w:val="nil"/>
              <w:left w:val="nil"/>
              <w:bottom w:val="nil"/>
              <w:right w:val="single" w:sz="18" w:space="0" w:color="auto"/>
            </w:tcBorders>
            <w:noWrap/>
            <w:vAlign w:val="bottom"/>
            <w:hideMark/>
          </w:tcPr>
          <w:p w14:paraId="6C2D4D56" w14:textId="1B735F7B" w:rsidR="00546BAC" w:rsidRPr="00EC051A" w:rsidRDefault="00546BAC" w:rsidP="00EC051A">
            <w:pPr>
              <w:jc w:val="right"/>
              <w:rPr>
                <w:rFonts w:eastAsia="Times New Roman"/>
                <w:color w:val="000000"/>
                <w:kern w:val="0"/>
                <w:sz w:val="20"/>
                <w:szCs w:val="20"/>
                <w14:ligatures w14:val="none"/>
              </w:rPr>
            </w:pPr>
            <w:r w:rsidRPr="00EC051A">
              <w:rPr>
                <w:color w:val="000000"/>
                <w:sz w:val="20"/>
                <w:szCs w:val="20"/>
              </w:rPr>
              <w:t>-1.28</w:t>
            </w:r>
          </w:p>
        </w:tc>
      </w:tr>
      <w:tr w:rsidR="005B0799" w:rsidRPr="00EC051A" w14:paraId="6D18A79F"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1C26BB41"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Income (Less than $50,000)</w:t>
            </w:r>
          </w:p>
        </w:tc>
        <w:tc>
          <w:tcPr>
            <w:tcW w:w="593" w:type="dxa"/>
            <w:tcBorders>
              <w:top w:val="nil"/>
              <w:left w:val="single" w:sz="18" w:space="0" w:color="auto"/>
              <w:bottom w:val="nil"/>
              <w:right w:val="nil"/>
            </w:tcBorders>
            <w:noWrap/>
            <w:vAlign w:val="center"/>
            <w:hideMark/>
          </w:tcPr>
          <w:p w14:paraId="14EA7226"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0129E4DD"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3F3DA995"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3B9F94EB"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7420CDDD"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298696F7" w14:textId="7FEFAEBD"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2B5A48FD"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41AEE1C9" w14:textId="7F860B35"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A42FD8" w:rsidRPr="00EC051A" w14:paraId="2F8595EE"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65E3632A" w14:textId="77777777" w:rsidR="00A42FD8" w:rsidRPr="00EC051A" w:rsidRDefault="00A42FD8"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$50,000 - $99,999</w:t>
            </w:r>
          </w:p>
        </w:tc>
        <w:tc>
          <w:tcPr>
            <w:tcW w:w="593" w:type="dxa"/>
            <w:tcBorders>
              <w:top w:val="nil"/>
              <w:left w:val="single" w:sz="18" w:space="0" w:color="auto"/>
              <w:bottom w:val="nil"/>
              <w:right w:val="nil"/>
            </w:tcBorders>
            <w:noWrap/>
            <w:vAlign w:val="bottom"/>
            <w:hideMark/>
          </w:tcPr>
          <w:p w14:paraId="5F602B61" w14:textId="1726CF6F"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-0.33</w:t>
            </w:r>
          </w:p>
        </w:tc>
        <w:tc>
          <w:tcPr>
            <w:tcW w:w="669" w:type="dxa"/>
            <w:tcBorders>
              <w:top w:val="nil"/>
              <w:left w:val="nil"/>
              <w:bottom w:val="nil"/>
              <w:right w:val="single" w:sz="4" w:space="0" w:color="auto"/>
            </w:tcBorders>
            <w:noWrap/>
            <w:vAlign w:val="bottom"/>
            <w:hideMark/>
          </w:tcPr>
          <w:p w14:paraId="076D2260" w14:textId="14A31350"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-2.25</w:t>
            </w:r>
          </w:p>
        </w:tc>
        <w:tc>
          <w:tcPr>
            <w:tcW w:w="630" w:type="dxa"/>
            <w:tcBorders>
              <w:top w:val="nil"/>
              <w:left w:val="nil"/>
              <w:bottom w:val="nil"/>
              <w:right w:val="nil"/>
            </w:tcBorders>
            <w:noWrap/>
            <w:vAlign w:val="center"/>
            <w:hideMark/>
          </w:tcPr>
          <w:p w14:paraId="00CC7334" w14:textId="77777777" w:rsidR="00A42FD8" w:rsidRPr="00EC051A" w:rsidRDefault="00A42FD8"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3E6C3974" w14:textId="77777777" w:rsidR="00A42FD8" w:rsidRPr="00EC051A" w:rsidRDefault="00A42FD8"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58E4ED62" w14:textId="47CD551F"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0.23</w:t>
            </w:r>
          </w:p>
        </w:tc>
        <w:tc>
          <w:tcPr>
            <w:tcW w:w="541" w:type="dxa"/>
            <w:tcBorders>
              <w:top w:val="nil"/>
              <w:left w:val="nil"/>
              <w:bottom w:val="nil"/>
              <w:right w:val="single" w:sz="4" w:space="0" w:color="auto"/>
            </w:tcBorders>
            <w:noWrap/>
            <w:vAlign w:val="bottom"/>
            <w:hideMark/>
          </w:tcPr>
          <w:p w14:paraId="6173B086" w14:textId="6D5B2A50"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1.44</w:t>
            </w:r>
          </w:p>
        </w:tc>
        <w:tc>
          <w:tcPr>
            <w:tcW w:w="593" w:type="dxa"/>
            <w:tcBorders>
              <w:top w:val="nil"/>
              <w:left w:val="nil"/>
              <w:bottom w:val="nil"/>
              <w:right w:val="nil"/>
            </w:tcBorders>
            <w:noWrap/>
            <w:vAlign w:val="center"/>
            <w:hideMark/>
          </w:tcPr>
          <w:p w14:paraId="2E480269" w14:textId="594DA548" w:rsidR="00A42FD8" w:rsidRPr="00EC051A" w:rsidRDefault="00A42FD8"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1B91480B" w14:textId="01B16194" w:rsidR="00A42FD8" w:rsidRPr="00EC051A" w:rsidRDefault="00A42FD8"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A42FD8" w:rsidRPr="00EC051A" w14:paraId="47860283" w14:textId="77777777" w:rsidTr="00226B7E">
        <w:trPr>
          <w:trHeight w:val="144"/>
        </w:trPr>
        <w:tc>
          <w:tcPr>
            <w:tcW w:w="4220" w:type="dxa"/>
            <w:tcBorders>
              <w:top w:val="nil"/>
              <w:left w:val="single" w:sz="18" w:space="0" w:color="auto"/>
              <w:right w:val="single" w:sz="18" w:space="0" w:color="auto"/>
            </w:tcBorders>
            <w:noWrap/>
            <w:vAlign w:val="center"/>
            <w:hideMark/>
          </w:tcPr>
          <w:p w14:paraId="32D58D53" w14:textId="77777777" w:rsidR="00A42FD8" w:rsidRPr="00EC051A" w:rsidRDefault="00A42FD8"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$100,000 - $199,999</w:t>
            </w:r>
          </w:p>
        </w:tc>
        <w:tc>
          <w:tcPr>
            <w:tcW w:w="593" w:type="dxa"/>
            <w:tcBorders>
              <w:top w:val="nil"/>
              <w:left w:val="single" w:sz="18" w:space="0" w:color="auto"/>
              <w:right w:val="nil"/>
            </w:tcBorders>
            <w:noWrap/>
            <w:vAlign w:val="bottom"/>
            <w:hideMark/>
          </w:tcPr>
          <w:p w14:paraId="459B7607" w14:textId="63083DC7"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-0.33</w:t>
            </w:r>
          </w:p>
        </w:tc>
        <w:tc>
          <w:tcPr>
            <w:tcW w:w="669" w:type="dxa"/>
            <w:tcBorders>
              <w:top w:val="nil"/>
              <w:left w:val="nil"/>
              <w:right w:val="single" w:sz="4" w:space="0" w:color="auto"/>
            </w:tcBorders>
            <w:noWrap/>
            <w:vAlign w:val="bottom"/>
            <w:hideMark/>
          </w:tcPr>
          <w:p w14:paraId="780BD251" w14:textId="2B3ECCA2"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-2.25</w:t>
            </w:r>
          </w:p>
        </w:tc>
        <w:tc>
          <w:tcPr>
            <w:tcW w:w="630" w:type="dxa"/>
            <w:tcBorders>
              <w:top w:val="nil"/>
              <w:left w:val="nil"/>
              <w:right w:val="nil"/>
            </w:tcBorders>
            <w:noWrap/>
            <w:vAlign w:val="bottom"/>
            <w:hideMark/>
          </w:tcPr>
          <w:p w14:paraId="78905D37" w14:textId="1C18F769"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0.20</w:t>
            </w:r>
          </w:p>
        </w:tc>
        <w:tc>
          <w:tcPr>
            <w:tcW w:w="541" w:type="dxa"/>
            <w:tcBorders>
              <w:top w:val="nil"/>
              <w:left w:val="nil"/>
              <w:right w:val="single" w:sz="4" w:space="0" w:color="auto"/>
            </w:tcBorders>
            <w:noWrap/>
            <w:vAlign w:val="bottom"/>
            <w:hideMark/>
          </w:tcPr>
          <w:p w14:paraId="5555077B" w14:textId="782C3649"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1.80</w:t>
            </w:r>
          </w:p>
        </w:tc>
        <w:tc>
          <w:tcPr>
            <w:tcW w:w="593" w:type="dxa"/>
            <w:tcBorders>
              <w:top w:val="nil"/>
              <w:left w:val="nil"/>
              <w:right w:val="nil"/>
            </w:tcBorders>
            <w:noWrap/>
            <w:vAlign w:val="bottom"/>
            <w:hideMark/>
          </w:tcPr>
          <w:p w14:paraId="3A0CE74E" w14:textId="2597702F"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0.25</w:t>
            </w:r>
          </w:p>
        </w:tc>
        <w:tc>
          <w:tcPr>
            <w:tcW w:w="541" w:type="dxa"/>
            <w:tcBorders>
              <w:top w:val="nil"/>
              <w:left w:val="nil"/>
              <w:right w:val="single" w:sz="4" w:space="0" w:color="auto"/>
            </w:tcBorders>
            <w:noWrap/>
            <w:vAlign w:val="bottom"/>
            <w:hideMark/>
          </w:tcPr>
          <w:p w14:paraId="1C126B36" w14:textId="443AE4D0"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1.48</w:t>
            </w:r>
          </w:p>
        </w:tc>
        <w:tc>
          <w:tcPr>
            <w:tcW w:w="593" w:type="dxa"/>
            <w:tcBorders>
              <w:top w:val="nil"/>
              <w:left w:val="nil"/>
              <w:right w:val="nil"/>
            </w:tcBorders>
            <w:noWrap/>
            <w:vAlign w:val="bottom"/>
            <w:hideMark/>
          </w:tcPr>
          <w:p w14:paraId="09A7C239" w14:textId="569C40EC"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0.18</w:t>
            </w:r>
          </w:p>
        </w:tc>
        <w:tc>
          <w:tcPr>
            <w:tcW w:w="541" w:type="dxa"/>
            <w:tcBorders>
              <w:top w:val="nil"/>
              <w:left w:val="nil"/>
              <w:right w:val="single" w:sz="18" w:space="0" w:color="auto"/>
            </w:tcBorders>
            <w:noWrap/>
            <w:vAlign w:val="bottom"/>
            <w:hideMark/>
          </w:tcPr>
          <w:p w14:paraId="03D2C2C0" w14:textId="40296F4A"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1.39</w:t>
            </w:r>
          </w:p>
        </w:tc>
      </w:tr>
      <w:tr w:rsidR="00A42FD8" w:rsidRPr="00EC051A" w14:paraId="40DEB5CD" w14:textId="77777777" w:rsidTr="00226B7E">
        <w:trPr>
          <w:trHeight w:val="144"/>
        </w:trPr>
        <w:tc>
          <w:tcPr>
            <w:tcW w:w="4220" w:type="dxa"/>
            <w:tcBorders>
              <w:top w:val="nil"/>
              <w:left w:val="single" w:sz="18" w:space="0" w:color="auto"/>
              <w:right w:val="single" w:sz="18" w:space="0" w:color="auto"/>
            </w:tcBorders>
            <w:noWrap/>
            <w:vAlign w:val="center"/>
            <w:hideMark/>
          </w:tcPr>
          <w:p w14:paraId="7B1B2F5B" w14:textId="77777777" w:rsidR="00A42FD8" w:rsidRPr="00EC051A" w:rsidRDefault="00A42FD8"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$200,000 or more</w:t>
            </w:r>
          </w:p>
        </w:tc>
        <w:tc>
          <w:tcPr>
            <w:tcW w:w="593" w:type="dxa"/>
            <w:tcBorders>
              <w:top w:val="nil"/>
              <w:left w:val="single" w:sz="18" w:space="0" w:color="auto"/>
              <w:right w:val="nil"/>
            </w:tcBorders>
            <w:noWrap/>
            <w:vAlign w:val="bottom"/>
            <w:hideMark/>
          </w:tcPr>
          <w:p w14:paraId="5CF4B91B" w14:textId="2BB4C000"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-0.39</w:t>
            </w:r>
          </w:p>
        </w:tc>
        <w:tc>
          <w:tcPr>
            <w:tcW w:w="669" w:type="dxa"/>
            <w:tcBorders>
              <w:top w:val="nil"/>
              <w:left w:val="nil"/>
              <w:right w:val="single" w:sz="4" w:space="0" w:color="auto"/>
            </w:tcBorders>
            <w:noWrap/>
            <w:vAlign w:val="bottom"/>
            <w:hideMark/>
          </w:tcPr>
          <w:p w14:paraId="336E352C" w14:textId="566E64AB"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-3.05</w:t>
            </w:r>
          </w:p>
        </w:tc>
        <w:tc>
          <w:tcPr>
            <w:tcW w:w="630" w:type="dxa"/>
            <w:tcBorders>
              <w:top w:val="nil"/>
              <w:left w:val="nil"/>
              <w:right w:val="nil"/>
            </w:tcBorders>
            <w:noWrap/>
            <w:vAlign w:val="bottom"/>
            <w:hideMark/>
          </w:tcPr>
          <w:p w14:paraId="25FAB632" w14:textId="4A0655D5"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0.20</w:t>
            </w:r>
          </w:p>
        </w:tc>
        <w:tc>
          <w:tcPr>
            <w:tcW w:w="541" w:type="dxa"/>
            <w:tcBorders>
              <w:top w:val="nil"/>
              <w:left w:val="nil"/>
              <w:right w:val="single" w:sz="4" w:space="0" w:color="auto"/>
            </w:tcBorders>
            <w:noWrap/>
            <w:vAlign w:val="bottom"/>
            <w:hideMark/>
          </w:tcPr>
          <w:p w14:paraId="1E2C7482" w14:textId="55EBE88A"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1.80</w:t>
            </w:r>
          </w:p>
        </w:tc>
        <w:tc>
          <w:tcPr>
            <w:tcW w:w="593" w:type="dxa"/>
            <w:tcBorders>
              <w:top w:val="nil"/>
              <w:left w:val="nil"/>
              <w:right w:val="nil"/>
            </w:tcBorders>
            <w:noWrap/>
            <w:vAlign w:val="bottom"/>
            <w:hideMark/>
          </w:tcPr>
          <w:p w14:paraId="2A7E58A0" w14:textId="14368FCB"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0.25</w:t>
            </w:r>
          </w:p>
        </w:tc>
        <w:tc>
          <w:tcPr>
            <w:tcW w:w="541" w:type="dxa"/>
            <w:tcBorders>
              <w:top w:val="nil"/>
              <w:left w:val="nil"/>
              <w:right w:val="single" w:sz="4" w:space="0" w:color="auto"/>
            </w:tcBorders>
            <w:noWrap/>
            <w:vAlign w:val="bottom"/>
            <w:hideMark/>
          </w:tcPr>
          <w:p w14:paraId="4C1AAAD8" w14:textId="39B70FE0"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1.48</w:t>
            </w:r>
          </w:p>
        </w:tc>
        <w:tc>
          <w:tcPr>
            <w:tcW w:w="593" w:type="dxa"/>
            <w:tcBorders>
              <w:top w:val="nil"/>
              <w:left w:val="nil"/>
              <w:right w:val="nil"/>
            </w:tcBorders>
            <w:noWrap/>
            <w:vAlign w:val="bottom"/>
            <w:hideMark/>
          </w:tcPr>
          <w:p w14:paraId="36190D91" w14:textId="490A00F9"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0.23</w:t>
            </w:r>
          </w:p>
        </w:tc>
        <w:tc>
          <w:tcPr>
            <w:tcW w:w="541" w:type="dxa"/>
            <w:tcBorders>
              <w:top w:val="nil"/>
              <w:left w:val="nil"/>
              <w:right w:val="single" w:sz="18" w:space="0" w:color="auto"/>
            </w:tcBorders>
            <w:noWrap/>
            <w:vAlign w:val="bottom"/>
            <w:hideMark/>
          </w:tcPr>
          <w:p w14:paraId="7A2A3922" w14:textId="2AC347A2" w:rsidR="00A42FD8" w:rsidRPr="00EC051A" w:rsidRDefault="00A42FD8" w:rsidP="00EC051A">
            <w:pPr>
              <w:jc w:val="right"/>
              <w:rPr>
                <w:rFonts w:eastAsia="Times New Roman"/>
                <w:color w:val="000000"/>
                <w:kern w:val="0"/>
                <w:sz w:val="20"/>
                <w:szCs w:val="20"/>
                <w14:ligatures w14:val="none"/>
              </w:rPr>
            </w:pPr>
            <w:r w:rsidRPr="00EC051A">
              <w:rPr>
                <w:color w:val="000000"/>
                <w:sz w:val="20"/>
                <w:szCs w:val="20"/>
              </w:rPr>
              <w:t>1.53</w:t>
            </w:r>
          </w:p>
        </w:tc>
      </w:tr>
      <w:tr w:rsidR="005B0799" w:rsidRPr="00EC051A" w14:paraId="4095C615" w14:textId="77777777" w:rsidTr="00226B7E">
        <w:trPr>
          <w:trHeight w:val="144"/>
        </w:trPr>
        <w:tc>
          <w:tcPr>
            <w:tcW w:w="4220" w:type="dxa"/>
            <w:tcBorders>
              <w:left w:val="single" w:sz="18" w:space="0" w:color="auto"/>
              <w:bottom w:val="nil"/>
              <w:right w:val="single" w:sz="18" w:space="0" w:color="auto"/>
            </w:tcBorders>
            <w:noWrap/>
            <w:vAlign w:val="center"/>
            <w:hideMark/>
          </w:tcPr>
          <w:p w14:paraId="3AF15B68"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Population Density (&lt; 4,000)</w:t>
            </w:r>
          </w:p>
        </w:tc>
        <w:tc>
          <w:tcPr>
            <w:tcW w:w="593" w:type="dxa"/>
            <w:tcBorders>
              <w:left w:val="single" w:sz="18" w:space="0" w:color="auto"/>
              <w:bottom w:val="nil"/>
              <w:right w:val="nil"/>
            </w:tcBorders>
            <w:noWrap/>
            <w:vAlign w:val="center"/>
            <w:hideMark/>
          </w:tcPr>
          <w:p w14:paraId="584C67C4" w14:textId="77777777" w:rsidR="005B0799" w:rsidRPr="00EC051A" w:rsidRDefault="005B0799" w:rsidP="00EC051A">
            <w:pPr>
              <w:rPr>
                <w:rFonts w:eastAsia="Times New Roman"/>
                <w:color w:val="000000"/>
                <w:kern w:val="0"/>
                <w:sz w:val="20"/>
                <w:szCs w:val="20"/>
                <w14:ligatures w14:val="none"/>
              </w:rPr>
            </w:pPr>
          </w:p>
        </w:tc>
        <w:tc>
          <w:tcPr>
            <w:tcW w:w="669" w:type="dxa"/>
            <w:tcBorders>
              <w:left w:val="nil"/>
              <w:bottom w:val="nil"/>
              <w:right w:val="single" w:sz="4" w:space="0" w:color="auto"/>
            </w:tcBorders>
            <w:noWrap/>
            <w:vAlign w:val="center"/>
            <w:hideMark/>
          </w:tcPr>
          <w:p w14:paraId="0635B2E2"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left w:val="nil"/>
              <w:bottom w:val="nil"/>
              <w:right w:val="nil"/>
            </w:tcBorders>
            <w:noWrap/>
            <w:vAlign w:val="center"/>
            <w:hideMark/>
          </w:tcPr>
          <w:p w14:paraId="551C320F"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left w:val="nil"/>
              <w:bottom w:val="nil"/>
              <w:right w:val="single" w:sz="4" w:space="0" w:color="auto"/>
            </w:tcBorders>
            <w:noWrap/>
            <w:vAlign w:val="center"/>
            <w:hideMark/>
          </w:tcPr>
          <w:p w14:paraId="35B95EDD"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left w:val="nil"/>
              <w:bottom w:val="nil"/>
              <w:right w:val="nil"/>
            </w:tcBorders>
            <w:noWrap/>
            <w:vAlign w:val="center"/>
            <w:hideMark/>
          </w:tcPr>
          <w:p w14:paraId="23790FF7"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left w:val="nil"/>
              <w:bottom w:val="nil"/>
              <w:right w:val="single" w:sz="4" w:space="0" w:color="auto"/>
            </w:tcBorders>
            <w:noWrap/>
            <w:vAlign w:val="center"/>
            <w:hideMark/>
          </w:tcPr>
          <w:p w14:paraId="76663BBD"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left w:val="nil"/>
              <w:bottom w:val="nil"/>
              <w:right w:val="nil"/>
            </w:tcBorders>
            <w:noWrap/>
            <w:vAlign w:val="center"/>
            <w:hideMark/>
          </w:tcPr>
          <w:p w14:paraId="4B0EA6AA"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left w:val="nil"/>
              <w:bottom w:val="nil"/>
              <w:right w:val="single" w:sz="18" w:space="0" w:color="auto"/>
            </w:tcBorders>
            <w:noWrap/>
            <w:vAlign w:val="center"/>
            <w:hideMark/>
          </w:tcPr>
          <w:p w14:paraId="0C1C9BE8" w14:textId="01E81843"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261984" w:rsidRPr="00EC051A" w14:paraId="561DD55A"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4CDCF350" w14:textId="00E5F26D" w:rsidR="00261984" w:rsidRPr="00EC051A" w:rsidRDefault="00261984"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4,000-5,999</w:t>
            </w:r>
          </w:p>
        </w:tc>
        <w:tc>
          <w:tcPr>
            <w:tcW w:w="593" w:type="dxa"/>
            <w:tcBorders>
              <w:top w:val="nil"/>
              <w:left w:val="single" w:sz="18" w:space="0" w:color="auto"/>
              <w:bottom w:val="nil"/>
              <w:right w:val="nil"/>
            </w:tcBorders>
            <w:noWrap/>
            <w:vAlign w:val="bottom"/>
            <w:hideMark/>
          </w:tcPr>
          <w:p w14:paraId="536F1C2D" w14:textId="282EE12C"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-0.30</w:t>
            </w:r>
          </w:p>
        </w:tc>
        <w:tc>
          <w:tcPr>
            <w:tcW w:w="669" w:type="dxa"/>
            <w:tcBorders>
              <w:top w:val="nil"/>
              <w:left w:val="nil"/>
              <w:bottom w:val="nil"/>
              <w:right w:val="single" w:sz="4" w:space="0" w:color="auto"/>
            </w:tcBorders>
            <w:noWrap/>
            <w:vAlign w:val="bottom"/>
            <w:hideMark/>
          </w:tcPr>
          <w:p w14:paraId="6898DB90" w14:textId="58EEA8DA"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-2.04</w:t>
            </w:r>
          </w:p>
        </w:tc>
        <w:tc>
          <w:tcPr>
            <w:tcW w:w="630" w:type="dxa"/>
            <w:tcBorders>
              <w:top w:val="nil"/>
              <w:left w:val="nil"/>
              <w:bottom w:val="nil"/>
              <w:right w:val="nil"/>
            </w:tcBorders>
            <w:noWrap/>
            <w:vAlign w:val="center"/>
            <w:hideMark/>
          </w:tcPr>
          <w:p w14:paraId="4B2C0EC2" w14:textId="77777777" w:rsidR="00261984" w:rsidRPr="00EC051A" w:rsidRDefault="00261984"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743F1472" w14:textId="77777777" w:rsidR="00261984" w:rsidRPr="00EC051A" w:rsidRDefault="00261984"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33004FCD" w14:textId="2E2A2AB4" w:rsidR="00261984" w:rsidRPr="00EC051A" w:rsidRDefault="00261984"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2E024503" w14:textId="174A1220" w:rsidR="00261984" w:rsidRPr="00EC051A" w:rsidRDefault="00261984"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281E6041" w14:textId="000F1B64"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0.15</w:t>
            </w:r>
          </w:p>
        </w:tc>
        <w:tc>
          <w:tcPr>
            <w:tcW w:w="541" w:type="dxa"/>
            <w:tcBorders>
              <w:top w:val="nil"/>
              <w:left w:val="nil"/>
              <w:bottom w:val="nil"/>
              <w:right w:val="single" w:sz="18" w:space="0" w:color="auto"/>
            </w:tcBorders>
            <w:noWrap/>
            <w:vAlign w:val="bottom"/>
            <w:hideMark/>
          </w:tcPr>
          <w:p w14:paraId="305F6120" w14:textId="6641EA8D"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1.41</w:t>
            </w:r>
          </w:p>
        </w:tc>
      </w:tr>
      <w:tr w:rsidR="00261984" w:rsidRPr="00EC051A" w14:paraId="437F0ABA"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518EB789" w14:textId="1091E01F" w:rsidR="00261984" w:rsidRPr="00EC051A" w:rsidRDefault="00261984"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6,000+</w:t>
            </w:r>
          </w:p>
        </w:tc>
        <w:tc>
          <w:tcPr>
            <w:tcW w:w="593" w:type="dxa"/>
            <w:tcBorders>
              <w:top w:val="nil"/>
              <w:left w:val="single" w:sz="18" w:space="0" w:color="auto"/>
              <w:bottom w:val="nil"/>
              <w:right w:val="nil"/>
            </w:tcBorders>
            <w:noWrap/>
            <w:vAlign w:val="bottom"/>
            <w:hideMark/>
          </w:tcPr>
          <w:p w14:paraId="6B23D470" w14:textId="1D995796"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-0.42</w:t>
            </w:r>
          </w:p>
        </w:tc>
        <w:tc>
          <w:tcPr>
            <w:tcW w:w="669" w:type="dxa"/>
            <w:tcBorders>
              <w:top w:val="nil"/>
              <w:left w:val="nil"/>
              <w:bottom w:val="nil"/>
              <w:right w:val="single" w:sz="4" w:space="0" w:color="auto"/>
            </w:tcBorders>
            <w:noWrap/>
            <w:vAlign w:val="bottom"/>
            <w:hideMark/>
          </w:tcPr>
          <w:p w14:paraId="5899CC70" w14:textId="0C197A54"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-3.13</w:t>
            </w:r>
          </w:p>
        </w:tc>
        <w:tc>
          <w:tcPr>
            <w:tcW w:w="630" w:type="dxa"/>
            <w:tcBorders>
              <w:top w:val="nil"/>
              <w:left w:val="nil"/>
              <w:bottom w:val="nil"/>
              <w:right w:val="nil"/>
            </w:tcBorders>
            <w:noWrap/>
            <w:vAlign w:val="center"/>
            <w:hideMark/>
          </w:tcPr>
          <w:p w14:paraId="1F44D95A" w14:textId="77777777" w:rsidR="00261984" w:rsidRPr="00EC051A" w:rsidRDefault="00261984"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2F53246B" w14:textId="77777777" w:rsidR="00261984" w:rsidRPr="00EC051A" w:rsidRDefault="00261984"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23A8E4BB" w14:textId="7372512E" w:rsidR="00261984" w:rsidRPr="00EC051A" w:rsidRDefault="00261984"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215B94D4" w14:textId="5AEDBC80" w:rsidR="00261984" w:rsidRPr="00EC051A" w:rsidRDefault="00261984"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51695A03" w14:textId="10E33EA9"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0.15</w:t>
            </w:r>
          </w:p>
        </w:tc>
        <w:tc>
          <w:tcPr>
            <w:tcW w:w="541" w:type="dxa"/>
            <w:tcBorders>
              <w:top w:val="nil"/>
              <w:left w:val="nil"/>
              <w:bottom w:val="nil"/>
              <w:right w:val="single" w:sz="18" w:space="0" w:color="auto"/>
            </w:tcBorders>
            <w:noWrap/>
            <w:vAlign w:val="bottom"/>
            <w:hideMark/>
          </w:tcPr>
          <w:p w14:paraId="51AF0C7D" w14:textId="67DD241E"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1.41</w:t>
            </w:r>
          </w:p>
        </w:tc>
      </w:tr>
      <w:tr w:rsidR="005B0799" w:rsidRPr="00EC051A" w14:paraId="63F5E119"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7BCB49F3"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Employment Within 0.5 Miles of Transit Stop (none)</w:t>
            </w:r>
          </w:p>
        </w:tc>
        <w:tc>
          <w:tcPr>
            <w:tcW w:w="593" w:type="dxa"/>
            <w:tcBorders>
              <w:top w:val="nil"/>
              <w:left w:val="single" w:sz="18" w:space="0" w:color="auto"/>
              <w:bottom w:val="nil"/>
              <w:right w:val="nil"/>
            </w:tcBorders>
            <w:noWrap/>
            <w:vAlign w:val="center"/>
            <w:hideMark/>
          </w:tcPr>
          <w:p w14:paraId="40E0DAF3"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0D3C76DE"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63A8ED46"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62A39355"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38581C37"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273F38E2" w14:textId="6552A8E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3F75F3D8"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2B1872B9" w14:textId="5EE19DCE"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AD5881" w:rsidRPr="00EC051A" w14:paraId="7F50335B"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6AC95744" w14:textId="77777777" w:rsidR="00AD5881" w:rsidRPr="00EC051A" w:rsidRDefault="00AD5881"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Any transit accessibility</w:t>
            </w:r>
          </w:p>
        </w:tc>
        <w:tc>
          <w:tcPr>
            <w:tcW w:w="593" w:type="dxa"/>
            <w:tcBorders>
              <w:top w:val="nil"/>
              <w:left w:val="single" w:sz="18" w:space="0" w:color="auto"/>
              <w:bottom w:val="nil"/>
              <w:right w:val="nil"/>
            </w:tcBorders>
            <w:noWrap/>
            <w:vAlign w:val="bottom"/>
            <w:hideMark/>
          </w:tcPr>
          <w:p w14:paraId="4925CE14" w14:textId="15992D24" w:rsidR="00AD5881" w:rsidRPr="00EC051A" w:rsidRDefault="00AD5881" w:rsidP="00EC051A">
            <w:pPr>
              <w:jc w:val="right"/>
              <w:rPr>
                <w:rFonts w:eastAsia="Times New Roman"/>
                <w:color w:val="000000"/>
                <w:kern w:val="0"/>
                <w:sz w:val="20"/>
                <w:szCs w:val="20"/>
                <w14:ligatures w14:val="none"/>
              </w:rPr>
            </w:pPr>
            <w:r w:rsidRPr="00EC051A">
              <w:rPr>
                <w:color w:val="000000"/>
                <w:sz w:val="20"/>
                <w:szCs w:val="20"/>
              </w:rPr>
              <w:t>-0.40</w:t>
            </w:r>
          </w:p>
        </w:tc>
        <w:tc>
          <w:tcPr>
            <w:tcW w:w="669" w:type="dxa"/>
            <w:tcBorders>
              <w:top w:val="nil"/>
              <w:left w:val="nil"/>
              <w:bottom w:val="nil"/>
              <w:right w:val="single" w:sz="4" w:space="0" w:color="auto"/>
            </w:tcBorders>
            <w:noWrap/>
            <w:vAlign w:val="bottom"/>
            <w:hideMark/>
          </w:tcPr>
          <w:p w14:paraId="4A5FB134" w14:textId="3DD0B11F" w:rsidR="00AD5881" w:rsidRPr="00EC051A" w:rsidRDefault="00AD5881" w:rsidP="00EC051A">
            <w:pPr>
              <w:jc w:val="right"/>
              <w:rPr>
                <w:rFonts w:eastAsia="Times New Roman"/>
                <w:color w:val="000000"/>
                <w:kern w:val="0"/>
                <w:sz w:val="20"/>
                <w:szCs w:val="20"/>
                <w14:ligatures w14:val="none"/>
              </w:rPr>
            </w:pPr>
            <w:r w:rsidRPr="00EC051A">
              <w:rPr>
                <w:color w:val="000000"/>
                <w:sz w:val="20"/>
                <w:szCs w:val="20"/>
              </w:rPr>
              <w:t>-3.70</w:t>
            </w:r>
          </w:p>
        </w:tc>
        <w:tc>
          <w:tcPr>
            <w:tcW w:w="630" w:type="dxa"/>
            <w:tcBorders>
              <w:top w:val="nil"/>
              <w:left w:val="nil"/>
              <w:bottom w:val="nil"/>
              <w:right w:val="nil"/>
            </w:tcBorders>
            <w:noWrap/>
            <w:vAlign w:val="center"/>
            <w:hideMark/>
          </w:tcPr>
          <w:p w14:paraId="541DECDC" w14:textId="77777777" w:rsidR="00AD5881" w:rsidRPr="00EC051A" w:rsidRDefault="00AD5881"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1B148D04" w14:textId="77777777" w:rsidR="00AD5881" w:rsidRPr="00EC051A" w:rsidRDefault="00AD5881"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7E7284CD" w14:textId="46EEF0A8" w:rsidR="00AD5881" w:rsidRPr="00EC051A" w:rsidRDefault="00AD5881" w:rsidP="00EC051A">
            <w:pPr>
              <w:jc w:val="right"/>
              <w:rPr>
                <w:rFonts w:eastAsia="Times New Roman"/>
                <w:color w:val="000000"/>
                <w:kern w:val="0"/>
                <w:sz w:val="20"/>
                <w:szCs w:val="20"/>
                <w14:ligatures w14:val="none"/>
              </w:rPr>
            </w:pPr>
            <w:r w:rsidRPr="00EC051A">
              <w:rPr>
                <w:color w:val="000000"/>
                <w:sz w:val="20"/>
                <w:szCs w:val="20"/>
              </w:rPr>
              <w:t>0.12</w:t>
            </w:r>
          </w:p>
        </w:tc>
        <w:tc>
          <w:tcPr>
            <w:tcW w:w="541" w:type="dxa"/>
            <w:tcBorders>
              <w:top w:val="nil"/>
              <w:left w:val="nil"/>
              <w:bottom w:val="nil"/>
              <w:right w:val="single" w:sz="4" w:space="0" w:color="auto"/>
            </w:tcBorders>
            <w:noWrap/>
            <w:vAlign w:val="bottom"/>
            <w:hideMark/>
          </w:tcPr>
          <w:p w14:paraId="0A5DAF14" w14:textId="47142A85" w:rsidR="00AD5881" w:rsidRPr="00EC051A" w:rsidRDefault="00AD5881" w:rsidP="00EC051A">
            <w:pPr>
              <w:jc w:val="right"/>
              <w:rPr>
                <w:rFonts w:eastAsia="Times New Roman"/>
                <w:color w:val="000000"/>
                <w:kern w:val="0"/>
                <w:sz w:val="20"/>
                <w:szCs w:val="20"/>
                <w14:ligatures w14:val="none"/>
              </w:rPr>
            </w:pPr>
            <w:r w:rsidRPr="00EC051A">
              <w:rPr>
                <w:color w:val="000000"/>
                <w:sz w:val="20"/>
                <w:szCs w:val="20"/>
              </w:rPr>
              <w:t>1.48</w:t>
            </w:r>
          </w:p>
        </w:tc>
        <w:tc>
          <w:tcPr>
            <w:tcW w:w="593" w:type="dxa"/>
            <w:tcBorders>
              <w:top w:val="nil"/>
              <w:left w:val="nil"/>
              <w:bottom w:val="nil"/>
              <w:right w:val="nil"/>
            </w:tcBorders>
            <w:noWrap/>
            <w:vAlign w:val="center"/>
            <w:hideMark/>
          </w:tcPr>
          <w:p w14:paraId="47123675" w14:textId="2BD8AAD7" w:rsidR="00AD5881" w:rsidRPr="00EC051A" w:rsidRDefault="00AD5881" w:rsidP="00EC051A">
            <w:pPr>
              <w:jc w:val="right"/>
              <w:rPr>
                <w:rFonts w:eastAsia="Times New Roman"/>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20BFF614" w14:textId="5EB69622" w:rsidR="00AD5881" w:rsidRPr="00EC051A" w:rsidRDefault="00AD5881" w:rsidP="00EC051A">
            <w:pPr>
              <w:jc w:val="right"/>
              <w:rPr>
                <w:rFonts w:eastAsia="Times New Roman"/>
                <w:kern w:val="0"/>
                <w:sz w:val="20"/>
                <w:szCs w:val="20"/>
                <w14:ligatures w14:val="none"/>
              </w:rPr>
            </w:pPr>
            <w:r w:rsidRPr="00EC051A">
              <w:rPr>
                <w:rFonts w:eastAsia="Times New Roman"/>
                <w:color w:val="000000"/>
                <w:kern w:val="0"/>
                <w:sz w:val="20"/>
                <w:szCs w:val="20"/>
                <w14:ligatures w14:val="none"/>
              </w:rPr>
              <w:t> </w:t>
            </w:r>
          </w:p>
        </w:tc>
      </w:tr>
      <w:tr w:rsidR="005B0799" w:rsidRPr="00EC051A" w14:paraId="15D9239B"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42CF1EF2"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National Walkability Index (&lt; 10)</w:t>
            </w:r>
          </w:p>
        </w:tc>
        <w:tc>
          <w:tcPr>
            <w:tcW w:w="593" w:type="dxa"/>
            <w:tcBorders>
              <w:top w:val="nil"/>
              <w:left w:val="single" w:sz="18" w:space="0" w:color="auto"/>
              <w:bottom w:val="nil"/>
              <w:right w:val="nil"/>
            </w:tcBorders>
            <w:noWrap/>
            <w:vAlign w:val="center"/>
            <w:hideMark/>
          </w:tcPr>
          <w:p w14:paraId="1EE3118B"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0824BCFE"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0473184C"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4E77BBAE"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6267D228"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43F64177" w14:textId="230E59E9"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593A5283"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2D7C5517" w14:textId="332B0519"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261984" w:rsidRPr="00EC051A" w14:paraId="7FE2784B"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4637B964" w14:textId="77777777" w:rsidR="00261984" w:rsidRPr="00EC051A" w:rsidRDefault="00261984"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10-14.9</w:t>
            </w:r>
          </w:p>
        </w:tc>
        <w:tc>
          <w:tcPr>
            <w:tcW w:w="593" w:type="dxa"/>
            <w:tcBorders>
              <w:top w:val="nil"/>
              <w:left w:val="single" w:sz="18" w:space="0" w:color="auto"/>
              <w:bottom w:val="nil"/>
              <w:right w:val="nil"/>
            </w:tcBorders>
            <w:noWrap/>
            <w:vAlign w:val="bottom"/>
            <w:hideMark/>
          </w:tcPr>
          <w:p w14:paraId="62D00120" w14:textId="32FCDA0E"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-0.61</w:t>
            </w:r>
          </w:p>
        </w:tc>
        <w:tc>
          <w:tcPr>
            <w:tcW w:w="669" w:type="dxa"/>
            <w:tcBorders>
              <w:top w:val="nil"/>
              <w:left w:val="nil"/>
              <w:bottom w:val="nil"/>
              <w:right w:val="single" w:sz="4" w:space="0" w:color="auto"/>
            </w:tcBorders>
            <w:noWrap/>
            <w:vAlign w:val="bottom"/>
            <w:hideMark/>
          </w:tcPr>
          <w:p w14:paraId="60C8139F" w14:textId="030369C6"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-3.57</w:t>
            </w:r>
          </w:p>
        </w:tc>
        <w:tc>
          <w:tcPr>
            <w:tcW w:w="630" w:type="dxa"/>
            <w:tcBorders>
              <w:top w:val="nil"/>
              <w:left w:val="nil"/>
              <w:bottom w:val="nil"/>
              <w:right w:val="nil"/>
            </w:tcBorders>
            <w:noWrap/>
            <w:vAlign w:val="bottom"/>
            <w:hideMark/>
          </w:tcPr>
          <w:p w14:paraId="76A5A349" w14:textId="04646ADE"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0.26</w:t>
            </w:r>
          </w:p>
        </w:tc>
        <w:tc>
          <w:tcPr>
            <w:tcW w:w="541" w:type="dxa"/>
            <w:tcBorders>
              <w:top w:val="nil"/>
              <w:left w:val="nil"/>
              <w:bottom w:val="nil"/>
              <w:right w:val="single" w:sz="4" w:space="0" w:color="auto"/>
            </w:tcBorders>
            <w:noWrap/>
            <w:vAlign w:val="bottom"/>
            <w:hideMark/>
          </w:tcPr>
          <w:p w14:paraId="4B761045" w14:textId="762A0C43"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1.52</w:t>
            </w:r>
          </w:p>
        </w:tc>
        <w:tc>
          <w:tcPr>
            <w:tcW w:w="593" w:type="dxa"/>
            <w:tcBorders>
              <w:top w:val="nil"/>
              <w:left w:val="nil"/>
              <w:bottom w:val="nil"/>
              <w:right w:val="nil"/>
            </w:tcBorders>
            <w:noWrap/>
            <w:vAlign w:val="bottom"/>
            <w:hideMark/>
          </w:tcPr>
          <w:p w14:paraId="0B5AFE83" w14:textId="523CB5A8"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0.17</w:t>
            </w:r>
          </w:p>
        </w:tc>
        <w:tc>
          <w:tcPr>
            <w:tcW w:w="541" w:type="dxa"/>
            <w:tcBorders>
              <w:top w:val="nil"/>
              <w:left w:val="nil"/>
              <w:bottom w:val="nil"/>
              <w:right w:val="single" w:sz="4" w:space="0" w:color="auto"/>
            </w:tcBorders>
            <w:noWrap/>
            <w:vAlign w:val="bottom"/>
            <w:hideMark/>
          </w:tcPr>
          <w:p w14:paraId="3CE29A18" w14:textId="0ABA8CDC"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1.38</w:t>
            </w:r>
          </w:p>
        </w:tc>
        <w:tc>
          <w:tcPr>
            <w:tcW w:w="593" w:type="dxa"/>
            <w:tcBorders>
              <w:top w:val="nil"/>
              <w:left w:val="nil"/>
              <w:bottom w:val="nil"/>
              <w:right w:val="nil"/>
            </w:tcBorders>
            <w:noWrap/>
            <w:vAlign w:val="bottom"/>
            <w:hideMark/>
          </w:tcPr>
          <w:p w14:paraId="5C3E4E87" w14:textId="30237B06"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0.20</w:t>
            </w:r>
          </w:p>
        </w:tc>
        <w:tc>
          <w:tcPr>
            <w:tcW w:w="541" w:type="dxa"/>
            <w:tcBorders>
              <w:top w:val="nil"/>
              <w:left w:val="nil"/>
              <w:bottom w:val="nil"/>
              <w:right w:val="single" w:sz="18" w:space="0" w:color="auto"/>
            </w:tcBorders>
            <w:noWrap/>
            <w:vAlign w:val="bottom"/>
            <w:hideMark/>
          </w:tcPr>
          <w:p w14:paraId="5D5779A4" w14:textId="3BA44B16"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1.37</w:t>
            </w:r>
          </w:p>
        </w:tc>
      </w:tr>
      <w:tr w:rsidR="00261984" w:rsidRPr="00EC051A" w14:paraId="0431E17D" w14:textId="77777777" w:rsidTr="0000496D">
        <w:trPr>
          <w:trHeight w:val="144"/>
        </w:trPr>
        <w:tc>
          <w:tcPr>
            <w:tcW w:w="4220" w:type="dxa"/>
            <w:tcBorders>
              <w:top w:val="nil"/>
              <w:left w:val="single" w:sz="18" w:space="0" w:color="auto"/>
              <w:bottom w:val="single" w:sz="18" w:space="0" w:color="auto"/>
              <w:right w:val="single" w:sz="18" w:space="0" w:color="auto"/>
            </w:tcBorders>
            <w:noWrap/>
            <w:vAlign w:val="center"/>
            <w:hideMark/>
          </w:tcPr>
          <w:p w14:paraId="2E2DCEC8" w14:textId="77777777" w:rsidR="00261984" w:rsidRPr="00EC051A" w:rsidRDefault="00261984"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15+</w:t>
            </w:r>
          </w:p>
        </w:tc>
        <w:tc>
          <w:tcPr>
            <w:tcW w:w="593" w:type="dxa"/>
            <w:tcBorders>
              <w:top w:val="nil"/>
              <w:left w:val="single" w:sz="18" w:space="0" w:color="auto"/>
              <w:bottom w:val="single" w:sz="18" w:space="0" w:color="auto"/>
              <w:right w:val="nil"/>
            </w:tcBorders>
            <w:noWrap/>
            <w:vAlign w:val="bottom"/>
            <w:hideMark/>
          </w:tcPr>
          <w:p w14:paraId="2E629A1C" w14:textId="7CBC1C3A"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-0.82</w:t>
            </w:r>
          </w:p>
        </w:tc>
        <w:tc>
          <w:tcPr>
            <w:tcW w:w="669" w:type="dxa"/>
            <w:tcBorders>
              <w:top w:val="nil"/>
              <w:left w:val="nil"/>
              <w:bottom w:val="single" w:sz="18" w:space="0" w:color="auto"/>
              <w:right w:val="single" w:sz="4" w:space="0" w:color="auto"/>
            </w:tcBorders>
            <w:noWrap/>
            <w:vAlign w:val="bottom"/>
            <w:hideMark/>
          </w:tcPr>
          <w:p w14:paraId="17BEFAA4" w14:textId="5FF2A8DC"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-4.40</w:t>
            </w:r>
          </w:p>
        </w:tc>
        <w:tc>
          <w:tcPr>
            <w:tcW w:w="630" w:type="dxa"/>
            <w:tcBorders>
              <w:top w:val="nil"/>
              <w:left w:val="nil"/>
              <w:bottom w:val="single" w:sz="18" w:space="0" w:color="auto"/>
              <w:right w:val="nil"/>
            </w:tcBorders>
            <w:noWrap/>
            <w:vAlign w:val="bottom"/>
            <w:hideMark/>
          </w:tcPr>
          <w:p w14:paraId="14A23096" w14:textId="242670E2"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0.42</w:t>
            </w:r>
          </w:p>
        </w:tc>
        <w:tc>
          <w:tcPr>
            <w:tcW w:w="541" w:type="dxa"/>
            <w:tcBorders>
              <w:top w:val="nil"/>
              <w:left w:val="nil"/>
              <w:bottom w:val="single" w:sz="18" w:space="0" w:color="auto"/>
              <w:right w:val="single" w:sz="4" w:space="0" w:color="auto"/>
            </w:tcBorders>
            <w:noWrap/>
            <w:vAlign w:val="bottom"/>
            <w:hideMark/>
          </w:tcPr>
          <w:p w14:paraId="2D2E9727" w14:textId="399C637A"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2.25</w:t>
            </w:r>
          </w:p>
        </w:tc>
        <w:tc>
          <w:tcPr>
            <w:tcW w:w="593" w:type="dxa"/>
            <w:tcBorders>
              <w:top w:val="nil"/>
              <w:left w:val="nil"/>
              <w:bottom w:val="single" w:sz="18" w:space="0" w:color="auto"/>
              <w:right w:val="nil"/>
            </w:tcBorders>
            <w:noWrap/>
            <w:vAlign w:val="bottom"/>
            <w:hideMark/>
          </w:tcPr>
          <w:p w14:paraId="4AC78F24" w14:textId="5D929296"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0.37</w:t>
            </w:r>
          </w:p>
        </w:tc>
        <w:tc>
          <w:tcPr>
            <w:tcW w:w="541" w:type="dxa"/>
            <w:tcBorders>
              <w:top w:val="nil"/>
              <w:left w:val="nil"/>
              <w:bottom w:val="single" w:sz="18" w:space="0" w:color="auto"/>
              <w:right w:val="single" w:sz="4" w:space="0" w:color="auto"/>
            </w:tcBorders>
            <w:noWrap/>
            <w:vAlign w:val="bottom"/>
            <w:hideMark/>
          </w:tcPr>
          <w:p w14:paraId="64CB3F54" w14:textId="51C9EE9A"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1.70</w:t>
            </w:r>
          </w:p>
        </w:tc>
        <w:tc>
          <w:tcPr>
            <w:tcW w:w="593" w:type="dxa"/>
            <w:tcBorders>
              <w:top w:val="nil"/>
              <w:left w:val="nil"/>
              <w:bottom w:val="single" w:sz="18" w:space="0" w:color="auto"/>
              <w:right w:val="nil"/>
            </w:tcBorders>
            <w:noWrap/>
            <w:vAlign w:val="bottom"/>
            <w:hideMark/>
          </w:tcPr>
          <w:p w14:paraId="64495EE4" w14:textId="66D5545B" w:rsidR="00261984" w:rsidRPr="00EC051A" w:rsidRDefault="00261984" w:rsidP="00EC051A">
            <w:pPr>
              <w:jc w:val="right"/>
              <w:rPr>
                <w:color w:val="000000"/>
                <w:sz w:val="20"/>
                <w:szCs w:val="20"/>
              </w:rPr>
            </w:pPr>
            <w:r w:rsidRPr="00EC051A">
              <w:rPr>
                <w:color w:val="000000"/>
                <w:sz w:val="20"/>
                <w:szCs w:val="20"/>
              </w:rPr>
              <w:t>0.20</w:t>
            </w:r>
          </w:p>
        </w:tc>
        <w:tc>
          <w:tcPr>
            <w:tcW w:w="541" w:type="dxa"/>
            <w:tcBorders>
              <w:top w:val="nil"/>
              <w:left w:val="nil"/>
              <w:bottom w:val="single" w:sz="18" w:space="0" w:color="auto"/>
              <w:right w:val="single" w:sz="18" w:space="0" w:color="auto"/>
            </w:tcBorders>
            <w:noWrap/>
            <w:vAlign w:val="bottom"/>
            <w:hideMark/>
          </w:tcPr>
          <w:p w14:paraId="6DCA47D0" w14:textId="4C881468" w:rsidR="00261984" w:rsidRPr="00EC051A" w:rsidRDefault="00261984" w:rsidP="00EC051A">
            <w:pPr>
              <w:jc w:val="right"/>
              <w:rPr>
                <w:rFonts w:eastAsia="Times New Roman"/>
                <w:color w:val="000000"/>
                <w:kern w:val="0"/>
                <w:sz w:val="20"/>
                <w:szCs w:val="20"/>
                <w14:ligatures w14:val="none"/>
              </w:rPr>
            </w:pPr>
            <w:r w:rsidRPr="00EC051A">
              <w:rPr>
                <w:color w:val="000000"/>
                <w:sz w:val="20"/>
                <w:szCs w:val="20"/>
              </w:rPr>
              <w:t>1.37</w:t>
            </w:r>
          </w:p>
        </w:tc>
      </w:tr>
      <w:tr w:rsidR="00226B7E" w:rsidRPr="00EC051A" w14:paraId="54825F3E" w14:textId="77777777" w:rsidTr="00D556B7">
        <w:trPr>
          <w:trHeight w:val="144"/>
        </w:trPr>
        <w:tc>
          <w:tcPr>
            <w:tcW w:w="8921" w:type="dxa"/>
            <w:gridSpan w:val="9"/>
            <w:tcBorders>
              <w:top w:val="nil"/>
              <w:left w:val="single" w:sz="18" w:space="0" w:color="auto"/>
              <w:bottom w:val="single" w:sz="18" w:space="0" w:color="auto"/>
              <w:right w:val="single" w:sz="18" w:space="0" w:color="auto"/>
            </w:tcBorders>
            <w:noWrap/>
            <w:vAlign w:val="center"/>
          </w:tcPr>
          <w:p w14:paraId="6BDB3B64" w14:textId="5127298A" w:rsidR="00226B7E" w:rsidRPr="00EC051A" w:rsidRDefault="00226B7E" w:rsidP="00226B7E">
            <w:pPr>
              <w:rPr>
                <w:color w:val="000000"/>
                <w:sz w:val="20"/>
                <w:szCs w:val="20"/>
              </w:rPr>
            </w:pPr>
            <w:r w:rsidRPr="00226B7E">
              <w:rPr>
                <w:rFonts w:eastAsia="Times New Roman"/>
                <w:b/>
                <w:bCs/>
                <w:i/>
                <w:iCs/>
                <w:color w:val="000000"/>
                <w:kern w:val="0"/>
                <w:sz w:val="20"/>
                <w:szCs w:val="20"/>
                <w14:ligatures w14:val="none"/>
              </w:rPr>
              <w:t>Employment Details</w:t>
            </w:r>
          </w:p>
        </w:tc>
      </w:tr>
      <w:tr w:rsidR="005B0799" w:rsidRPr="00EC051A" w14:paraId="50437354" w14:textId="77777777" w:rsidTr="0000496D">
        <w:trPr>
          <w:trHeight w:val="144"/>
        </w:trPr>
        <w:tc>
          <w:tcPr>
            <w:tcW w:w="4220" w:type="dxa"/>
            <w:tcBorders>
              <w:top w:val="single" w:sz="18" w:space="0" w:color="auto"/>
              <w:left w:val="single" w:sz="18" w:space="0" w:color="auto"/>
              <w:bottom w:val="nil"/>
              <w:right w:val="single" w:sz="18" w:space="0" w:color="auto"/>
            </w:tcBorders>
            <w:noWrap/>
            <w:vAlign w:val="center"/>
            <w:hideMark/>
          </w:tcPr>
          <w:p w14:paraId="08A433AF"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Employment (Full-Time)</w:t>
            </w:r>
          </w:p>
        </w:tc>
        <w:tc>
          <w:tcPr>
            <w:tcW w:w="593" w:type="dxa"/>
            <w:tcBorders>
              <w:top w:val="single" w:sz="18" w:space="0" w:color="auto"/>
              <w:left w:val="single" w:sz="18" w:space="0" w:color="auto"/>
              <w:bottom w:val="nil"/>
              <w:right w:val="nil"/>
            </w:tcBorders>
            <w:noWrap/>
            <w:vAlign w:val="center"/>
            <w:hideMark/>
          </w:tcPr>
          <w:p w14:paraId="1E5F67B0" w14:textId="77777777" w:rsidR="005B0799" w:rsidRPr="00EC051A" w:rsidRDefault="005B0799" w:rsidP="00EC051A">
            <w:pPr>
              <w:rPr>
                <w:rFonts w:eastAsia="Times New Roman"/>
                <w:color w:val="000000"/>
                <w:kern w:val="0"/>
                <w:sz w:val="20"/>
                <w:szCs w:val="20"/>
                <w14:ligatures w14:val="none"/>
              </w:rPr>
            </w:pPr>
          </w:p>
        </w:tc>
        <w:tc>
          <w:tcPr>
            <w:tcW w:w="669" w:type="dxa"/>
            <w:tcBorders>
              <w:top w:val="single" w:sz="18" w:space="0" w:color="auto"/>
              <w:left w:val="nil"/>
              <w:bottom w:val="nil"/>
              <w:right w:val="single" w:sz="4" w:space="0" w:color="auto"/>
            </w:tcBorders>
            <w:noWrap/>
            <w:vAlign w:val="center"/>
            <w:hideMark/>
          </w:tcPr>
          <w:p w14:paraId="4D199DBC"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single" w:sz="18" w:space="0" w:color="auto"/>
              <w:left w:val="nil"/>
              <w:bottom w:val="nil"/>
              <w:right w:val="nil"/>
            </w:tcBorders>
            <w:noWrap/>
            <w:vAlign w:val="center"/>
            <w:hideMark/>
          </w:tcPr>
          <w:p w14:paraId="6AC5041F"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hideMark/>
          </w:tcPr>
          <w:p w14:paraId="233BF666"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single" w:sz="18" w:space="0" w:color="auto"/>
              <w:left w:val="nil"/>
              <w:bottom w:val="nil"/>
              <w:right w:val="nil"/>
            </w:tcBorders>
            <w:noWrap/>
            <w:vAlign w:val="center"/>
            <w:hideMark/>
          </w:tcPr>
          <w:p w14:paraId="4E687880"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hideMark/>
          </w:tcPr>
          <w:p w14:paraId="18E3B15A" w14:textId="566AAEFA"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single" w:sz="18" w:space="0" w:color="auto"/>
              <w:left w:val="nil"/>
              <w:bottom w:val="nil"/>
              <w:right w:val="nil"/>
            </w:tcBorders>
            <w:noWrap/>
            <w:vAlign w:val="center"/>
            <w:hideMark/>
          </w:tcPr>
          <w:p w14:paraId="72177DEB"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18" w:space="0" w:color="auto"/>
            </w:tcBorders>
            <w:noWrap/>
            <w:vAlign w:val="center"/>
            <w:hideMark/>
          </w:tcPr>
          <w:p w14:paraId="0A46915E" w14:textId="2B1F2D0A"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DD6150" w:rsidRPr="00EC051A" w14:paraId="64158630"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46AC2F7D" w14:textId="77777777" w:rsidR="00DD6150" w:rsidRPr="00EC051A" w:rsidRDefault="00DD615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Part-Time</w:t>
            </w:r>
          </w:p>
        </w:tc>
        <w:tc>
          <w:tcPr>
            <w:tcW w:w="593" w:type="dxa"/>
            <w:tcBorders>
              <w:top w:val="nil"/>
              <w:left w:val="single" w:sz="18" w:space="0" w:color="auto"/>
              <w:bottom w:val="nil"/>
              <w:right w:val="nil"/>
            </w:tcBorders>
            <w:noWrap/>
            <w:vAlign w:val="bottom"/>
            <w:hideMark/>
          </w:tcPr>
          <w:p w14:paraId="56A69D4F" w14:textId="22E196F0"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-0.34</w:t>
            </w:r>
          </w:p>
        </w:tc>
        <w:tc>
          <w:tcPr>
            <w:tcW w:w="669" w:type="dxa"/>
            <w:tcBorders>
              <w:top w:val="nil"/>
              <w:left w:val="nil"/>
              <w:bottom w:val="nil"/>
              <w:right w:val="single" w:sz="4" w:space="0" w:color="auto"/>
            </w:tcBorders>
            <w:noWrap/>
            <w:vAlign w:val="bottom"/>
            <w:hideMark/>
          </w:tcPr>
          <w:p w14:paraId="50EDC3CD" w14:textId="10CF9232"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-2.23</w:t>
            </w:r>
          </w:p>
        </w:tc>
        <w:tc>
          <w:tcPr>
            <w:tcW w:w="630" w:type="dxa"/>
            <w:tcBorders>
              <w:top w:val="nil"/>
              <w:left w:val="nil"/>
              <w:bottom w:val="nil"/>
              <w:right w:val="nil"/>
            </w:tcBorders>
            <w:noWrap/>
            <w:vAlign w:val="center"/>
            <w:hideMark/>
          </w:tcPr>
          <w:p w14:paraId="4C7D8316" w14:textId="77777777"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061AC740" w14:textId="77777777" w:rsidR="00DD6150" w:rsidRPr="00EC051A" w:rsidRDefault="00DD615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4C5A9713" w14:textId="7516F814"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0.37</w:t>
            </w:r>
          </w:p>
        </w:tc>
        <w:tc>
          <w:tcPr>
            <w:tcW w:w="541" w:type="dxa"/>
            <w:tcBorders>
              <w:top w:val="nil"/>
              <w:left w:val="nil"/>
              <w:bottom w:val="nil"/>
              <w:right w:val="single" w:sz="4" w:space="0" w:color="auto"/>
            </w:tcBorders>
            <w:noWrap/>
            <w:vAlign w:val="bottom"/>
            <w:hideMark/>
          </w:tcPr>
          <w:p w14:paraId="4A628FEA" w14:textId="38992E6B"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1.98</w:t>
            </w:r>
          </w:p>
        </w:tc>
        <w:tc>
          <w:tcPr>
            <w:tcW w:w="593" w:type="dxa"/>
            <w:tcBorders>
              <w:top w:val="nil"/>
              <w:left w:val="nil"/>
              <w:bottom w:val="nil"/>
              <w:right w:val="nil"/>
            </w:tcBorders>
            <w:noWrap/>
            <w:vAlign w:val="bottom"/>
            <w:hideMark/>
          </w:tcPr>
          <w:p w14:paraId="4237DFF2" w14:textId="76DDA20C"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-0.22</w:t>
            </w:r>
          </w:p>
        </w:tc>
        <w:tc>
          <w:tcPr>
            <w:tcW w:w="541" w:type="dxa"/>
            <w:tcBorders>
              <w:top w:val="nil"/>
              <w:left w:val="nil"/>
              <w:bottom w:val="nil"/>
              <w:right w:val="single" w:sz="18" w:space="0" w:color="auto"/>
            </w:tcBorders>
            <w:noWrap/>
            <w:vAlign w:val="bottom"/>
            <w:hideMark/>
          </w:tcPr>
          <w:p w14:paraId="74971BE1" w14:textId="755FE8EF" w:rsidR="00DD6150" w:rsidRPr="00EC051A" w:rsidRDefault="00DD6150" w:rsidP="00EC051A">
            <w:pPr>
              <w:jc w:val="right"/>
              <w:rPr>
                <w:rFonts w:eastAsia="Times New Roman"/>
                <w:color w:val="000000"/>
                <w:kern w:val="0"/>
                <w:sz w:val="20"/>
                <w:szCs w:val="20"/>
                <w14:ligatures w14:val="none"/>
              </w:rPr>
            </w:pPr>
            <w:r w:rsidRPr="00EC051A">
              <w:rPr>
                <w:color w:val="000000"/>
                <w:sz w:val="20"/>
                <w:szCs w:val="20"/>
              </w:rPr>
              <w:t>-1.44</w:t>
            </w:r>
          </w:p>
        </w:tc>
      </w:tr>
      <w:tr w:rsidR="00A678B3" w:rsidRPr="00EC051A" w14:paraId="71E5DF51"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28C9DE98" w14:textId="77777777" w:rsidR="00A678B3" w:rsidRPr="00EC051A" w:rsidRDefault="00A678B3"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Self-Employed</w:t>
            </w:r>
          </w:p>
        </w:tc>
        <w:tc>
          <w:tcPr>
            <w:tcW w:w="593" w:type="dxa"/>
            <w:tcBorders>
              <w:top w:val="nil"/>
              <w:left w:val="single" w:sz="18" w:space="0" w:color="auto"/>
              <w:bottom w:val="nil"/>
              <w:right w:val="nil"/>
            </w:tcBorders>
            <w:noWrap/>
            <w:vAlign w:val="center"/>
            <w:hideMark/>
          </w:tcPr>
          <w:p w14:paraId="636D2A0F" w14:textId="77777777" w:rsidR="00A678B3" w:rsidRPr="00EC051A" w:rsidRDefault="00A678B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6DF36E2B" w14:textId="77777777" w:rsidR="00A678B3" w:rsidRPr="00EC051A" w:rsidRDefault="00A678B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2ED656F7" w14:textId="77777777" w:rsidR="00A678B3" w:rsidRPr="00EC051A" w:rsidRDefault="00A678B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6FD31892" w14:textId="77777777" w:rsidR="00A678B3" w:rsidRPr="00EC051A" w:rsidRDefault="00A678B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106286E3" w14:textId="514A094B" w:rsidR="00A678B3" w:rsidRPr="00EC051A" w:rsidRDefault="00A678B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2EDD7108" w14:textId="3AD51496" w:rsidR="00A678B3" w:rsidRPr="00EC051A" w:rsidRDefault="00A678B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00460D16" w14:textId="490057BE" w:rsidR="00A678B3" w:rsidRPr="00EC051A" w:rsidRDefault="00A678B3" w:rsidP="00EC051A">
            <w:pPr>
              <w:jc w:val="right"/>
              <w:rPr>
                <w:rFonts w:eastAsia="Times New Roman"/>
                <w:color w:val="000000"/>
                <w:kern w:val="0"/>
                <w:sz w:val="20"/>
                <w:szCs w:val="20"/>
                <w14:ligatures w14:val="none"/>
              </w:rPr>
            </w:pPr>
            <w:r w:rsidRPr="00EC051A">
              <w:rPr>
                <w:color w:val="000000"/>
                <w:sz w:val="20"/>
                <w:szCs w:val="20"/>
              </w:rPr>
              <w:t>-0.11</w:t>
            </w:r>
          </w:p>
        </w:tc>
        <w:tc>
          <w:tcPr>
            <w:tcW w:w="541" w:type="dxa"/>
            <w:tcBorders>
              <w:top w:val="nil"/>
              <w:left w:val="nil"/>
              <w:bottom w:val="nil"/>
              <w:right w:val="single" w:sz="18" w:space="0" w:color="auto"/>
            </w:tcBorders>
            <w:noWrap/>
            <w:vAlign w:val="bottom"/>
            <w:hideMark/>
          </w:tcPr>
          <w:p w14:paraId="1A70BBEB" w14:textId="146C1984" w:rsidR="00A678B3" w:rsidRPr="00EC051A" w:rsidRDefault="00A678B3" w:rsidP="00EC051A">
            <w:pPr>
              <w:jc w:val="right"/>
              <w:rPr>
                <w:rFonts w:eastAsia="Times New Roman"/>
                <w:color w:val="000000"/>
                <w:kern w:val="0"/>
                <w:sz w:val="20"/>
                <w:szCs w:val="20"/>
                <w14:ligatures w14:val="none"/>
              </w:rPr>
            </w:pPr>
            <w:r w:rsidRPr="00EC051A">
              <w:rPr>
                <w:color w:val="000000"/>
                <w:sz w:val="20"/>
                <w:szCs w:val="20"/>
              </w:rPr>
              <w:t>-1.50</w:t>
            </w:r>
          </w:p>
        </w:tc>
      </w:tr>
      <w:tr w:rsidR="005F253F" w:rsidRPr="00EC051A" w14:paraId="0D4D9DD7" w14:textId="77777777" w:rsidTr="0000496D">
        <w:trPr>
          <w:trHeight w:val="144"/>
        </w:trPr>
        <w:tc>
          <w:tcPr>
            <w:tcW w:w="4220" w:type="dxa"/>
            <w:tcBorders>
              <w:top w:val="nil"/>
              <w:left w:val="single" w:sz="18" w:space="0" w:color="auto"/>
              <w:bottom w:val="nil"/>
              <w:right w:val="single" w:sz="18" w:space="0" w:color="auto"/>
            </w:tcBorders>
            <w:noWrap/>
            <w:vAlign w:val="center"/>
          </w:tcPr>
          <w:p w14:paraId="334D2DAB" w14:textId="11968AA7" w:rsidR="005F253F" w:rsidRPr="00EC051A" w:rsidRDefault="005F253F"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Number of Working Days (3)</w:t>
            </w:r>
          </w:p>
        </w:tc>
        <w:tc>
          <w:tcPr>
            <w:tcW w:w="593" w:type="dxa"/>
            <w:tcBorders>
              <w:top w:val="nil"/>
              <w:left w:val="single" w:sz="18" w:space="0" w:color="auto"/>
              <w:bottom w:val="nil"/>
              <w:right w:val="nil"/>
            </w:tcBorders>
            <w:noWrap/>
            <w:vAlign w:val="center"/>
          </w:tcPr>
          <w:p w14:paraId="32DDCB65" w14:textId="77777777" w:rsidR="005F253F" w:rsidRPr="00EC051A" w:rsidRDefault="005F253F" w:rsidP="00EC051A">
            <w:pPr>
              <w:jc w:val="right"/>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tcPr>
          <w:p w14:paraId="01D0A61B" w14:textId="77777777" w:rsidR="005F253F" w:rsidRPr="00EC051A" w:rsidRDefault="005F253F" w:rsidP="00EC051A">
            <w:pPr>
              <w:jc w:val="right"/>
              <w:rPr>
                <w:rFonts w:eastAsia="Times New Roman"/>
                <w:color w:val="000000"/>
                <w:kern w:val="0"/>
                <w:sz w:val="20"/>
                <w:szCs w:val="20"/>
                <w14:ligatures w14:val="none"/>
              </w:rPr>
            </w:pPr>
          </w:p>
        </w:tc>
        <w:tc>
          <w:tcPr>
            <w:tcW w:w="630" w:type="dxa"/>
            <w:tcBorders>
              <w:top w:val="nil"/>
              <w:left w:val="nil"/>
              <w:bottom w:val="nil"/>
              <w:right w:val="nil"/>
            </w:tcBorders>
            <w:noWrap/>
            <w:vAlign w:val="center"/>
          </w:tcPr>
          <w:p w14:paraId="3C810711" w14:textId="77777777" w:rsidR="005F253F" w:rsidRPr="00EC051A" w:rsidRDefault="005F253F"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tcPr>
          <w:p w14:paraId="3CF8E5EE" w14:textId="77777777" w:rsidR="005F253F" w:rsidRPr="00EC051A" w:rsidRDefault="005F253F" w:rsidP="00EC051A">
            <w:pPr>
              <w:jc w:val="right"/>
              <w:rPr>
                <w:rFonts w:eastAsia="Times New Roman"/>
                <w:color w:val="000000"/>
                <w:kern w:val="0"/>
                <w:sz w:val="20"/>
                <w:szCs w:val="20"/>
                <w14:ligatures w14:val="none"/>
              </w:rPr>
            </w:pPr>
          </w:p>
        </w:tc>
        <w:tc>
          <w:tcPr>
            <w:tcW w:w="593" w:type="dxa"/>
            <w:tcBorders>
              <w:top w:val="nil"/>
              <w:left w:val="nil"/>
              <w:bottom w:val="nil"/>
              <w:right w:val="nil"/>
            </w:tcBorders>
            <w:noWrap/>
            <w:vAlign w:val="center"/>
          </w:tcPr>
          <w:p w14:paraId="3399A245" w14:textId="77777777" w:rsidR="005F253F" w:rsidRPr="00EC051A" w:rsidRDefault="005F253F"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tcPr>
          <w:p w14:paraId="27F2FD7F" w14:textId="77777777" w:rsidR="005F253F" w:rsidRPr="00EC051A" w:rsidRDefault="005F253F" w:rsidP="00EC051A">
            <w:pPr>
              <w:jc w:val="right"/>
              <w:rPr>
                <w:rFonts w:eastAsia="Times New Roman"/>
                <w:color w:val="000000"/>
                <w:kern w:val="0"/>
                <w:sz w:val="20"/>
                <w:szCs w:val="20"/>
                <w14:ligatures w14:val="none"/>
              </w:rPr>
            </w:pPr>
          </w:p>
        </w:tc>
        <w:tc>
          <w:tcPr>
            <w:tcW w:w="593" w:type="dxa"/>
            <w:tcBorders>
              <w:top w:val="nil"/>
              <w:left w:val="nil"/>
              <w:bottom w:val="nil"/>
              <w:right w:val="nil"/>
            </w:tcBorders>
            <w:noWrap/>
            <w:vAlign w:val="bottom"/>
          </w:tcPr>
          <w:p w14:paraId="2FF3AF1B" w14:textId="77777777" w:rsidR="005F253F" w:rsidRPr="00EC051A" w:rsidRDefault="005F253F" w:rsidP="00EC051A">
            <w:pPr>
              <w:jc w:val="right"/>
              <w:rPr>
                <w:color w:val="000000"/>
                <w:sz w:val="20"/>
                <w:szCs w:val="20"/>
              </w:rPr>
            </w:pPr>
          </w:p>
        </w:tc>
        <w:tc>
          <w:tcPr>
            <w:tcW w:w="541" w:type="dxa"/>
            <w:tcBorders>
              <w:top w:val="nil"/>
              <w:left w:val="nil"/>
              <w:bottom w:val="nil"/>
              <w:right w:val="single" w:sz="18" w:space="0" w:color="auto"/>
            </w:tcBorders>
            <w:noWrap/>
            <w:vAlign w:val="bottom"/>
          </w:tcPr>
          <w:p w14:paraId="32915A9A" w14:textId="77777777" w:rsidR="005F253F" w:rsidRPr="00EC051A" w:rsidRDefault="005F253F" w:rsidP="00EC051A">
            <w:pPr>
              <w:jc w:val="right"/>
              <w:rPr>
                <w:color w:val="000000"/>
                <w:sz w:val="20"/>
                <w:szCs w:val="20"/>
              </w:rPr>
            </w:pPr>
          </w:p>
        </w:tc>
      </w:tr>
      <w:tr w:rsidR="00676CF0" w:rsidRPr="00EC051A" w14:paraId="397ED8A6" w14:textId="77777777" w:rsidTr="0000496D">
        <w:trPr>
          <w:trHeight w:val="144"/>
        </w:trPr>
        <w:tc>
          <w:tcPr>
            <w:tcW w:w="4220" w:type="dxa"/>
            <w:tcBorders>
              <w:top w:val="nil"/>
              <w:left w:val="single" w:sz="18" w:space="0" w:color="auto"/>
              <w:bottom w:val="nil"/>
              <w:right w:val="single" w:sz="18" w:space="0" w:color="auto"/>
            </w:tcBorders>
            <w:noWrap/>
            <w:vAlign w:val="center"/>
          </w:tcPr>
          <w:p w14:paraId="1A763CA9" w14:textId="23DAA6D7" w:rsidR="00676CF0" w:rsidRPr="00EC051A" w:rsidRDefault="00676CF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4</w:t>
            </w:r>
          </w:p>
        </w:tc>
        <w:tc>
          <w:tcPr>
            <w:tcW w:w="593" w:type="dxa"/>
            <w:tcBorders>
              <w:top w:val="nil"/>
              <w:left w:val="single" w:sz="18" w:space="0" w:color="auto"/>
              <w:bottom w:val="nil"/>
              <w:right w:val="nil"/>
            </w:tcBorders>
            <w:noWrap/>
            <w:vAlign w:val="center"/>
          </w:tcPr>
          <w:p w14:paraId="4501E827" w14:textId="3B148746" w:rsidR="00676CF0" w:rsidRPr="00EC051A" w:rsidRDefault="00676CF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tcPr>
          <w:p w14:paraId="7533F8F4" w14:textId="1D9661D2" w:rsidR="00676CF0" w:rsidRPr="00EC051A" w:rsidRDefault="00676CF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bottom"/>
          </w:tcPr>
          <w:p w14:paraId="65E2B235" w14:textId="78B00243"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0.45</w:t>
            </w:r>
          </w:p>
        </w:tc>
        <w:tc>
          <w:tcPr>
            <w:tcW w:w="541" w:type="dxa"/>
            <w:tcBorders>
              <w:top w:val="nil"/>
              <w:left w:val="nil"/>
              <w:bottom w:val="nil"/>
              <w:right w:val="single" w:sz="4" w:space="0" w:color="auto"/>
            </w:tcBorders>
            <w:noWrap/>
            <w:vAlign w:val="bottom"/>
          </w:tcPr>
          <w:p w14:paraId="44DB87FA" w14:textId="0C29E264"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2.95</w:t>
            </w:r>
          </w:p>
        </w:tc>
        <w:tc>
          <w:tcPr>
            <w:tcW w:w="593" w:type="dxa"/>
            <w:tcBorders>
              <w:top w:val="nil"/>
              <w:left w:val="nil"/>
              <w:bottom w:val="nil"/>
              <w:right w:val="nil"/>
            </w:tcBorders>
            <w:noWrap/>
            <w:vAlign w:val="bottom"/>
          </w:tcPr>
          <w:p w14:paraId="34FC4ACD" w14:textId="5DDE6B4E"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0.15</w:t>
            </w:r>
          </w:p>
        </w:tc>
        <w:tc>
          <w:tcPr>
            <w:tcW w:w="541" w:type="dxa"/>
            <w:tcBorders>
              <w:top w:val="nil"/>
              <w:left w:val="nil"/>
              <w:bottom w:val="nil"/>
              <w:right w:val="single" w:sz="4" w:space="0" w:color="auto"/>
            </w:tcBorders>
            <w:noWrap/>
            <w:vAlign w:val="bottom"/>
          </w:tcPr>
          <w:p w14:paraId="4DCE712A" w14:textId="59A400C5"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1.61</w:t>
            </w:r>
          </w:p>
        </w:tc>
        <w:tc>
          <w:tcPr>
            <w:tcW w:w="593" w:type="dxa"/>
            <w:tcBorders>
              <w:top w:val="nil"/>
              <w:left w:val="nil"/>
              <w:bottom w:val="nil"/>
              <w:right w:val="nil"/>
            </w:tcBorders>
            <w:noWrap/>
            <w:vAlign w:val="center"/>
          </w:tcPr>
          <w:p w14:paraId="03D8382C" w14:textId="2E266E6C" w:rsidR="00676CF0" w:rsidRPr="00EC051A" w:rsidRDefault="00676CF0" w:rsidP="00EC051A">
            <w:pPr>
              <w:jc w:val="right"/>
              <w:rPr>
                <w:color w:val="000000"/>
                <w:sz w:val="20"/>
                <w:szCs w:val="20"/>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tcPr>
          <w:p w14:paraId="18EF9048" w14:textId="1366EA19" w:rsidR="00676CF0" w:rsidRPr="00EC051A" w:rsidRDefault="00676CF0" w:rsidP="00EC051A">
            <w:pPr>
              <w:jc w:val="right"/>
              <w:rPr>
                <w:color w:val="000000"/>
                <w:sz w:val="20"/>
                <w:szCs w:val="20"/>
              </w:rPr>
            </w:pPr>
            <w:r w:rsidRPr="00EC051A">
              <w:rPr>
                <w:rFonts w:eastAsia="Times New Roman"/>
                <w:color w:val="000000"/>
                <w:kern w:val="0"/>
                <w:sz w:val="20"/>
                <w:szCs w:val="20"/>
                <w14:ligatures w14:val="none"/>
              </w:rPr>
              <w:t> </w:t>
            </w:r>
          </w:p>
        </w:tc>
      </w:tr>
      <w:tr w:rsidR="00676CF0" w:rsidRPr="00EC051A" w14:paraId="243A5F5E" w14:textId="77777777" w:rsidTr="0000496D">
        <w:trPr>
          <w:trHeight w:val="144"/>
        </w:trPr>
        <w:tc>
          <w:tcPr>
            <w:tcW w:w="4220" w:type="dxa"/>
            <w:tcBorders>
              <w:top w:val="nil"/>
              <w:left w:val="single" w:sz="18" w:space="0" w:color="auto"/>
              <w:bottom w:val="nil"/>
              <w:right w:val="single" w:sz="18" w:space="0" w:color="auto"/>
            </w:tcBorders>
            <w:noWrap/>
            <w:vAlign w:val="center"/>
          </w:tcPr>
          <w:p w14:paraId="28754C45" w14:textId="163F5D2D" w:rsidR="00676CF0" w:rsidRPr="00EC051A" w:rsidRDefault="00676CF0"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5</w:t>
            </w:r>
          </w:p>
        </w:tc>
        <w:tc>
          <w:tcPr>
            <w:tcW w:w="593" w:type="dxa"/>
            <w:tcBorders>
              <w:top w:val="nil"/>
              <w:left w:val="single" w:sz="18" w:space="0" w:color="auto"/>
              <w:bottom w:val="nil"/>
              <w:right w:val="nil"/>
            </w:tcBorders>
            <w:noWrap/>
            <w:vAlign w:val="center"/>
          </w:tcPr>
          <w:p w14:paraId="36FBAB30" w14:textId="2D338384" w:rsidR="00676CF0" w:rsidRPr="00EC051A" w:rsidRDefault="00676CF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tcPr>
          <w:p w14:paraId="6FE32C26" w14:textId="2C492AB5" w:rsidR="00676CF0" w:rsidRPr="00EC051A" w:rsidRDefault="00676CF0"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bottom"/>
          </w:tcPr>
          <w:p w14:paraId="7921943A" w14:textId="29383B42"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0.79</w:t>
            </w:r>
          </w:p>
        </w:tc>
        <w:tc>
          <w:tcPr>
            <w:tcW w:w="541" w:type="dxa"/>
            <w:tcBorders>
              <w:top w:val="nil"/>
              <w:left w:val="nil"/>
              <w:bottom w:val="nil"/>
              <w:right w:val="single" w:sz="4" w:space="0" w:color="auto"/>
            </w:tcBorders>
            <w:noWrap/>
            <w:vAlign w:val="bottom"/>
          </w:tcPr>
          <w:p w14:paraId="184080F7" w14:textId="337DB5C9"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5.34</w:t>
            </w:r>
          </w:p>
        </w:tc>
        <w:tc>
          <w:tcPr>
            <w:tcW w:w="593" w:type="dxa"/>
            <w:tcBorders>
              <w:top w:val="nil"/>
              <w:left w:val="nil"/>
              <w:bottom w:val="nil"/>
              <w:right w:val="nil"/>
            </w:tcBorders>
            <w:noWrap/>
            <w:vAlign w:val="bottom"/>
          </w:tcPr>
          <w:p w14:paraId="7DA03C00" w14:textId="3CC30366"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0.50</w:t>
            </w:r>
          </w:p>
        </w:tc>
        <w:tc>
          <w:tcPr>
            <w:tcW w:w="541" w:type="dxa"/>
            <w:tcBorders>
              <w:top w:val="nil"/>
              <w:left w:val="nil"/>
              <w:bottom w:val="nil"/>
              <w:right w:val="single" w:sz="4" w:space="0" w:color="auto"/>
            </w:tcBorders>
            <w:noWrap/>
            <w:vAlign w:val="bottom"/>
          </w:tcPr>
          <w:p w14:paraId="072AB5A7" w14:textId="0A2CF5DF" w:rsidR="00676CF0" w:rsidRPr="00EC051A" w:rsidRDefault="00676CF0" w:rsidP="00EC051A">
            <w:pPr>
              <w:jc w:val="right"/>
              <w:rPr>
                <w:rFonts w:eastAsia="Times New Roman"/>
                <w:color w:val="000000"/>
                <w:kern w:val="0"/>
                <w:sz w:val="20"/>
                <w:szCs w:val="20"/>
                <w14:ligatures w14:val="none"/>
              </w:rPr>
            </w:pPr>
            <w:r w:rsidRPr="00EC051A">
              <w:rPr>
                <w:color w:val="000000"/>
                <w:sz w:val="20"/>
                <w:szCs w:val="20"/>
              </w:rPr>
              <w:t>2.01</w:t>
            </w:r>
          </w:p>
        </w:tc>
        <w:tc>
          <w:tcPr>
            <w:tcW w:w="593" w:type="dxa"/>
            <w:tcBorders>
              <w:top w:val="nil"/>
              <w:left w:val="nil"/>
              <w:bottom w:val="nil"/>
              <w:right w:val="nil"/>
            </w:tcBorders>
            <w:noWrap/>
            <w:vAlign w:val="center"/>
          </w:tcPr>
          <w:p w14:paraId="0C877FA5" w14:textId="6E2F71C8" w:rsidR="00676CF0" w:rsidRPr="00EC051A" w:rsidRDefault="00676CF0" w:rsidP="00EC051A">
            <w:pPr>
              <w:jc w:val="right"/>
              <w:rPr>
                <w:color w:val="000000"/>
                <w:sz w:val="20"/>
                <w:szCs w:val="20"/>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tcPr>
          <w:p w14:paraId="4538845B" w14:textId="2D2D0868" w:rsidR="00676CF0" w:rsidRPr="00EC051A" w:rsidRDefault="00676CF0" w:rsidP="00EC051A">
            <w:pPr>
              <w:jc w:val="right"/>
              <w:rPr>
                <w:color w:val="000000"/>
                <w:sz w:val="20"/>
                <w:szCs w:val="20"/>
              </w:rPr>
            </w:pPr>
            <w:r w:rsidRPr="00EC051A">
              <w:rPr>
                <w:rFonts w:eastAsia="Times New Roman"/>
                <w:color w:val="000000"/>
                <w:kern w:val="0"/>
                <w:sz w:val="20"/>
                <w:szCs w:val="20"/>
                <w14:ligatures w14:val="none"/>
              </w:rPr>
              <w:t> </w:t>
            </w:r>
          </w:p>
        </w:tc>
      </w:tr>
      <w:tr w:rsidR="005B0799" w:rsidRPr="00EC051A" w14:paraId="5703EEB4" w14:textId="77777777" w:rsidTr="0000496D">
        <w:trPr>
          <w:trHeight w:val="144"/>
        </w:trPr>
        <w:tc>
          <w:tcPr>
            <w:tcW w:w="4220" w:type="dxa"/>
            <w:tcBorders>
              <w:top w:val="nil"/>
              <w:left w:val="single" w:sz="18" w:space="0" w:color="auto"/>
              <w:bottom w:val="nil"/>
              <w:right w:val="single" w:sz="18" w:space="0" w:color="auto"/>
            </w:tcBorders>
            <w:noWrap/>
            <w:vAlign w:val="center"/>
          </w:tcPr>
          <w:p w14:paraId="36ADA592" w14:textId="12DC261C" w:rsidR="005B0799" w:rsidRPr="00EC051A" w:rsidRDefault="005B0799" w:rsidP="00EC051A">
            <w:pPr>
              <w:jc w:val="left"/>
              <w:rPr>
                <w:rFonts w:eastAsia="Times New Roman"/>
                <w:color w:val="000000"/>
                <w:kern w:val="0"/>
                <w:sz w:val="20"/>
                <w:szCs w:val="20"/>
                <w14:ligatures w14:val="none"/>
              </w:rPr>
            </w:pPr>
            <w:r w:rsidRPr="00EC051A">
              <w:rPr>
                <w:rFonts w:eastAsia="Times New Roman"/>
                <w:b/>
                <w:bCs/>
                <w:color w:val="000000"/>
                <w:kern w:val="0"/>
                <w:sz w:val="20"/>
                <w:szCs w:val="20"/>
                <w14:ligatures w14:val="none"/>
              </w:rPr>
              <w:t>Employer Subsidies (none)</w:t>
            </w:r>
          </w:p>
        </w:tc>
        <w:tc>
          <w:tcPr>
            <w:tcW w:w="593" w:type="dxa"/>
            <w:tcBorders>
              <w:top w:val="nil"/>
              <w:left w:val="single" w:sz="18" w:space="0" w:color="auto"/>
              <w:bottom w:val="nil"/>
              <w:right w:val="nil"/>
            </w:tcBorders>
            <w:noWrap/>
            <w:vAlign w:val="center"/>
          </w:tcPr>
          <w:p w14:paraId="3EB597F3" w14:textId="77777777" w:rsidR="005B0799" w:rsidRPr="00EC051A" w:rsidRDefault="005B0799" w:rsidP="00EC051A">
            <w:pPr>
              <w:jc w:val="right"/>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tcPr>
          <w:p w14:paraId="57930ACF" w14:textId="22AEC256"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tcPr>
          <w:p w14:paraId="3F12969E"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tcPr>
          <w:p w14:paraId="4729090F" w14:textId="25621FA1"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tcPr>
          <w:p w14:paraId="0C4D603D" w14:textId="77777777" w:rsidR="005B0799" w:rsidRPr="00EC051A" w:rsidRDefault="005B0799" w:rsidP="00EC051A">
            <w:pPr>
              <w:jc w:val="right"/>
              <w:rPr>
                <w:color w:val="000000"/>
                <w:sz w:val="20"/>
                <w:szCs w:val="20"/>
              </w:rPr>
            </w:pPr>
          </w:p>
        </w:tc>
        <w:tc>
          <w:tcPr>
            <w:tcW w:w="541" w:type="dxa"/>
            <w:tcBorders>
              <w:top w:val="nil"/>
              <w:left w:val="nil"/>
              <w:bottom w:val="nil"/>
              <w:right w:val="single" w:sz="4" w:space="0" w:color="auto"/>
            </w:tcBorders>
            <w:noWrap/>
            <w:vAlign w:val="center"/>
          </w:tcPr>
          <w:p w14:paraId="0F71CB32" w14:textId="1F784915" w:rsidR="005B0799" w:rsidRPr="00EC051A" w:rsidRDefault="005B0799" w:rsidP="00EC051A">
            <w:pPr>
              <w:jc w:val="right"/>
              <w:rPr>
                <w:color w:val="000000"/>
                <w:sz w:val="20"/>
                <w:szCs w:val="20"/>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tcPr>
          <w:p w14:paraId="1B8CF823"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tcPr>
          <w:p w14:paraId="0A180852" w14:textId="2228D9E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AB56FE" w:rsidRPr="00EC051A" w14:paraId="440D3B15" w14:textId="77777777" w:rsidTr="0000496D">
        <w:trPr>
          <w:trHeight w:val="144"/>
        </w:trPr>
        <w:tc>
          <w:tcPr>
            <w:tcW w:w="4220" w:type="dxa"/>
            <w:tcBorders>
              <w:top w:val="nil"/>
              <w:left w:val="single" w:sz="18" w:space="0" w:color="auto"/>
              <w:bottom w:val="nil"/>
              <w:right w:val="single" w:sz="18" w:space="0" w:color="auto"/>
            </w:tcBorders>
            <w:noWrap/>
            <w:vAlign w:val="center"/>
          </w:tcPr>
          <w:p w14:paraId="6CF46DC7" w14:textId="2621A78C" w:rsidR="00AB56FE" w:rsidRPr="00EC051A" w:rsidRDefault="00AB56FE"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Free or subsidized transit pass</w:t>
            </w:r>
          </w:p>
        </w:tc>
        <w:tc>
          <w:tcPr>
            <w:tcW w:w="593" w:type="dxa"/>
            <w:tcBorders>
              <w:top w:val="nil"/>
              <w:left w:val="single" w:sz="18" w:space="0" w:color="auto"/>
              <w:bottom w:val="nil"/>
              <w:right w:val="nil"/>
            </w:tcBorders>
            <w:noWrap/>
            <w:vAlign w:val="center"/>
          </w:tcPr>
          <w:p w14:paraId="7824637A" w14:textId="74256758" w:rsidR="00AB56FE" w:rsidRPr="00EC051A" w:rsidRDefault="00AB56FE"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tcPr>
          <w:p w14:paraId="270926A6" w14:textId="59FA91BB" w:rsidR="00AB56FE" w:rsidRPr="00EC051A" w:rsidRDefault="00AB56FE"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tcPr>
          <w:p w14:paraId="251C745D" w14:textId="7CB58906" w:rsidR="00AB56FE" w:rsidRPr="00EC051A" w:rsidRDefault="00AB56FE"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tcPr>
          <w:p w14:paraId="4FA8E741" w14:textId="5B56A011" w:rsidR="00AB56FE" w:rsidRPr="00EC051A" w:rsidRDefault="00AB56FE"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tcPr>
          <w:p w14:paraId="1DBC8FCB" w14:textId="4838F71F" w:rsidR="00AB56FE" w:rsidRPr="00EC051A" w:rsidRDefault="00AB56FE" w:rsidP="00EC051A">
            <w:pPr>
              <w:jc w:val="right"/>
              <w:rPr>
                <w:color w:val="000000"/>
                <w:sz w:val="20"/>
                <w:szCs w:val="20"/>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tcPr>
          <w:p w14:paraId="65E516CA" w14:textId="162C9FAE" w:rsidR="00AB56FE" w:rsidRPr="00EC051A" w:rsidRDefault="00AB56FE" w:rsidP="00EC051A">
            <w:pPr>
              <w:jc w:val="right"/>
              <w:rPr>
                <w:color w:val="000000"/>
                <w:sz w:val="20"/>
                <w:szCs w:val="20"/>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tcPr>
          <w:p w14:paraId="20A83E7E" w14:textId="5A4FCAE1" w:rsidR="00AB56FE" w:rsidRPr="00EC051A" w:rsidRDefault="00AB56FE" w:rsidP="00EC051A">
            <w:pPr>
              <w:jc w:val="right"/>
              <w:rPr>
                <w:rFonts w:eastAsia="Times New Roman"/>
                <w:color w:val="000000"/>
                <w:kern w:val="0"/>
                <w:sz w:val="20"/>
                <w:szCs w:val="20"/>
                <w14:ligatures w14:val="none"/>
              </w:rPr>
            </w:pPr>
            <w:r w:rsidRPr="00EC051A">
              <w:rPr>
                <w:color w:val="000000"/>
                <w:sz w:val="20"/>
                <w:szCs w:val="20"/>
              </w:rPr>
              <w:t>-0.12</w:t>
            </w:r>
          </w:p>
        </w:tc>
        <w:tc>
          <w:tcPr>
            <w:tcW w:w="541" w:type="dxa"/>
            <w:tcBorders>
              <w:top w:val="nil"/>
              <w:left w:val="nil"/>
              <w:bottom w:val="nil"/>
              <w:right w:val="single" w:sz="18" w:space="0" w:color="auto"/>
            </w:tcBorders>
            <w:noWrap/>
            <w:vAlign w:val="bottom"/>
          </w:tcPr>
          <w:p w14:paraId="71722BF5" w14:textId="6EAE2028" w:rsidR="00AB56FE" w:rsidRPr="00EC051A" w:rsidRDefault="00AB56FE" w:rsidP="00EC051A">
            <w:pPr>
              <w:jc w:val="right"/>
              <w:rPr>
                <w:rFonts w:eastAsia="Times New Roman"/>
                <w:color w:val="000000"/>
                <w:kern w:val="0"/>
                <w:sz w:val="20"/>
                <w:szCs w:val="20"/>
                <w14:ligatures w14:val="none"/>
              </w:rPr>
            </w:pPr>
            <w:r w:rsidRPr="00EC051A">
              <w:rPr>
                <w:color w:val="000000"/>
                <w:sz w:val="20"/>
                <w:szCs w:val="20"/>
              </w:rPr>
              <w:t>-1.40</w:t>
            </w:r>
          </w:p>
        </w:tc>
      </w:tr>
      <w:tr w:rsidR="00DF39A3" w:rsidRPr="00EC051A" w14:paraId="5A828B51" w14:textId="77777777" w:rsidTr="0000496D">
        <w:trPr>
          <w:trHeight w:val="144"/>
        </w:trPr>
        <w:tc>
          <w:tcPr>
            <w:tcW w:w="4220" w:type="dxa"/>
            <w:tcBorders>
              <w:top w:val="nil"/>
              <w:left w:val="single" w:sz="18" w:space="0" w:color="auto"/>
              <w:bottom w:val="nil"/>
              <w:right w:val="single" w:sz="18" w:space="0" w:color="auto"/>
            </w:tcBorders>
            <w:noWrap/>
            <w:vAlign w:val="center"/>
          </w:tcPr>
          <w:p w14:paraId="5E7FAEAA" w14:textId="3CBF1FDC" w:rsidR="00DF39A3" w:rsidRPr="00EC051A" w:rsidRDefault="00DF39A3"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Free or subsidized parking</w:t>
            </w:r>
          </w:p>
        </w:tc>
        <w:tc>
          <w:tcPr>
            <w:tcW w:w="593" w:type="dxa"/>
            <w:tcBorders>
              <w:top w:val="nil"/>
              <w:left w:val="single" w:sz="18" w:space="0" w:color="auto"/>
              <w:bottom w:val="nil"/>
              <w:right w:val="nil"/>
            </w:tcBorders>
            <w:noWrap/>
            <w:vAlign w:val="center"/>
          </w:tcPr>
          <w:p w14:paraId="635CAA6A" w14:textId="0B360D92"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tcPr>
          <w:p w14:paraId="75028B9B" w14:textId="33B35AEE"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tcPr>
          <w:p w14:paraId="7DB2B71C" w14:textId="02B41B7B"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tcPr>
          <w:p w14:paraId="4C27AC7A" w14:textId="528EE7F1"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tcPr>
          <w:p w14:paraId="29108F2D" w14:textId="0D2D0BB2" w:rsidR="00DF39A3" w:rsidRPr="00EC051A" w:rsidRDefault="00DF39A3" w:rsidP="00EC051A">
            <w:pPr>
              <w:jc w:val="right"/>
              <w:rPr>
                <w:color w:val="000000"/>
                <w:sz w:val="20"/>
                <w:szCs w:val="20"/>
              </w:rPr>
            </w:pPr>
            <w:r w:rsidRPr="00EC051A">
              <w:rPr>
                <w:color w:val="000000"/>
                <w:sz w:val="20"/>
                <w:szCs w:val="20"/>
              </w:rPr>
              <w:t>-0.13</w:t>
            </w:r>
          </w:p>
        </w:tc>
        <w:tc>
          <w:tcPr>
            <w:tcW w:w="541" w:type="dxa"/>
            <w:tcBorders>
              <w:top w:val="nil"/>
              <w:left w:val="nil"/>
              <w:bottom w:val="nil"/>
              <w:right w:val="single" w:sz="4" w:space="0" w:color="auto"/>
            </w:tcBorders>
            <w:noWrap/>
            <w:vAlign w:val="bottom"/>
          </w:tcPr>
          <w:p w14:paraId="7B51766E" w14:textId="1EF47B90" w:rsidR="00DF39A3" w:rsidRPr="00EC051A" w:rsidRDefault="00DF39A3" w:rsidP="00EC051A">
            <w:pPr>
              <w:jc w:val="right"/>
              <w:rPr>
                <w:color w:val="000000"/>
                <w:sz w:val="20"/>
                <w:szCs w:val="20"/>
              </w:rPr>
            </w:pPr>
            <w:r w:rsidRPr="00EC051A">
              <w:rPr>
                <w:color w:val="000000"/>
                <w:sz w:val="20"/>
                <w:szCs w:val="20"/>
              </w:rPr>
              <w:t>-1.30</w:t>
            </w:r>
          </w:p>
        </w:tc>
        <w:tc>
          <w:tcPr>
            <w:tcW w:w="593" w:type="dxa"/>
            <w:tcBorders>
              <w:top w:val="nil"/>
              <w:left w:val="nil"/>
              <w:bottom w:val="nil"/>
              <w:right w:val="nil"/>
            </w:tcBorders>
            <w:noWrap/>
            <w:vAlign w:val="center"/>
          </w:tcPr>
          <w:p w14:paraId="7F3945EE" w14:textId="60AA22D4"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tcPr>
          <w:p w14:paraId="533CB1EC" w14:textId="7D2EA58F"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5B0799" w:rsidRPr="00EC051A" w14:paraId="05B576D5"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1AB5106F" w14:textId="77777777" w:rsidR="005B0799" w:rsidRPr="00EC051A" w:rsidRDefault="005B0799" w:rsidP="00EC051A">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Industry (hospitality)</w:t>
            </w:r>
          </w:p>
        </w:tc>
        <w:tc>
          <w:tcPr>
            <w:tcW w:w="593" w:type="dxa"/>
            <w:tcBorders>
              <w:top w:val="nil"/>
              <w:left w:val="single" w:sz="18" w:space="0" w:color="auto"/>
              <w:bottom w:val="nil"/>
              <w:right w:val="nil"/>
            </w:tcBorders>
            <w:noWrap/>
            <w:vAlign w:val="center"/>
            <w:hideMark/>
          </w:tcPr>
          <w:p w14:paraId="2F442E7E" w14:textId="77777777" w:rsidR="005B0799" w:rsidRPr="00EC051A" w:rsidRDefault="005B0799" w:rsidP="00EC051A">
            <w:pPr>
              <w:rPr>
                <w:rFonts w:eastAsia="Times New Roman"/>
                <w:color w:val="000000"/>
                <w:kern w:val="0"/>
                <w:sz w:val="20"/>
                <w:szCs w:val="20"/>
                <w14:ligatures w14:val="none"/>
              </w:rPr>
            </w:pPr>
          </w:p>
        </w:tc>
        <w:tc>
          <w:tcPr>
            <w:tcW w:w="669" w:type="dxa"/>
            <w:tcBorders>
              <w:top w:val="nil"/>
              <w:left w:val="nil"/>
              <w:bottom w:val="nil"/>
              <w:right w:val="single" w:sz="4" w:space="0" w:color="auto"/>
            </w:tcBorders>
            <w:noWrap/>
            <w:vAlign w:val="center"/>
            <w:hideMark/>
          </w:tcPr>
          <w:p w14:paraId="65B86C24"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6F198F25"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42957820" w14:textId="77777777"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7B2E3CDC"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hideMark/>
          </w:tcPr>
          <w:p w14:paraId="37E1D0F0" w14:textId="724C46EC"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6D195B54" w14:textId="77777777" w:rsidR="005B0799" w:rsidRPr="00EC051A" w:rsidRDefault="005B0799"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hideMark/>
          </w:tcPr>
          <w:p w14:paraId="00D1A50C" w14:textId="63F513F8" w:rsidR="005B0799" w:rsidRPr="00EC051A" w:rsidRDefault="005B0799"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AD5881" w:rsidRPr="00EC051A" w14:paraId="5F93B1BC"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1D9C8912" w14:textId="77777777" w:rsidR="00AD5881" w:rsidRPr="00EC051A" w:rsidRDefault="00AD5881"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Health</w:t>
            </w:r>
          </w:p>
        </w:tc>
        <w:tc>
          <w:tcPr>
            <w:tcW w:w="593" w:type="dxa"/>
            <w:tcBorders>
              <w:top w:val="nil"/>
              <w:left w:val="single" w:sz="18" w:space="0" w:color="auto"/>
              <w:bottom w:val="nil"/>
              <w:right w:val="nil"/>
            </w:tcBorders>
            <w:noWrap/>
            <w:vAlign w:val="bottom"/>
            <w:hideMark/>
          </w:tcPr>
          <w:p w14:paraId="194345A6" w14:textId="3216819B" w:rsidR="00AD5881" w:rsidRPr="00EC051A" w:rsidRDefault="00AD5881" w:rsidP="00EC051A">
            <w:pPr>
              <w:jc w:val="right"/>
              <w:rPr>
                <w:rFonts w:eastAsia="Times New Roman"/>
                <w:color w:val="000000"/>
                <w:kern w:val="0"/>
                <w:sz w:val="20"/>
                <w:szCs w:val="20"/>
                <w14:ligatures w14:val="none"/>
              </w:rPr>
            </w:pPr>
            <w:r w:rsidRPr="00EC051A">
              <w:rPr>
                <w:color w:val="000000"/>
                <w:sz w:val="20"/>
                <w:szCs w:val="20"/>
              </w:rPr>
              <w:t>-0.18</w:t>
            </w:r>
          </w:p>
        </w:tc>
        <w:tc>
          <w:tcPr>
            <w:tcW w:w="669" w:type="dxa"/>
            <w:tcBorders>
              <w:top w:val="nil"/>
              <w:left w:val="nil"/>
              <w:bottom w:val="nil"/>
              <w:right w:val="single" w:sz="4" w:space="0" w:color="auto"/>
            </w:tcBorders>
            <w:noWrap/>
            <w:vAlign w:val="bottom"/>
            <w:hideMark/>
          </w:tcPr>
          <w:p w14:paraId="44D3BE25" w14:textId="029AEA25" w:rsidR="00AD5881" w:rsidRPr="00EC051A" w:rsidRDefault="00AD5881" w:rsidP="00EC051A">
            <w:pPr>
              <w:jc w:val="right"/>
              <w:rPr>
                <w:rFonts w:eastAsia="Times New Roman"/>
                <w:color w:val="000000"/>
                <w:kern w:val="0"/>
                <w:sz w:val="20"/>
                <w:szCs w:val="20"/>
                <w:highlight w:val="yellow"/>
                <w14:ligatures w14:val="none"/>
              </w:rPr>
            </w:pPr>
            <w:r w:rsidRPr="00EC051A">
              <w:rPr>
                <w:color w:val="000000"/>
                <w:sz w:val="20"/>
                <w:szCs w:val="20"/>
              </w:rPr>
              <w:t>-1.57</w:t>
            </w:r>
          </w:p>
        </w:tc>
        <w:tc>
          <w:tcPr>
            <w:tcW w:w="630" w:type="dxa"/>
            <w:tcBorders>
              <w:top w:val="nil"/>
              <w:left w:val="nil"/>
              <w:bottom w:val="nil"/>
              <w:right w:val="nil"/>
            </w:tcBorders>
            <w:noWrap/>
            <w:vAlign w:val="bottom"/>
            <w:hideMark/>
          </w:tcPr>
          <w:p w14:paraId="0A32628E" w14:textId="6D0ACA61" w:rsidR="00AD5881" w:rsidRPr="00EC051A" w:rsidRDefault="00AD5881" w:rsidP="00EC051A">
            <w:pPr>
              <w:jc w:val="right"/>
              <w:rPr>
                <w:rFonts w:eastAsia="Times New Roman"/>
                <w:color w:val="000000"/>
                <w:kern w:val="0"/>
                <w:sz w:val="20"/>
                <w:szCs w:val="20"/>
                <w:highlight w:val="yellow"/>
                <w14:ligatures w14:val="none"/>
              </w:rPr>
            </w:pPr>
            <w:r w:rsidRPr="00EC051A">
              <w:rPr>
                <w:color w:val="000000"/>
                <w:sz w:val="20"/>
                <w:szCs w:val="20"/>
              </w:rPr>
              <w:t>-0.17</w:t>
            </w:r>
          </w:p>
        </w:tc>
        <w:tc>
          <w:tcPr>
            <w:tcW w:w="541" w:type="dxa"/>
            <w:tcBorders>
              <w:top w:val="nil"/>
              <w:left w:val="nil"/>
              <w:bottom w:val="nil"/>
              <w:right w:val="single" w:sz="4" w:space="0" w:color="auto"/>
            </w:tcBorders>
            <w:noWrap/>
            <w:vAlign w:val="bottom"/>
            <w:hideMark/>
          </w:tcPr>
          <w:p w14:paraId="49FB99EF" w14:textId="5226A138" w:rsidR="00AD5881" w:rsidRPr="00EC051A" w:rsidRDefault="00AD5881" w:rsidP="00EC051A">
            <w:pPr>
              <w:jc w:val="right"/>
              <w:rPr>
                <w:rFonts w:eastAsia="Times New Roman"/>
                <w:color w:val="000000"/>
                <w:kern w:val="0"/>
                <w:sz w:val="20"/>
                <w:szCs w:val="20"/>
                <w14:ligatures w14:val="none"/>
              </w:rPr>
            </w:pPr>
            <w:r w:rsidRPr="00EC051A">
              <w:rPr>
                <w:color w:val="000000"/>
                <w:sz w:val="20"/>
                <w:szCs w:val="20"/>
              </w:rPr>
              <w:t>-1.41</w:t>
            </w:r>
          </w:p>
        </w:tc>
        <w:tc>
          <w:tcPr>
            <w:tcW w:w="593" w:type="dxa"/>
            <w:tcBorders>
              <w:top w:val="nil"/>
              <w:left w:val="nil"/>
              <w:bottom w:val="nil"/>
              <w:right w:val="nil"/>
            </w:tcBorders>
            <w:noWrap/>
            <w:vAlign w:val="center"/>
            <w:hideMark/>
          </w:tcPr>
          <w:p w14:paraId="544D3014" w14:textId="703E7213" w:rsidR="00AD5881" w:rsidRPr="00EC051A" w:rsidRDefault="00AD5881"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303A4955" w14:textId="1037D738" w:rsidR="00AD5881" w:rsidRPr="00EC051A" w:rsidRDefault="00AD5881"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471C0218" w14:textId="3C6F2A90" w:rsidR="00AD5881" w:rsidRPr="00EC051A" w:rsidRDefault="00AD5881" w:rsidP="00EC051A">
            <w:pPr>
              <w:jc w:val="right"/>
              <w:rPr>
                <w:rFonts w:eastAsia="Times New Roman"/>
                <w:color w:val="000000"/>
                <w:kern w:val="0"/>
                <w:sz w:val="20"/>
                <w:szCs w:val="20"/>
                <w14:ligatures w14:val="none"/>
              </w:rPr>
            </w:pPr>
            <w:r w:rsidRPr="00EC051A">
              <w:rPr>
                <w:color w:val="000000"/>
                <w:sz w:val="20"/>
                <w:szCs w:val="20"/>
              </w:rPr>
              <w:t>0.22</w:t>
            </w:r>
          </w:p>
        </w:tc>
        <w:tc>
          <w:tcPr>
            <w:tcW w:w="541" w:type="dxa"/>
            <w:tcBorders>
              <w:top w:val="nil"/>
              <w:left w:val="nil"/>
              <w:bottom w:val="nil"/>
              <w:right w:val="single" w:sz="18" w:space="0" w:color="auto"/>
            </w:tcBorders>
            <w:noWrap/>
            <w:vAlign w:val="bottom"/>
            <w:hideMark/>
          </w:tcPr>
          <w:p w14:paraId="18891FBF" w14:textId="6CE248F8" w:rsidR="00AD5881" w:rsidRPr="00EC051A" w:rsidRDefault="00AD5881" w:rsidP="00EC051A">
            <w:pPr>
              <w:jc w:val="right"/>
              <w:rPr>
                <w:rFonts w:eastAsia="Times New Roman"/>
                <w:color w:val="000000"/>
                <w:kern w:val="0"/>
                <w:sz w:val="20"/>
                <w:szCs w:val="20"/>
                <w14:ligatures w14:val="none"/>
              </w:rPr>
            </w:pPr>
            <w:r w:rsidRPr="00EC051A">
              <w:rPr>
                <w:color w:val="000000"/>
                <w:sz w:val="20"/>
                <w:szCs w:val="20"/>
              </w:rPr>
              <w:t>1.36</w:t>
            </w:r>
          </w:p>
        </w:tc>
      </w:tr>
      <w:tr w:rsidR="00AD5881" w:rsidRPr="00EC051A" w14:paraId="601E39C7" w14:textId="77777777" w:rsidTr="0000496D">
        <w:trPr>
          <w:trHeight w:val="144"/>
        </w:trPr>
        <w:tc>
          <w:tcPr>
            <w:tcW w:w="4220" w:type="dxa"/>
            <w:tcBorders>
              <w:top w:val="nil"/>
              <w:left w:val="single" w:sz="18" w:space="0" w:color="auto"/>
              <w:bottom w:val="nil"/>
              <w:right w:val="single" w:sz="18" w:space="0" w:color="auto"/>
            </w:tcBorders>
            <w:noWrap/>
            <w:vAlign w:val="center"/>
          </w:tcPr>
          <w:p w14:paraId="79F5017C" w14:textId="52670EC3" w:rsidR="00AD5881" w:rsidRPr="00EC051A" w:rsidRDefault="00AD5881"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Construction and Manufacturing</w:t>
            </w:r>
          </w:p>
        </w:tc>
        <w:tc>
          <w:tcPr>
            <w:tcW w:w="593" w:type="dxa"/>
            <w:tcBorders>
              <w:top w:val="nil"/>
              <w:left w:val="single" w:sz="18" w:space="0" w:color="auto"/>
              <w:bottom w:val="nil"/>
              <w:right w:val="nil"/>
            </w:tcBorders>
            <w:noWrap/>
            <w:vAlign w:val="bottom"/>
          </w:tcPr>
          <w:p w14:paraId="4746DE2B" w14:textId="1D63B97B" w:rsidR="00AD5881" w:rsidRPr="00EC051A" w:rsidRDefault="00AD5881" w:rsidP="00EC051A">
            <w:pPr>
              <w:jc w:val="right"/>
              <w:rPr>
                <w:sz w:val="20"/>
                <w:szCs w:val="20"/>
              </w:rPr>
            </w:pPr>
            <w:r w:rsidRPr="00EC051A">
              <w:rPr>
                <w:color w:val="000000"/>
                <w:sz w:val="20"/>
                <w:szCs w:val="20"/>
              </w:rPr>
              <w:t>-0.34</w:t>
            </w:r>
          </w:p>
        </w:tc>
        <w:tc>
          <w:tcPr>
            <w:tcW w:w="669" w:type="dxa"/>
            <w:tcBorders>
              <w:top w:val="nil"/>
              <w:left w:val="nil"/>
              <w:bottom w:val="nil"/>
              <w:right w:val="single" w:sz="4" w:space="0" w:color="auto"/>
            </w:tcBorders>
            <w:noWrap/>
            <w:vAlign w:val="bottom"/>
          </w:tcPr>
          <w:p w14:paraId="04C5F5A9" w14:textId="51C7C99B" w:rsidR="00AD5881" w:rsidRPr="00EC051A" w:rsidRDefault="00AD5881" w:rsidP="00EC051A">
            <w:pPr>
              <w:jc w:val="right"/>
              <w:rPr>
                <w:sz w:val="20"/>
                <w:szCs w:val="20"/>
              </w:rPr>
            </w:pPr>
            <w:r w:rsidRPr="00EC051A">
              <w:rPr>
                <w:color w:val="000000"/>
                <w:sz w:val="20"/>
                <w:szCs w:val="20"/>
              </w:rPr>
              <w:t>-2.47</w:t>
            </w:r>
          </w:p>
        </w:tc>
        <w:tc>
          <w:tcPr>
            <w:tcW w:w="630" w:type="dxa"/>
            <w:tcBorders>
              <w:top w:val="nil"/>
              <w:left w:val="nil"/>
              <w:bottom w:val="nil"/>
              <w:right w:val="nil"/>
            </w:tcBorders>
            <w:noWrap/>
            <w:vAlign w:val="bottom"/>
          </w:tcPr>
          <w:p w14:paraId="396E064C" w14:textId="77D48386" w:rsidR="00AD5881" w:rsidRPr="00EC051A" w:rsidRDefault="00AD5881" w:rsidP="00EC051A">
            <w:pPr>
              <w:jc w:val="right"/>
              <w:rPr>
                <w:color w:val="000000"/>
                <w:sz w:val="20"/>
                <w:szCs w:val="20"/>
              </w:rPr>
            </w:pPr>
            <w:r w:rsidRPr="00EC051A">
              <w:rPr>
                <w:color w:val="000000"/>
                <w:sz w:val="20"/>
                <w:szCs w:val="20"/>
              </w:rPr>
              <w:t>-0.28</w:t>
            </w:r>
          </w:p>
        </w:tc>
        <w:tc>
          <w:tcPr>
            <w:tcW w:w="541" w:type="dxa"/>
            <w:tcBorders>
              <w:top w:val="nil"/>
              <w:left w:val="nil"/>
              <w:bottom w:val="nil"/>
              <w:right w:val="single" w:sz="4" w:space="0" w:color="auto"/>
            </w:tcBorders>
            <w:noWrap/>
            <w:vAlign w:val="bottom"/>
          </w:tcPr>
          <w:p w14:paraId="4CF46A66" w14:textId="15ABBB10" w:rsidR="00AD5881" w:rsidRPr="00EC051A" w:rsidRDefault="00AD5881" w:rsidP="00EC051A">
            <w:pPr>
              <w:jc w:val="right"/>
              <w:rPr>
                <w:color w:val="000000"/>
                <w:sz w:val="20"/>
                <w:szCs w:val="20"/>
              </w:rPr>
            </w:pPr>
            <w:r w:rsidRPr="00EC051A">
              <w:rPr>
                <w:color w:val="000000"/>
                <w:sz w:val="20"/>
                <w:szCs w:val="20"/>
              </w:rPr>
              <w:t>-1.87</w:t>
            </w:r>
          </w:p>
        </w:tc>
        <w:tc>
          <w:tcPr>
            <w:tcW w:w="593" w:type="dxa"/>
            <w:tcBorders>
              <w:top w:val="nil"/>
              <w:left w:val="nil"/>
              <w:bottom w:val="nil"/>
              <w:right w:val="nil"/>
            </w:tcBorders>
            <w:noWrap/>
            <w:vAlign w:val="bottom"/>
          </w:tcPr>
          <w:p w14:paraId="57A2AE42" w14:textId="0CD232C6" w:rsidR="00AD5881" w:rsidRPr="00EC051A" w:rsidRDefault="00AD5881" w:rsidP="00EC051A">
            <w:pPr>
              <w:jc w:val="right"/>
              <w:rPr>
                <w:color w:val="000000"/>
                <w:sz w:val="20"/>
                <w:szCs w:val="20"/>
              </w:rPr>
            </w:pPr>
            <w:r w:rsidRPr="00EC051A">
              <w:rPr>
                <w:color w:val="000000"/>
                <w:sz w:val="20"/>
                <w:szCs w:val="20"/>
              </w:rPr>
              <w:t>-0.18</w:t>
            </w:r>
          </w:p>
        </w:tc>
        <w:tc>
          <w:tcPr>
            <w:tcW w:w="541" w:type="dxa"/>
            <w:tcBorders>
              <w:top w:val="nil"/>
              <w:left w:val="nil"/>
              <w:bottom w:val="nil"/>
              <w:right w:val="single" w:sz="4" w:space="0" w:color="auto"/>
            </w:tcBorders>
            <w:noWrap/>
            <w:vAlign w:val="bottom"/>
          </w:tcPr>
          <w:p w14:paraId="170406B3" w14:textId="4F71C4C4" w:rsidR="00AD5881" w:rsidRPr="00EC051A" w:rsidRDefault="00AD5881" w:rsidP="00EC051A">
            <w:pPr>
              <w:jc w:val="right"/>
              <w:rPr>
                <w:color w:val="000000"/>
                <w:sz w:val="20"/>
                <w:szCs w:val="20"/>
              </w:rPr>
            </w:pPr>
            <w:r w:rsidRPr="00EC051A">
              <w:rPr>
                <w:color w:val="000000"/>
                <w:sz w:val="20"/>
                <w:szCs w:val="20"/>
              </w:rPr>
              <w:t>-1.32</w:t>
            </w:r>
          </w:p>
        </w:tc>
        <w:tc>
          <w:tcPr>
            <w:tcW w:w="593" w:type="dxa"/>
            <w:tcBorders>
              <w:top w:val="nil"/>
              <w:left w:val="nil"/>
              <w:bottom w:val="nil"/>
              <w:right w:val="nil"/>
            </w:tcBorders>
            <w:noWrap/>
            <w:vAlign w:val="center"/>
          </w:tcPr>
          <w:p w14:paraId="1081CA03" w14:textId="5D867D70" w:rsidR="00AD5881" w:rsidRPr="00EC051A" w:rsidRDefault="00AD5881"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tcPr>
          <w:p w14:paraId="5E2F856B" w14:textId="587B7893" w:rsidR="00AD5881" w:rsidRPr="00EC051A" w:rsidRDefault="00AD5881"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0747AF" w:rsidRPr="00EC051A" w14:paraId="1441DFC5"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401660D9" w14:textId="77777777" w:rsidR="000747AF" w:rsidRPr="00EC051A" w:rsidRDefault="000747AF"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Education or Social work</w:t>
            </w:r>
          </w:p>
        </w:tc>
        <w:tc>
          <w:tcPr>
            <w:tcW w:w="593" w:type="dxa"/>
            <w:tcBorders>
              <w:top w:val="nil"/>
              <w:left w:val="single" w:sz="18" w:space="0" w:color="auto"/>
              <w:bottom w:val="nil"/>
              <w:right w:val="nil"/>
            </w:tcBorders>
            <w:noWrap/>
            <w:vAlign w:val="center"/>
            <w:hideMark/>
          </w:tcPr>
          <w:p w14:paraId="358E3FB9" w14:textId="77777777" w:rsidR="000747AF" w:rsidRPr="00EC051A" w:rsidRDefault="000747A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2D2F5C59" w14:textId="77777777" w:rsidR="000747AF" w:rsidRPr="00EC051A" w:rsidRDefault="000747AF" w:rsidP="00EC051A">
            <w:pPr>
              <w:jc w:val="right"/>
              <w:rPr>
                <w:rFonts w:eastAsia="Times New Roman"/>
                <w:color w:val="000000"/>
                <w:kern w:val="0"/>
                <w:sz w:val="20"/>
                <w:szCs w:val="20"/>
                <w:highlight w:val="yellow"/>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bottom"/>
            <w:hideMark/>
          </w:tcPr>
          <w:p w14:paraId="0CF68865" w14:textId="5AA82C94" w:rsidR="000747AF" w:rsidRPr="00EC051A" w:rsidRDefault="000747AF" w:rsidP="00EC051A">
            <w:pPr>
              <w:jc w:val="right"/>
              <w:rPr>
                <w:rFonts w:eastAsia="Times New Roman"/>
                <w:color w:val="000000"/>
                <w:kern w:val="0"/>
                <w:sz w:val="20"/>
                <w:szCs w:val="20"/>
                <w:highlight w:val="yellow"/>
                <w14:ligatures w14:val="none"/>
              </w:rPr>
            </w:pPr>
            <w:r w:rsidRPr="00EC051A">
              <w:rPr>
                <w:color w:val="000000"/>
                <w:sz w:val="20"/>
                <w:szCs w:val="20"/>
              </w:rPr>
              <w:t>-0.22</w:t>
            </w:r>
          </w:p>
        </w:tc>
        <w:tc>
          <w:tcPr>
            <w:tcW w:w="541" w:type="dxa"/>
            <w:tcBorders>
              <w:top w:val="nil"/>
              <w:left w:val="nil"/>
              <w:bottom w:val="nil"/>
              <w:right w:val="single" w:sz="4" w:space="0" w:color="auto"/>
            </w:tcBorders>
            <w:noWrap/>
            <w:vAlign w:val="bottom"/>
            <w:hideMark/>
          </w:tcPr>
          <w:p w14:paraId="68DB37CC" w14:textId="5833F787" w:rsidR="000747AF" w:rsidRPr="00EC051A" w:rsidRDefault="000747AF" w:rsidP="00EC051A">
            <w:pPr>
              <w:jc w:val="right"/>
              <w:rPr>
                <w:rFonts w:eastAsia="Times New Roman"/>
                <w:color w:val="000000"/>
                <w:kern w:val="0"/>
                <w:sz w:val="20"/>
                <w:szCs w:val="20"/>
                <w14:ligatures w14:val="none"/>
              </w:rPr>
            </w:pPr>
            <w:r w:rsidRPr="00EC051A">
              <w:rPr>
                <w:color w:val="000000"/>
                <w:sz w:val="20"/>
                <w:szCs w:val="20"/>
              </w:rPr>
              <w:t>-1.48</w:t>
            </w:r>
          </w:p>
        </w:tc>
        <w:tc>
          <w:tcPr>
            <w:tcW w:w="593" w:type="dxa"/>
            <w:tcBorders>
              <w:top w:val="nil"/>
              <w:left w:val="nil"/>
              <w:bottom w:val="nil"/>
              <w:right w:val="nil"/>
            </w:tcBorders>
            <w:noWrap/>
            <w:vAlign w:val="center"/>
            <w:hideMark/>
          </w:tcPr>
          <w:p w14:paraId="3CF87449" w14:textId="26DDBC63" w:rsidR="000747AF" w:rsidRPr="00EC051A" w:rsidRDefault="000747A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2291F2EE" w14:textId="0741F740" w:rsidR="000747AF" w:rsidRPr="00EC051A" w:rsidRDefault="000747A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hideMark/>
          </w:tcPr>
          <w:p w14:paraId="54216934" w14:textId="4D354B3F" w:rsidR="000747AF" w:rsidRPr="00EC051A" w:rsidRDefault="000747A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20CDDA71" w14:textId="2DB97324" w:rsidR="000747AF" w:rsidRPr="00EC051A" w:rsidRDefault="000747AF"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4B10D7" w:rsidRPr="00EC051A" w14:paraId="519DC221"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3E323D51" w14:textId="77777777" w:rsidR="004B10D7" w:rsidRPr="00EC051A" w:rsidRDefault="004B10D7"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Information and Finance</w:t>
            </w:r>
          </w:p>
        </w:tc>
        <w:tc>
          <w:tcPr>
            <w:tcW w:w="593" w:type="dxa"/>
            <w:tcBorders>
              <w:top w:val="nil"/>
              <w:left w:val="single" w:sz="18" w:space="0" w:color="auto"/>
              <w:bottom w:val="nil"/>
              <w:right w:val="nil"/>
            </w:tcBorders>
            <w:noWrap/>
            <w:vAlign w:val="center"/>
            <w:hideMark/>
          </w:tcPr>
          <w:p w14:paraId="28672179" w14:textId="77777777" w:rsidR="004B10D7" w:rsidRPr="00EC051A" w:rsidRDefault="004B10D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177BD8A8" w14:textId="77777777" w:rsidR="004B10D7" w:rsidRPr="00EC051A" w:rsidRDefault="004B10D7" w:rsidP="00EC051A">
            <w:pPr>
              <w:jc w:val="right"/>
              <w:rPr>
                <w:rFonts w:eastAsia="Times New Roman"/>
                <w:color w:val="000000"/>
                <w:kern w:val="0"/>
                <w:sz w:val="20"/>
                <w:szCs w:val="20"/>
                <w:highlight w:val="yellow"/>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05335344" w14:textId="77777777" w:rsidR="004B10D7" w:rsidRPr="00EC051A" w:rsidRDefault="004B10D7" w:rsidP="00EC051A">
            <w:pPr>
              <w:jc w:val="right"/>
              <w:rPr>
                <w:rFonts w:eastAsia="Times New Roman"/>
                <w:color w:val="000000"/>
                <w:kern w:val="0"/>
                <w:sz w:val="20"/>
                <w:szCs w:val="20"/>
                <w:highlight w:val="yellow"/>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1D0E0DF4" w14:textId="77777777" w:rsidR="004B10D7" w:rsidRPr="00EC051A" w:rsidRDefault="004B10D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3F3A1099" w14:textId="623EE3C2" w:rsidR="004B10D7" w:rsidRPr="00EC051A" w:rsidRDefault="004B10D7" w:rsidP="00EC051A">
            <w:pPr>
              <w:jc w:val="right"/>
              <w:rPr>
                <w:rFonts w:eastAsia="Times New Roman"/>
                <w:color w:val="000000"/>
                <w:kern w:val="0"/>
                <w:sz w:val="20"/>
                <w:szCs w:val="20"/>
                <w14:ligatures w14:val="none"/>
              </w:rPr>
            </w:pPr>
            <w:r w:rsidRPr="00EC051A">
              <w:rPr>
                <w:color w:val="000000"/>
                <w:sz w:val="20"/>
                <w:szCs w:val="20"/>
              </w:rPr>
              <w:t>0.25</w:t>
            </w:r>
          </w:p>
        </w:tc>
        <w:tc>
          <w:tcPr>
            <w:tcW w:w="541" w:type="dxa"/>
            <w:tcBorders>
              <w:top w:val="nil"/>
              <w:left w:val="nil"/>
              <w:bottom w:val="nil"/>
              <w:right w:val="single" w:sz="4" w:space="0" w:color="auto"/>
            </w:tcBorders>
            <w:noWrap/>
            <w:vAlign w:val="bottom"/>
            <w:hideMark/>
          </w:tcPr>
          <w:p w14:paraId="319B97F2" w14:textId="227DB324" w:rsidR="004B10D7" w:rsidRPr="00EC051A" w:rsidRDefault="004B10D7" w:rsidP="00EC051A">
            <w:pPr>
              <w:jc w:val="right"/>
              <w:rPr>
                <w:rFonts w:eastAsia="Times New Roman"/>
                <w:color w:val="000000"/>
                <w:kern w:val="0"/>
                <w:sz w:val="20"/>
                <w:szCs w:val="20"/>
                <w14:ligatures w14:val="none"/>
              </w:rPr>
            </w:pPr>
            <w:r w:rsidRPr="00EC051A">
              <w:rPr>
                <w:color w:val="000000"/>
                <w:sz w:val="20"/>
                <w:szCs w:val="20"/>
              </w:rPr>
              <w:t>1.55</w:t>
            </w:r>
          </w:p>
        </w:tc>
        <w:tc>
          <w:tcPr>
            <w:tcW w:w="593" w:type="dxa"/>
            <w:tcBorders>
              <w:top w:val="nil"/>
              <w:left w:val="nil"/>
              <w:bottom w:val="nil"/>
              <w:right w:val="nil"/>
            </w:tcBorders>
            <w:noWrap/>
            <w:vAlign w:val="center"/>
            <w:hideMark/>
          </w:tcPr>
          <w:p w14:paraId="3920FB00" w14:textId="4022C11A" w:rsidR="004B10D7" w:rsidRPr="00EC051A" w:rsidRDefault="004B10D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hideMark/>
          </w:tcPr>
          <w:p w14:paraId="414A11E8" w14:textId="6C0653F4" w:rsidR="004B10D7" w:rsidRPr="00EC051A" w:rsidRDefault="004B10D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DF39A3" w:rsidRPr="00EC051A" w14:paraId="0EC1FD8E" w14:textId="77777777" w:rsidTr="0000496D">
        <w:trPr>
          <w:trHeight w:val="144"/>
        </w:trPr>
        <w:tc>
          <w:tcPr>
            <w:tcW w:w="4220" w:type="dxa"/>
            <w:tcBorders>
              <w:top w:val="nil"/>
              <w:left w:val="single" w:sz="18" w:space="0" w:color="auto"/>
              <w:bottom w:val="nil"/>
              <w:right w:val="single" w:sz="18" w:space="0" w:color="auto"/>
            </w:tcBorders>
            <w:noWrap/>
            <w:vAlign w:val="center"/>
          </w:tcPr>
          <w:p w14:paraId="2C2D4574" w14:textId="494C4107" w:rsidR="00DF39A3" w:rsidRPr="00EC051A" w:rsidRDefault="00DF39A3"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Technology</w:t>
            </w:r>
          </w:p>
        </w:tc>
        <w:tc>
          <w:tcPr>
            <w:tcW w:w="593" w:type="dxa"/>
            <w:tcBorders>
              <w:top w:val="nil"/>
              <w:left w:val="single" w:sz="18" w:space="0" w:color="auto"/>
              <w:bottom w:val="nil"/>
              <w:right w:val="nil"/>
            </w:tcBorders>
            <w:noWrap/>
            <w:vAlign w:val="center"/>
          </w:tcPr>
          <w:p w14:paraId="5FCE4855" w14:textId="0D678482"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tcPr>
          <w:p w14:paraId="07B9D2E1" w14:textId="57533655" w:rsidR="00DF39A3" w:rsidRPr="00EC051A" w:rsidRDefault="00DF39A3" w:rsidP="00EC051A">
            <w:pPr>
              <w:jc w:val="right"/>
              <w:rPr>
                <w:rFonts w:eastAsia="Times New Roman"/>
                <w:color w:val="000000"/>
                <w:kern w:val="0"/>
                <w:sz w:val="20"/>
                <w:szCs w:val="20"/>
                <w:highlight w:val="yellow"/>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tcPr>
          <w:p w14:paraId="7EDBA7B9" w14:textId="2E58432E" w:rsidR="00DF39A3" w:rsidRPr="00EC051A" w:rsidRDefault="00DF39A3" w:rsidP="00EC051A">
            <w:pPr>
              <w:jc w:val="right"/>
              <w:rPr>
                <w:rFonts w:eastAsia="Times New Roman"/>
                <w:color w:val="000000"/>
                <w:kern w:val="0"/>
                <w:sz w:val="20"/>
                <w:szCs w:val="20"/>
                <w:highlight w:val="yellow"/>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tcPr>
          <w:p w14:paraId="4BBE67EE" w14:textId="0B160F8F"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tcPr>
          <w:p w14:paraId="62A5FBE3" w14:textId="4A336C2E" w:rsidR="00DF39A3" w:rsidRPr="00EC051A" w:rsidRDefault="00DF39A3" w:rsidP="00EC051A">
            <w:pPr>
              <w:jc w:val="right"/>
              <w:rPr>
                <w:rFonts w:eastAsia="Times New Roman"/>
                <w:color w:val="000000"/>
                <w:kern w:val="0"/>
                <w:sz w:val="20"/>
                <w:szCs w:val="20"/>
                <w14:ligatures w14:val="none"/>
              </w:rPr>
            </w:pPr>
            <w:r w:rsidRPr="00EC051A">
              <w:rPr>
                <w:color w:val="000000"/>
                <w:sz w:val="20"/>
                <w:szCs w:val="20"/>
              </w:rPr>
              <w:t>0.12</w:t>
            </w:r>
          </w:p>
        </w:tc>
        <w:tc>
          <w:tcPr>
            <w:tcW w:w="541" w:type="dxa"/>
            <w:tcBorders>
              <w:top w:val="nil"/>
              <w:left w:val="nil"/>
              <w:bottom w:val="nil"/>
              <w:right w:val="single" w:sz="4" w:space="0" w:color="auto"/>
            </w:tcBorders>
            <w:noWrap/>
            <w:vAlign w:val="bottom"/>
          </w:tcPr>
          <w:p w14:paraId="14BD18EC" w14:textId="2ED12B8C" w:rsidR="00DF39A3" w:rsidRPr="00EC051A" w:rsidRDefault="00DF39A3" w:rsidP="00EC051A">
            <w:pPr>
              <w:jc w:val="right"/>
              <w:rPr>
                <w:rFonts w:eastAsia="Times New Roman"/>
                <w:color w:val="000000"/>
                <w:kern w:val="0"/>
                <w:sz w:val="20"/>
                <w:szCs w:val="20"/>
                <w14:ligatures w14:val="none"/>
              </w:rPr>
            </w:pPr>
            <w:r w:rsidRPr="00EC051A">
              <w:rPr>
                <w:color w:val="000000"/>
                <w:sz w:val="20"/>
                <w:szCs w:val="20"/>
              </w:rPr>
              <w:t>1.49</w:t>
            </w:r>
          </w:p>
        </w:tc>
        <w:tc>
          <w:tcPr>
            <w:tcW w:w="593" w:type="dxa"/>
            <w:tcBorders>
              <w:top w:val="nil"/>
              <w:left w:val="nil"/>
              <w:bottom w:val="nil"/>
              <w:right w:val="nil"/>
            </w:tcBorders>
            <w:noWrap/>
            <w:vAlign w:val="center"/>
          </w:tcPr>
          <w:p w14:paraId="3571C6F7" w14:textId="3D1815E5"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18" w:space="0" w:color="auto"/>
            </w:tcBorders>
            <w:noWrap/>
            <w:vAlign w:val="center"/>
          </w:tcPr>
          <w:p w14:paraId="68EAB22B" w14:textId="63CB99CB"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DF39A3" w:rsidRPr="00EC051A" w14:paraId="352B35A3" w14:textId="77777777" w:rsidTr="0000496D">
        <w:trPr>
          <w:trHeight w:val="144"/>
        </w:trPr>
        <w:tc>
          <w:tcPr>
            <w:tcW w:w="4220" w:type="dxa"/>
            <w:tcBorders>
              <w:top w:val="nil"/>
              <w:left w:val="single" w:sz="18" w:space="0" w:color="auto"/>
              <w:bottom w:val="nil"/>
              <w:right w:val="single" w:sz="18" w:space="0" w:color="auto"/>
            </w:tcBorders>
            <w:noWrap/>
            <w:vAlign w:val="center"/>
            <w:hideMark/>
          </w:tcPr>
          <w:p w14:paraId="4328F392" w14:textId="77777777" w:rsidR="00DF39A3" w:rsidRPr="00EC051A" w:rsidRDefault="00DF39A3"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Public Administration</w:t>
            </w:r>
          </w:p>
        </w:tc>
        <w:tc>
          <w:tcPr>
            <w:tcW w:w="593" w:type="dxa"/>
            <w:tcBorders>
              <w:top w:val="nil"/>
              <w:left w:val="single" w:sz="18" w:space="0" w:color="auto"/>
              <w:bottom w:val="nil"/>
              <w:right w:val="nil"/>
            </w:tcBorders>
            <w:noWrap/>
            <w:vAlign w:val="center"/>
            <w:hideMark/>
          </w:tcPr>
          <w:p w14:paraId="151510B8" w14:textId="77777777"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642F0CCD" w14:textId="77777777" w:rsidR="00DF39A3" w:rsidRPr="00EC051A" w:rsidRDefault="00DF39A3" w:rsidP="00EC051A">
            <w:pPr>
              <w:jc w:val="right"/>
              <w:rPr>
                <w:rFonts w:eastAsia="Times New Roman"/>
                <w:color w:val="000000"/>
                <w:kern w:val="0"/>
                <w:sz w:val="20"/>
                <w:szCs w:val="20"/>
                <w:highlight w:val="yellow"/>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center"/>
            <w:hideMark/>
          </w:tcPr>
          <w:p w14:paraId="7C0B09E2" w14:textId="77777777" w:rsidR="00DF39A3" w:rsidRPr="00EC051A" w:rsidRDefault="00DF39A3" w:rsidP="00EC051A">
            <w:pPr>
              <w:jc w:val="right"/>
              <w:rPr>
                <w:rFonts w:eastAsia="Times New Roman"/>
                <w:color w:val="000000"/>
                <w:kern w:val="0"/>
                <w:sz w:val="20"/>
                <w:szCs w:val="20"/>
                <w:highlight w:val="yellow"/>
                <w14:ligatures w14:val="none"/>
              </w:rPr>
            </w:pPr>
            <w:r w:rsidRPr="00EC051A">
              <w:rPr>
                <w:rFonts w:eastAsia="Times New Roman"/>
                <w:color w:val="000000"/>
                <w:kern w:val="0"/>
                <w:sz w:val="20"/>
                <w:szCs w:val="20"/>
                <w14:ligatures w14:val="none"/>
              </w:rPr>
              <w:t>--</w:t>
            </w:r>
          </w:p>
        </w:tc>
        <w:tc>
          <w:tcPr>
            <w:tcW w:w="541" w:type="dxa"/>
            <w:tcBorders>
              <w:top w:val="nil"/>
              <w:left w:val="nil"/>
              <w:bottom w:val="nil"/>
              <w:right w:val="single" w:sz="4" w:space="0" w:color="auto"/>
            </w:tcBorders>
            <w:noWrap/>
            <w:vAlign w:val="center"/>
            <w:hideMark/>
          </w:tcPr>
          <w:p w14:paraId="4E871524" w14:textId="77777777" w:rsidR="00DF39A3" w:rsidRPr="00EC051A" w:rsidRDefault="00DF39A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bottom"/>
            <w:hideMark/>
          </w:tcPr>
          <w:p w14:paraId="2F42F19A" w14:textId="0C858B61" w:rsidR="00DF39A3" w:rsidRPr="00EC051A" w:rsidRDefault="00DF39A3" w:rsidP="00EC051A">
            <w:pPr>
              <w:jc w:val="right"/>
              <w:rPr>
                <w:rFonts w:eastAsia="Times New Roman"/>
                <w:color w:val="000000"/>
                <w:kern w:val="0"/>
                <w:sz w:val="20"/>
                <w:szCs w:val="20"/>
                <w14:ligatures w14:val="none"/>
              </w:rPr>
            </w:pPr>
            <w:r w:rsidRPr="00EC051A">
              <w:rPr>
                <w:color w:val="000000"/>
                <w:sz w:val="20"/>
                <w:szCs w:val="20"/>
              </w:rPr>
              <w:t>-0.33</w:t>
            </w:r>
          </w:p>
        </w:tc>
        <w:tc>
          <w:tcPr>
            <w:tcW w:w="541" w:type="dxa"/>
            <w:tcBorders>
              <w:top w:val="nil"/>
              <w:left w:val="nil"/>
              <w:bottom w:val="nil"/>
              <w:right w:val="single" w:sz="4" w:space="0" w:color="auto"/>
            </w:tcBorders>
            <w:noWrap/>
            <w:vAlign w:val="bottom"/>
            <w:hideMark/>
          </w:tcPr>
          <w:p w14:paraId="363B6D86" w14:textId="1FCA5487" w:rsidR="00DF39A3" w:rsidRPr="00EC051A" w:rsidRDefault="00DF39A3" w:rsidP="00EC051A">
            <w:pPr>
              <w:jc w:val="right"/>
              <w:rPr>
                <w:rFonts w:eastAsia="Times New Roman"/>
                <w:color w:val="000000"/>
                <w:kern w:val="0"/>
                <w:sz w:val="20"/>
                <w:szCs w:val="20"/>
                <w14:ligatures w14:val="none"/>
              </w:rPr>
            </w:pPr>
            <w:r w:rsidRPr="00EC051A">
              <w:rPr>
                <w:color w:val="000000"/>
                <w:sz w:val="20"/>
                <w:szCs w:val="20"/>
              </w:rPr>
              <w:t>-1.69</w:t>
            </w:r>
          </w:p>
        </w:tc>
        <w:tc>
          <w:tcPr>
            <w:tcW w:w="593" w:type="dxa"/>
            <w:tcBorders>
              <w:top w:val="nil"/>
              <w:left w:val="nil"/>
              <w:bottom w:val="nil"/>
              <w:right w:val="nil"/>
            </w:tcBorders>
            <w:noWrap/>
            <w:vAlign w:val="bottom"/>
            <w:hideMark/>
          </w:tcPr>
          <w:p w14:paraId="20E57996" w14:textId="52D5B860" w:rsidR="00DF39A3" w:rsidRPr="00EC051A" w:rsidRDefault="00DF39A3" w:rsidP="00EC051A">
            <w:pPr>
              <w:jc w:val="right"/>
              <w:rPr>
                <w:rFonts w:eastAsia="Times New Roman"/>
                <w:color w:val="000000"/>
                <w:kern w:val="0"/>
                <w:sz w:val="20"/>
                <w:szCs w:val="20"/>
                <w14:ligatures w14:val="none"/>
              </w:rPr>
            </w:pPr>
            <w:r w:rsidRPr="00EC051A">
              <w:rPr>
                <w:color w:val="000000"/>
                <w:sz w:val="20"/>
                <w:szCs w:val="20"/>
              </w:rPr>
              <w:t>0.38</w:t>
            </w:r>
          </w:p>
        </w:tc>
        <w:tc>
          <w:tcPr>
            <w:tcW w:w="541" w:type="dxa"/>
            <w:tcBorders>
              <w:top w:val="nil"/>
              <w:left w:val="nil"/>
              <w:bottom w:val="nil"/>
              <w:right w:val="single" w:sz="18" w:space="0" w:color="auto"/>
            </w:tcBorders>
            <w:noWrap/>
            <w:vAlign w:val="bottom"/>
            <w:hideMark/>
          </w:tcPr>
          <w:p w14:paraId="1E76230C" w14:textId="1D1B59CE" w:rsidR="00DF39A3" w:rsidRPr="00EC051A" w:rsidRDefault="00DF39A3" w:rsidP="00EC051A">
            <w:pPr>
              <w:jc w:val="right"/>
              <w:rPr>
                <w:rFonts w:eastAsia="Times New Roman"/>
                <w:color w:val="000000"/>
                <w:kern w:val="0"/>
                <w:sz w:val="20"/>
                <w:szCs w:val="20"/>
                <w14:ligatures w14:val="none"/>
              </w:rPr>
            </w:pPr>
            <w:r w:rsidRPr="00EC051A">
              <w:rPr>
                <w:color w:val="000000"/>
                <w:sz w:val="20"/>
                <w:szCs w:val="20"/>
              </w:rPr>
              <w:t>1.93</w:t>
            </w:r>
          </w:p>
        </w:tc>
      </w:tr>
      <w:tr w:rsidR="006F2D61" w:rsidRPr="00EC051A" w14:paraId="7AEA076C" w14:textId="77777777" w:rsidTr="006F2D61">
        <w:trPr>
          <w:trHeight w:val="144"/>
        </w:trPr>
        <w:tc>
          <w:tcPr>
            <w:tcW w:w="8921" w:type="dxa"/>
            <w:gridSpan w:val="9"/>
            <w:tcBorders>
              <w:top w:val="single" w:sz="18" w:space="0" w:color="auto"/>
              <w:left w:val="single" w:sz="18" w:space="0" w:color="auto"/>
              <w:bottom w:val="single" w:sz="18" w:space="0" w:color="auto"/>
              <w:right w:val="single" w:sz="18" w:space="0" w:color="auto"/>
            </w:tcBorders>
            <w:noWrap/>
            <w:vAlign w:val="center"/>
            <w:hideMark/>
          </w:tcPr>
          <w:p w14:paraId="1053D39E" w14:textId="317A84A9" w:rsidR="006F2D61" w:rsidRPr="006F2D61" w:rsidRDefault="006F2D61" w:rsidP="006F2D61">
            <w:pPr>
              <w:jc w:val="left"/>
              <w:rPr>
                <w:rFonts w:eastAsia="Times New Roman"/>
                <w:b/>
                <w:bCs/>
                <w:i/>
                <w:iCs/>
                <w:color w:val="000000"/>
                <w:kern w:val="0"/>
                <w:sz w:val="20"/>
                <w:szCs w:val="20"/>
                <w14:ligatures w14:val="none"/>
              </w:rPr>
            </w:pPr>
            <w:r w:rsidRPr="006F2D61">
              <w:rPr>
                <w:rFonts w:eastAsia="Times New Roman"/>
                <w:b/>
                <w:bCs/>
                <w:i/>
                <w:iCs/>
                <w:color w:val="000000"/>
                <w:kern w:val="0"/>
                <w:sz w:val="20"/>
                <w:szCs w:val="20"/>
                <w14:ligatures w14:val="none"/>
              </w:rPr>
              <w:lastRenderedPageBreak/>
              <w:t>Covariance Elements</w:t>
            </w:r>
            <w:r w:rsidRPr="006F2D61">
              <w:rPr>
                <w:rFonts w:eastAsia="Times New Roman"/>
                <w:i/>
                <w:iCs/>
                <w:color w:val="000000"/>
                <w:kern w:val="0"/>
                <w:sz w:val="20"/>
                <w:szCs w:val="20"/>
                <w14:ligatures w14:val="none"/>
              </w:rPr>
              <w:t>  </w:t>
            </w:r>
          </w:p>
        </w:tc>
      </w:tr>
      <w:tr w:rsidR="00756858" w:rsidRPr="00EC051A" w14:paraId="305AE2D1" w14:textId="77777777" w:rsidTr="006F2D61">
        <w:trPr>
          <w:trHeight w:val="144"/>
        </w:trPr>
        <w:tc>
          <w:tcPr>
            <w:tcW w:w="4220" w:type="dxa"/>
            <w:tcBorders>
              <w:top w:val="single" w:sz="18" w:space="0" w:color="auto"/>
              <w:left w:val="single" w:sz="18" w:space="0" w:color="auto"/>
              <w:bottom w:val="nil"/>
              <w:right w:val="single" w:sz="18" w:space="0" w:color="auto"/>
            </w:tcBorders>
            <w:noWrap/>
            <w:vAlign w:val="center"/>
          </w:tcPr>
          <w:p w14:paraId="7F2BAED2" w14:textId="77777777" w:rsidR="00756858" w:rsidRPr="00EC051A" w:rsidRDefault="00756858"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Commute Distance</w:t>
            </w:r>
          </w:p>
        </w:tc>
        <w:tc>
          <w:tcPr>
            <w:tcW w:w="593" w:type="dxa"/>
            <w:tcBorders>
              <w:top w:val="single" w:sz="18" w:space="0" w:color="auto"/>
              <w:left w:val="single" w:sz="18" w:space="0" w:color="auto"/>
              <w:bottom w:val="nil"/>
              <w:right w:val="nil"/>
            </w:tcBorders>
            <w:noWrap/>
            <w:vAlign w:val="bottom"/>
            <w:hideMark/>
          </w:tcPr>
          <w:p w14:paraId="49DEA068" w14:textId="2C3BEE16" w:rsidR="00756858" w:rsidRPr="00EC051A" w:rsidRDefault="00756858" w:rsidP="00EC051A">
            <w:pPr>
              <w:jc w:val="right"/>
              <w:rPr>
                <w:rFonts w:eastAsia="Times New Roman"/>
                <w:color w:val="000000"/>
                <w:kern w:val="0"/>
                <w:sz w:val="20"/>
                <w:szCs w:val="20"/>
                <w14:ligatures w14:val="none"/>
              </w:rPr>
            </w:pPr>
            <w:r w:rsidRPr="00EC051A">
              <w:rPr>
                <w:color w:val="000000"/>
                <w:sz w:val="20"/>
                <w:szCs w:val="20"/>
              </w:rPr>
              <w:t>1.07</w:t>
            </w:r>
          </w:p>
        </w:tc>
        <w:tc>
          <w:tcPr>
            <w:tcW w:w="669" w:type="dxa"/>
            <w:tcBorders>
              <w:top w:val="single" w:sz="18" w:space="0" w:color="auto"/>
              <w:left w:val="nil"/>
              <w:bottom w:val="nil"/>
              <w:right w:val="single" w:sz="4" w:space="0" w:color="auto"/>
            </w:tcBorders>
            <w:noWrap/>
            <w:vAlign w:val="bottom"/>
            <w:hideMark/>
          </w:tcPr>
          <w:p w14:paraId="7CBC81D5" w14:textId="5EF34714" w:rsidR="00756858" w:rsidRPr="00EC051A" w:rsidRDefault="00756858" w:rsidP="00EC051A">
            <w:pPr>
              <w:jc w:val="right"/>
              <w:rPr>
                <w:rFonts w:eastAsia="Times New Roman"/>
                <w:color w:val="000000"/>
                <w:kern w:val="0"/>
                <w:sz w:val="20"/>
                <w:szCs w:val="20"/>
                <w14:ligatures w14:val="none"/>
              </w:rPr>
            </w:pPr>
            <w:r w:rsidRPr="00EC051A">
              <w:rPr>
                <w:color w:val="000000"/>
                <w:sz w:val="20"/>
                <w:szCs w:val="20"/>
              </w:rPr>
              <w:t>40.44</w:t>
            </w:r>
          </w:p>
        </w:tc>
        <w:tc>
          <w:tcPr>
            <w:tcW w:w="630" w:type="dxa"/>
            <w:tcBorders>
              <w:top w:val="single" w:sz="18" w:space="0" w:color="auto"/>
              <w:left w:val="nil"/>
              <w:bottom w:val="nil"/>
              <w:right w:val="nil"/>
            </w:tcBorders>
            <w:noWrap/>
            <w:vAlign w:val="center"/>
          </w:tcPr>
          <w:p w14:paraId="66CDB03A" w14:textId="77777777" w:rsidR="00756858" w:rsidRPr="00EC051A" w:rsidRDefault="00756858"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tcPr>
          <w:p w14:paraId="7BEE97FA" w14:textId="77777777" w:rsidR="00756858" w:rsidRPr="00EC051A" w:rsidRDefault="00756858" w:rsidP="00EC051A">
            <w:pPr>
              <w:jc w:val="right"/>
              <w:rPr>
                <w:rFonts w:eastAsia="Times New Roman"/>
                <w:b/>
                <w:bCs/>
                <w:color w:val="000000"/>
                <w:kern w:val="0"/>
                <w:sz w:val="20"/>
                <w:szCs w:val="20"/>
                <w14:ligatures w14:val="none"/>
              </w:rPr>
            </w:pPr>
          </w:p>
        </w:tc>
        <w:tc>
          <w:tcPr>
            <w:tcW w:w="593" w:type="dxa"/>
            <w:tcBorders>
              <w:top w:val="single" w:sz="18" w:space="0" w:color="auto"/>
              <w:left w:val="nil"/>
              <w:bottom w:val="nil"/>
              <w:right w:val="nil"/>
            </w:tcBorders>
            <w:noWrap/>
          </w:tcPr>
          <w:p w14:paraId="0B495C24" w14:textId="118B34C6" w:rsidR="00756858" w:rsidRPr="00EC051A" w:rsidRDefault="00756858" w:rsidP="00EC051A">
            <w:pPr>
              <w:jc w:val="right"/>
              <w:rPr>
                <w:rFonts w:eastAsia="Times New Roman"/>
                <w:b/>
                <w:bCs/>
                <w:color w:val="000000"/>
                <w:kern w:val="0"/>
                <w:sz w:val="20"/>
                <w:szCs w:val="20"/>
                <w14:ligatures w14:val="none"/>
              </w:rPr>
            </w:pPr>
          </w:p>
        </w:tc>
        <w:tc>
          <w:tcPr>
            <w:tcW w:w="541" w:type="dxa"/>
            <w:tcBorders>
              <w:top w:val="single" w:sz="18" w:space="0" w:color="auto"/>
              <w:left w:val="nil"/>
              <w:bottom w:val="nil"/>
              <w:right w:val="single" w:sz="4" w:space="0" w:color="auto"/>
            </w:tcBorders>
            <w:noWrap/>
          </w:tcPr>
          <w:p w14:paraId="1860908C" w14:textId="2DFB0212" w:rsidR="00756858" w:rsidRPr="00EC051A" w:rsidRDefault="00756858" w:rsidP="00EC051A">
            <w:pPr>
              <w:jc w:val="right"/>
              <w:rPr>
                <w:rFonts w:eastAsia="Times New Roman"/>
                <w:color w:val="000000"/>
                <w:kern w:val="0"/>
                <w:sz w:val="20"/>
                <w:szCs w:val="20"/>
                <w14:ligatures w14:val="none"/>
              </w:rPr>
            </w:pPr>
          </w:p>
        </w:tc>
        <w:tc>
          <w:tcPr>
            <w:tcW w:w="593" w:type="dxa"/>
            <w:tcBorders>
              <w:top w:val="single" w:sz="18" w:space="0" w:color="auto"/>
              <w:left w:val="nil"/>
              <w:bottom w:val="nil"/>
              <w:right w:val="nil"/>
            </w:tcBorders>
            <w:noWrap/>
            <w:vAlign w:val="center"/>
          </w:tcPr>
          <w:p w14:paraId="4B95F891" w14:textId="77777777" w:rsidR="00756858" w:rsidRPr="00EC051A" w:rsidRDefault="00756858" w:rsidP="00EC051A">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18" w:space="0" w:color="auto"/>
            </w:tcBorders>
            <w:noWrap/>
            <w:vAlign w:val="center"/>
          </w:tcPr>
          <w:p w14:paraId="536DA4DF" w14:textId="77777777" w:rsidR="00756858" w:rsidRPr="00EC051A" w:rsidRDefault="00756858" w:rsidP="00EC051A">
            <w:pPr>
              <w:jc w:val="right"/>
              <w:rPr>
                <w:rFonts w:eastAsia="Times New Roman"/>
                <w:color w:val="000000"/>
                <w:kern w:val="0"/>
                <w:sz w:val="20"/>
                <w:szCs w:val="20"/>
                <w14:ligatures w14:val="none"/>
              </w:rPr>
            </w:pPr>
          </w:p>
        </w:tc>
      </w:tr>
      <w:tr w:rsidR="00896D63" w:rsidRPr="00EC051A" w14:paraId="62DA6824" w14:textId="77777777" w:rsidTr="0000496D">
        <w:trPr>
          <w:trHeight w:val="144"/>
        </w:trPr>
        <w:tc>
          <w:tcPr>
            <w:tcW w:w="4220" w:type="dxa"/>
            <w:tcBorders>
              <w:top w:val="nil"/>
              <w:left w:val="single" w:sz="18" w:space="0" w:color="auto"/>
              <w:right w:val="single" w:sz="18" w:space="0" w:color="auto"/>
            </w:tcBorders>
            <w:noWrap/>
            <w:vAlign w:val="center"/>
          </w:tcPr>
          <w:p w14:paraId="29BC43AB" w14:textId="77777777" w:rsidR="00896D63" w:rsidRPr="00EC051A" w:rsidRDefault="00896D63"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Telework Adoption</w:t>
            </w:r>
          </w:p>
        </w:tc>
        <w:tc>
          <w:tcPr>
            <w:tcW w:w="593" w:type="dxa"/>
            <w:tcBorders>
              <w:top w:val="nil"/>
              <w:left w:val="single" w:sz="18" w:space="0" w:color="auto"/>
              <w:bottom w:val="nil"/>
              <w:right w:val="nil"/>
            </w:tcBorders>
            <w:noWrap/>
            <w:vAlign w:val="bottom"/>
            <w:hideMark/>
          </w:tcPr>
          <w:p w14:paraId="367CC57F" w14:textId="171176C3" w:rsidR="00896D63" w:rsidRPr="00EC051A" w:rsidRDefault="00896D63" w:rsidP="00EC051A">
            <w:pPr>
              <w:jc w:val="right"/>
              <w:rPr>
                <w:rFonts w:eastAsia="Times New Roman"/>
                <w:color w:val="000000"/>
                <w:kern w:val="0"/>
                <w:sz w:val="20"/>
                <w:szCs w:val="20"/>
                <w14:ligatures w14:val="none"/>
              </w:rPr>
            </w:pPr>
            <w:r w:rsidRPr="00EC051A">
              <w:rPr>
                <w:color w:val="000000"/>
                <w:sz w:val="20"/>
                <w:szCs w:val="20"/>
              </w:rPr>
              <w:t>0.12</w:t>
            </w:r>
          </w:p>
        </w:tc>
        <w:tc>
          <w:tcPr>
            <w:tcW w:w="669" w:type="dxa"/>
            <w:tcBorders>
              <w:top w:val="nil"/>
              <w:left w:val="nil"/>
              <w:bottom w:val="nil"/>
              <w:right w:val="single" w:sz="4" w:space="0" w:color="auto"/>
            </w:tcBorders>
            <w:noWrap/>
            <w:vAlign w:val="bottom"/>
            <w:hideMark/>
          </w:tcPr>
          <w:p w14:paraId="6BB172D3" w14:textId="410F0A7B" w:rsidR="00896D63" w:rsidRPr="00EC051A" w:rsidRDefault="00896D63" w:rsidP="00EC051A">
            <w:pPr>
              <w:jc w:val="right"/>
              <w:rPr>
                <w:rFonts w:eastAsia="Times New Roman"/>
                <w:color w:val="000000"/>
                <w:kern w:val="0"/>
                <w:sz w:val="20"/>
                <w:szCs w:val="20"/>
                <w14:ligatures w14:val="none"/>
              </w:rPr>
            </w:pPr>
            <w:r w:rsidRPr="00EC051A">
              <w:rPr>
                <w:color w:val="000000"/>
                <w:sz w:val="20"/>
                <w:szCs w:val="20"/>
              </w:rPr>
              <w:t>1.31</w:t>
            </w:r>
          </w:p>
        </w:tc>
        <w:tc>
          <w:tcPr>
            <w:tcW w:w="630" w:type="dxa"/>
            <w:tcBorders>
              <w:top w:val="nil"/>
              <w:left w:val="nil"/>
              <w:bottom w:val="nil"/>
              <w:right w:val="nil"/>
            </w:tcBorders>
            <w:noWrap/>
            <w:vAlign w:val="center"/>
          </w:tcPr>
          <w:p w14:paraId="118EF2C1" w14:textId="77777777" w:rsidR="00896D63" w:rsidRPr="00EC051A" w:rsidRDefault="00896D6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1.00</w:t>
            </w:r>
          </w:p>
        </w:tc>
        <w:tc>
          <w:tcPr>
            <w:tcW w:w="541" w:type="dxa"/>
            <w:tcBorders>
              <w:top w:val="nil"/>
              <w:left w:val="nil"/>
              <w:bottom w:val="nil"/>
              <w:right w:val="single" w:sz="4" w:space="0" w:color="auto"/>
            </w:tcBorders>
            <w:noWrap/>
            <w:vAlign w:val="center"/>
          </w:tcPr>
          <w:p w14:paraId="34039162" w14:textId="77777777" w:rsidR="00896D63" w:rsidRPr="00EC051A" w:rsidRDefault="00896D63" w:rsidP="00EC051A">
            <w:pPr>
              <w:jc w:val="right"/>
              <w:rPr>
                <w:rFonts w:eastAsia="Times New Roman"/>
                <w:color w:val="000000"/>
                <w:kern w:val="0"/>
                <w:sz w:val="20"/>
                <w:szCs w:val="20"/>
                <w14:ligatures w14:val="none"/>
              </w:rPr>
            </w:pPr>
            <w:r w:rsidRPr="00EC051A">
              <w:rPr>
                <w:rFonts w:eastAsia="Times New Roman"/>
                <w:b/>
                <w:bCs/>
                <w:color w:val="000000"/>
                <w:kern w:val="0"/>
                <w:sz w:val="20"/>
                <w:szCs w:val="20"/>
                <w14:ligatures w14:val="none"/>
              </w:rPr>
              <w:t>--</w:t>
            </w:r>
          </w:p>
        </w:tc>
        <w:tc>
          <w:tcPr>
            <w:tcW w:w="593" w:type="dxa"/>
            <w:tcBorders>
              <w:top w:val="nil"/>
              <w:left w:val="nil"/>
              <w:bottom w:val="nil"/>
              <w:right w:val="nil"/>
            </w:tcBorders>
            <w:noWrap/>
            <w:vAlign w:val="center"/>
          </w:tcPr>
          <w:p w14:paraId="07ED2A15" w14:textId="77777777" w:rsidR="00896D63" w:rsidRPr="00EC051A" w:rsidRDefault="00896D63" w:rsidP="00EC051A">
            <w:pPr>
              <w:jc w:val="right"/>
              <w:rPr>
                <w:rFonts w:eastAsia="Times New Roman"/>
                <w:color w:val="000000"/>
                <w:kern w:val="0"/>
                <w:sz w:val="20"/>
                <w:szCs w:val="20"/>
                <w14:ligatures w14:val="none"/>
              </w:rPr>
            </w:pPr>
          </w:p>
        </w:tc>
        <w:tc>
          <w:tcPr>
            <w:tcW w:w="541" w:type="dxa"/>
            <w:tcBorders>
              <w:top w:val="nil"/>
              <w:left w:val="nil"/>
              <w:bottom w:val="nil"/>
              <w:right w:val="single" w:sz="4" w:space="0" w:color="auto"/>
            </w:tcBorders>
            <w:noWrap/>
            <w:vAlign w:val="center"/>
          </w:tcPr>
          <w:p w14:paraId="30741410" w14:textId="52E6A3B2" w:rsidR="00896D63" w:rsidRPr="00EC051A" w:rsidRDefault="00896D63" w:rsidP="00EC051A">
            <w:pPr>
              <w:jc w:val="right"/>
              <w:rPr>
                <w:rFonts w:eastAsia="Times New Roman"/>
                <w:b/>
                <w:bCs/>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nil"/>
              <w:left w:val="nil"/>
              <w:bottom w:val="nil"/>
              <w:right w:val="nil"/>
            </w:tcBorders>
            <w:noWrap/>
            <w:vAlign w:val="center"/>
          </w:tcPr>
          <w:p w14:paraId="703278A2" w14:textId="77777777" w:rsidR="00896D63" w:rsidRPr="00EC051A" w:rsidRDefault="00896D63" w:rsidP="00EC051A">
            <w:pPr>
              <w:jc w:val="right"/>
              <w:rPr>
                <w:rFonts w:eastAsia="Times New Roman"/>
                <w:b/>
                <w:bCs/>
                <w:color w:val="000000"/>
                <w:kern w:val="0"/>
                <w:sz w:val="20"/>
                <w:szCs w:val="20"/>
                <w14:ligatures w14:val="none"/>
              </w:rPr>
            </w:pPr>
          </w:p>
        </w:tc>
        <w:tc>
          <w:tcPr>
            <w:tcW w:w="541" w:type="dxa"/>
            <w:tcBorders>
              <w:top w:val="nil"/>
              <w:left w:val="nil"/>
              <w:bottom w:val="nil"/>
              <w:right w:val="single" w:sz="18" w:space="0" w:color="auto"/>
            </w:tcBorders>
            <w:noWrap/>
            <w:vAlign w:val="center"/>
          </w:tcPr>
          <w:p w14:paraId="5B4AE259" w14:textId="5490A9CE" w:rsidR="00896D63" w:rsidRPr="00EC051A" w:rsidRDefault="00896D63"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805BC7" w:rsidRPr="00EC051A" w14:paraId="2C9F11A2" w14:textId="77777777" w:rsidTr="0000496D">
        <w:trPr>
          <w:trHeight w:val="144"/>
        </w:trPr>
        <w:tc>
          <w:tcPr>
            <w:tcW w:w="4220" w:type="dxa"/>
            <w:tcBorders>
              <w:top w:val="nil"/>
              <w:left w:val="single" w:sz="18" w:space="0" w:color="auto"/>
              <w:right w:val="single" w:sz="18" w:space="0" w:color="auto"/>
            </w:tcBorders>
            <w:noWrap/>
            <w:vAlign w:val="center"/>
          </w:tcPr>
          <w:p w14:paraId="6FDA17EC" w14:textId="43D495D3" w:rsidR="00805BC7" w:rsidRPr="00EC051A" w:rsidRDefault="00805BC7"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Full-Day Frequency</w:t>
            </w:r>
          </w:p>
        </w:tc>
        <w:tc>
          <w:tcPr>
            <w:tcW w:w="593" w:type="dxa"/>
            <w:tcBorders>
              <w:top w:val="nil"/>
              <w:left w:val="single" w:sz="18" w:space="0" w:color="auto"/>
              <w:bottom w:val="nil"/>
              <w:right w:val="nil"/>
            </w:tcBorders>
            <w:noWrap/>
            <w:vAlign w:val="center"/>
            <w:hideMark/>
          </w:tcPr>
          <w:p w14:paraId="1CD4B9B0" w14:textId="469F5263" w:rsidR="00805BC7" w:rsidRPr="00EC051A" w:rsidRDefault="00805BC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0.00</w:t>
            </w:r>
          </w:p>
        </w:tc>
        <w:tc>
          <w:tcPr>
            <w:tcW w:w="669" w:type="dxa"/>
            <w:tcBorders>
              <w:top w:val="nil"/>
              <w:left w:val="nil"/>
              <w:bottom w:val="nil"/>
              <w:right w:val="single" w:sz="4" w:space="0" w:color="auto"/>
            </w:tcBorders>
            <w:noWrap/>
            <w:vAlign w:val="center"/>
            <w:hideMark/>
          </w:tcPr>
          <w:p w14:paraId="27E45FA5" w14:textId="4F18198D" w:rsidR="00805BC7" w:rsidRPr="00EC051A" w:rsidRDefault="00805BC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30" w:type="dxa"/>
            <w:tcBorders>
              <w:top w:val="nil"/>
              <w:left w:val="nil"/>
              <w:bottom w:val="nil"/>
              <w:right w:val="nil"/>
            </w:tcBorders>
            <w:noWrap/>
            <w:vAlign w:val="bottom"/>
          </w:tcPr>
          <w:p w14:paraId="7F35F416" w14:textId="60B29F65" w:rsidR="00805BC7" w:rsidRPr="00EC051A" w:rsidRDefault="00805BC7" w:rsidP="00EC051A">
            <w:pPr>
              <w:jc w:val="right"/>
              <w:rPr>
                <w:rFonts w:eastAsia="Times New Roman"/>
                <w:color w:val="000000"/>
                <w:kern w:val="0"/>
                <w:sz w:val="20"/>
                <w:szCs w:val="20"/>
                <w14:ligatures w14:val="none"/>
              </w:rPr>
            </w:pPr>
            <w:r w:rsidRPr="00EC051A">
              <w:rPr>
                <w:color w:val="000000"/>
                <w:sz w:val="20"/>
                <w:szCs w:val="20"/>
              </w:rPr>
              <w:t>0.70</w:t>
            </w:r>
          </w:p>
        </w:tc>
        <w:tc>
          <w:tcPr>
            <w:tcW w:w="541" w:type="dxa"/>
            <w:tcBorders>
              <w:top w:val="nil"/>
              <w:left w:val="nil"/>
              <w:bottom w:val="nil"/>
              <w:right w:val="single" w:sz="4" w:space="0" w:color="auto"/>
            </w:tcBorders>
            <w:noWrap/>
            <w:vAlign w:val="bottom"/>
          </w:tcPr>
          <w:p w14:paraId="53E1E435" w14:textId="0A132209" w:rsidR="00805BC7" w:rsidRPr="00EC051A" w:rsidRDefault="00805BC7" w:rsidP="00EC051A">
            <w:pPr>
              <w:jc w:val="right"/>
              <w:rPr>
                <w:rFonts w:eastAsia="Times New Roman"/>
                <w:color w:val="000000"/>
                <w:kern w:val="0"/>
                <w:sz w:val="20"/>
                <w:szCs w:val="20"/>
                <w14:ligatures w14:val="none"/>
              </w:rPr>
            </w:pPr>
            <w:r w:rsidRPr="00EC051A">
              <w:rPr>
                <w:color w:val="000000"/>
                <w:sz w:val="20"/>
                <w:szCs w:val="20"/>
              </w:rPr>
              <w:t>3.05</w:t>
            </w:r>
          </w:p>
        </w:tc>
        <w:tc>
          <w:tcPr>
            <w:tcW w:w="593" w:type="dxa"/>
            <w:tcBorders>
              <w:top w:val="nil"/>
              <w:left w:val="nil"/>
              <w:bottom w:val="nil"/>
              <w:right w:val="nil"/>
            </w:tcBorders>
            <w:noWrap/>
            <w:vAlign w:val="center"/>
          </w:tcPr>
          <w:p w14:paraId="1BFC949B" w14:textId="3A7810BF" w:rsidR="00805BC7" w:rsidRPr="00EC051A" w:rsidRDefault="00805BC7"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1.00</w:t>
            </w:r>
          </w:p>
        </w:tc>
        <w:tc>
          <w:tcPr>
            <w:tcW w:w="541" w:type="dxa"/>
            <w:tcBorders>
              <w:top w:val="nil"/>
              <w:left w:val="nil"/>
              <w:bottom w:val="nil"/>
              <w:right w:val="single" w:sz="4" w:space="0" w:color="auto"/>
            </w:tcBorders>
            <w:noWrap/>
            <w:vAlign w:val="center"/>
          </w:tcPr>
          <w:p w14:paraId="43DDBF7F" w14:textId="1D0E894C" w:rsidR="00805BC7" w:rsidRPr="00EC051A" w:rsidRDefault="00805BC7" w:rsidP="00EC051A">
            <w:pPr>
              <w:jc w:val="right"/>
              <w:rPr>
                <w:rFonts w:eastAsia="Times New Roman"/>
                <w:color w:val="000000"/>
                <w:kern w:val="0"/>
                <w:sz w:val="20"/>
                <w:szCs w:val="20"/>
                <w14:ligatures w14:val="none"/>
              </w:rPr>
            </w:pPr>
            <w:r w:rsidRPr="00EC051A">
              <w:rPr>
                <w:rFonts w:eastAsia="Times New Roman"/>
                <w:b/>
                <w:bCs/>
                <w:color w:val="000000"/>
                <w:kern w:val="0"/>
                <w:sz w:val="20"/>
                <w:szCs w:val="20"/>
                <w14:ligatures w14:val="none"/>
              </w:rPr>
              <w:t>--</w:t>
            </w:r>
          </w:p>
        </w:tc>
        <w:tc>
          <w:tcPr>
            <w:tcW w:w="593" w:type="dxa"/>
            <w:tcBorders>
              <w:top w:val="nil"/>
              <w:left w:val="nil"/>
              <w:bottom w:val="nil"/>
              <w:right w:val="nil"/>
            </w:tcBorders>
            <w:noWrap/>
            <w:vAlign w:val="center"/>
          </w:tcPr>
          <w:p w14:paraId="2D084607" w14:textId="3096F71B" w:rsidR="00805BC7" w:rsidRPr="00EC051A" w:rsidRDefault="00805BC7" w:rsidP="00EC051A">
            <w:pPr>
              <w:jc w:val="right"/>
              <w:rPr>
                <w:rFonts w:eastAsia="Times New Roman"/>
                <w:color w:val="000000"/>
                <w:kern w:val="0"/>
                <w:sz w:val="20"/>
                <w:szCs w:val="20"/>
                <w14:ligatures w14:val="none"/>
              </w:rPr>
            </w:pPr>
          </w:p>
        </w:tc>
        <w:tc>
          <w:tcPr>
            <w:tcW w:w="541" w:type="dxa"/>
            <w:tcBorders>
              <w:top w:val="nil"/>
              <w:left w:val="nil"/>
              <w:bottom w:val="nil"/>
              <w:right w:val="single" w:sz="18" w:space="0" w:color="auto"/>
            </w:tcBorders>
            <w:noWrap/>
            <w:vAlign w:val="center"/>
          </w:tcPr>
          <w:p w14:paraId="31733AAF" w14:textId="02B9E51B" w:rsidR="00805BC7" w:rsidRPr="00EC051A" w:rsidRDefault="00805BC7" w:rsidP="00EC051A">
            <w:pPr>
              <w:jc w:val="right"/>
              <w:rPr>
                <w:rFonts w:eastAsia="Times New Roman"/>
                <w:b/>
                <w:bCs/>
                <w:color w:val="000000"/>
                <w:kern w:val="0"/>
                <w:sz w:val="20"/>
                <w:szCs w:val="20"/>
                <w14:ligatures w14:val="none"/>
              </w:rPr>
            </w:pPr>
          </w:p>
        </w:tc>
      </w:tr>
      <w:tr w:rsidR="00756858" w:rsidRPr="00EC051A" w14:paraId="1579249E" w14:textId="77777777" w:rsidTr="006F2D61">
        <w:trPr>
          <w:trHeight w:val="144"/>
        </w:trPr>
        <w:tc>
          <w:tcPr>
            <w:tcW w:w="4220" w:type="dxa"/>
            <w:tcBorders>
              <w:left w:val="single" w:sz="18" w:space="0" w:color="auto"/>
              <w:bottom w:val="single" w:sz="18" w:space="0" w:color="auto"/>
              <w:right w:val="single" w:sz="18" w:space="0" w:color="auto"/>
            </w:tcBorders>
            <w:noWrap/>
            <w:vAlign w:val="center"/>
            <w:hideMark/>
          </w:tcPr>
          <w:p w14:paraId="6D744752" w14:textId="260C9260" w:rsidR="00756858" w:rsidRPr="00EC051A" w:rsidRDefault="00756858" w:rsidP="00EC051A">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Part-Day Frequency</w:t>
            </w:r>
          </w:p>
        </w:tc>
        <w:tc>
          <w:tcPr>
            <w:tcW w:w="593" w:type="dxa"/>
            <w:tcBorders>
              <w:top w:val="nil"/>
              <w:left w:val="single" w:sz="18" w:space="0" w:color="auto"/>
              <w:bottom w:val="single" w:sz="18" w:space="0" w:color="auto"/>
              <w:right w:val="nil"/>
            </w:tcBorders>
            <w:noWrap/>
          </w:tcPr>
          <w:p w14:paraId="20E0FBF8" w14:textId="2D3BA9D0" w:rsidR="00756858" w:rsidRPr="00EC051A" w:rsidRDefault="00756858" w:rsidP="00EC051A">
            <w:pPr>
              <w:jc w:val="right"/>
              <w:rPr>
                <w:rFonts w:eastAsia="Times New Roman"/>
                <w:color w:val="000000"/>
                <w:kern w:val="0"/>
                <w:sz w:val="20"/>
                <w:szCs w:val="20"/>
                <w14:ligatures w14:val="none"/>
              </w:rPr>
            </w:pPr>
            <w:r w:rsidRPr="00EC051A">
              <w:rPr>
                <w:sz w:val="20"/>
                <w:szCs w:val="20"/>
              </w:rPr>
              <w:t>-0.17</w:t>
            </w:r>
          </w:p>
        </w:tc>
        <w:tc>
          <w:tcPr>
            <w:tcW w:w="669" w:type="dxa"/>
            <w:tcBorders>
              <w:top w:val="nil"/>
              <w:left w:val="nil"/>
              <w:bottom w:val="single" w:sz="18" w:space="0" w:color="auto"/>
              <w:right w:val="single" w:sz="4" w:space="0" w:color="auto"/>
            </w:tcBorders>
            <w:noWrap/>
          </w:tcPr>
          <w:p w14:paraId="722F1136" w14:textId="6091F71F" w:rsidR="00756858" w:rsidRPr="00EC051A" w:rsidRDefault="00756858" w:rsidP="00EC051A">
            <w:pPr>
              <w:jc w:val="right"/>
              <w:rPr>
                <w:rFonts w:eastAsia="Times New Roman"/>
                <w:color w:val="000000"/>
                <w:kern w:val="0"/>
                <w:sz w:val="20"/>
                <w:szCs w:val="20"/>
                <w14:ligatures w14:val="none"/>
              </w:rPr>
            </w:pPr>
            <w:r w:rsidRPr="00EC051A">
              <w:rPr>
                <w:sz w:val="20"/>
                <w:szCs w:val="20"/>
              </w:rPr>
              <w:t>-2.03</w:t>
            </w:r>
          </w:p>
        </w:tc>
        <w:tc>
          <w:tcPr>
            <w:tcW w:w="630" w:type="dxa"/>
            <w:tcBorders>
              <w:top w:val="nil"/>
              <w:left w:val="nil"/>
              <w:bottom w:val="single" w:sz="18" w:space="0" w:color="auto"/>
              <w:right w:val="nil"/>
            </w:tcBorders>
            <w:noWrap/>
            <w:vAlign w:val="bottom"/>
          </w:tcPr>
          <w:p w14:paraId="12B446B2" w14:textId="5DDFC2B8" w:rsidR="00756858" w:rsidRPr="00EC051A" w:rsidRDefault="00756858" w:rsidP="00EC051A">
            <w:pPr>
              <w:jc w:val="right"/>
              <w:rPr>
                <w:rFonts w:eastAsia="Times New Roman"/>
                <w:color w:val="000000"/>
                <w:kern w:val="0"/>
                <w:sz w:val="20"/>
                <w:szCs w:val="20"/>
                <w14:ligatures w14:val="none"/>
              </w:rPr>
            </w:pPr>
            <w:r w:rsidRPr="00EC051A">
              <w:rPr>
                <w:color w:val="000000"/>
                <w:sz w:val="20"/>
                <w:szCs w:val="20"/>
              </w:rPr>
              <w:t>-0.61</w:t>
            </w:r>
          </w:p>
        </w:tc>
        <w:tc>
          <w:tcPr>
            <w:tcW w:w="541" w:type="dxa"/>
            <w:tcBorders>
              <w:top w:val="nil"/>
              <w:left w:val="nil"/>
              <w:bottom w:val="single" w:sz="18" w:space="0" w:color="auto"/>
              <w:right w:val="single" w:sz="4" w:space="0" w:color="auto"/>
            </w:tcBorders>
            <w:noWrap/>
            <w:vAlign w:val="bottom"/>
          </w:tcPr>
          <w:p w14:paraId="2908DABB" w14:textId="1EB90E63" w:rsidR="00756858" w:rsidRPr="00EC051A" w:rsidRDefault="00756858" w:rsidP="00EC051A">
            <w:pPr>
              <w:jc w:val="right"/>
              <w:rPr>
                <w:rFonts w:eastAsia="Times New Roman"/>
                <w:color w:val="000000"/>
                <w:kern w:val="0"/>
                <w:sz w:val="20"/>
                <w:szCs w:val="20"/>
                <w14:ligatures w14:val="none"/>
              </w:rPr>
            </w:pPr>
            <w:r w:rsidRPr="00EC051A">
              <w:rPr>
                <w:color w:val="000000"/>
                <w:sz w:val="20"/>
                <w:szCs w:val="20"/>
              </w:rPr>
              <w:t>-2.25</w:t>
            </w:r>
          </w:p>
        </w:tc>
        <w:tc>
          <w:tcPr>
            <w:tcW w:w="593" w:type="dxa"/>
            <w:tcBorders>
              <w:top w:val="nil"/>
              <w:left w:val="nil"/>
              <w:bottom w:val="single" w:sz="18" w:space="0" w:color="auto"/>
              <w:right w:val="nil"/>
            </w:tcBorders>
            <w:noWrap/>
            <w:vAlign w:val="bottom"/>
          </w:tcPr>
          <w:p w14:paraId="53BBF706" w14:textId="1A6B1F24" w:rsidR="00756858" w:rsidRPr="00EC051A" w:rsidRDefault="00756858" w:rsidP="00EC051A">
            <w:pPr>
              <w:jc w:val="right"/>
              <w:rPr>
                <w:rFonts w:eastAsia="Times New Roman"/>
                <w:color w:val="000000"/>
                <w:kern w:val="0"/>
                <w:sz w:val="20"/>
                <w:szCs w:val="20"/>
                <w14:ligatures w14:val="none"/>
              </w:rPr>
            </w:pPr>
            <w:r w:rsidRPr="00EC051A">
              <w:rPr>
                <w:color w:val="000000"/>
                <w:sz w:val="20"/>
                <w:szCs w:val="20"/>
              </w:rPr>
              <w:t>-0.59</w:t>
            </w:r>
          </w:p>
        </w:tc>
        <w:tc>
          <w:tcPr>
            <w:tcW w:w="541" w:type="dxa"/>
            <w:tcBorders>
              <w:top w:val="nil"/>
              <w:left w:val="nil"/>
              <w:bottom w:val="single" w:sz="18" w:space="0" w:color="auto"/>
              <w:right w:val="single" w:sz="4" w:space="0" w:color="auto"/>
            </w:tcBorders>
            <w:noWrap/>
            <w:vAlign w:val="bottom"/>
          </w:tcPr>
          <w:p w14:paraId="6D0078C5" w14:textId="184B4558" w:rsidR="00756858" w:rsidRPr="00EC051A" w:rsidRDefault="00756858" w:rsidP="00EC051A">
            <w:pPr>
              <w:jc w:val="right"/>
              <w:rPr>
                <w:rFonts w:eastAsia="Times New Roman"/>
                <w:color w:val="000000"/>
                <w:kern w:val="0"/>
                <w:sz w:val="20"/>
                <w:szCs w:val="20"/>
                <w14:ligatures w14:val="none"/>
              </w:rPr>
            </w:pPr>
            <w:r w:rsidRPr="00EC051A">
              <w:rPr>
                <w:color w:val="000000"/>
                <w:sz w:val="20"/>
                <w:szCs w:val="20"/>
              </w:rPr>
              <w:t>-5.80</w:t>
            </w:r>
          </w:p>
        </w:tc>
        <w:tc>
          <w:tcPr>
            <w:tcW w:w="593" w:type="dxa"/>
            <w:tcBorders>
              <w:top w:val="nil"/>
              <w:left w:val="nil"/>
              <w:bottom w:val="single" w:sz="18" w:space="0" w:color="auto"/>
              <w:right w:val="nil"/>
            </w:tcBorders>
            <w:noWrap/>
            <w:vAlign w:val="center"/>
          </w:tcPr>
          <w:p w14:paraId="4626045E" w14:textId="75ADEB53" w:rsidR="00756858" w:rsidRPr="00EC051A" w:rsidRDefault="00756858" w:rsidP="00EC051A">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1.00</w:t>
            </w:r>
          </w:p>
        </w:tc>
        <w:tc>
          <w:tcPr>
            <w:tcW w:w="541" w:type="dxa"/>
            <w:tcBorders>
              <w:top w:val="nil"/>
              <w:left w:val="nil"/>
              <w:bottom w:val="single" w:sz="18" w:space="0" w:color="auto"/>
              <w:right w:val="single" w:sz="18" w:space="0" w:color="auto"/>
            </w:tcBorders>
            <w:noWrap/>
            <w:vAlign w:val="center"/>
          </w:tcPr>
          <w:p w14:paraId="3B826C15" w14:textId="2C29BE6C" w:rsidR="00756858" w:rsidRPr="00EC051A" w:rsidRDefault="00756858" w:rsidP="00EC051A">
            <w:pPr>
              <w:jc w:val="right"/>
              <w:rPr>
                <w:rFonts w:eastAsia="Times New Roman"/>
                <w:color w:val="000000"/>
                <w:kern w:val="0"/>
                <w:sz w:val="20"/>
                <w:szCs w:val="20"/>
                <w14:ligatures w14:val="none"/>
              </w:rPr>
            </w:pPr>
            <w:r w:rsidRPr="00EC051A">
              <w:rPr>
                <w:rFonts w:eastAsia="Times New Roman"/>
                <w:b/>
                <w:bCs/>
                <w:color w:val="000000"/>
                <w:kern w:val="0"/>
                <w:sz w:val="20"/>
                <w:szCs w:val="20"/>
                <w14:ligatures w14:val="none"/>
              </w:rPr>
              <w:t>--</w:t>
            </w:r>
          </w:p>
        </w:tc>
      </w:tr>
      <w:tr w:rsidR="00335786" w:rsidRPr="00EC051A" w14:paraId="7B375719" w14:textId="77777777" w:rsidTr="00026E83">
        <w:trPr>
          <w:trHeight w:val="144"/>
        </w:trPr>
        <w:tc>
          <w:tcPr>
            <w:tcW w:w="8921" w:type="dxa"/>
            <w:gridSpan w:val="9"/>
            <w:tcBorders>
              <w:top w:val="nil"/>
              <w:left w:val="single" w:sz="18" w:space="0" w:color="auto"/>
              <w:bottom w:val="nil"/>
              <w:right w:val="single" w:sz="18" w:space="0" w:color="auto"/>
            </w:tcBorders>
            <w:noWrap/>
            <w:vAlign w:val="center"/>
          </w:tcPr>
          <w:p w14:paraId="1FA43FFC" w14:textId="77777777" w:rsidR="00335786" w:rsidRPr="00EC051A" w:rsidRDefault="00335786" w:rsidP="00026E83">
            <w:pPr>
              <w:rPr>
                <w:color w:val="000000"/>
                <w:sz w:val="20"/>
                <w:szCs w:val="20"/>
              </w:rPr>
            </w:pPr>
            <w:r>
              <w:rPr>
                <w:rFonts w:eastAsia="Times New Roman"/>
                <w:b/>
                <w:bCs/>
                <w:i/>
                <w:iCs/>
                <w:color w:val="000000"/>
                <w:kern w:val="0"/>
                <w:sz w:val="20"/>
                <w:szCs w:val="20"/>
                <w14:ligatures w14:val="none"/>
              </w:rPr>
              <w:t>Endogenous Effects</w:t>
            </w:r>
          </w:p>
        </w:tc>
      </w:tr>
      <w:tr w:rsidR="00335786" w:rsidRPr="00EC051A" w14:paraId="0C750326" w14:textId="77777777" w:rsidTr="00026E83">
        <w:trPr>
          <w:trHeight w:val="144"/>
        </w:trPr>
        <w:tc>
          <w:tcPr>
            <w:tcW w:w="4220" w:type="dxa"/>
            <w:tcBorders>
              <w:top w:val="single" w:sz="18" w:space="0" w:color="auto"/>
              <w:left w:val="single" w:sz="18" w:space="0" w:color="auto"/>
              <w:bottom w:val="nil"/>
              <w:right w:val="single" w:sz="18" w:space="0" w:color="auto"/>
            </w:tcBorders>
            <w:noWrap/>
            <w:vAlign w:val="center"/>
            <w:hideMark/>
          </w:tcPr>
          <w:p w14:paraId="15154EE6" w14:textId="77777777" w:rsidR="00335786" w:rsidRPr="00EC051A" w:rsidRDefault="00335786" w:rsidP="00026E83">
            <w:pPr>
              <w:jc w:val="left"/>
              <w:rPr>
                <w:rFonts w:eastAsia="Times New Roman"/>
                <w:b/>
                <w:bCs/>
                <w:color w:val="000000"/>
                <w:kern w:val="0"/>
                <w:sz w:val="20"/>
                <w:szCs w:val="20"/>
                <w14:ligatures w14:val="none"/>
              </w:rPr>
            </w:pPr>
            <w:r w:rsidRPr="00EC051A">
              <w:rPr>
                <w:rFonts w:eastAsia="Times New Roman"/>
                <w:b/>
                <w:bCs/>
                <w:color w:val="000000"/>
                <w:kern w:val="0"/>
                <w:sz w:val="20"/>
                <w:szCs w:val="20"/>
                <w14:ligatures w14:val="none"/>
              </w:rPr>
              <w:t>Commute Distance (&lt;5)</w:t>
            </w:r>
          </w:p>
        </w:tc>
        <w:tc>
          <w:tcPr>
            <w:tcW w:w="593" w:type="dxa"/>
            <w:tcBorders>
              <w:top w:val="single" w:sz="18" w:space="0" w:color="auto"/>
              <w:left w:val="single" w:sz="18" w:space="0" w:color="auto"/>
              <w:bottom w:val="nil"/>
              <w:right w:val="nil"/>
            </w:tcBorders>
            <w:noWrap/>
            <w:vAlign w:val="center"/>
            <w:hideMark/>
          </w:tcPr>
          <w:p w14:paraId="6D8087EC" w14:textId="77777777" w:rsidR="00335786" w:rsidRPr="00EC051A" w:rsidRDefault="00335786" w:rsidP="00026E83">
            <w:pPr>
              <w:rPr>
                <w:rFonts w:eastAsia="Times New Roman"/>
                <w:color w:val="000000"/>
                <w:kern w:val="0"/>
                <w:sz w:val="20"/>
                <w:szCs w:val="20"/>
                <w14:ligatures w14:val="none"/>
              </w:rPr>
            </w:pPr>
          </w:p>
        </w:tc>
        <w:tc>
          <w:tcPr>
            <w:tcW w:w="669" w:type="dxa"/>
            <w:tcBorders>
              <w:top w:val="single" w:sz="18" w:space="0" w:color="auto"/>
              <w:left w:val="nil"/>
              <w:bottom w:val="nil"/>
              <w:right w:val="single" w:sz="4" w:space="0" w:color="auto"/>
            </w:tcBorders>
            <w:noWrap/>
            <w:vAlign w:val="center"/>
            <w:hideMark/>
          </w:tcPr>
          <w:p w14:paraId="76EB55AD"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single" w:sz="18" w:space="0" w:color="auto"/>
              <w:left w:val="nil"/>
              <w:bottom w:val="nil"/>
              <w:right w:val="nil"/>
            </w:tcBorders>
            <w:noWrap/>
            <w:vAlign w:val="center"/>
            <w:hideMark/>
          </w:tcPr>
          <w:p w14:paraId="3D42D23F" w14:textId="77777777" w:rsidR="00335786" w:rsidRPr="00EC051A" w:rsidRDefault="00335786" w:rsidP="00026E83">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hideMark/>
          </w:tcPr>
          <w:p w14:paraId="4788933A"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single" w:sz="18" w:space="0" w:color="auto"/>
              <w:left w:val="nil"/>
              <w:bottom w:val="nil"/>
              <w:right w:val="nil"/>
            </w:tcBorders>
            <w:noWrap/>
            <w:vAlign w:val="center"/>
            <w:hideMark/>
          </w:tcPr>
          <w:p w14:paraId="5D84F7D4" w14:textId="77777777" w:rsidR="00335786" w:rsidRPr="00EC051A" w:rsidRDefault="00335786" w:rsidP="00026E83">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4" w:space="0" w:color="auto"/>
            </w:tcBorders>
            <w:noWrap/>
            <w:vAlign w:val="center"/>
            <w:hideMark/>
          </w:tcPr>
          <w:p w14:paraId="51245F19"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593" w:type="dxa"/>
            <w:tcBorders>
              <w:top w:val="single" w:sz="18" w:space="0" w:color="auto"/>
              <w:left w:val="nil"/>
              <w:bottom w:val="nil"/>
              <w:right w:val="nil"/>
            </w:tcBorders>
            <w:noWrap/>
            <w:vAlign w:val="center"/>
            <w:hideMark/>
          </w:tcPr>
          <w:p w14:paraId="7B612F2D" w14:textId="77777777" w:rsidR="00335786" w:rsidRPr="00EC051A" w:rsidRDefault="00335786" w:rsidP="00026E83">
            <w:pPr>
              <w:jc w:val="right"/>
              <w:rPr>
                <w:rFonts w:eastAsia="Times New Roman"/>
                <w:color w:val="000000"/>
                <w:kern w:val="0"/>
                <w:sz w:val="20"/>
                <w:szCs w:val="20"/>
                <w14:ligatures w14:val="none"/>
              </w:rPr>
            </w:pPr>
          </w:p>
        </w:tc>
        <w:tc>
          <w:tcPr>
            <w:tcW w:w="541" w:type="dxa"/>
            <w:tcBorders>
              <w:top w:val="single" w:sz="18" w:space="0" w:color="auto"/>
              <w:left w:val="nil"/>
              <w:bottom w:val="nil"/>
              <w:right w:val="single" w:sz="18" w:space="0" w:color="auto"/>
            </w:tcBorders>
            <w:noWrap/>
            <w:vAlign w:val="center"/>
            <w:hideMark/>
          </w:tcPr>
          <w:p w14:paraId="5A5BBD2B"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r>
      <w:tr w:rsidR="00335786" w:rsidRPr="008455D1" w14:paraId="5E4077AC" w14:textId="77777777" w:rsidTr="00026E83">
        <w:trPr>
          <w:trHeight w:val="144"/>
        </w:trPr>
        <w:tc>
          <w:tcPr>
            <w:tcW w:w="4220" w:type="dxa"/>
            <w:tcBorders>
              <w:top w:val="nil"/>
              <w:left w:val="single" w:sz="18" w:space="0" w:color="auto"/>
              <w:bottom w:val="nil"/>
              <w:right w:val="single" w:sz="18" w:space="0" w:color="auto"/>
            </w:tcBorders>
            <w:noWrap/>
            <w:vAlign w:val="center"/>
            <w:hideMark/>
          </w:tcPr>
          <w:p w14:paraId="00068B32" w14:textId="77777777" w:rsidR="00335786" w:rsidRPr="00EC051A" w:rsidRDefault="00335786" w:rsidP="00026E83">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5-10</w:t>
            </w:r>
          </w:p>
        </w:tc>
        <w:tc>
          <w:tcPr>
            <w:tcW w:w="593" w:type="dxa"/>
            <w:tcBorders>
              <w:top w:val="nil"/>
              <w:left w:val="single" w:sz="18" w:space="0" w:color="auto"/>
              <w:bottom w:val="nil"/>
              <w:right w:val="nil"/>
            </w:tcBorders>
            <w:noWrap/>
            <w:vAlign w:val="center"/>
            <w:hideMark/>
          </w:tcPr>
          <w:p w14:paraId="1616AE18"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7F2199A5"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bottom"/>
            <w:hideMark/>
          </w:tcPr>
          <w:p w14:paraId="47104F03" w14:textId="77777777" w:rsidR="00335786" w:rsidRPr="00EC051A" w:rsidRDefault="00335786" w:rsidP="00026E83">
            <w:pPr>
              <w:jc w:val="right"/>
              <w:rPr>
                <w:rFonts w:eastAsia="Times New Roman"/>
                <w:color w:val="000000"/>
                <w:kern w:val="0"/>
                <w:sz w:val="20"/>
                <w:szCs w:val="20"/>
                <w14:ligatures w14:val="none"/>
              </w:rPr>
            </w:pPr>
            <w:r w:rsidRPr="00EC051A">
              <w:rPr>
                <w:color w:val="000000"/>
                <w:sz w:val="20"/>
                <w:szCs w:val="20"/>
              </w:rPr>
              <w:t>0.12</w:t>
            </w:r>
          </w:p>
        </w:tc>
        <w:tc>
          <w:tcPr>
            <w:tcW w:w="541" w:type="dxa"/>
            <w:tcBorders>
              <w:top w:val="nil"/>
              <w:left w:val="nil"/>
              <w:bottom w:val="nil"/>
              <w:right w:val="single" w:sz="4" w:space="0" w:color="auto"/>
            </w:tcBorders>
            <w:noWrap/>
            <w:vAlign w:val="bottom"/>
            <w:hideMark/>
          </w:tcPr>
          <w:p w14:paraId="57B40878" w14:textId="77777777" w:rsidR="00335786" w:rsidRPr="00EC051A" w:rsidRDefault="00335786" w:rsidP="00026E83">
            <w:pPr>
              <w:jc w:val="right"/>
              <w:rPr>
                <w:rFonts w:eastAsia="Times New Roman"/>
                <w:color w:val="000000"/>
                <w:kern w:val="0"/>
                <w:sz w:val="20"/>
                <w:szCs w:val="20"/>
                <w14:ligatures w14:val="none"/>
              </w:rPr>
            </w:pPr>
            <w:r w:rsidRPr="00EC051A">
              <w:rPr>
                <w:color w:val="000000"/>
                <w:sz w:val="20"/>
                <w:szCs w:val="20"/>
              </w:rPr>
              <w:t>1.69</w:t>
            </w:r>
          </w:p>
        </w:tc>
        <w:tc>
          <w:tcPr>
            <w:tcW w:w="593" w:type="dxa"/>
            <w:tcBorders>
              <w:top w:val="nil"/>
              <w:left w:val="nil"/>
              <w:bottom w:val="nil"/>
              <w:right w:val="nil"/>
            </w:tcBorders>
            <w:noWrap/>
            <w:vAlign w:val="bottom"/>
            <w:hideMark/>
          </w:tcPr>
          <w:p w14:paraId="30B5D064"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0.29</w:t>
            </w:r>
          </w:p>
        </w:tc>
        <w:tc>
          <w:tcPr>
            <w:tcW w:w="541" w:type="dxa"/>
            <w:tcBorders>
              <w:top w:val="nil"/>
              <w:left w:val="nil"/>
              <w:bottom w:val="nil"/>
              <w:right w:val="single" w:sz="4" w:space="0" w:color="auto"/>
            </w:tcBorders>
            <w:noWrap/>
            <w:vAlign w:val="bottom"/>
            <w:hideMark/>
          </w:tcPr>
          <w:p w14:paraId="4A085C47"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2.11</w:t>
            </w:r>
          </w:p>
        </w:tc>
        <w:tc>
          <w:tcPr>
            <w:tcW w:w="593" w:type="dxa"/>
            <w:tcBorders>
              <w:top w:val="nil"/>
              <w:left w:val="nil"/>
              <w:bottom w:val="nil"/>
              <w:right w:val="nil"/>
            </w:tcBorders>
            <w:noWrap/>
            <w:vAlign w:val="bottom"/>
            <w:hideMark/>
          </w:tcPr>
          <w:p w14:paraId="3DC8E25D"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-0.12</w:t>
            </w:r>
          </w:p>
        </w:tc>
        <w:tc>
          <w:tcPr>
            <w:tcW w:w="541" w:type="dxa"/>
            <w:tcBorders>
              <w:top w:val="nil"/>
              <w:left w:val="nil"/>
              <w:bottom w:val="nil"/>
              <w:right w:val="single" w:sz="18" w:space="0" w:color="auto"/>
            </w:tcBorders>
            <w:noWrap/>
            <w:vAlign w:val="bottom"/>
            <w:hideMark/>
          </w:tcPr>
          <w:p w14:paraId="5EA0EA11"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-1.42</w:t>
            </w:r>
          </w:p>
        </w:tc>
      </w:tr>
      <w:tr w:rsidR="00335786" w:rsidRPr="008455D1" w14:paraId="47156AC3" w14:textId="77777777" w:rsidTr="00026E83">
        <w:trPr>
          <w:trHeight w:val="144"/>
        </w:trPr>
        <w:tc>
          <w:tcPr>
            <w:tcW w:w="4220" w:type="dxa"/>
            <w:tcBorders>
              <w:top w:val="nil"/>
              <w:left w:val="single" w:sz="18" w:space="0" w:color="auto"/>
              <w:bottom w:val="nil"/>
              <w:right w:val="single" w:sz="18" w:space="0" w:color="auto"/>
            </w:tcBorders>
            <w:noWrap/>
            <w:vAlign w:val="center"/>
            <w:hideMark/>
          </w:tcPr>
          <w:p w14:paraId="6A3BF818" w14:textId="77777777" w:rsidR="00335786" w:rsidRPr="00EC051A" w:rsidRDefault="00335786" w:rsidP="00026E83">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10-15</w:t>
            </w:r>
          </w:p>
        </w:tc>
        <w:tc>
          <w:tcPr>
            <w:tcW w:w="593" w:type="dxa"/>
            <w:tcBorders>
              <w:top w:val="nil"/>
              <w:left w:val="single" w:sz="18" w:space="0" w:color="auto"/>
              <w:bottom w:val="nil"/>
              <w:right w:val="nil"/>
            </w:tcBorders>
            <w:noWrap/>
            <w:vAlign w:val="center"/>
            <w:hideMark/>
          </w:tcPr>
          <w:p w14:paraId="19A99F2A"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nil"/>
              <w:right w:val="single" w:sz="4" w:space="0" w:color="auto"/>
            </w:tcBorders>
            <w:noWrap/>
            <w:vAlign w:val="center"/>
            <w:hideMark/>
          </w:tcPr>
          <w:p w14:paraId="1B4BDE0F"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nil"/>
              <w:right w:val="nil"/>
            </w:tcBorders>
            <w:noWrap/>
            <w:vAlign w:val="bottom"/>
            <w:hideMark/>
          </w:tcPr>
          <w:p w14:paraId="4892AA15" w14:textId="77777777" w:rsidR="00335786" w:rsidRPr="00EC051A" w:rsidRDefault="00335786" w:rsidP="00026E83">
            <w:pPr>
              <w:jc w:val="right"/>
              <w:rPr>
                <w:rFonts w:eastAsia="Times New Roman"/>
                <w:color w:val="000000"/>
                <w:kern w:val="0"/>
                <w:sz w:val="20"/>
                <w:szCs w:val="20"/>
                <w14:ligatures w14:val="none"/>
              </w:rPr>
            </w:pPr>
            <w:r w:rsidRPr="00EC051A">
              <w:rPr>
                <w:color w:val="000000"/>
                <w:sz w:val="20"/>
                <w:szCs w:val="20"/>
              </w:rPr>
              <w:t>0.53</w:t>
            </w:r>
          </w:p>
        </w:tc>
        <w:tc>
          <w:tcPr>
            <w:tcW w:w="541" w:type="dxa"/>
            <w:tcBorders>
              <w:top w:val="nil"/>
              <w:left w:val="nil"/>
              <w:bottom w:val="nil"/>
              <w:right w:val="single" w:sz="4" w:space="0" w:color="auto"/>
            </w:tcBorders>
            <w:noWrap/>
            <w:vAlign w:val="bottom"/>
            <w:hideMark/>
          </w:tcPr>
          <w:p w14:paraId="3D93D028" w14:textId="77777777" w:rsidR="00335786" w:rsidRPr="00EC051A" w:rsidRDefault="00335786" w:rsidP="00026E83">
            <w:pPr>
              <w:jc w:val="right"/>
              <w:rPr>
                <w:rFonts w:eastAsia="Times New Roman"/>
                <w:color w:val="000000"/>
                <w:kern w:val="0"/>
                <w:sz w:val="20"/>
                <w:szCs w:val="20"/>
                <w14:ligatures w14:val="none"/>
              </w:rPr>
            </w:pPr>
            <w:r w:rsidRPr="00EC051A">
              <w:rPr>
                <w:color w:val="000000"/>
                <w:sz w:val="20"/>
                <w:szCs w:val="20"/>
              </w:rPr>
              <w:t>2.36</w:t>
            </w:r>
          </w:p>
        </w:tc>
        <w:tc>
          <w:tcPr>
            <w:tcW w:w="593" w:type="dxa"/>
            <w:tcBorders>
              <w:top w:val="nil"/>
              <w:left w:val="nil"/>
              <w:bottom w:val="nil"/>
              <w:right w:val="nil"/>
            </w:tcBorders>
            <w:noWrap/>
            <w:vAlign w:val="bottom"/>
            <w:hideMark/>
          </w:tcPr>
          <w:p w14:paraId="6AA550EA"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0.68</w:t>
            </w:r>
          </w:p>
        </w:tc>
        <w:tc>
          <w:tcPr>
            <w:tcW w:w="541" w:type="dxa"/>
            <w:tcBorders>
              <w:top w:val="nil"/>
              <w:left w:val="nil"/>
              <w:bottom w:val="nil"/>
              <w:right w:val="single" w:sz="4" w:space="0" w:color="auto"/>
            </w:tcBorders>
            <w:noWrap/>
            <w:vAlign w:val="bottom"/>
            <w:hideMark/>
          </w:tcPr>
          <w:p w14:paraId="631E1EA9"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3.96</w:t>
            </w:r>
          </w:p>
        </w:tc>
        <w:tc>
          <w:tcPr>
            <w:tcW w:w="593" w:type="dxa"/>
            <w:tcBorders>
              <w:top w:val="nil"/>
              <w:left w:val="nil"/>
              <w:bottom w:val="nil"/>
              <w:right w:val="nil"/>
            </w:tcBorders>
            <w:noWrap/>
            <w:vAlign w:val="bottom"/>
            <w:hideMark/>
          </w:tcPr>
          <w:p w14:paraId="158B2AB0"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-0.37</w:t>
            </w:r>
          </w:p>
        </w:tc>
        <w:tc>
          <w:tcPr>
            <w:tcW w:w="541" w:type="dxa"/>
            <w:tcBorders>
              <w:top w:val="nil"/>
              <w:left w:val="nil"/>
              <w:bottom w:val="nil"/>
              <w:right w:val="single" w:sz="18" w:space="0" w:color="auto"/>
            </w:tcBorders>
            <w:noWrap/>
            <w:vAlign w:val="bottom"/>
            <w:hideMark/>
          </w:tcPr>
          <w:p w14:paraId="16F16DFE"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-2.50</w:t>
            </w:r>
          </w:p>
        </w:tc>
      </w:tr>
      <w:tr w:rsidR="00335786" w:rsidRPr="008455D1" w14:paraId="3B075A0A" w14:textId="77777777" w:rsidTr="00026E83">
        <w:trPr>
          <w:trHeight w:val="144"/>
        </w:trPr>
        <w:tc>
          <w:tcPr>
            <w:tcW w:w="4220" w:type="dxa"/>
            <w:tcBorders>
              <w:top w:val="nil"/>
              <w:left w:val="single" w:sz="18" w:space="0" w:color="auto"/>
              <w:bottom w:val="single" w:sz="18" w:space="0" w:color="auto"/>
              <w:right w:val="single" w:sz="18" w:space="0" w:color="auto"/>
            </w:tcBorders>
            <w:noWrap/>
            <w:vAlign w:val="center"/>
            <w:hideMark/>
          </w:tcPr>
          <w:p w14:paraId="1BAD8B3E" w14:textId="77777777" w:rsidR="00335786" w:rsidRPr="00EC051A" w:rsidRDefault="00335786" w:rsidP="00026E83">
            <w:pPr>
              <w:jc w:val="left"/>
              <w:rPr>
                <w:rFonts w:eastAsia="Times New Roman"/>
                <w:color w:val="000000"/>
                <w:kern w:val="0"/>
                <w:sz w:val="20"/>
                <w:szCs w:val="20"/>
                <w14:ligatures w14:val="none"/>
              </w:rPr>
            </w:pPr>
            <w:r w:rsidRPr="00EC051A">
              <w:rPr>
                <w:rFonts w:eastAsia="Times New Roman"/>
                <w:color w:val="000000"/>
                <w:kern w:val="0"/>
                <w:sz w:val="20"/>
                <w:szCs w:val="20"/>
                <w14:ligatures w14:val="none"/>
              </w:rPr>
              <w:t>15+</w:t>
            </w:r>
          </w:p>
        </w:tc>
        <w:tc>
          <w:tcPr>
            <w:tcW w:w="593" w:type="dxa"/>
            <w:tcBorders>
              <w:top w:val="nil"/>
              <w:left w:val="single" w:sz="18" w:space="0" w:color="auto"/>
              <w:bottom w:val="single" w:sz="18" w:space="0" w:color="auto"/>
              <w:right w:val="nil"/>
            </w:tcBorders>
            <w:noWrap/>
            <w:vAlign w:val="center"/>
            <w:hideMark/>
          </w:tcPr>
          <w:p w14:paraId="6BC3792D"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w:t>
            </w:r>
          </w:p>
        </w:tc>
        <w:tc>
          <w:tcPr>
            <w:tcW w:w="669" w:type="dxa"/>
            <w:tcBorders>
              <w:top w:val="nil"/>
              <w:left w:val="nil"/>
              <w:bottom w:val="single" w:sz="18" w:space="0" w:color="auto"/>
              <w:right w:val="single" w:sz="4" w:space="0" w:color="auto"/>
            </w:tcBorders>
            <w:noWrap/>
            <w:vAlign w:val="center"/>
            <w:hideMark/>
          </w:tcPr>
          <w:p w14:paraId="450CA144" w14:textId="77777777" w:rsidR="00335786" w:rsidRPr="00EC051A" w:rsidRDefault="00335786" w:rsidP="00026E83">
            <w:pPr>
              <w:jc w:val="right"/>
              <w:rPr>
                <w:rFonts w:eastAsia="Times New Roman"/>
                <w:color w:val="000000"/>
                <w:kern w:val="0"/>
                <w:sz w:val="20"/>
                <w:szCs w:val="20"/>
                <w14:ligatures w14:val="none"/>
              </w:rPr>
            </w:pPr>
            <w:r w:rsidRPr="00EC051A">
              <w:rPr>
                <w:rFonts w:eastAsia="Times New Roman"/>
                <w:color w:val="000000"/>
                <w:kern w:val="0"/>
                <w:sz w:val="20"/>
                <w:szCs w:val="20"/>
                <w14:ligatures w14:val="none"/>
              </w:rPr>
              <w:t> </w:t>
            </w:r>
          </w:p>
        </w:tc>
        <w:tc>
          <w:tcPr>
            <w:tcW w:w="630" w:type="dxa"/>
            <w:tcBorders>
              <w:top w:val="nil"/>
              <w:left w:val="nil"/>
              <w:bottom w:val="single" w:sz="18" w:space="0" w:color="auto"/>
              <w:right w:val="nil"/>
            </w:tcBorders>
            <w:noWrap/>
            <w:vAlign w:val="bottom"/>
            <w:hideMark/>
          </w:tcPr>
          <w:p w14:paraId="10939987" w14:textId="77777777" w:rsidR="00335786" w:rsidRPr="00EC051A" w:rsidRDefault="00335786" w:rsidP="00026E83">
            <w:pPr>
              <w:jc w:val="right"/>
              <w:rPr>
                <w:rFonts w:eastAsia="Times New Roman"/>
                <w:color w:val="000000"/>
                <w:kern w:val="0"/>
                <w:sz w:val="20"/>
                <w:szCs w:val="20"/>
                <w14:ligatures w14:val="none"/>
              </w:rPr>
            </w:pPr>
            <w:r w:rsidRPr="00EC051A">
              <w:rPr>
                <w:color w:val="000000"/>
                <w:sz w:val="20"/>
                <w:szCs w:val="20"/>
              </w:rPr>
              <w:t>0.25</w:t>
            </w:r>
          </w:p>
        </w:tc>
        <w:tc>
          <w:tcPr>
            <w:tcW w:w="541" w:type="dxa"/>
            <w:tcBorders>
              <w:top w:val="nil"/>
              <w:left w:val="nil"/>
              <w:bottom w:val="single" w:sz="18" w:space="0" w:color="auto"/>
              <w:right w:val="single" w:sz="4" w:space="0" w:color="auto"/>
            </w:tcBorders>
            <w:noWrap/>
            <w:vAlign w:val="bottom"/>
            <w:hideMark/>
          </w:tcPr>
          <w:p w14:paraId="09759222" w14:textId="77777777" w:rsidR="00335786" w:rsidRPr="00EC051A" w:rsidRDefault="00335786" w:rsidP="00026E83">
            <w:pPr>
              <w:jc w:val="right"/>
              <w:rPr>
                <w:rFonts w:eastAsia="Times New Roman"/>
                <w:color w:val="000000"/>
                <w:kern w:val="0"/>
                <w:sz w:val="20"/>
                <w:szCs w:val="20"/>
                <w14:ligatures w14:val="none"/>
              </w:rPr>
            </w:pPr>
            <w:r w:rsidRPr="00EC051A">
              <w:rPr>
                <w:color w:val="000000"/>
                <w:sz w:val="20"/>
                <w:szCs w:val="20"/>
              </w:rPr>
              <w:t>1.77</w:t>
            </w:r>
          </w:p>
        </w:tc>
        <w:tc>
          <w:tcPr>
            <w:tcW w:w="593" w:type="dxa"/>
            <w:tcBorders>
              <w:top w:val="nil"/>
              <w:left w:val="nil"/>
              <w:bottom w:val="single" w:sz="18" w:space="0" w:color="auto"/>
              <w:right w:val="nil"/>
            </w:tcBorders>
            <w:noWrap/>
            <w:vAlign w:val="bottom"/>
            <w:hideMark/>
          </w:tcPr>
          <w:p w14:paraId="7E73DDC4"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0.70</w:t>
            </w:r>
          </w:p>
        </w:tc>
        <w:tc>
          <w:tcPr>
            <w:tcW w:w="541" w:type="dxa"/>
            <w:tcBorders>
              <w:top w:val="nil"/>
              <w:left w:val="nil"/>
              <w:bottom w:val="single" w:sz="18" w:space="0" w:color="auto"/>
              <w:right w:val="single" w:sz="4" w:space="0" w:color="auto"/>
            </w:tcBorders>
            <w:noWrap/>
            <w:vAlign w:val="bottom"/>
            <w:hideMark/>
          </w:tcPr>
          <w:p w14:paraId="3E0FA9FB"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3.69</w:t>
            </w:r>
          </w:p>
        </w:tc>
        <w:tc>
          <w:tcPr>
            <w:tcW w:w="593" w:type="dxa"/>
            <w:tcBorders>
              <w:top w:val="nil"/>
              <w:left w:val="nil"/>
              <w:bottom w:val="single" w:sz="18" w:space="0" w:color="auto"/>
              <w:right w:val="nil"/>
            </w:tcBorders>
            <w:noWrap/>
            <w:vAlign w:val="bottom"/>
            <w:hideMark/>
          </w:tcPr>
          <w:p w14:paraId="79F8CCBC"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-0.42</w:t>
            </w:r>
          </w:p>
        </w:tc>
        <w:tc>
          <w:tcPr>
            <w:tcW w:w="541" w:type="dxa"/>
            <w:tcBorders>
              <w:top w:val="nil"/>
              <w:left w:val="nil"/>
              <w:bottom w:val="single" w:sz="18" w:space="0" w:color="auto"/>
              <w:right w:val="single" w:sz="18" w:space="0" w:color="auto"/>
            </w:tcBorders>
            <w:noWrap/>
            <w:vAlign w:val="bottom"/>
            <w:hideMark/>
          </w:tcPr>
          <w:p w14:paraId="58D33E3C" w14:textId="77777777" w:rsidR="00335786" w:rsidRPr="008455D1" w:rsidRDefault="00335786" w:rsidP="00026E83">
            <w:pPr>
              <w:jc w:val="right"/>
              <w:rPr>
                <w:rFonts w:eastAsia="Times New Roman"/>
                <w:color w:val="000000"/>
                <w:kern w:val="0"/>
                <w:sz w:val="20"/>
                <w:szCs w:val="20"/>
                <w14:ligatures w14:val="none"/>
              </w:rPr>
            </w:pPr>
            <w:r w:rsidRPr="008455D1">
              <w:rPr>
                <w:color w:val="000000"/>
                <w:sz w:val="20"/>
                <w:szCs w:val="20"/>
              </w:rPr>
              <w:t>-2.69</w:t>
            </w:r>
          </w:p>
        </w:tc>
      </w:tr>
      <w:tr w:rsidR="006F2D61" w:rsidRPr="00EC051A" w14:paraId="09C07863" w14:textId="77777777" w:rsidTr="005131C6">
        <w:trPr>
          <w:trHeight w:val="144"/>
        </w:trPr>
        <w:tc>
          <w:tcPr>
            <w:tcW w:w="8921" w:type="dxa"/>
            <w:gridSpan w:val="9"/>
            <w:tcBorders>
              <w:top w:val="single" w:sz="18" w:space="0" w:color="auto"/>
              <w:left w:val="single" w:sz="18" w:space="0" w:color="auto"/>
              <w:bottom w:val="single" w:sz="18" w:space="0" w:color="auto"/>
              <w:right w:val="single" w:sz="18" w:space="0" w:color="auto"/>
            </w:tcBorders>
            <w:noWrap/>
            <w:vAlign w:val="center"/>
          </w:tcPr>
          <w:p w14:paraId="1C1C6E4E" w14:textId="0C7E7867" w:rsidR="006F2D61" w:rsidRPr="006F2D61" w:rsidRDefault="006F2D61" w:rsidP="006F2D61">
            <w:pPr>
              <w:rPr>
                <w:rFonts w:eastAsia="Times New Roman"/>
                <w:b/>
                <w:bCs/>
                <w:i/>
                <w:iCs/>
                <w:color w:val="000000"/>
                <w:kern w:val="0"/>
                <w:sz w:val="20"/>
                <w:szCs w:val="20"/>
                <w14:ligatures w14:val="none"/>
              </w:rPr>
            </w:pPr>
            <w:r w:rsidRPr="006F2D61">
              <w:rPr>
                <w:rFonts w:eastAsia="Times New Roman"/>
                <w:b/>
                <w:bCs/>
                <w:i/>
                <w:iCs/>
                <w:color w:val="000000"/>
                <w:kern w:val="0"/>
                <w:sz w:val="20"/>
                <w:szCs w:val="20"/>
                <w14:ligatures w14:val="none"/>
              </w:rPr>
              <w:t>Constant and Thresholds</w:t>
            </w:r>
          </w:p>
        </w:tc>
      </w:tr>
      <w:tr w:rsidR="00756858" w:rsidRPr="00EC051A" w14:paraId="60EEAEA9" w14:textId="77777777" w:rsidTr="006F2D61">
        <w:trPr>
          <w:trHeight w:val="144"/>
        </w:trPr>
        <w:tc>
          <w:tcPr>
            <w:tcW w:w="4220" w:type="dxa"/>
            <w:tcBorders>
              <w:top w:val="single" w:sz="18" w:space="0" w:color="auto"/>
              <w:left w:val="single" w:sz="18" w:space="0" w:color="auto"/>
              <w:right w:val="single" w:sz="18" w:space="0" w:color="auto"/>
            </w:tcBorders>
            <w:noWrap/>
            <w:vAlign w:val="center"/>
          </w:tcPr>
          <w:p w14:paraId="57157C8B" w14:textId="2240C500" w:rsidR="00756858" w:rsidRPr="00A60886" w:rsidRDefault="00893311" w:rsidP="00EC051A">
            <w:pPr>
              <w:jc w:val="left"/>
              <w:rPr>
                <w:rFonts w:eastAsia="Times New Roman"/>
                <w:b/>
                <w:bCs/>
                <w:color w:val="000000"/>
                <w:kern w:val="0"/>
                <w:sz w:val="20"/>
                <w:szCs w:val="20"/>
                <w14:ligatures w14:val="none"/>
              </w:rPr>
            </w:pPr>
            <w:r w:rsidRPr="00A60886">
              <w:rPr>
                <w:rFonts w:eastAsia="Times New Roman"/>
                <w:b/>
                <w:bCs/>
                <w:color w:val="000000"/>
                <w:kern w:val="0"/>
                <w:sz w:val="20"/>
                <w:szCs w:val="20"/>
                <w14:ligatures w14:val="none"/>
              </w:rPr>
              <w:t xml:space="preserve">Baseline </w:t>
            </w:r>
            <w:r w:rsidR="00B21E70">
              <w:rPr>
                <w:rFonts w:eastAsia="Times New Roman"/>
                <w:b/>
                <w:bCs/>
                <w:color w:val="000000"/>
                <w:kern w:val="0"/>
                <w:sz w:val="20"/>
                <w:szCs w:val="20"/>
                <w14:ligatures w14:val="none"/>
              </w:rPr>
              <w:t xml:space="preserve">Constant and </w:t>
            </w:r>
            <w:r w:rsidRPr="00A60886">
              <w:rPr>
                <w:rFonts w:eastAsia="Times New Roman"/>
                <w:b/>
                <w:bCs/>
                <w:color w:val="000000"/>
                <w:kern w:val="0"/>
                <w:sz w:val="20"/>
                <w:szCs w:val="20"/>
                <w14:ligatures w14:val="none"/>
              </w:rPr>
              <w:t>Thresholds</w:t>
            </w:r>
          </w:p>
        </w:tc>
        <w:tc>
          <w:tcPr>
            <w:tcW w:w="593" w:type="dxa"/>
            <w:tcBorders>
              <w:top w:val="single" w:sz="18" w:space="0" w:color="auto"/>
              <w:left w:val="single" w:sz="18" w:space="0" w:color="auto"/>
              <w:right w:val="nil"/>
            </w:tcBorders>
            <w:noWrap/>
            <w:vAlign w:val="center"/>
          </w:tcPr>
          <w:p w14:paraId="6E57B516" w14:textId="697CA8E7" w:rsidR="00756858" w:rsidRPr="00A60886" w:rsidRDefault="00756858" w:rsidP="00EC051A">
            <w:pPr>
              <w:jc w:val="right"/>
              <w:rPr>
                <w:sz w:val="20"/>
                <w:szCs w:val="20"/>
              </w:rPr>
            </w:pPr>
          </w:p>
        </w:tc>
        <w:tc>
          <w:tcPr>
            <w:tcW w:w="669" w:type="dxa"/>
            <w:tcBorders>
              <w:top w:val="single" w:sz="18" w:space="0" w:color="auto"/>
              <w:left w:val="nil"/>
              <w:right w:val="single" w:sz="4" w:space="0" w:color="auto"/>
            </w:tcBorders>
            <w:noWrap/>
            <w:vAlign w:val="center"/>
          </w:tcPr>
          <w:p w14:paraId="35CB0FF8" w14:textId="5E07BA23" w:rsidR="00756858" w:rsidRPr="00A60886" w:rsidRDefault="00756858" w:rsidP="00EC051A">
            <w:pPr>
              <w:jc w:val="right"/>
              <w:rPr>
                <w:sz w:val="20"/>
                <w:szCs w:val="20"/>
              </w:rPr>
            </w:pPr>
          </w:p>
        </w:tc>
        <w:tc>
          <w:tcPr>
            <w:tcW w:w="630" w:type="dxa"/>
            <w:tcBorders>
              <w:top w:val="single" w:sz="18" w:space="0" w:color="auto"/>
              <w:left w:val="nil"/>
              <w:right w:val="nil"/>
            </w:tcBorders>
            <w:noWrap/>
            <w:vAlign w:val="bottom"/>
          </w:tcPr>
          <w:p w14:paraId="4A30640D" w14:textId="67C725F3" w:rsidR="00756858" w:rsidRPr="00A60886" w:rsidRDefault="00756858" w:rsidP="00EC051A">
            <w:pPr>
              <w:jc w:val="right"/>
              <w:rPr>
                <w:color w:val="000000"/>
                <w:sz w:val="20"/>
                <w:szCs w:val="20"/>
              </w:rPr>
            </w:pPr>
          </w:p>
        </w:tc>
        <w:tc>
          <w:tcPr>
            <w:tcW w:w="541" w:type="dxa"/>
            <w:tcBorders>
              <w:top w:val="single" w:sz="18" w:space="0" w:color="auto"/>
              <w:left w:val="nil"/>
              <w:right w:val="single" w:sz="4" w:space="0" w:color="auto"/>
            </w:tcBorders>
            <w:noWrap/>
            <w:vAlign w:val="bottom"/>
          </w:tcPr>
          <w:p w14:paraId="3D7B2116" w14:textId="6770A718" w:rsidR="00756858" w:rsidRPr="00A60886" w:rsidRDefault="00756858" w:rsidP="00EC051A">
            <w:pPr>
              <w:jc w:val="right"/>
              <w:rPr>
                <w:color w:val="000000"/>
                <w:sz w:val="20"/>
                <w:szCs w:val="20"/>
              </w:rPr>
            </w:pPr>
          </w:p>
        </w:tc>
        <w:tc>
          <w:tcPr>
            <w:tcW w:w="593" w:type="dxa"/>
            <w:tcBorders>
              <w:top w:val="single" w:sz="18" w:space="0" w:color="auto"/>
              <w:left w:val="nil"/>
              <w:right w:val="nil"/>
            </w:tcBorders>
            <w:noWrap/>
            <w:vAlign w:val="bottom"/>
          </w:tcPr>
          <w:p w14:paraId="37B12514" w14:textId="180A8A84" w:rsidR="00756858" w:rsidRPr="00A60886" w:rsidRDefault="00756858" w:rsidP="00EC051A">
            <w:pPr>
              <w:jc w:val="right"/>
              <w:rPr>
                <w:color w:val="000000"/>
                <w:sz w:val="20"/>
                <w:szCs w:val="20"/>
              </w:rPr>
            </w:pPr>
          </w:p>
        </w:tc>
        <w:tc>
          <w:tcPr>
            <w:tcW w:w="541" w:type="dxa"/>
            <w:tcBorders>
              <w:top w:val="single" w:sz="18" w:space="0" w:color="auto"/>
              <w:left w:val="nil"/>
              <w:right w:val="single" w:sz="4" w:space="0" w:color="auto"/>
            </w:tcBorders>
            <w:noWrap/>
            <w:vAlign w:val="bottom"/>
          </w:tcPr>
          <w:p w14:paraId="21E8532C" w14:textId="5C788EC9" w:rsidR="00756858" w:rsidRPr="00A60886" w:rsidRDefault="00756858" w:rsidP="00EC051A">
            <w:pPr>
              <w:jc w:val="right"/>
              <w:rPr>
                <w:color w:val="000000"/>
                <w:sz w:val="20"/>
                <w:szCs w:val="20"/>
              </w:rPr>
            </w:pPr>
          </w:p>
        </w:tc>
        <w:tc>
          <w:tcPr>
            <w:tcW w:w="593" w:type="dxa"/>
            <w:tcBorders>
              <w:top w:val="single" w:sz="18" w:space="0" w:color="auto"/>
              <w:left w:val="nil"/>
              <w:right w:val="nil"/>
            </w:tcBorders>
            <w:noWrap/>
            <w:vAlign w:val="bottom"/>
          </w:tcPr>
          <w:p w14:paraId="68CB8FD4" w14:textId="7E31EDB1" w:rsidR="00756858" w:rsidRPr="00A60886" w:rsidRDefault="00756858" w:rsidP="00EC051A">
            <w:pPr>
              <w:jc w:val="right"/>
              <w:rPr>
                <w:rFonts w:eastAsia="Times New Roman"/>
                <w:color w:val="000000"/>
                <w:kern w:val="0"/>
                <w:sz w:val="20"/>
                <w:szCs w:val="20"/>
                <w14:ligatures w14:val="none"/>
              </w:rPr>
            </w:pPr>
          </w:p>
        </w:tc>
        <w:tc>
          <w:tcPr>
            <w:tcW w:w="541" w:type="dxa"/>
            <w:tcBorders>
              <w:top w:val="single" w:sz="18" w:space="0" w:color="auto"/>
              <w:left w:val="nil"/>
              <w:right w:val="single" w:sz="18" w:space="0" w:color="auto"/>
            </w:tcBorders>
            <w:noWrap/>
            <w:vAlign w:val="bottom"/>
          </w:tcPr>
          <w:p w14:paraId="6459B7D7" w14:textId="0521D696" w:rsidR="00756858" w:rsidRPr="00A60886" w:rsidRDefault="00756858" w:rsidP="00EC051A">
            <w:pPr>
              <w:jc w:val="right"/>
              <w:rPr>
                <w:rFonts w:eastAsia="Times New Roman"/>
                <w:b/>
                <w:bCs/>
                <w:color w:val="000000"/>
                <w:kern w:val="0"/>
                <w:sz w:val="20"/>
                <w:szCs w:val="20"/>
                <w14:ligatures w14:val="none"/>
              </w:rPr>
            </w:pPr>
          </w:p>
        </w:tc>
      </w:tr>
      <w:tr w:rsidR="00B21E70" w:rsidRPr="00EC051A" w14:paraId="06A23245" w14:textId="77777777" w:rsidTr="00026E83">
        <w:trPr>
          <w:trHeight w:val="144"/>
        </w:trPr>
        <w:tc>
          <w:tcPr>
            <w:tcW w:w="4220" w:type="dxa"/>
            <w:tcBorders>
              <w:left w:val="single" w:sz="18" w:space="0" w:color="auto"/>
              <w:right w:val="single" w:sz="18" w:space="0" w:color="auto"/>
            </w:tcBorders>
            <w:noWrap/>
            <w:vAlign w:val="center"/>
          </w:tcPr>
          <w:p w14:paraId="57C117AA" w14:textId="77777777" w:rsidR="00B21E70" w:rsidRPr="00A60886" w:rsidRDefault="00B21E70" w:rsidP="00026E83">
            <w:pPr>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Constant</w:t>
            </w:r>
          </w:p>
        </w:tc>
        <w:tc>
          <w:tcPr>
            <w:tcW w:w="593" w:type="dxa"/>
            <w:tcBorders>
              <w:left w:val="single" w:sz="18" w:space="0" w:color="auto"/>
              <w:right w:val="nil"/>
            </w:tcBorders>
            <w:noWrap/>
            <w:vAlign w:val="center"/>
          </w:tcPr>
          <w:p w14:paraId="25B5C873" w14:textId="77777777" w:rsidR="00B21E70" w:rsidRPr="00A60886" w:rsidRDefault="00B21E70" w:rsidP="00026E83">
            <w:pPr>
              <w:jc w:val="right"/>
              <w:rPr>
                <w:sz w:val="20"/>
                <w:szCs w:val="20"/>
              </w:rPr>
            </w:pPr>
            <w:r w:rsidRPr="00A60886">
              <w:rPr>
                <w:sz w:val="20"/>
                <w:szCs w:val="20"/>
              </w:rPr>
              <w:t>2.93</w:t>
            </w:r>
          </w:p>
        </w:tc>
        <w:tc>
          <w:tcPr>
            <w:tcW w:w="669" w:type="dxa"/>
            <w:tcBorders>
              <w:left w:val="nil"/>
              <w:right w:val="single" w:sz="4" w:space="0" w:color="auto"/>
            </w:tcBorders>
            <w:noWrap/>
            <w:vAlign w:val="center"/>
          </w:tcPr>
          <w:p w14:paraId="49D7A8A3" w14:textId="77777777" w:rsidR="00B21E70" w:rsidRPr="00A60886" w:rsidRDefault="00B21E70" w:rsidP="00026E83">
            <w:pPr>
              <w:jc w:val="right"/>
              <w:rPr>
                <w:sz w:val="20"/>
                <w:szCs w:val="20"/>
              </w:rPr>
            </w:pPr>
            <w:r w:rsidRPr="00A60886">
              <w:rPr>
                <w:sz w:val="20"/>
                <w:szCs w:val="20"/>
              </w:rPr>
              <w:t>13.77</w:t>
            </w:r>
          </w:p>
        </w:tc>
        <w:tc>
          <w:tcPr>
            <w:tcW w:w="630" w:type="dxa"/>
            <w:tcBorders>
              <w:left w:val="nil"/>
              <w:right w:val="nil"/>
            </w:tcBorders>
            <w:noWrap/>
            <w:vAlign w:val="center"/>
          </w:tcPr>
          <w:p w14:paraId="716D4C47" w14:textId="77777777" w:rsidR="00B21E70" w:rsidRPr="00A60886" w:rsidRDefault="00B21E70" w:rsidP="00026E83">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0914428C" w14:textId="77777777" w:rsidR="00B21E70" w:rsidRPr="00A60886" w:rsidRDefault="00B21E70" w:rsidP="00026E83">
            <w:pPr>
              <w:jc w:val="right"/>
              <w:rPr>
                <w:color w:val="000000"/>
                <w:sz w:val="20"/>
                <w:szCs w:val="20"/>
              </w:rPr>
            </w:pPr>
            <w:r w:rsidRPr="00A60886">
              <w:rPr>
                <w:rFonts w:eastAsia="Times New Roman"/>
                <w:color w:val="000000"/>
                <w:kern w:val="0"/>
                <w:sz w:val="20"/>
                <w:szCs w:val="20"/>
                <w14:ligatures w14:val="none"/>
              </w:rPr>
              <w:t> </w:t>
            </w:r>
          </w:p>
        </w:tc>
        <w:tc>
          <w:tcPr>
            <w:tcW w:w="593" w:type="dxa"/>
            <w:tcBorders>
              <w:left w:val="nil"/>
              <w:right w:val="nil"/>
            </w:tcBorders>
            <w:noWrap/>
            <w:vAlign w:val="center"/>
          </w:tcPr>
          <w:p w14:paraId="6949A6FC" w14:textId="77777777" w:rsidR="00B21E70" w:rsidRPr="00A60886" w:rsidRDefault="00B21E70" w:rsidP="00026E83">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4997FF3E" w14:textId="77777777" w:rsidR="00B21E70" w:rsidRPr="00A60886" w:rsidRDefault="00B21E70" w:rsidP="00026E83">
            <w:pPr>
              <w:jc w:val="right"/>
              <w:rPr>
                <w:color w:val="000000"/>
                <w:sz w:val="20"/>
                <w:szCs w:val="20"/>
              </w:rPr>
            </w:pPr>
            <w:r w:rsidRPr="00A60886">
              <w:rPr>
                <w:rFonts w:eastAsia="Times New Roman"/>
                <w:color w:val="000000"/>
                <w:kern w:val="0"/>
                <w:sz w:val="20"/>
                <w:szCs w:val="20"/>
                <w14:ligatures w14:val="none"/>
              </w:rPr>
              <w:t> </w:t>
            </w:r>
          </w:p>
        </w:tc>
        <w:tc>
          <w:tcPr>
            <w:tcW w:w="593" w:type="dxa"/>
            <w:tcBorders>
              <w:left w:val="nil"/>
              <w:right w:val="nil"/>
            </w:tcBorders>
            <w:noWrap/>
            <w:vAlign w:val="center"/>
          </w:tcPr>
          <w:p w14:paraId="6727C45D" w14:textId="77777777" w:rsidR="00B21E70" w:rsidRPr="00A60886" w:rsidRDefault="00B21E70" w:rsidP="00026E83">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541" w:type="dxa"/>
            <w:tcBorders>
              <w:left w:val="nil"/>
              <w:right w:val="single" w:sz="18" w:space="0" w:color="auto"/>
            </w:tcBorders>
            <w:noWrap/>
            <w:vAlign w:val="center"/>
          </w:tcPr>
          <w:p w14:paraId="7BA511A0" w14:textId="77777777" w:rsidR="00B21E70" w:rsidRPr="00A60886" w:rsidRDefault="00B21E70" w:rsidP="00026E83">
            <w:pPr>
              <w:jc w:val="righ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w:t>
            </w:r>
          </w:p>
        </w:tc>
      </w:tr>
      <w:tr w:rsidR="004533AD" w:rsidRPr="00EC051A" w14:paraId="2233615A" w14:textId="77777777" w:rsidTr="00953050">
        <w:trPr>
          <w:trHeight w:val="144"/>
        </w:trPr>
        <w:tc>
          <w:tcPr>
            <w:tcW w:w="4220" w:type="dxa"/>
            <w:tcBorders>
              <w:left w:val="single" w:sz="18" w:space="0" w:color="auto"/>
              <w:right w:val="single" w:sz="18" w:space="0" w:color="auto"/>
            </w:tcBorders>
            <w:noWrap/>
            <w:vAlign w:val="center"/>
          </w:tcPr>
          <w:p w14:paraId="3024EAF3" w14:textId="57A5DA68" w:rsidR="004533AD" w:rsidRPr="00A60886" w:rsidRDefault="004533AD" w:rsidP="004533AD">
            <w:pPr>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Threshold </w:t>
            </w:r>
            <w:r w:rsidR="001F0EB8">
              <w:rPr>
                <w:rFonts w:eastAsia="Times New Roman"/>
                <w:color w:val="000000"/>
                <w:kern w:val="0"/>
                <w:sz w:val="20"/>
                <w:szCs w:val="20"/>
                <w14:ligatures w14:val="none"/>
              </w:rPr>
              <w:t xml:space="preserve">between </w:t>
            </w:r>
            <w:r w:rsidR="00D436C6">
              <w:rPr>
                <w:rFonts w:eastAsia="Times New Roman"/>
                <w:color w:val="000000"/>
                <w:kern w:val="0"/>
                <w:sz w:val="20"/>
                <w:szCs w:val="20"/>
                <w14:ligatures w14:val="none"/>
              </w:rPr>
              <w:t>zero</w:t>
            </w:r>
            <w:r w:rsidR="001F0EB8">
              <w:rPr>
                <w:rFonts w:eastAsia="Times New Roman"/>
                <w:color w:val="000000"/>
                <w:kern w:val="0"/>
                <w:sz w:val="20"/>
                <w:szCs w:val="20"/>
                <w14:ligatures w14:val="none"/>
              </w:rPr>
              <w:t xml:space="preserve"> days and </w:t>
            </w:r>
            <w:r w:rsidR="00D436C6">
              <w:rPr>
                <w:rFonts w:eastAsia="Times New Roman"/>
                <w:color w:val="000000"/>
                <w:kern w:val="0"/>
                <w:sz w:val="20"/>
                <w:szCs w:val="20"/>
                <w14:ligatures w14:val="none"/>
              </w:rPr>
              <w:t>one</w:t>
            </w:r>
            <w:r w:rsidR="001F0EB8">
              <w:rPr>
                <w:rFonts w:eastAsia="Times New Roman"/>
                <w:color w:val="000000"/>
                <w:kern w:val="0"/>
                <w:sz w:val="20"/>
                <w:szCs w:val="20"/>
                <w14:ligatures w14:val="none"/>
              </w:rPr>
              <w:t xml:space="preserve"> day</w:t>
            </w:r>
          </w:p>
        </w:tc>
        <w:tc>
          <w:tcPr>
            <w:tcW w:w="593" w:type="dxa"/>
            <w:tcBorders>
              <w:left w:val="single" w:sz="18" w:space="0" w:color="auto"/>
              <w:right w:val="nil"/>
            </w:tcBorders>
            <w:noWrap/>
            <w:vAlign w:val="center"/>
          </w:tcPr>
          <w:p w14:paraId="135640CD" w14:textId="278B24A3" w:rsidR="004533AD" w:rsidRPr="00A60886" w:rsidRDefault="004533AD"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6F00A7C0" w14:textId="20095BBB" w:rsidR="004533AD" w:rsidRPr="00A60886" w:rsidRDefault="004533AD"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07306232" w14:textId="140D0B53" w:rsidR="004533AD" w:rsidRPr="00A60886" w:rsidRDefault="004533AD" w:rsidP="00953050">
            <w:pPr>
              <w:jc w:val="right"/>
              <w:rPr>
                <w:color w:val="000000"/>
                <w:sz w:val="20"/>
                <w:szCs w:val="20"/>
              </w:rPr>
            </w:pPr>
            <w:r w:rsidRPr="00A60886">
              <w:rPr>
                <w:sz w:val="20"/>
                <w:szCs w:val="20"/>
              </w:rPr>
              <w:t>0.27</w:t>
            </w:r>
          </w:p>
        </w:tc>
        <w:tc>
          <w:tcPr>
            <w:tcW w:w="541" w:type="dxa"/>
            <w:tcBorders>
              <w:left w:val="nil"/>
              <w:right w:val="single" w:sz="4" w:space="0" w:color="auto"/>
            </w:tcBorders>
            <w:noWrap/>
            <w:vAlign w:val="center"/>
          </w:tcPr>
          <w:p w14:paraId="6633CBF0" w14:textId="09FB9843" w:rsidR="004533AD" w:rsidRPr="00A60886" w:rsidRDefault="004533AD" w:rsidP="00953050">
            <w:pPr>
              <w:jc w:val="right"/>
              <w:rPr>
                <w:color w:val="000000"/>
                <w:sz w:val="20"/>
                <w:szCs w:val="20"/>
              </w:rPr>
            </w:pPr>
            <w:r w:rsidRPr="00A60886">
              <w:rPr>
                <w:sz w:val="20"/>
                <w:szCs w:val="20"/>
              </w:rPr>
              <w:t>1.03</w:t>
            </w:r>
          </w:p>
        </w:tc>
        <w:tc>
          <w:tcPr>
            <w:tcW w:w="593" w:type="dxa"/>
            <w:tcBorders>
              <w:left w:val="nil"/>
              <w:right w:val="nil"/>
            </w:tcBorders>
            <w:noWrap/>
            <w:vAlign w:val="center"/>
          </w:tcPr>
          <w:p w14:paraId="6C23A3BB" w14:textId="5DC3E8CE" w:rsidR="004533AD" w:rsidRPr="00A60886" w:rsidRDefault="004533AD" w:rsidP="00953050">
            <w:pPr>
              <w:jc w:val="right"/>
              <w:rPr>
                <w:color w:val="000000"/>
                <w:sz w:val="20"/>
                <w:szCs w:val="20"/>
              </w:rPr>
            </w:pPr>
            <w:r w:rsidRPr="00A60886">
              <w:rPr>
                <w:sz w:val="20"/>
                <w:szCs w:val="20"/>
              </w:rPr>
              <w:t>-0.25</w:t>
            </w:r>
          </w:p>
        </w:tc>
        <w:tc>
          <w:tcPr>
            <w:tcW w:w="541" w:type="dxa"/>
            <w:tcBorders>
              <w:left w:val="nil"/>
              <w:right w:val="single" w:sz="4" w:space="0" w:color="auto"/>
            </w:tcBorders>
            <w:noWrap/>
            <w:vAlign w:val="center"/>
          </w:tcPr>
          <w:p w14:paraId="2E4D2C34" w14:textId="51DBEE39" w:rsidR="004533AD" w:rsidRPr="00A60886" w:rsidRDefault="004533AD" w:rsidP="00953050">
            <w:pPr>
              <w:jc w:val="right"/>
              <w:rPr>
                <w:color w:val="000000"/>
                <w:sz w:val="20"/>
                <w:szCs w:val="20"/>
              </w:rPr>
            </w:pPr>
            <w:r w:rsidRPr="00A60886">
              <w:rPr>
                <w:sz w:val="20"/>
                <w:szCs w:val="20"/>
              </w:rPr>
              <w:t>-0.51</w:t>
            </w:r>
          </w:p>
        </w:tc>
        <w:tc>
          <w:tcPr>
            <w:tcW w:w="593" w:type="dxa"/>
            <w:tcBorders>
              <w:left w:val="nil"/>
              <w:right w:val="nil"/>
            </w:tcBorders>
            <w:noWrap/>
            <w:vAlign w:val="center"/>
          </w:tcPr>
          <w:p w14:paraId="61A596B0" w14:textId="4B2229B2" w:rsidR="004533AD" w:rsidRPr="00A60886" w:rsidRDefault="004533AD" w:rsidP="00953050">
            <w:pPr>
              <w:jc w:val="right"/>
              <w:rPr>
                <w:rFonts w:eastAsia="Times New Roman"/>
                <w:color w:val="000000"/>
                <w:kern w:val="0"/>
                <w:sz w:val="20"/>
                <w:szCs w:val="20"/>
                <w14:ligatures w14:val="none"/>
              </w:rPr>
            </w:pPr>
            <w:r w:rsidRPr="00A60886">
              <w:rPr>
                <w:sz w:val="20"/>
                <w:szCs w:val="20"/>
              </w:rPr>
              <w:t>0.53</w:t>
            </w:r>
          </w:p>
        </w:tc>
        <w:tc>
          <w:tcPr>
            <w:tcW w:w="541" w:type="dxa"/>
            <w:tcBorders>
              <w:left w:val="nil"/>
              <w:right w:val="single" w:sz="18" w:space="0" w:color="auto"/>
            </w:tcBorders>
            <w:noWrap/>
            <w:vAlign w:val="center"/>
          </w:tcPr>
          <w:p w14:paraId="2892C8F0" w14:textId="2251D2BA" w:rsidR="004533AD" w:rsidRPr="00A60886" w:rsidRDefault="004533AD" w:rsidP="00953050">
            <w:pPr>
              <w:jc w:val="right"/>
              <w:rPr>
                <w:rFonts w:eastAsia="Times New Roman"/>
                <w:b/>
                <w:bCs/>
                <w:color w:val="000000"/>
                <w:kern w:val="0"/>
                <w:sz w:val="20"/>
                <w:szCs w:val="20"/>
                <w14:ligatures w14:val="none"/>
              </w:rPr>
            </w:pPr>
            <w:r w:rsidRPr="00A60886">
              <w:rPr>
                <w:sz w:val="20"/>
                <w:szCs w:val="20"/>
              </w:rPr>
              <w:t>1.90</w:t>
            </w:r>
          </w:p>
        </w:tc>
      </w:tr>
      <w:tr w:rsidR="004533AD" w:rsidRPr="00EC051A" w14:paraId="7CCBB896" w14:textId="77777777" w:rsidTr="00953050">
        <w:trPr>
          <w:trHeight w:val="144"/>
        </w:trPr>
        <w:tc>
          <w:tcPr>
            <w:tcW w:w="4220" w:type="dxa"/>
            <w:tcBorders>
              <w:left w:val="single" w:sz="18" w:space="0" w:color="auto"/>
              <w:right w:val="single" w:sz="18" w:space="0" w:color="auto"/>
            </w:tcBorders>
            <w:noWrap/>
            <w:vAlign w:val="center"/>
          </w:tcPr>
          <w:p w14:paraId="64A1816F" w14:textId="5AF33388" w:rsidR="004533AD" w:rsidRPr="00A60886" w:rsidRDefault="004533AD" w:rsidP="004533AD">
            <w:pPr>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Threshold </w:t>
            </w:r>
            <w:r w:rsidR="001F0EB8">
              <w:rPr>
                <w:rFonts w:eastAsia="Times New Roman"/>
                <w:color w:val="000000"/>
                <w:kern w:val="0"/>
                <w:sz w:val="20"/>
                <w:szCs w:val="20"/>
                <w14:ligatures w14:val="none"/>
              </w:rPr>
              <w:t xml:space="preserve">between </w:t>
            </w:r>
            <w:r w:rsidR="00D436C6">
              <w:rPr>
                <w:rFonts w:eastAsia="Times New Roman"/>
                <w:color w:val="000000"/>
                <w:kern w:val="0"/>
                <w:sz w:val="20"/>
                <w:szCs w:val="20"/>
                <w14:ligatures w14:val="none"/>
              </w:rPr>
              <w:t>one</w:t>
            </w:r>
            <w:r w:rsidR="001F0EB8">
              <w:rPr>
                <w:rFonts w:eastAsia="Times New Roman"/>
                <w:color w:val="000000"/>
                <w:kern w:val="0"/>
                <w:sz w:val="20"/>
                <w:szCs w:val="20"/>
                <w14:ligatures w14:val="none"/>
              </w:rPr>
              <w:t xml:space="preserve"> day and </w:t>
            </w:r>
            <w:r w:rsidR="00D436C6">
              <w:rPr>
                <w:rFonts w:eastAsia="Times New Roman"/>
                <w:color w:val="000000"/>
                <w:kern w:val="0"/>
                <w:sz w:val="20"/>
                <w:szCs w:val="20"/>
                <w14:ligatures w14:val="none"/>
              </w:rPr>
              <w:t>two</w:t>
            </w:r>
            <w:r w:rsidR="001F0EB8">
              <w:rPr>
                <w:rFonts w:eastAsia="Times New Roman"/>
                <w:color w:val="000000"/>
                <w:kern w:val="0"/>
                <w:sz w:val="20"/>
                <w:szCs w:val="20"/>
                <w14:ligatures w14:val="none"/>
              </w:rPr>
              <w:t xml:space="preserve"> days</w:t>
            </w:r>
          </w:p>
        </w:tc>
        <w:tc>
          <w:tcPr>
            <w:tcW w:w="593" w:type="dxa"/>
            <w:tcBorders>
              <w:left w:val="single" w:sz="18" w:space="0" w:color="auto"/>
              <w:right w:val="nil"/>
            </w:tcBorders>
            <w:noWrap/>
            <w:vAlign w:val="center"/>
          </w:tcPr>
          <w:p w14:paraId="22EF61DB" w14:textId="36978BDB" w:rsidR="004533AD" w:rsidRPr="00A60886" w:rsidRDefault="004533AD"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5489E2ED" w14:textId="6EDD1378" w:rsidR="004533AD" w:rsidRPr="00A60886" w:rsidRDefault="004533AD"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48D38C2B" w14:textId="3240C44D" w:rsidR="004533AD" w:rsidRPr="00A60886" w:rsidRDefault="004533AD"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76B520F0" w14:textId="79B7926A" w:rsidR="004533AD" w:rsidRPr="00A60886" w:rsidRDefault="004533AD"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 </w:t>
            </w:r>
          </w:p>
        </w:tc>
        <w:tc>
          <w:tcPr>
            <w:tcW w:w="593" w:type="dxa"/>
            <w:tcBorders>
              <w:left w:val="nil"/>
              <w:right w:val="nil"/>
            </w:tcBorders>
            <w:noWrap/>
            <w:vAlign w:val="center"/>
          </w:tcPr>
          <w:p w14:paraId="1DBD96CB" w14:textId="57BDE087" w:rsidR="004533AD" w:rsidRPr="00A60886" w:rsidRDefault="004533AD" w:rsidP="00953050">
            <w:pPr>
              <w:jc w:val="right"/>
              <w:rPr>
                <w:color w:val="000000"/>
                <w:sz w:val="20"/>
                <w:szCs w:val="20"/>
              </w:rPr>
            </w:pPr>
            <w:r w:rsidRPr="00A60886">
              <w:rPr>
                <w:sz w:val="20"/>
                <w:szCs w:val="20"/>
              </w:rPr>
              <w:t>0.20</w:t>
            </w:r>
          </w:p>
        </w:tc>
        <w:tc>
          <w:tcPr>
            <w:tcW w:w="541" w:type="dxa"/>
            <w:tcBorders>
              <w:left w:val="nil"/>
              <w:right w:val="single" w:sz="4" w:space="0" w:color="auto"/>
            </w:tcBorders>
            <w:noWrap/>
            <w:vAlign w:val="center"/>
          </w:tcPr>
          <w:p w14:paraId="0D4EAA1D" w14:textId="12074F1F" w:rsidR="004533AD" w:rsidRPr="00A60886" w:rsidRDefault="004533AD" w:rsidP="00953050">
            <w:pPr>
              <w:jc w:val="right"/>
              <w:rPr>
                <w:color w:val="000000"/>
                <w:sz w:val="20"/>
                <w:szCs w:val="20"/>
              </w:rPr>
            </w:pPr>
            <w:r w:rsidRPr="00A60886">
              <w:rPr>
                <w:sz w:val="20"/>
                <w:szCs w:val="20"/>
              </w:rPr>
              <w:t>0.40</w:t>
            </w:r>
          </w:p>
        </w:tc>
        <w:tc>
          <w:tcPr>
            <w:tcW w:w="593" w:type="dxa"/>
            <w:tcBorders>
              <w:left w:val="nil"/>
              <w:right w:val="nil"/>
            </w:tcBorders>
            <w:noWrap/>
            <w:vAlign w:val="center"/>
          </w:tcPr>
          <w:p w14:paraId="1DE0CF23" w14:textId="0C552871" w:rsidR="004533AD" w:rsidRPr="00A60886" w:rsidRDefault="004533AD" w:rsidP="00953050">
            <w:pPr>
              <w:jc w:val="right"/>
              <w:rPr>
                <w:color w:val="000000"/>
                <w:sz w:val="20"/>
                <w:szCs w:val="20"/>
              </w:rPr>
            </w:pPr>
            <w:r w:rsidRPr="00A60886">
              <w:rPr>
                <w:sz w:val="20"/>
                <w:szCs w:val="20"/>
              </w:rPr>
              <w:t>1.45</w:t>
            </w:r>
          </w:p>
        </w:tc>
        <w:tc>
          <w:tcPr>
            <w:tcW w:w="541" w:type="dxa"/>
            <w:tcBorders>
              <w:left w:val="nil"/>
              <w:right w:val="single" w:sz="18" w:space="0" w:color="auto"/>
            </w:tcBorders>
            <w:noWrap/>
            <w:vAlign w:val="center"/>
          </w:tcPr>
          <w:p w14:paraId="547738D2" w14:textId="404F8EF9" w:rsidR="004533AD" w:rsidRPr="00A60886" w:rsidRDefault="004533AD" w:rsidP="00953050">
            <w:pPr>
              <w:jc w:val="right"/>
              <w:rPr>
                <w:color w:val="000000"/>
                <w:sz w:val="20"/>
                <w:szCs w:val="20"/>
              </w:rPr>
            </w:pPr>
            <w:r w:rsidRPr="00A60886">
              <w:rPr>
                <w:sz w:val="20"/>
                <w:szCs w:val="20"/>
              </w:rPr>
              <w:t>5.77</w:t>
            </w:r>
          </w:p>
        </w:tc>
      </w:tr>
      <w:tr w:rsidR="004533AD" w:rsidRPr="00EC051A" w14:paraId="14BC655F" w14:textId="77777777" w:rsidTr="00953050">
        <w:trPr>
          <w:trHeight w:val="144"/>
        </w:trPr>
        <w:tc>
          <w:tcPr>
            <w:tcW w:w="4220" w:type="dxa"/>
            <w:tcBorders>
              <w:left w:val="single" w:sz="18" w:space="0" w:color="auto"/>
              <w:right w:val="single" w:sz="18" w:space="0" w:color="auto"/>
            </w:tcBorders>
            <w:noWrap/>
            <w:vAlign w:val="center"/>
          </w:tcPr>
          <w:p w14:paraId="38C6FF5B" w14:textId="0AE156AC" w:rsidR="004533AD" w:rsidRPr="00A60886" w:rsidRDefault="004533AD" w:rsidP="004533AD">
            <w:pPr>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Threshold </w:t>
            </w:r>
            <w:r w:rsidR="001F0EB8">
              <w:rPr>
                <w:rFonts w:eastAsia="Times New Roman"/>
                <w:color w:val="000000"/>
                <w:kern w:val="0"/>
                <w:sz w:val="20"/>
                <w:szCs w:val="20"/>
                <w14:ligatures w14:val="none"/>
              </w:rPr>
              <w:t xml:space="preserve">between </w:t>
            </w:r>
            <w:r w:rsidR="00D436C6">
              <w:rPr>
                <w:rFonts w:eastAsia="Times New Roman"/>
                <w:color w:val="000000"/>
                <w:kern w:val="0"/>
                <w:sz w:val="20"/>
                <w:szCs w:val="20"/>
                <w14:ligatures w14:val="none"/>
              </w:rPr>
              <w:t>two</w:t>
            </w:r>
            <w:r w:rsidR="001F0EB8">
              <w:rPr>
                <w:rFonts w:eastAsia="Times New Roman"/>
                <w:color w:val="000000"/>
                <w:kern w:val="0"/>
                <w:sz w:val="20"/>
                <w:szCs w:val="20"/>
                <w14:ligatures w14:val="none"/>
              </w:rPr>
              <w:t xml:space="preserve"> days and </w:t>
            </w:r>
            <w:r w:rsidR="00D436C6">
              <w:rPr>
                <w:rFonts w:eastAsia="Times New Roman"/>
                <w:color w:val="000000"/>
                <w:kern w:val="0"/>
                <w:sz w:val="20"/>
                <w:szCs w:val="20"/>
                <w14:ligatures w14:val="none"/>
              </w:rPr>
              <w:t>three</w:t>
            </w:r>
            <w:r w:rsidR="001F0EB8">
              <w:rPr>
                <w:rFonts w:eastAsia="Times New Roman"/>
                <w:color w:val="000000"/>
                <w:kern w:val="0"/>
                <w:sz w:val="20"/>
                <w:szCs w:val="20"/>
                <w14:ligatures w14:val="none"/>
              </w:rPr>
              <w:t xml:space="preserve"> days</w:t>
            </w:r>
          </w:p>
        </w:tc>
        <w:tc>
          <w:tcPr>
            <w:tcW w:w="593" w:type="dxa"/>
            <w:tcBorders>
              <w:left w:val="single" w:sz="18" w:space="0" w:color="auto"/>
              <w:right w:val="nil"/>
            </w:tcBorders>
            <w:noWrap/>
            <w:vAlign w:val="center"/>
          </w:tcPr>
          <w:p w14:paraId="453F261E" w14:textId="51017082" w:rsidR="004533AD" w:rsidRPr="00A60886" w:rsidRDefault="004533AD"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22A6217F" w14:textId="3F46127A" w:rsidR="004533AD" w:rsidRPr="00A60886" w:rsidRDefault="004533AD"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5A5FBB62" w14:textId="7E3FB7B2" w:rsidR="004533AD" w:rsidRPr="00A60886" w:rsidRDefault="004533AD"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25A48BED" w14:textId="6D771EA6" w:rsidR="004533AD" w:rsidRPr="00A60886" w:rsidRDefault="004533AD" w:rsidP="00953050">
            <w:pPr>
              <w:jc w:val="right"/>
              <w:rPr>
                <w:color w:val="000000"/>
                <w:sz w:val="20"/>
                <w:szCs w:val="20"/>
              </w:rPr>
            </w:pPr>
            <w:r w:rsidRPr="00A60886">
              <w:rPr>
                <w:rFonts w:eastAsia="Times New Roman"/>
                <w:color w:val="000000"/>
                <w:kern w:val="0"/>
                <w:sz w:val="20"/>
                <w:szCs w:val="20"/>
                <w14:ligatures w14:val="none"/>
              </w:rPr>
              <w:t> </w:t>
            </w:r>
          </w:p>
        </w:tc>
        <w:tc>
          <w:tcPr>
            <w:tcW w:w="593" w:type="dxa"/>
            <w:tcBorders>
              <w:left w:val="nil"/>
              <w:right w:val="nil"/>
            </w:tcBorders>
            <w:noWrap/>
            <w:vAlign w:val="center"/>
          </w:tcPr>
          <w:p w14:paraId="3498B719" w14:textId="02485B51" w:rsidR="004533AD" w:rsidRPr="00A60886" w:rsidRDefault="004533AD" w:rsidP="00953050">
            <w:pPr>
              <w:jc w:val="right"/>
              <w:rPr>
                <w:color w:val="000000"/>
                <w:sz w:val="20"/>
                <w:szCs w:val="20"/>
              </w:rPr>
            </w:pPr>
            <w:r w:rsidRPr="00A60886">
              <w:rPr>
                <w:sz w:val="20"/>
                <w:szCs w:val="20"/>
              </w:rPr>
              <w:t>0.60</w:t>
            </w:r>
          </w:p>
        </w:tc>
        <w:tc>
          <w:tcPr>
            <w:tcW w:w="541" w:type="dxa"/>
            <w:tcBorders>
              <w:left w:val="nil"/>
              <w:right w:val="single" w:sz="4" w:space="0" w:color="auto"/>
            </w:tcBorders>
            <w:noWrap/>
            <w:vAlign w:val="center"/>
          </w:tcPr>
          <w:p w14:paraId="61B5162B" w14:textId="3FDA8ADE" w:rsidR="004533AD" w:rsidRPr="00A60886" w:rsidRDefault="004533AD" w:rsidP="00953050">
            <w:pPr>
              <w:jc w:val="right"/>
              <w:rPr>
                <w:color w:val="000000"/>
                <w:sz w:val="20"/>
                <w:szCs w:val="20"/>
              </w:rPr>
            </w:pPr>
            <w:r w:rsidRPr="00A60886">
              <w:rPr>
                <w:sz w:val="20"/>
                <w:szCs w:val="20"/>
              </w:rPr>
              <w:t>1.14</w:t>
            </w:r>
          </w:p>
        </w:tc>
        <w:tc>
          <w:tcPr>
            <w:tcW w:w="593" w:type="dxa"/>
            <w:tcBorders>
              <w:left w:val="nil"/>
              <w:right w:val="nil"/>
            </w:tcBorders>
            <w:noWrap/>
            <w:vAlign w:val="center"/>
          </w:tcPr>
          <w:p w14:paraId="7B205286" w14:textId="1C04E7D5" w:rsidR="004533AD" w:rsidRPr="00A60886" w:rsidRDefault="004533AD" w:rsidP="00953050">
            <w:pPr>
              <w:jc w:val="right"/>
              <w:rPr>
                <w:rFonts w:eastAsia="Times New Roman"/>
                <w:color w:val="000000"/>
                <w:kern w:val="0"/>
                <w:sz w:val="20"/>
                <w:szCs w:val="20"/>
                <w14:ligatures w14:val="none"/>
              </w:rPr>
            </w:pPr>
            <w:r w:rsidRPr="00A60886">
              <w:rPr>
                <w:sz w:val="20"/>
                <w:szCs w:val="20"/>
              </w:rPr>
              <w:t>1.67</w:t>
            </w:r>
          </w:p>
        </w:tc>
        <w:tc>
          <w:tcPr>
            <w:tcW w:w="541" w:type="dxa"/>
            <w:tcBorders>
              <w:left w:val="nil"/>
              <w:right w:val="single" w:sz="18" w:space="0" w:color="auto"/>
            </w:tcBorders>
            <w:noWrap/>
            <w:vAlign w:val="center"/>
          </w:tcPr>
          <w:p w14:paraId="220AD5E5" w14:textId="15ECF22D" w:rsidR="004533AD" w:rsidRPr="00A60886" w:rsidRDefault="004533AD" w:rsidP="00953050">
            <w:pPr>
              <w:jc w:val="right"/>
              <w:rPr>
                <w:rFonts w:eastAsia="Times New Roman"/>
                <w:b/>
                <w:bCs/>
                <w:color w:val="000000"/>
                <w:kern w:val="0"/>
                <w:sz w:val="20"/>
                <w:szCs w:val="20"/>
                <w14:ligatures w14:val="none"/>
              </w:rPr>
            </w:pPr>
            <w:r w:rsidRPr="00A60886">
              <w:rPr>
                <w:sz w:val="20"/>
                <w:szCs w:val="20"/>
              </w:rPr>
              <w:t>6.81</w:t>
            </w:r>
          </w:p>
        </w:tc>
      </w:tr>
      <w:tr w:rsidR="004533AD" w:rsidRPr="00EC051A" w14:paraId="7C1C99DB" w14:textId="77777777" w:rsidTr="00953050">
        <w:trPr>
          <w:trHeight w:val="144"/>
        </w:trPr>
        <w:tc>
          <w:tcPr>
            <w:tcW w:w="4220" w:type="dxa"/>
            <w:tcBorders>
              <w:left w:val="single" w:sz="18" w:space="0" w:color="auto"/>
              <w:right w:val="single" w:sz="18" w:space="0" w:color="auto"/>
            </w:tcBorders>
            <w:noWrap/>
            <w:vAlign w:val="center"/>
          </w:tcPr>
          <w:p w14:paraId="54D7B0A1" w14:textId="790C4555" w:rsidR="004533AD" w:rsidRPr="00A60886" w:rsidRDefault="004533AD" w:rsidP="004533AD">
            <w:pPr>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Threshold </w:t>
            </w:r>
            <w:r w:rsidR="001F0EB8">
              <w:rPr>
                <w:rFonts w:eastAsia="Times New Roman"/>
                <w:color w:val="000000"/>
                <w:kern w:val="0"/>
                <w:sz w:val="20"/>
                <w:szCs w:val="20"/>
                <w14:ligatures w14:val="none"/>
              </w:rPr>
              <w:t xml:space="preserve">between </w:t>
            </w:r>
            <w:r w:rsidR="00D436C6">
              <w:rPr>
                <w:rFonts w:eastAsia="Times New Roman"/>
                <w:color w:val="000000"/>
                <w:kern w:val="0"/>
                <w:sz w:val="20"/>
                <w:szCs w:val="20"/>
                <w14:ligatures w14:val="none"/>
              </w:rPr>
              <w:t>three</w:t>
            </w:r>
            <w:r w:rsidR="001F0EB8">
              <w:rPr>
                <w:rFonts w:eastAsia="Times New Roman"/>
                <w:color w:val="000000"/>
                <w:kern w:val="0"/>
                <w:sz w:val="20"/>
                <w:szCs w:val="20"/>
                <w14:ligatures w14:val="none"/>
              </w:rPr>
              <w:t xml:space="preserve"> days and </w:t>
            </w:r>
            <w:r w:rsidR="00D436C6">
              <w:rPr>
                <w:rFonts w:eastAsia="Times New Roman"/>
                <w:color w:val="000000"/>
                <w:kern w:val="0"/>
                <w:sz w:val="20"/>
                <w:szCs w:val="20"/>
                <w14:ligatures w14:val="none"/>
              </w:rPr>
              <w:t>four</w:t>
            </w:r>
            <w:r w:rsidR="001F0EB8">
              <w:rPr>
                <w:rFonts w:eastAsia="Times New Roman"/>
                <w:color w:val="000000"/>
                <w:kern w:val="0"/>
                <w:sz w:val="20"/>
                <w:szCs w:val="20"/>
                <w14:ligatures w14:val="none"/>
              </w:rPr>
              <w:t xml:space="preserve"> days</w:t>
            </w:r>
          </w:p>
        </w:tc>
        <w:tc>
          <w:tcPr>
            <w:tcW w:w="593" w:type="dxa"/>
            <w:tcBorders>
              <w:left w:val="single" w:sz="18" w:space="0" w:color="auto"/>
              <w:right w:val="nil"/>
            </w:tcBorders>
            <w:noWrap/>
            <w:vAlign w:val="center"/>
          </w:tcPr>
          <w:p w14:paraId="719FEDEC" w14:textId="2ED8D14C" w:rsidR="004533AD" w:rsidRPr="00A60886" w:rsidRDefault="004533AD"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1F7763FB" w14:textId="4EE221FB" w:rsidR="004533AD" w:rsidRPr="00A60886" w:rsidRDefault="004533AD"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424367BB" w14:textId="543E7E10" w:rsidR="004533AD" w:rsidRPr="00A60886" w:rsidRDefault="004533AD"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2EEF38B7" w14:textId="7C770A85" w:rsidR="004533AD" w:rsidRPr="00A60886" w:rsidRDefault="004533AD" w:rsidP="00953050">
            <w:pPr>
              <w:jc w:val="right"/>
              <w:rPr>
                <w:color w:val="000000"/>
                <w:sz w:val="20"/>
                <w:szCs w:val="20"/>
              </w:rPr>
            </w:pPr>
            <w:r w:rsidRPr="00A60886">
              <w:rPr>
                <w:rFonts w:eastAsia="Times New Roman"/>
                <w:color w:val="000000"/>
                <w:kern w:val="0"/>
                <w:sz w:val="20"/>
                <w:szCs w:val="20"/>
                <w14:ligatures w14:val="none"/>
              </w:rPr>
              <w:t> </w:t>
            </w:r>
          </w:p>
        </w:tc>
        <w:tc>
          <w:tcPr>
            <w:tcW w:w="593" w:type="dxa"/>
            <w:tcBorders>
              <w:left w:val="nil"/>
              <w:right w:val="nil"/>
            </w:tcBorders>
            <w:noWrap/>
            <w:vAlign w:val="center"/>
          </w:tcPr>
          <w:p w14:paraId="2A5F9EC5" w14:textId="41294B79" w:rsidR="004533AD" w:rsidRPr="00A60886" w:rsidRDefault="004533AD" w:rsidP="00953050">
            <w:pPr>
              <w:jc w:val="right"/>
              <w:rPr>
                <w:color w:val="000000"/>
                <w:sz w:val="20"/>
                <w:szCs w:val="20"/>
              </w:rPr>
            </w:pPr>
            <w:r w:rsidRPr="00A60886">
              <w:rPr>
                <w:sz w:val="20"/>
                <w:szCs w:val="20"/>
              </w:rPr>
              <w:t>0.99</w:t>
            </w:r>
          </w:p>
        </w:tc>
        <w:tc>
          <w:tcPr>
            <w:tcW w:w="541" w:type="dxa"/>
            <w:tcBorders>
              <w:left w:val="nil"/>
              <w:right w:val="single" w:sz="4" w:space="0" w:color="auto"/>
            </w:tcBorders>
            <w:noWrap/>
            <w:vAlign w:val="center"/>
          </w:tcPr>
          <w:p w14:paraId="315AC0B0" w14:textId="2ACF8665" w:rsidR="004533AD" w:rsidRPr="00A60886" w:rsidRDefault="004533AD" w:rsidP="00953050">
            <w:pPr>
              <w:jc w:val="right"/>
              <w:rPr>
                <w:color w:val="000000"/>
                <w:sz w:val="20"/>
                <w:szCs w:val="20"/>
              </w:rPr>
            </w:pPr>
            <w:r w:rsidRPr="00A60886">
              <w:rPr>
                <w:sz w:val="20"/>
                <w:szCs w:val="20"/>
              </w:rPr>
              <w:t>1.80</w:t>
            </w:r>
          </w:p>
        </w:tc>
        <w:tc>
          <w:tcPr>
            <w:tcW w:w="593" w:type="dxa"/>
            <w:tcBorders>
              <w:left w:val="nil"/>
              <w:right w:val="nil"/>
            </w:tcBorders>
            <w:noWrap/>
            <w:vAlign w:val="center"/>
          </w:tcPr>
          <w:p w14:paraId="019EE09B" w14:textId="083510A4" w:rsidR="004533AD" w:rsidRPr="00A60886" w:rsidRDefault="004533AD" w:rsidP="00953050">
            <w:pPr>
              <w:jc w:val="right"/>
              <w:rPr>
                <w:rFonts w:eastAsia="Times New Roman"/>
                <w:color w:val="000000"/>
                <w:kern w:val="0"/>
                <w:sz w:val="20"/>
                <w:szCs w:val="20"/>
                <w14:ligatures w14:val="none"/>
              </w:rPr>
            </w:pPr>
            <w:r w:rsidRPr="00A60886">
              <w:rPr>
                <w:sz w:val="20"/>
                <w:szCs w:val="20"/>
              </w:rPr>
              <w:t>1.95</w:t>
            </w:r>
          </w:p>
        </w:tc>
        <w:tc>
          <w:tcPr>
            <w:tcW w:w="541" w:type="dxa"/>
            <w:tcBorders>
              <w:left w:val="nil"/>
              <w:right w:val="single" w:sz="18" w:space="0" w:color="auto"/>
            </w:tcBorders>
            <w:noWrap/>
            <w:vAlign w:val="center"/>
          </w:tcPr>
          <w:p w14:paraId="471B446B" w14:textId="0EC2A414" w:rsidR="004533AD" w:rsidRPr="00A60886" w:rsidRDefault="004533AD" w:rsidP="00953050">
            <w:pPr>
              <w:jc w:val="right"/>
              <w:rPr>
                <w:rFonts w:eastAsia="Times New Roman"/>
                <w:b/>
                <w:bCs/>
                <w:color w:val="000000"/>
                <w:kern w:val="0"/>
                <w:sz w:val="20"/>
                <w:szCs w:val="20"/>
                <w14:ligatures w14:val="none"/>
              </w:rPr>
            </w:pPr>
            <w:r w:rsidRPr="00A60886">
              <w:rPr>
                <w:sz w:val="20"/>
                <w:szCs w:val="20"/>
              </w:rPr>
              <w:t>8.18</w:t>
            </w:r>
          </w:p>
        </w:tc>
      </w:tr>
      <w:tr w:rsidR="004533AD" w:rsidRPr="00EC051A" w14:paraId="32A90127" w14:textId="77777777" w:rsidTr="00953050">
        <w:trPr>
          <w:trHeight w:val="144"/>
        </w:trPr>
        <w:tc>
          <w:tcPr>
            <w:tcW w:w="4220" w:type="dxa"/>
            <w:tcBorders>
              <w:left w:val="single" w:sz="18" w:space="0" w:color="auto"/>
              <w:right w:val="single" w:sz="18" w:space="0" w:color="auto"/>
            </w:tcBorders>
            <w:noWrap/>
            <w:vAlign w:val="center"/>
          </w:tcPr>
          <w:p w14:paraId="72C2A985" w14:textId="51FD559A" w:rsidR="004533AD" w:rsidRPr="00A60886" w:rsidRDefault="004533AD" w:rsidP="004533AD">
            <w:pPr>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Threshold </w:t>
            </w:r>
            <w:r w:rsidR="001F0EB8">
              <w:rPr>
                <w:rFonts w:eastAsia="Times New Roman"/>
                <w:color w:val="000000"/>
                <w:kern w:val="0"/>
                <w:sz w:val="20"/>
                <w:szCs w:val="20"/>
                <w14:ligatures w14:val="none"/>
              </w:rPr>
              <w:t xml:space="preserve">between </w:t>
            </w:r>
            <w:r w:rsidR="00D436C6">
              <w:rPr>
                <w:rFonts w:eastAsia="Times New Roman"/>
                <w:color w:val="000000"/>
                <w:kern w:val="0"/>
                <w:sz w:val="20"/>
                <w:szCs w:val="20"/>
                <w14:ligatures w14:val="none"/>
              </w:rPr>
              <w:t>four</w:t>
            </w:r>
            <w:r w:rsidR="001F0EB8">
              <w:rPr>
                <w:rFonts w:eastAsia="Times New Roman"/>
                <w:color w:val="000000"/>
                <w:kern w:val="0"/>
                <w:sz w:val="20"/>
                <w:szCs w:val="20"/>
                <w14:ligatures w14:val="none"/>
              </w:rPr>
              <w:t xml:space="preserve"> days and </w:t>
            </w:r>
            <w:r w:rsidR="00D436C6">
              <w:rPr>
                <w:rFonts w:eastAsia="Times New Roman"/>
                <w:color w:val="000000"/>
                <w:kern w:val="0"/>
                <w:sz w:val="20"/>
                <w:szCs w:val="20"/>
                <w14:ligatures w14:val="none"/>
              </w:rPr>
              <w:t>five</w:t>
            </w:r>
            <w:r w:rsidR="001F0EB8">
              <w:rPr>
                <w:rFonts w:eastAsia="Times New Roman"/>
                <w:color w:val="000000"/>
                <w:kern w:val="0"/>
                <w:sz w:val="20"/>
                <w:szCs w:val="20"/>
                <w14:ligatures w14:val="none"/>
              </w:rPr>
              <w:t xml:space="preserve"> days</w:t>
            </w:r>
          </w:p>
        </w:tc>
        <w:tc>
          <w:tcPr>
            <w:tcW w:w="593" w:type="dxa"/>
            <w:tcBorders>
              <w:left w:val="single" w:sz="18" w:space="0" w:color="auto"/>
              <w:right w:val="nil"/>
            </w:tcBorders>
            <w:noWrap/>
            <w:vAlign w:val="center"/>
          </w:tcPr>
          <w:p w14:paraId="30EE3E3E" w14:textId="55FF373D" w:rsidR="004533AD" w:rsidRPr="00A60886" w:rsidRDefault="004533AD"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3ED68BCB" w14:textId="3AF70F41" w:rsidR="004533AD" w:rsidRPr="00A60886" w:rsidRDefault="004533AD"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47BDB839" w14:textId="33110043" w:rsidR="004533AD" w:rsidRPr="00A60886" w:rsidRDefault="004533AD"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54513580" w14:textId="2E43E767" w:rsidR="004533AD" w:rsidRPr="00A60886" w:rsidRDefault="004533AD" w:rsidP="00953050">
            <w:pPr>
              <w:jc w:val="right"/>
              <w:rPr>
                <w:color w:val="000000"/>
                <w:sz w:val="20"/>
                <w:szCs w:val="20"/>
              </w:rPr>
            </w:pPr>
            <w:r w:rsidRPr="00A60886">
              <w:rPr>
                <w:rFonts w:eastAsia="Times New Roman"/>
                <w:color w:val="000000"/>
                <w:kern w:val="0"/>
                <w:sz w:val="20"/>
                <w:szCs w:val="20"/>
                <w14:ligatures w14:val="none"/>
              </w:rPr>
              <w:t> </w:t>
            </w:r>
          </w:p>
        </w:tc>
        <w:tc>
          <w:tcPr>
            <w:tcW w:w="593" w:type="dxa"/>
            <w:tcBorders>
              <w:left w:val="nil"/>
              <w:right w:val="nil"/>
            </w:tcBorders>
            <w:noWrap/>
            <w:vAlign w:val="center"/>
          </w:tcPr>
          <w:p w14:paraId="4A7E64B0" w14:textId="640009B6" w:rsidR="004533AD" w:rsidRPr="00A60886" w:rsidRDefault="004533AD" w:rsidP="00953050">
            <w:pPr>
              <w:jc w:val="right"/>
              <w:rPr>
                <w:color w:val="000000"/>
                <w:sz w:val="20"/>
                <w:szCs w:val="20"/>
              </w:rPr>
            </w:pPr>
            <w:r w:rsidRPr="00A60886">
              <w:rPr>
                <w:sz w:val="20"/>
                <w:szCs w:val="20"/>
              </w:rPr>
              <w:t>1.55</w:t>
            </w:r>
          </w:p>
        </w:tc>
        <w:tc>
          <w:tcPr>
            <w:tcW w:w="541" w:type="dxa"/>
            <w:tcBorders>
              <w:left w:val="nil"/>
              <w:right w:val="single" w:sz="4" w:space="0" w:color="auto"/>
            </w:tcBorders>
            <w:noWrap/>
            <w:vAlign w:val="center"/>
          </w:tcPr>
          <w:p w14:paraId="6DE99112" w14:textId="33212D9A" w:rsidR="004533AD" w:rsidRPr="00A60886" w:rsidRDefault="004533AD" w:rsidP="00953050">
            <w:pPr>
              <w:jc w:val="right"/>
              <w:rPr>
                <w:color w:val="000000"/>
                <w:sz w:val="20"/>
                <w:szCs w:val="20"/>
              </w:rPr>
            </w:pPr>
            <w:r w:rsidRPr="00A60886">
              <w:rPr>
                <w:sz w:val="20"/>
                <w:szCs w:val="20"/>
              </w:rPr>
              <w:t>2.62</w:t>
            </w:r>
          </w:p>
        </w:tc>
        <w:tc>
          <w:tcPr>
            <w:tcW w:w="593" w:type="dxa"/>
            <w:tcBorders>
              <w:left w:val="nil"/>
              <w:right w:val="nil"/>
            </w:tcBorders>
            <w:noWrap/>
            <w:vAlign w:val="center"/>
          </w:tcPr>
          <w:p w14:paraId="346F5747" w14:textId="6D999161" w:rsidR="004533AD" w:rsidRPr="00A60886" w:rsidRDefault="004533AD" w:rsidP="00953050">
            <w:pPr>
              <w:jc w:val="right"/>
              <w:rPr>
                <w:rFonts w:eastAsia="Times New Roman"/>
                <w:color w:val="000000"/>
                <w:kern w:val="0"/>
                <w:sz w:val="20"/>
                <w:szCs w:val="20"/>
                <w14:ligatures w14:val="none"/>
              </w:rPr>
            </w:pPr>
            <w:r w:rsidRPr="00A60886">
              <w:rPr>
                <w:sz w:val="20"/>
                <w:szCs w:val="20"/>
              </w:rPr>
              <w:t>2.34</w:t>
            </w:r>
          </w:p>
        </w:tc>
        <w:tc>
          <w:tcPr>
            <w:tcW w:w="541" w:type="dxa"/>
            <w:tcBorders>
              <w:left w:val="nil"/>
              <w:right w:val="single" w:sz="18" w:space="0" w:color="auto"/>
            </w:tcBorders>
            <w:noWrap/>
            <w:vAlign w:val="center"/>
          </w:tcPr>
          <w:p w14:paraId="2E73FC76" w14:textId="233D4B07" w:rsidR="004533AD" w:rsidRPr="00A60886" w:rsidRDefault="004533AD" w:rsidP="00953050">
            <w:pPr>
              <w:jc w:val="right"/>
              <w:rPr>
                <w:rFonts w:eastAsia="Times New Roman"/>
                <w:b/>
                <w:bCs/>
                <w:color w:val="000000"/>
                <w:kern w:val="0"/>
                <w:sz w:val="20"/>
                <w:szCs w:val="20"/>
                <w14:ligatures w14:val="none"/>
              </w:rPr>
            </w:pPr>
            <w:r w:rsidRPr="00A60886">
              <w:rPr>
                <w:sz w:val="20"/>
                <w:szCs w:val="20"/>
              </w:rPr>
              <w:t>9.16</w:t>
            </w:r>
          </w:p>
        </w:tc>
      </w:tr>
      <w:tr w:rsidR="00893311" w:rsidRPr="00EC051A" w14:paraId="7AC0B68D" w14:textId="77777777" w:rsidTr="00953050">
        <w:trPr>
          <w:trHeight w:val="144"/>
        </w:trPr>
        <w:tc>
          <w:tcPr>
            <w:tcW w:w="4220" w:type="dxa"/>
            <w:tcBorders>
              <w:left w:val="single" w:sz="18" w:space="0" w:color="auto"/>
              <w:right w:val="single" w:sz="18" w:space="0" w:color="auto"/>
            </w:tcBorders>
            <w:noWrap/>
            <w:vAlign w:val="center"/>
          </w:tcPr>
          <w:p w14:paraId="2A01981A" w14:textId="6AC50E72" w:rsidR="00893311" w:rsidRPr="00A60886" w:rsidRDefault="00893311" w:rsidP="00893311">
            <w:pPr>
              <w:jc w:val="left"/>
              <w:rPr>
                <w:rFonts w:eastAsia="Times New Roman"/>
                <w:b/>
                <w:bCs/>
                <w:color w:val="000000"/>
                <w:kern w:val="0"/>
                <w:sz w:val="20"/>
                <w:szCs w:val="20"/>
                <w14:ligatures w14:val="none"/>
              </w:rPr>
            </w:pPr>
            <w:r w:rsidRPr="00A60886">
              <w:rPr>
                <w:rFonts w:eastAsia="Times New Roman"/>
                <w:b/>
                <w:bCs/>
                <w:color w:val="000000"/>
                <w:kern w:val="0"/>
                <w:sz w:val="20"/>
                <w:szCs w:val="20"/>
                <w14:ligatures w14:val="none"/>
              </w:rPr>
              <w:t>Threshold Shifters</w:t>
            </w:r>
          </w:p>
        </w:tc>
        <w:tc>
          <w:tcPr>
            <w:tcW w:w="593" w:type="dxa"/>
            <w:tcBorders>
              <w:left w:val="single" w:sz="18" w:space="0" w:color="auto"/>
              <w:right w:val="nil"/>
            </w:tcBorders>
            <w:noWrap/>
            <w:vAlign w:val="center"/>
          </w:tcPr>
          <w:p w14:paraId="1A34DEB6" w14:textId="77777777" w:rsidR="00893311" w:rsidRPr="00A60886" w:rsidRDefault="00893311" w:rsidP="00953050">
            <w:pPr>
              <w:jc w:val="right"/>
              <w:rPr>
                <w:sz w:val="20"/>
                <w:szCs w:val="20"/>
              </w:rPr>
            </w:pPr>
          </w:p>
        </w:tc>
        <w:tc>
          <w:tcPr>
            <w:tcW w:w="669" w:type="dxa"/>
            <w:tcBorders>
              <w:left w:val="nil"/>
              <w:right w:val="single" w:sz="4" w:space="0" w:color="auto"/>
            </w:tcBorders>
            <w:noWrap/>
            <w:vAlign w:val="center"/>
          </w:tcPr>
          <w:p w14:paraId="7950A79B" w14:textId="77777777" w:rsidR="00893311" w:rsidRPr="00A60886" w:rsidRDefault="00893311" w:rsidP="00953050">
            <w:pPr>
              <w:jc w:val="right"/>
              <w:rPr>
                <w:sz w:val="20"/>
                <w:szCs w:val="20"/>
              </w:rPr>
            </w:pPr>
          </w:p>
        </w:tc>
        <w:tc>
          <w:tcPr>
            <w:tcW w:w="630" w:type="dxa"/>
            <w:tcBorders>
              <w:left w:val="nil"/>
              <w:right w:val="nil"/>
            </w:tcBorders>
            <w:noWrap/>
            <w:vAlign w:val="center"/>
          </w:tcPr>
          <w:p w14:paraId="263AEE0E" w14:textId="77777777" w:rsidR="00893311" w:rsidRPr="00A60886" w:rsidRDefault="00893311" w:rsidP="00953050">
            <w:pPr>
              <w:jc w:val="right"/>
              <w:rPr>
                <w:color w:val="000000"/>
                <w:sz w:val="20"/>
                <w:szCs w:val="20"/>
              </w:rPr>
            </w:pPr>
          </w:p>
        </w:tc>
        <w:tc>
          <w:tcPr>
            <w:tcW w:w="541" w:type="dxa"/>
            <w:tcBorders>
              <w:left w:val="nil"/>
              <w:right w:val="single" w:sz="4" w:space="0" w:color="auto"/>
            </w:tcBorders>
            <w:noWrap/>
            <w:vAlign w:val="center"/>
          </w:tcPr>
          <w:p w14:paraId="3DCB5598" w14:textId="77777777" w:rsidR="00893311" w:rsidRPr="00A60886" w:rsidRDefault="00893311" w:rsidP="00953050">
            <w:pPr>
              <w:jc w:val="right"/>
              <w:rPr>
                <w:color w:val="000000"/>
                <w:sz w:val="20"/>
                <w:szCs w:val="20"/>
              </w:rPr>
            </w:pPr>
          </w:p>
        </w:tc>
        <w:tc>
          <w:tcPr>
            <w:tcW w:w="593" w:type="dxa"/>
            <w:tcBorders>
              <w:left w:val="nil"/>
              <w:right w:val="nil"/>
            </w:tcBorders>
            <w:noWrap/>
            <w:vAlign w:val="center"/>
          </w:tcPr>
          <w:p w14:paraId="3C9F7F23" w14:textId="77777777" w:rsidR="00893311" w:rsidRPr="00A60886" w:rsidRDefault="00893311" w:rsidP="00953050">
            <w:pPr>
              <w:jc w:val="right"/>
              <w:rPr>
                <w:color w:val="000000"/>
                <w:sz w:val="20"/>
                <w:szCs w:val="20"/>
              </w:rPr>
            </w:pPr>
          </w:p>
        </w:tc>
        <w:tc>
          <w:tcPr>
            <w:tcW w:w="541" w:type="dxa"/>
            <w:tcBorders>
              <w:left w:val="nil"/>
              <w:right w:val="single" w:sz="4" w:space="0" w:color="auto"/>
            </w:tcBorders>
            <w:noWrap/>
            <w:vAlign w:val="center"/>
          </w:tcPr>
          <w:p w14:paraId="4DDD302A" w14:textId="77777777" w:rsidR="00893311" w:rsidRPr="00A60886" w:rsidRDefault="00893311" w:rsidP="00953050">
            <w:pPr>
              <w:jc w:val="right"/>
              <w:rPr>
                <w:color w:val="000000"/>
                <w:sz w:val="20"/>
                <w:szCs w:val="20"/>
              </w:rPr>
            </w:pPr>
          </w:p>
        </w:tc>
        <w:tc>
          <w:tcPr>
            <w:tcW w:w="593" w:type="dxa"/>
            <w:tcBorders>
              <w:left w:val="nil"/>
              <w:right w:val="nil"/>
            </w:tcBorders>
            <w:noWrap/>
            <w:vAlign w:val="center"/>
          </w:tcPr>
          <w:p w14:paraId="398D9BEB" w14:textId="77777777" w:rsidR="00893311" w:rsidRPr="00A60886" w:rsidRDefault="00893311" w:rsidP="00953050">
            <w:pPr>
              <w:jc w:val="right"/>
              <w:rPr>
                <w:rFonts w:eastAsia="Times New Roman"/>
                <w:color w:val="000000"/>
                <w:kern w:val="0"/>
                <w:sz w:val="20"/>
                <w:szCs w:val="20"/>
                <w14:ligatures w14:val="none"/>
              </w:rPr>
            </w:pPr>
          </w:p>
        </w:tc>
        <w:tc>
          <w:tcPr>
            <w:tcW w:w="541" w:type="dxa"/>
            <w:tcBorders>
              <w:left w:val="nil"/>
              <w:right w:val="single" w:sz="18" w:space="0" w:color="auto"/>
            </w:tcBorders>
            <w:noWrap/>
            <w:vAlign w:val="center"/>
          </w:tcPr>
          <w:p w14:paraId="08A345FD" w14:textId="77777777" w:rsidR="00893311" w:rsidRPr="00A60886" w:rsidRDefault="00893311" w:rsidP="00953050">
            <w:pPr>
              <w:jc w:val="right"/>
              <w:rPr>
                <w:rFonts w:eastAsia="Times New Roman"/>
                <w:b/>
                <w:bCs/>
                <w:color w:val="000000"/>
                <w:kern w:val="0"/>
                <w:sz w:val="20"/>
                <w:szCs w:val="20"/>
                <w14:ligatures w14:val="none"/>
              </w:rPr>
            </w:pPr>
          </w:p>
        </w:tc>
      </w:tr>
      <w:tr w:rsidR="00196B81" w:rsidRPr="00EC051A" w14:paraId="2395E0FF" w14:textId="77777777" w:rsidTr="00953050">
        <w:trPr>
          <w:trHeight w:val="144"/>
        </w:trPr>
        <w:tc>
          <w:tcPr>
            <w:tcW w:w="4220" w:type="dxa"/>
            <w:tcBorders>
              <w:left w:val="single" w:sz="18" w:space="0" w:color="auto"/>
              <w:right w:val="single" w:sz="18" w:space="0" w:color="auto"/>
            </w:tcBorders>
            <w:noWrap/>
            <w:vAlign w:val="center"/>
          </w:tcPr>
          <w:p w14:paraId="1B1B0B6A" w14:textId="06550078" w:rsidR="00196B81" w:rsidRPr="00A60886" w:rsidRDefault="00196B81" w:rsidP="003D3834">
            <w:pPr>
              <w:ind w:left="310" w:hanging="310"/>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Commute 10+ miles on </w:t>
            </w:r>
            <w:r w:rsidR="001F0EB8">
              <w:rPr>
                <w:rFonts w:eastAsia="Times New Roman"/>
                <w:color w:val="000000"/>
                <w:kern w:val="0"/>
                <w:sz w:val="20"/>
                <w:szCs w:val="20"/>
                <w14:ligatures w14:val="none"/>
              </w:rPr>
              <w:t>the t</w:t>
            </w:r>
            <w:r w:rsidRPr="00A60886">
              <w:rPr>
                <w:rFonts w:eastAsia="Times New Roman"/>
                <w:color w:val="000000"/>
                <w:kern w:val="0"/>
                <w:sz w:val="20"/>
                <w:szCs w:val="20"/>
                <w14:ligatures w14:val="none"/>
              </w:rPr>
              <w:t xml:space="preserve">hreshold </w:t>
            </w:r>
            <w:r w:rsidR="001F0EB8">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one</w:t>
            </w:r>
            <w:r w:rsidR="001F0EB8">
              <w:rPr>
                <w:rFonts w:eastAsia="Times New Roman"/>
                <w:color w:val="000000"/>
                <w:kern w:val="0"/>
                <w:sz w:val="20"/>
                <w:szCs w:val="20"/>
                <w14:ligatures w14:val="none"/>
              </w:rPr>
              <w:t xml:space="preserve"> day and </w:t>
            </w:r>
            <w:r w:rsidR="006B3E12">
              <w:rPr>
                <w:rFonts w:eastAsia="Times New Roman"/>
                <w:color w:val="000000"/>
                <w:kern w:val="0"/>
                <w:sz w:val="20"/>
                <w:szCs w:val="20"/>
                <w14:ligatures w14:val="none"/>
              </w:rPr>
              <w:t>two</w:t>
            </w:r>
            <w:r w:rsidR="001F0EB8">
              <w:rPr>
                <w:rFonts w:eastAsia="Times New Roman"/>
                <w:color w:val="000000"/>
                <w:kern w:val="0"/>
                <w:sz w:val="20"/>
                <w:szCs w:val="20"/>
                <w14:ligatures w14:val="none"/>
              </w:rPr>
              <w:t xml:space="preserve"> days</w:t>
            </w:r>
          </w:p>
        </w:tc>
        <w:tc>
          <w:tcPr>
            <w:tcW w:w="593" w:type="dxa"/>
            <w:tcBorders>
              <w:left w:val="single" w:sz="18" w:space="0" w:color="auto"/>
              <w:right w:val="nil"/>
            </w:tcBorders>
            <w:noWrap/>
            <w:vAlign w:val="center"/>
          </w:tcPr>
          <w:p w14:paraId="7791908F" w14:textId="76CBA731"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2663C0DA" w14:textId="7DD9F61D"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5BEA2B42" w14:textId="2DC3A55B"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418A686E" w14:textId="45AB6069"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 </w:t>
            </w:r>
          </w:p>
        </w:tc>
        <w:tc>
          <w:tcPr>
            <w:tcW w:w="593" w:type="dxa"/>
            <w:tcBorders>
              <w:left w:val="nil"/>
              <w:right w:val="nil"/>
            </w:tcBorders>
            <w:noWrap/>
            <w:vAlign w:val="center"/>
          </w:tcPr>
          <w:p w14:paraId="75D51B8D" w14:textId="7129987A" w:rsidR="00196B81" w:rsidRPr="00A60886" w:rsidRDefault="00196B81" w:rsidP="00953050">
            <w:pPr>
              <w:jc w:val="right"/>
              <w:rPr>
                <w:color w:val="000000"/>
                <w:sz w:val="20"/>
                <w:szCs w:val="20"/>
              </w:rPr>
            </w:pPr>
            <w:r w:rsidRPr="00A60886">
              <w:rPr>
                <w:sz w:val="20"/>
                <w:szCs w:val="20"/>
              </w:rPr>
              <w:t>0.13</w:t>
            </w:r>
          </w:p>
        </w:tc>
        <w:tc>
          <w:tcPr>
            <w:tcW w:w="541" w:type="dxa"/>
            <w:tcBorders>
              <w:left w:val="nil"/>
              <w:right w:val="single" w:sz="4" w:space="0" w:color="auto"/>
            </w:tcBorders>
            <w:noWrap/>
            <w:vAlign w:val="center"/>
          </w:tcPr>
          <w:p w14:paraId="0B8ED707" w14:textId="75CBDFA1" w:rsidR="00196B81" w:rsidRPr="00A60886" w:rsidRDefault="00FB78E6" w:rsidP="00953050">
            <w:pPr>
              <w:jc w:val="right"/>
              <w:rPr>
                <w:color w:val="000000"/>
                <w:sz w:val="20"/>
                <w:szCs w:val="20"/>
              </w:rPr>
            </w:pPr>
            <w:r>
              <w:rPr>
                <w:sz w:val="20"/>
                <w:szCs w:val="20"/>
              </w:rPr>
              <w:t>1</w:t>
            </w:r>
            <w:r w:rsidR="00196B81" w:rsidRPr="00A60886">
              <w:rPr>
                <w:sz w:val="20"/>
                <w:szCs w:val="20"/>
              </w:rPr>
              <w:t>.</w:t>
            </w:r>
            <w:r>
              <w:rPr>
                <w:sz w:val="20"/>
                <w:szCs w:val="20"/>
              </w:rPr>
              <w:t>4</w:t>
            </w:r>
            <w:r w:rsidR="00196B81" w:rsidRPr="00A60886">
              <w:rPr>
                <w:sz w:val="20"/>
                <w:szCs w:val="20"/>
              </w:rPr>
              <w:t>3</w:t>
            </w:r>
          </w:p>
        </w:tc>
        <w:tc>
          <w:tcPr>
            <w:tcW w:w="593" w:type="dxa"/>
            <w:tcBorders>
              <w:left w:val="nil"/>
              <w:right w:val="nil"/>
            </w:tcBorders>
            <w:noWrap/>
            <w:vAlign w:val="center"/>
          </w:tcPr>
          <w:p w14:paraId="01DBE31D" w14:textId="1C02C04D" w:rsidR="00196B81" w:rsidRPr="00A60886" w:rsidRDefault="00196B81" w:rsidP="00953050">
            <w:pPr>
              <w:jc w:val="right"/>
              <w:rPr>
                <w:rFonts w:eastAsia="Times New Roman"/>
                <w:color w:val="000000"/>
                <w:kern w:val="0"/>
                <w:sz w:val="20"/>
                <w:szCs w:val="20"/>
                <w14:ligatures w14:val="none"/>
              </w:rPr>
            </w:pPr>
            <w:r w:rsidRPr="00A60886">
              <w:rPr>
                <w:sz w:val="20"/>
                <w:szCs w:val="20"/>
              </w:rPr>
              <w:t>-0.16</w:t>
            </w:r>
          </w:p>
        </w:tc>
        <w:tc>
          <w:tcPr>
            <w:tcW w:w="541" w:type="dxa"/>
            <w:tcBorders>
              <w:left w:val="nil"/>
              <w:right w:val="single" w:sz="18" w:space="0" w:color="auto"/>
            </w:tcBorders>
            <w:noWrap/>
            <w:vAlign w:val="center"/>
          </w:tcPr>
          <w:p w14:paraId="6BA49285" w14:textId="4B7E41CD" w:rsidR="00196B81" w:rsidRPr="00A60886" w:rsidRDefault="00196B81" w:rsidP="00953050">
            <w:pPr>
              <w:jc w:val="right"/>
              <w:rPr>
                <w:rFonts w:eastAsia="Times New Roman"/>
                <w:b/>
                <w:bCs/>
                <w:color w:val="000000"/>
                <w:kern w:val="0"/>
                <w:sz w:val="20"/>
                <w:szCs w:val="20"/>
                <w14:ligatures w14:val="none"/>
              </w:rPr>
            </w:pPr>
            <w:r w:rsidRPr="00A60886">
              <w:rPr>
                <w:sz w:val="20"/>
                <w:szCs w:val="20"/>
              </w:rPr>
              <w:t>-1.</w:t>
            </w:r>
            <w:r w:rsidR="00FB78E6">
              <w:rPr>
                <w:sz w:val="20"/>
                <w:szCs w:val="20"/>
              </w:rPr>
              <w:t>9</w:t>
            </w:r>
            <w:r w:rsidRPr="00A60886">
              <w:rPr>
                <w:sz w:val="20"/>
                <w:szCs w:val="20"/>
              </w:rPr>
              <w:t>2</w:t>
            </w:r>
          </w:p>
        </w:tc>
      </w:tr>
      <w:tr w:rsidR="00196B81" w:rsidRPr="00EC051A" w14:paraId="729E7141" w14:textId="77777777" w:rsidTr="00953050">
        <w:trPr>
          <w:trHeight w:val="144"/>
        </w:trPr>
        <w:tc>
          <w:tcPr>
            <w:tcW w:w="4220" w:type="dxa"/>
            <w:tcBorders>
              <w:left w:val="single" w:sz="18" w:space="0" w:color="auto"/>
              <w:right w:val="single" w:sz="18" w:space="0" w:color="auto"/>
            </w:tcBorders>
            <w:noWrap/>
            <w:vAlign w:val="center"/>
          </w:tcPr>
          <w:p w14:paraId="106197D4" w14:textId="47E824D5" w:rsidR="00196B81" w:rsidRPr="00A60886" w:rsidRDefault="00196B81" w:rsidP="003D3834">
            <w:pPr>
              <w:ind w:left="310" w:hanging="310"/>
              <w:jc w:val="lef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xml:space="preserve">Commute 10+ miles on </w:t>
            </w:r>
            <w:r w:rsidR="0072184A">
              <w:rPr>
                <w:rFonts w:eastAsia="Times New Roman"/>
                <w:color w:val="000000"/>
                <w:kern w:val="0"/>
                <w:sz w:val="20"/>
                <w:szCs w:val="20"/>
                <w14:ligatures w14:val="none"/>
              </w:rPr>
              <w:t xml:space="preserve">the threshold between two </w:t>
            </w:r>
            <w:r w:rsidR="003D3834">
              <w:rPr>
                <w:rFonts w:eastAsia="Times New Roman"/>
                <w:color w:val="000000"/>
                <w:kern w:val="0"/>
                <w:sz w:val="20"/>
                <w:szCs w:val="20"/>
                <w14:ligatures w14:val="none"/>
              </w:rPr>
              <w:t xml:space="preserve">days </w:t>
            </w:r>
            <w:r w:rsidR="0072184A">
              <w:rPr>
                <w:rFonts w:eastAsia="Times New Roman"/>
                <w:color w:val="000000"/>
                <w:kern w:val="0"/>
                <w:sz w:val="20"/>
                <w:szCs w:val="20"/>
                <w14:ligatures w14:val="none"/>
              </w:rPr>
              <w:t>and three days and all higher thresholds</w:t>
            </w:r>
          </w:p>
        </w:tc>
        <w:tc>
          <w:tcPr>
            <w:tcW w:w="593" w:type="dxa"/>
            <w:tcBorders>
              <w:left w:val="single" w:sz="18" w:space="0" w:color="auto"/>
              <w:right w:val="nil"/>
            </w:tcBorders>
            <w:noWrap/>
            <w:vAlign w:val="center"/>
          </w:tcPr>
          <w:p w14:paraId="0B0A6674" w14:textId="50E9E3E2"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290919BA" w14:textId="37D82679"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5D2CC724" w14:textId="7A48D3D5"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19E0905D" w14:textId="56F39773"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 </w:t>
            </w:r>
          </w:p>
        </w:tc>
        <w:tc>
          <w:tcPr>
            <w:tcW w:w="593" w:type="dxa"/>
            <w:tcBorders>
              <w:left w:val="nil"/>
              <w:right w:val="nil"/>
            </w:tcBorders>
            <w:noWrap/>
            <w:vAlign w:val="center"/>
          </w:tcPr>
          <w:p w14:paraId="570F02EB" w14:textId="0DE0EAF4" w:rsidR="00196B81" w:rsidRPr="00A60886" w:rsidRDefault="00196B81" w:rsidP="00953050">
            <w:pPr>
              <w:jc w:val="right"/>
              <w:rPr>
                <w:color w:val="000000"/>
                <w:sz w:val="20"/>
                <w:szCs w:val="20"/>
              </w:rPr>
            </w:pPr>
            <w:r w:rsidRPr="00A60886">
              <w:rPr>
                <w:sz w:val="20"/>
                <w:szCs w:val="20"/>
              </w:rPr>
              <w:t>0.19</w:t>
            </w:r>
          </w:p>
        </w:tc>
        <w:tc>
          <w:tcPr>
            <w:tcW w:w="541" w:type="dxa"/>
            <w:tcBorders>
              <w:left w:val="nil"/>
              <w:right w:val="single" w:sz="4" w:space="0" w:color="auto"/>
            </w:tcBorders>
            <w:noWrap/>
            <w:vAlign w:val="center"/>
          </w:tcPr>
          <w:p w14:paraId="75EFE7FB" w14:textId="5B75367E" w:rsidR="00196B81" w:rsidRPr="00A60886" w:rsidRDefault="00196B81" w:rsidP="00953050">
            <w:pPr>
              <w:jc w:val="right"/>
              <w:rPr>
                <w:color w:val="000000"/>
                <w:sz w:val="20"/>
                <w:szCs w:val="20"/>
              </w:rPr>
            </w:pPr>
            <w:r w:rsidRPr="00A60886">
              <w:rPr>
                <w:sz w:val="20"/>
                <w:szCs w:val="20"/>
              </w:rPr>
              <w:t>1.</w:t>
            </w:r>
            <w:r w:rsidR="00FB78E6">
              <w:rPr>
                <w:sz w:val="20"/>
                <w:szCs w:val="20"/>
              </w:rPr>
              <w:t>5</w:t>
            </w:r>
            <w:r w:rsidRPr="00A60886">
              <w:rPr>
                <w:sz w:val="20"/>
                <w:szCs w:val="20"/>
              </w:rPr>
              <w:t>5</w:t>
            </w:r>
          </w:p>
        </w:tc>
        <w:tc>
          <w:tcPr>
            <w:tcW w:w="593" w:type="dxa"/>
            <w:tcBorders>
              <w:left w:val="nil"/>
              <w:right w:val="nil"/>
            </w:tcBorders>
            <w:noWrap/>
            <w:vAlign w:val="center"/>
          </w:tcPr>
          <w:p w14:paraId="0FA376A2" w14:textId="64D8F32D" w:rsidR="00196B81" w:rsidRPr="00A60886" w:rsidRDefault="00196B81"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541" w:type="dxa"/>
            <w:tcBorders>
              <w:left w:val="nil"/>
              <w:right w:val="single" w:sz="18" w:space="0" w:color="auto"/>
            </w:tcBorders>
            <w:noWrap/>
            <w:vAlign w:val="center"/>
          </w:tcPr>
          <w:p w14:paraId="0D0ACE71" w14:textId="71F5EC39" w:rsidR="00196B81" w:rsidRPr="00A60886" w:rsidRDefault="00196B81" w:rsidP="00953050">
            <w:pPr>
              <w:jc w:val="righ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w:t>
            </w:r>
          </w:p>
        </w:tc>
      </w:tr>
      <w:tr w:rsidR="00196B81" w:rsidRPr="00EC051A" w14:paraId="550756D4" w14:textId="77777777" w:rsidTr="00953050">
        <w:trPr>
          <w:trHeight w:val="144"/>
        </w:trPr>
        <w:tc>
          <w:tcPr>
            <w:tcW w:w="4220" w:type="dxa"/>
            <w:tcBorders>
              <w:left w:val="single" w:sz="18" w:space="0" w:color="auto"/>
              <w:right w:val="single" w:sz="18" w:space="0" w:color="auto"/>
            </w:tcBorders>
            <w:noWrap/>
            <w:vAlign w:val="center"/>
          </w:tcPr>
          <w:p w14:paraId="6196746F" w14:textId="42229659" w:rsidR="00196B81" w:rsidRPr="00A60886" w:rsidRDefault="00196B81" w:rsidP="003D3834">
            <w:pPr>
              <w:ind w:left="310" w:hanging="310"/>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One </w:t>
            </w:r>
            <w:r w:rsidR="00D436C6">
              <w:rPr>
                <w:rFonts w:eastAsia="Times New Roman"/>
                <w:color w:val="000000"/>
                <w:kern w:val="0"/>
                <w:sz w:val="20"/>
                <w:szCs w:val="20"/>
                <w14:ligatures w14:val="none"/>
              </w:rPr>
              <w:t>d</w:t>
            </w:r>
            <w:r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f</w:t>
            </w:r>
            <w:r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Pr="00A60886">
              <w:rPr>
                <w:rFonts w:eastAsia="Times New Roman"/>
                <w:color w:val="000000"/>
                <w:kern w:val="0"/>
                <w:sz w:val="20"/>
                <w:szCs w:val="20"/>
                <w14:ligatures w14:val="none"/>
              </w:rPr>
              <w:t xml:space="preserve">elework 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one day and two days</w:t>
            </w:r>
          </w:p>
        </w:tc>
        <w:tc>
          <w:tcPr>
            <w:tcW w:w="593" w:type="dxa"/>
            <w:tcBorders>
              <w:left w:val="single" w:sz="18" w:space="0" w:color="auto"/>
              <w:right w:val="nil"/>
            </w:tcBorders>
            <w:noWrap/>
            <w:vAlign w:val="center"/>
          </w:tcPr>
          <w:p w14:paraId="63FDC301" w14:textId="18D88C94"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192EE0CC" w14:textId="4695D49E"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3672A702" w14:textId="1470A4B2"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677DDAB4"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623C2991" w14:textId="7E7AD83C"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39139B62" w14:textId="267B06F3" w:rsidR="00196B81" w:rsidRPr="00A60886" w:rsidRDefault="00196B81" w:rsidP="00953050">
            <w:pPr>
              <w:jc w:val="right"/>
              <w:rPr>
                <w:color w:val="000000"/>
                <w:sz w:val="20"/>
                <w:szCs w:val="20"/>
              </w:rPr>
            </w:pPr>
          </w:p>
        </w:tc>
        <w:tc>
          <w:tcPr>
            <w:tcW w:w="593" w:type="dxa"/>
            <w:tcBorders>
              <w:left w:val="nil"/>
              <w:right w:val="nil"/>
            </w:tcBorders>
            <w:noWrap/>
            <w:vAlign w:val="center"/>
          </w:tcPr>
          <w:p w14:paraId="403CD42C" w14:textId="06839B90"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-0.61</w:t>
            </w:r>
          </w:p>
        </w:tc>
        <w:tc>
          <w:tcPr>
            <w:tcW w:w="541" w:type="dxa"/>
            <w:tcBorders>
              <w:left w:val="nil"/>
              <w:right w:val="single" w:sz="18" w:space="0" w:color="auto"/>
            </w:tcBorders>
            <w:noWrap/>
            <w:vAlign w:val="center"/>
          </w:tcPr>
          <w:p w14:paraId="78A46017" w14:textId="7AC9BF95"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-3.26</w:t>
            </w:r>
          </w:p>
        </w:tc>
      </w:tr>
      <w:tr w:rsidR="00196B81" w:rsidRPr="00EC051A" w14:paraId="424A436D" w14:textId="77777777" w:rsidTr="00953050">
        <w:trPr>
          <w:trHeight w:val="144"/>
        </w:trPr>
        <w:tc>
          <w:tcPr>
            <w:tcW w:w="4220" w:type="dxa"/>
            <w:tcBorders>
              <w:left w:val="single" w:sz="18" w:space="0" w:color="auto"/>
              <w:right w:val="single" w:sz="18" w:space="0" w:color="auto"/>
            </w:tcBorders>
            <w:noWrap/>
            <w:vAlign w:val="center"/>
          </w:tcPr>
          <w:p w14:paraId="4C006291" w14:textId="5908F90F" w:rsidR="00196B81" w:rsidRPr="00A60886" w:rsidRDefault="00196B81" w:rsidP="003D3834">
            <w:pPr>
              <w:ind w:left="310" w:hanging="310"/>
              <w:jc w:val="lef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xml:space="preserve">One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two days and three days</w:t>
            </w:r>
          </w:p>
        </w:tc>
        <w:tc>
          <w:tcPr>
            <w:tcW w:w="593" w:type="dxa"/>
            <w:tcBorders>
              <w:left w:val="single" w:sz="18" w:space="0" w:color="auto"/>
              <w:right w:val="nil"/>
            </w:tcBorders>
            <w:noWrap/>
            <w:vAlign w:val="center"/>
          </w:tcPr>
          <w:p w14:paraId="45D235EF" w14:textId="7D0A9CD8"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2C6BE2D3" w14:textId="1B2FF671"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41E979B1" w14:textId="406AF078"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34EE4841"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3456ADFF" w14:textId="49C665F7"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7C5DD4F1" w14:textId="4AAE18C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36BF226E" w14:textId="11B71636"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-0.56</w:t>
            </w:r>
          </w:p>
        </w:tc>
        <w:tc>
          <w:tcPr>
            <w:tcW w:w="541" w:type="dxa"/>
            <w:tcBorders>
              <w:left w:val="nil"/>
              <w:right w:val="single" w:sz="18" w:space="0" w:color="auto"/>
            </w:tcBorders>
            <w:noWrap/>
            <w:vAlign w:val="center"/>
          </w:tcPr>
          <w:p w14:paraId="5D98999F" w14:textId="06A744EB"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-2.93</w:t>
            </w:r>
          </w:p>
        </w:tc>
      </w:tr>
      <w:tr w:rsidR="00196B81" w:rsidRPr="00EC051A" w14:paraId="15F073BC" w14:textId="77777777" w:rsidTr="00953050">
        <w:trPr>
          <w:trHeight w:val="144"/>
        </w:trPr>
        <w:tc>
          <w:tcPr>
            <w:tcW w:w="4220" w:type="dxa"/>
            <w:tcBorders>
              <w:left w:val="single" w:sz="18" w:space="0" w:color="auto"/>
              <w:right w:val="single" w:sz="18" w:space="0" w:color="auto"/>
            </w:tcBorders>
            <w:noWrap/>
            <w:vAlign w:val="center"/>
          </w:tcPr>
          <w:p w14:paraId="39007224" w14:textId="15AD4432" w:rsidR="00196B81" w:rsidRPr="00A60886" w:rsidRDefault="00196B81" w:rsidP="003D3834">
            <w:pPr>
              <w:ind w:left="310" w:hanging="310"/>
              <w:jc w:val="lef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xml:space="preserve">One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three days and four days</w:t>
            </w:r>
          </w:p>
        </w:tc>
        <w:tc>
          <w:tcPr>
            <w:tcW w:w="593" w:type="dxa"/>
            <w:tcBorders>
              <w:left w:val="single" w:sz="18" w:space="0" w:color="auto"/>
              <w:right w:val="nil"/>
            </w:tcBorders>
            <w:noWrap/>
            <w:vAlign w:val="center"/>
          </w:tcPr>
          <w:p w14:paraId="6127B44E" w14:textId="1A0E1D27"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4B3CFD63" w14:textId="2A811B50"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7DD18BC3" w14:textId="61980116"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6AEBBF02"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710BA3A3" w14:textId="5B428B6C"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6691A46A" w14:textId="5F8C34A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7C5D6E9D" w14:textId="0C80497F"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-0.46</w:t>
            </w:r>
          </w:p>
        </w:tc>
        <w:tc>
          <w:tcPr>
            <w:tcW w:w="541" w:type="dxa"/>
            <w:tcBorders>
              <w:left w:val="nil"/>
              <w:right w:val="single" w:sz="18" w:space="0" w:color="auto"/>
            </w:tcBorders>
            <w:noWrap/>
            <w:vAlign w:val="center"/>
          </w:tcPr>
          <w:p w14:paraId="276983C2" w14:textId="2A2DEBA6"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-2.22</w:t>
            </w:r>
          </w:p>
        </w:tc>
      </w:tr>
      <w:tr w:rsidR="00196B81" w:rsidRPr="00EC051A" w14:paraId="1E573A20" w14:textId="77777777" w:rsidTr="00953050">
        <w:trPr>
          <w:trHeight w:val="144"/>
        </w:trPr>
        <w:tc>
          <w:tcPr>
            <w:tcW w:w="4220" w:type="dxa"/>
            <w:tcBorders>
              <w:left w:val="single" w:sz="18" w:space="0" w:color="auto"/>
              <w:right w:val="single" w:sz="18" w:space="0" w:color="auto"/>
            </w:tcBorders>
            <w:noWrap/>
            <w:vAlign w:val="center"/>
          </w:tcPr>
          <w:p w14:paraId="1B9D039D" w14:textId="74FBFC03" w:rsidR="00196B81" w:rsidRPr="00A60886" w:rsidRDefault="00196B81" w:rsidP="003D3834">
            <w:pPr>
              <w:ind w:left="310" w:hanging="310"/>
              <w:jc w:val="lef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xml:space="preserve">Two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ay</w:t>
            </w:r>
            <w:r w:rsidR="00D436C6">
              <w:rPr>
                <w:rFonts w:eastAsia="Times New Roman"/>
                <w:color w:val="000000"/>
                <w:kern w:val="0"/>
                <w:sz w:val="20"/>
                <w:szCs w:val="20"/>
                <w14:ligatures w14:val="none"/>
              </w:rPr>
              <w:t>s</w:t>
            </w:r>
            <w:r w:rsidR="00D436C6" w:rsidRPr="00A60886">
              <w:rPr>
                <w:rFonts w:eastAsia="Times New Roman"/>
                <w:color w:val="000000"/>
                <w:kern w:val="0"/>
                <w:sz w:val="20"/>
                <w:szCs w:val="20"/>
                <w14:ligatures w14:val="none"/>
              </w:rPr>
              <w:t xml:space="preserve">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zero days and one day</w:t>
            </w:r>
          </w:p>
        </w:tc>
        <w:tc>
          <w:tcPr>
            <w:tcW w:w="593" w:type="dxa"/>
            <w:tcBorders>
              <w:left w:val="single" w:sz="18" w:space="0" w:color="auto"/>
              <w:right w:val="nil"/>
            </w:tcBorders>
            <w:noWrap/>
            <w:vAlign w:val="center"/>
          </w:tcPr>
          <w:p w14:paraId="71A067C3" w14:textId="3601A41B"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31B999DA" w14:textId="780163B1"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38501D55" w14:textId="1F6E8C80"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74821740"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3DC2D621" w14:textId="22EB8E25"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769D8EC5" w14:textId="6F21ECC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157B1328" w14:textId="65FBCB25"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-0.54</w:t>
            </w:r>
          </w:p>
        </w:tc>
        <w:tc>
          <w:tcPr>
            <w:tcW w:w="541" w:type="dxa"/>
            <w:tcBorders>
              <w:left w:val="nil"/>
              <w:right w:val="single" w:sz="18" w:space="0" w:color="auto"/>
            </w:tcBorders>
            <w:noWrap/>
            <w:vAlign w:val="center"/>
          </w:tcPr>
          <w:p w14:paraId="2D9A951D" w14:textId="1A6977E8"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-2.99</w:t>
            </w:r>
          </w:p>
        </w:tc>
      </w:tr>
      <w:tr w:rsidR="00196B81" w:rsidRPr="00EC051A" w14:paraId="4A1F7BDB" w14:textId="77777777" w:rsidTr="00953050">
        <w:trPr>
          <w:trHeight w:val="144"/>
        </w:trPr>
        <w:tc>
          <w:tcPr>
            <w:tcW w:w="4220" w:type="dxa"/>
            <w:tcBorders>
              <w:left w:val="single" w:sz="18" w:space="0" w:color="auto"/>
              <w:right w:val="single" w:sz="18" w:space="0" w:color="auto"/>
            </w:tcBorders>
            <w:noWrap/>
            <w:vAlign w:val="center"/>
          </w:tcPr>
          <w:p w14:paraId="186A7FFC" w14:textId="3D171085" w:rsidR="00196B81" w:rsidRPr="00A60886" w:rsidRDefault="00196B81" w:rsidP="003D3834">
            <w:pPr>
              <w:ind w:left="310" w:hanging="310"/>
              <w:jc w:val="lef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xml:space="preserve">Two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ay</w:t>
            </w:r>
            <w:r w:rsidR="00D436C6">
              <w:rPr>
                <w:rFonts w:eastAsia="Times New Roman"/>
                <w:color w:val="000000"/>
                <w:kern w:val="0"/>
                <w:sz w:val="20"/>
                <w:szCs w:val="20"/>
                <w14:ligatures w14:val="none"/>
              </w:rPr>
              <w:t>s</w:t>
            </w:r>
            <w:r w:rsidR="00D436C6" w:rsidRPr="00A60886">
              <w:rPr>
                <w:rFonts w:eastAsia="Times New Roman"/>
                <w:color w:val="000000"/>
                <w:kern w:val="0"/>
                <w:sz w:val="20"/>
                <w:szCs w:val="20"/>
                <w14:ligatures w14:val="none"/>
              </w:rPr>
              <w:t xml:space="preserve">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one day and two days</w:t>
            </w:r>
          </w:p>
        </w:tc>
        <w:tc>
          <w:tcPr>
            <w:tcW w:w="593" w:type="dxa"/>
            <w:tcBorders>
              <w:left w:val="single" w:sz="18" w:space="0" w:color="auto"/>
              <w:right w:val="nil"/>
            </w:tcBorders>
            <w:noWrap/>
            <w:vAlign w:val="center"/>
          </w:tcPr>
          <w:p w14:paraId="48BCB226" w14:textId="685A6CDE"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0A0B4036" w14:textId="700F6C51"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6CAB1A60" w14:textId="6F10C65D"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7B1FCF01"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0E555C91" w14:textId="41B8E819"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7BCCDC3F" w14:textId="33FAE3DB" w:rsidR="00196B81" w:rsidRPr="00A60886" w:rsidRDefault="00196B81" w:rsidP="00953050">
            <w:pPr>
              <w:jc w:val="right"/>
              <w:rPr>
                <w:color w:val="000000"/>
                <w:sz w:val="20"/>
                <w:szCs w:val="20"/>
              </w:rPr>
            </w:pPr>
          </w:p>
        </w:tc>
        <w:tc>
          <w:tcPr>
            <w:tcW w:w="593" w:type="dxa"/>
            <w:tcBorders>
              <w:left w:val="nil"/>
              <w:right w:val="nil"/>
            </w:tcBorders>
            <w:noWrap/>
            <w:vAlign w:val="center"/>
          </w:tcPr>
          <w:p w14:paraId="7D2A5837" w14:textId="6A652684"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-0.93</w:t>
            </w:r>
          </w:p>
        </w:tc>
        <w:tc>
          <w:tcPr>
            <w:tcW w:w="541" w:type="dxa"/>
            <w:tcBorders>
              <w:left w:val="nil"/>
              <w:right w:val="single" w:sz="18" w:space="0" w:color="auto"/>
            </w:tcBorders>
            <w:noWrap/>
            <w:vAlign w:val="center"/>
          </w:tcPr>
          <w:p w14:paraId="5C873595" w14:textId="6221C55A"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-5.63</w:t>
            </w:r>
          </w:p>
        </w:tc>
      </w:tr>
      <w:tr w:rsidR="00196B81" w:rsidRPr="00EC051A" w14:paraId="35478412" w14:textId="77777777" w:rsidTr="00953050">
        <w:trPr>
          <w:trHeight w:val="144"/>
        </w:trPr>
        <w:tc>
          <w:tcPr>
            <w:tcW w:w="4220" w:type="dxa"/>
            <w:tcBorders>
              <w:left w:val="single" w:sz="18" w:space="0" w:color="auto"/>
              <w:right w:val="single" w:sz="18" w:space="0" w:color="auto"/>
            </w:tcBorders>
            <w:noWrap/>
            <w:vAlign w:val="center"/>
          </w:tcPr>
          <w:p w14:paraId="0670E9FA" w14:textId="31C19B34" w:rsidR="00196B81" w:rsidRPr="00A60886" w:rsidRDefault="00196B81" w:rsidP="003D3834">
            <w:pPr>
              <w:ind w:left="310" w:hanging="310"/>
              <w:jc w:val="lef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xml:space="preserve">Two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ay</w:t>
            </w:r>
            <w:r w:rsidR="00D436C6">
              <w:rPr>
                <w:rFonts w:eastAsia="Times New Roman"/>
                <w:color w:val="000000"/>
                <w:kern w:val="0"/>
                <w:sz w:val="20"/>
                <w:szCs w:val="20"/>
                <w14:ligatures w14:val="none"/>
              </w:rPr>
              <w:t>s</w:t>
            </w:r>
            <w:r w:rsidR="00D436C6" w:rsidRPr="00A60886">
              <w:rPr>
                <w:rFonts w:eastAsia="Times New Roman"/>
                <w:color w:val="000000"/>
                <w:kern w:val="0"/>
                <w:sz w:val="20"/>
                <w:szCs w:val="20"/>
                <w14:ligatures w14:val="none"/>
              </w:rPr>
              <w:t xml:space="preserve">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two days and three days</w:t>
            </w:r>
          </w:p>
        </w:tc>
        <w:tc>
          <w:tcPr>
            <w:tcW w:w="593" w:type="dxa"/>
            <w:tcBorders>
              <w:left w:val="single" w:sz="18" w:space="0" w:color="auto"/>
              <w:right w:val="nil"/>
            </w:tcBorders>
            <w:noWrap/>
            <w:vAlign w:val="center"/>
          </w:tcPr>
          <w:p w14:paraId="34CCD72A" w14:textId="1ABB604E"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31673AB4" w14:textId="216A5400"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6043DA10" w14:textId="7196E301"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26118D60"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0A69757E" w14:textId="6DACEBEF"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0ACD1F8B" w14:textId="2694ACA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7A3FD6E2" w14:textId="53AA5616"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-0.82</w:t>
            </w:r>
          </w:p>
        </w:tc>
        <w:tc>
          <w:tcPr>
            <w:tcW w:w="541" w:type="dxa"/>
            <w:tcBorders>
              <w:left w:val="nil"/>
              <w:right w:val="single" w:sz="18" w:space="0" w:color="auto"/>
            </w:tcBorders>
            <w:noWrap/>
            <w:vAlign w:val="center"/>
          </w:tcPr>
          <w:p w14:paraId="7E238F90" w14:textId="72228FC8"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-5.21</w:t>
            </w:r>
          </w:p>
        </w:tc>
      </w:tr>
      <w:tr w:rsidR="00196B81" w:rsidRPr="00EC051A" w14:paraId="67492E9A" w14:textId="77777777" w:rsidTr="00953050">
        <w:trPr>
          <w:trHeight w:val="144"/>
        </w:trPr>
        <w:tc>
          <w:tcPr>
            <w:tcW w:w="4220" w:type="dxa"/>
            <w:tcBorders>
              <w:left w:val="single" w:sz="18" w:space="0" w:color="auto"/>
              <w:right w:val="single" w:sz="18" w:space="0" w:color="auto"/>
            </w:tcBorders>
            <w:noWrap/>
            <w:vAlign w:val="center"/>
          </w:tcPr>
          <w:p w14:paraId="278FA7A2" w14:textId="7010DC1D" w:rsidR="00196B81" w:rsidRPr="00A60886" w:rsidRDefault="00196B81" w:rsidP="003D3834">
            <w:pPr>
              <w:ind w:left="310" w:hanging="310"/>
              <w:jc w:val="left"/>
              <w:rPr>
                <w:rFonts w:eastAsia="Times New Roman"/>
                <w:b/>
                <w:bCs/>
                <w:color w:val="000000"/>
                <w:kern w:val="0"/>
                <w:sz w:val="20"/>
                <w:szCs w:val="20"/>
                <w14:ligatures w14:val="none"/>
              </w:rPr>
            </w:pPr>
            <w:r w:rsidRPr="00A60886">
              <w:rPr>
                <w:rFonts w:eastAsia="Times New Roman"/>
                <w:color w:val="000000"/>
                <w:kern w:val="0"/>
                <w:sz w:val="20"/>
                <w:szCs w:val="20"/>
                <w14:ligatures w14:val="none"/>
              </w:rPr>
              <w:t xml:space="preserve">Three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ay</w:t>
            </w:r>
            <w:r w:rsidR="00D436C6">
              <w:rPr>
                <w:rFonts w:eastAsia="Times New Roman"/>
                <w:color w:val="000000"/>
                <w:kern w:val="0"/>
                <w:sz w:val="20"/>
                <w:szCs w:val="20"/>
                <w14:ligatures w14:val="none"/>
              </w:rPr>
              <w:t>s</w:t>
            </w:r>
            <w:r w:rsidR="00D436C6" w:rsidRPr="00A60886">
              <w:rPr>
                <w:rFonts w:eastAsia="Times New Roman"/>
                <w:color w:val="000000"/>
                <w:kern w:val="0"/>
                <w:sz w:val="20"/>
                <w:szCs w:val="20"/>
                <w14:ligatures w14:val="none"/>
              </w:rPr>
              <w:t xml:space="preserve">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zero days and one day</w:t>
            </w:r>
          </w:p>
        </w:tc>
        <w:tc>
          <w:tcPr>
            <w:tcW w:w="593" w:type="dxa"/>
            <w:tcBorders>
              <w:left w:val="single" w:sz="18" w:space="0" w:color="auto"/>
              <w:right w:val="nil"/>
            </w:tcBorders>
            <w:noWrap/>
            <w:vAlign w:val="center"/>
          </w:tcPr>
          <w:p w14:paraId="4D1EC984" w14:textId="0725384E"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3125BAB9" w14:textId="39EDB392"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0F792905" w14:textId="448F9C11"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3627682E"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20D46B81" w14:textId="1DE41C66"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102CEF96" w14:textId="780DA214" w:rsidR="00196B81" w:rsidRPr="00A60886" w:rsidRDefault="00196B81" w:rsidP="00953050">
            <w:pPr>
              <w:jc w:val="right"/>
              <w:rPr>
                <w:color w:val="000000"/>
                <w:sz w:val="20"/>
                <w:szCs w:val="20"/>
              </w:rPr>
            </w:pPr>
          </w:p>
        </w:tc>
        <w:tc>
          <w:tcPr>
            <w:tcW w:w="593" w:type="dxa"/>
            <w:tcBorders>
              <w:left w:val="nil"/>
              <w:right w:val="nil"/>
            </w:tcBorders>
            <w:noWrap/>
            <w:vAlign w:val="center"/>
          </w:tcPr>
          <w:p w14:paraId="26EFF80E" w14:textId="291BED9A"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-0.42</w:t>
            </w:r>
          </w:p>
        </w:tc>
        <w:tc>
          <w:tcPr>
            <w:tcW w:w="541" w:type="dxa"/>
            <w:tcBorders>
              <w:left w:val="nil"/>
              <w:right w:val="single" w:sz="18" w:space="0" w:color="auto"/>
            </w:tcBorders>
            <w:noWrap/>
            <w:vAlign w:val="center"/>
          </w:tcPr>
          <w:p w14:paraId="5F0BEB27" w14:textId="041B40E5"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-2.32</w:t>
            </w:r>
          </w:p>
        </w:tc>
      </w:tr>
      <w:tr w:rsidR="00196B81" w:rsidRPr="00EC051A" w14:paraId="53CACF9A" w14:textId="77777777" w:rsidTr="00953050">
        <w:trPr>
          <w:trHeight w:val="144"/>
        </w:trPr>
        <w:tc>
          <w:tcPr>
            <w:tcW w:w="4220" w:type="dxa"/>
            <w:tcBorders>
              <w:left w:val="single" w:sz="18" w:space="0" w:color="auto"/>
              <w:right w:val="single" w:sz="18" w:space="0" w:color="auto"/>
            </w:tcBorders>
            <w:noWrap/>
            <w:vAlign w:val="center"/>
          </w:tcPr>
          <w:p w14:paraId="6344DD03" w14:textId="1C98B6BD" w:rsidR="00196B81" w:rsidRPr="00A60886" w:rsidRDefault="00196B81" w:rsidP="003D3834">
            <w:pPr>
              <w:ind w:left="310" w:hanging="310"/>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Three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ay</w:t>
            </w:r>
            <w:r w:rsidR="00D436C6">
              <w:rPr>
                <w:rFonts w:eastAsia="Times New Roman"/>
                <w:color w:val="000000"/>
                <w:kern w:val="0"/>
                <w:sz w:val="20"/>
                <w:szCs w:val="20"/>
                <w14:ligatures w14:val="none"/>
              </w:rPr>
              <w:t>s</w:t>
            </w:r>
            <w:r w:rsidR="00D436C6" w:rsidRPr="00A60886">
              <w:rPr>
                <w:rFonts w:eastAsia="Times New Roman"/>
                <w:color w:val="000000"/>
                <w:kern w:val="0"/>
                <w:sz w:val="20"/>
                <w:szCs w:val="20"/>
                <w14:ligatures w14:val="none"/>
              </w:rPr>
              <w:t xml:space="preserve">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one day and two days</w:t>
            </w:r>
          </w:p>
        </w:tc>
        <w:tc>
          <w:tcPr>
            <w:tcW w:w="593" w:type="dxa"/>
            <w:tcBorders>
              <w:left w:val="single" w:sz="18" w:space="0" w:color="auto"/>
              <w:right w:val="nil"/>
            </w:tcBorders>
            <w:noWrap/>
            <w:vAlign w:val="center"/>
          </w:tcPr>
          <w:p w14:paraId="63DFBA1E" w14:textId="6F0EBA75"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18F3FEAC" w14:textId="23141337"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637DC3EE" w14:textId="54631802"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6AD26B2F"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2566CF3B" w14:textId="5322302C"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7428C64C" w14:textId="7EE05BE4" w:rsidR="00196B81" w:rsidRPr="00A60886" w:rsidRDefault="00196B81" w:rsidP="00953050">
            <w:pPr>
              <w:jc w:val="right"/>
              <w:rPr>
                <w:color w:val="000000"/>
                <w:sz w:val="20"/>
                <w:szCs w:val="20"/>
              </w:rPr>
            </w:pPr>
          </w:p>
        </w:tc>
        <w:tc>
          <w:tcPr>
            <w:tcW w:w="593" w:type="dxa"/>
            <w:tcBorders>
              <w:left w:val="nil"/>
              <w:right w:val="nil"/>
            </w:tcBorders>
            <w:noWrap/>
            <w:vAlign w:val="center"/>
          </w:tcPr>
          <w:p w14:paraId="5B4C56D5" w14:textId="0C671215"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-0.88</w:t>
            </w:r>
          </w:p>
        </w:tc>
        <w:tc>
          <w:tcPr>
            <w:tcW w:w="541" w:type="dxa"/>
            <w:tcBorders>
              <w:left w:val="nil"/>
              <w:right w:val="single" w:sz="18" w:space="0" w:color="auto"/>
            </w:tcBorders>
            <w:noWrap/>
            <w:vAlign w:val="center"/>
          </w:tcPr>
          <w:p w14:paraId="1AAC01B9" w14:textId="0E5C67AE"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-5.15</w:t>
            </w:r>
          </w:p>
        </w:tc>
      </w:tr>
      <w:tr w:rsidR="00196B81" w:rsidRPr="00EC051A" w14:paraId="5FC9AC94" w14:textId="77777777" w:rsidTr="00953050">
        <w:trPr>
          <w:trHeight w:val="144"/>
        </w:trPr>
        <w:tc>
          <w:tcPr>
            <w:tcW w:w="4220" w:type="dxa"/>
            <w:tcBorders>
              <w:left w:val="single" w:sz="18" w:space="0" w:color="auto"/>
              <w:right w:val="single" w:sz="18" w:space="0" w:color="auto"/>
            </w:tcBorders>
            <w:noWrap/>
            <w:vAlign w:val="center"/>
          </w:tcPr>
          <w:p w14:paraId="4D1DC972" w14:textId="6195AACA" w:rsidR="00196B81" w:rsidRPr="00A60886" w:rsidRDefault="00196B81" w:rsidP="003D3834">
            <w:pPr>
              <w:ind w:left="310" w:hanging="310"/>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Four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ay</w:t>
            </w:r>
            <w:r w:rsidR="00D436C6">
              <w:rPr>
                <w:rFonts w:eastAsia="Times New Roman"/>
                <w:color w:val="000000"/>
                <w:kern w:val="0"/>
                <w:sz w:val="20"/>
                <w:szCs w:val="20"/>
                <w14:ligatures w14:val="none"/>
              </w:rPr>
              <w:t>s</w:t>
            </w:r>
            <w:r w:rsidR="00D436C6" w:rsidRPr="00A60886">
              <w:rPr>
                <w:rFonts w:eastAsia="Times New Roman"/>
                <w:color w:val="000000"/>
                <w:kern w:val="0"/>
                <w:sz w:val="20"/>
                <w:szCs w:val="20"/>
                <w14:ligatures w14:val="none"/>
              </w:rPr>
              <w:t xml:space="preserve">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on </w:t>
            </w:r>
            <w:r w:rsidR="0033024D">
              <w:rPr>
                <w:rFonts w:eastAsia="Times New Roman"/>
                <w:color w:val="000000"/>
                <w:kern w:val="0"/>
                <w:sz w:val="20"/>
                <w:szCs w:val="20"/>
                <w14:ligatures w14:val="none"/>
              </w:rPr>
              <w:t>the t</w:t>
            </w:r>
            <w:r w:rsidR="0033024D" w:rsidRPr="00A60886">
              <w:rPr>
                <w:rFonts w:eastAsia="Times New Roman"/>
                <w:color w:val="000000"/>
                <w:kern w:val="0"/>
                <w:sz w:val="20"/>
                <w:szCs w:val="20"/>
                <w14:ligatures w14:val="none"/>
              </w:rPr>
              <w:t xml:space="preserve">hreshold </w:t>
            </w:r>
            <w:r w:rsidR="0033024D">
              <w:rPr>
                <w:rFonts w:eastAsia="Times New Roman"/>
                <w:color w:val="000000"/>
                <w:kern w:val="0"/>
                <w:sz w:val="20"/>
                <w:szCs w:val="20"/>
                <w14:ligatures w14:val="none"/>
              </w:rPr>
              <w:t xml:space="preserve">between </w:t>
            </w:r>
            <w:r w:rsidR="006B3E12">
              <w:rPr>
                <w:rFonts w:eastAsia="Times New Roman"/>
                <w:color w:val="000000"/>
                <w:kern w:val="0"/>
                <w:sz w:val="20"/>
                <w:szCs w:val="20"/>
                <w14:ligatures w14:val="none"/>
              </w:rPr>
              <w:t>zero days and one day</w:t>
            </w:r>
          </w:p>
        </w:tc>
        <w:tc>
          <w:tcPr>
            <w:tcW w:w="593" w:type="dxa"/>
            <w:tcBorders>
              <w:left w:val="single" w:sz="18" w:space="0" w:color="auto"/>
              <w:right w:val="nil"/>
            </w:tcBorders>
            <w:noWrap/>
            <w:vAlign w:val="center"/>
          </w:tcPr>
          <w:p w14:paraId="0AC5F6CE" w14:textId="5431F06F" w:rsidR="00196B81" w:rsidRPr="00A60886" w:rsidRDefault="00196B81" w:rsidP="00953050">
            <w:pPr>
              <w:jc w:val="right"/>
              <w:rPr>
                <w:sz w:val="20"/>
                <w:szCs w:val="20"/>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6799EEE3" w14:textId="1AE1A8CB" w:rsidR="00196B81" w:rsidRPr="00A60886" w:rsidRDefault="00196B81" w:rsidP="00953050">
            <w:pPr>
              <w:jc w:val="right"/>
              <w:rPr>
                <w:sz w:val="20"/>
                <w:szCs w:val="20"/>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176E6132" w14:textId="789CEAC7"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00936FC5" w14:textId="77777777" w:rsidR="00196B81" w:rsidRPr="00A60886" w:rsidRDefault="00196B81" w:rsidP="00953050">
            <w:pPr>
              <w:jc w:val="right"/>
              <w:rPr>
                <w:color w:val="000000"/>
                <w:sz w:val="20"/>
                <w:szCs w:val="20"/>
              </w:rPr>
            </w:pPr>
          </w:p>
        </w:tc>
        <w:tc>
          <w:tcPr>
            <w:tcW w:w="593" w:type="dxa"/>
            <w:tcBorders>
              <w:left w:val="nil"/>
              <w:right w:val="nil"/>
            </w:tcBorders>
            <w:noWrap/>
            <w:vAlign w:val="center"/>
          </w:tcPr>
          <w:p w14:paraId="33337950" w14:textId="619EEDE3" w:rsidR="00196B81" w:rsidRPr="00A60886" w:rsidRDefault="00196B81" w:rsidP="00953050">
            <w:pPr>
              <w:jc w:val="right"/>
              <w:rPr>
                <w:color w:val="000000"/>
                <w:sz w:val="20"/>
                <w:szCs w:val="20"/>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58C1B400" w14:textId="1F1D56EF" w:rsidR="00196B81" w:rsidRPr="00A60886" w:rsidRDefault="00196B81" w:rsidP="00953050">
            <w:pPr>
              <w:jc w:val="right"/>
              <w:rPr>
                <w:color w:val="000000"/>
                <w:sz w:val="20"/>
                <w:szCs w:val="20"/>
              </w:rPr>
            </w:pPr>
          </w:p>
        </w:tc>
        <w:tc>
          <w:tcPr>
            <w:tcW w:w="593" w:type="dxa"/>
            <w:tcBorders>
              <w:left w:val="nil"/>
              <w:right w:val="nil"/>
            </w:tcBorders>
            <w:noWrap/>
            <w:vAlign w:val="center"/>
          </w:tcPr>
          <w:p w14:paraId="1A234359" w14:textId="13414734" w:rsidR="00196B81" w:rsidRPr="00A60886" w:rsidRDefault="00196B81" w:rsidP="00953050">
            <w:pPr>
              <w:jc w:val="right"/>
              <w:rPr>
                <w:rFonts w:eastAsia="Times New Roman"/>
                <w:color w:val="000000"/>
                <w:kern w:val="0"/>
                <w:sz w:val="20"/>
                <w:szCs w:val="20"/>
                <w14:ligatures w14:val="none"/>
              </w:rPr>
            </w:pPr>
            <w:r w:rsidRPr="00A60886">
              <w:rPr>
                <w:color w:val="000000"/>
                <w:sz w:val="20"/>
                <w:szCs w:val="20"/>
              </w:rPr>
              <w:t>-0.21</w:t>
            </w:r>
          </w:p>
        </w:tc>
        <w:tc>
          <w:tcPr>
            <w:tcW w:w="541" w:type="dxa"/>
            <w:tcBorders>
              <w:left w:val="nil"/>
              <w:right w:val="single" w:sz="18" w:space="0" w:color="auto"/>
            </w:tcBorders>
            <w:noWrap/>
            <w:vAlign w:val="center"/>
          </w:tcPr>
          <w:p w14:paraId="55DB794F" w14:textId="782EE44B" w:rsidR="00196B81" w:rsidRPr="00A60886" w:rsidRDefault="00196B81" w:rsidP="00953050">
            <w:pPr>
              <w:jc w:val="right"/>
              <w:rPr>
                <w:rFonts w:eastAsia="Times New Roman"/>
                <w:b/>
                <w:bCs/>
                <w:color w:val="000000"/>
                <w:kern w:val="0"/>
                <w:sz w:val="20"/>
                <w:szCs w:val="20"/>
                <w14:ligatures w14:val="none"/>
              </w:rPr>
            </w:pPr>
            <w:r w:rsidRPr="00A60886">
              <w:rPr>
                <w:color w:val="000000"/>
                <w:sz w:val="20"/>
                <w:szCs w:val="20"/>
              </w:rPr>
              <w:t>-1.</w:t>
            </w:r>
            <w:r w:rsidR="00A52CB9">
              <w:rPr>
                <w:color w:val="000000"/>
                <w:sz w:val="20"/>
                <w:szCs w:val="20"/>
              </w:rPr>
              <w:t>29</w:t>
            </w:r>
          </w:p>
        </w:tc>
      </w:tr>
      <w:tr w:rsidR="00A60886" w:rsidRPr="00EC051A" w14:paraId="66DC845B" w14:textId="77777777" w:rsidTr="00953050">
        <w:trPr>
          <w:trHeight w:val="144"/>
        </w:trPr>
        <w:tc>
          <w:tcPr>
            <w:tcW w:w="4220" w:type="dxa"/>
            <w:tcBorders>
              <w:left w:val="single" w:sz="18" w:space="0" w:color="auto"/>
              <w:right w:val="single" w:sz="18" w:space="0" w:color="auto"/>
            </w:tcBorders>
            <w:noWrap/>
            <w:vAlign w:val="center"/>
          </w:tcPr>
          <w:p w14:paraId="4FFA3C61" w14:textId="626BB669" w:rsidR="00A60886" w:rsidRPr="00A60886" w:rsidRDefault="00A60886" w:rsidP="003D3834">
            <w:pPr>
              <w:ind w:left="310" w:hanging="310"/>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One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Age 25-44 on</w:t>
            </w:r>
            <w:r w:rsidR="0072184A">
              <w:rPr>
                <w:rFonts w:eastAsia="Times New Roman"/>
                <w:color w:val="000000"/>
                <w:kern w:val="0"/>
                <w:sz w:val="20"/>
                <w:szCs w:val="20"/>
                <w14:ligatures w14:val="none"/>
              </w:rPr>
              <w:t xml:space="preserve"> the threshold between one</w:t>
            </w:r>
            <w:r w:rsidR="003D3834">
              <w:rPr>
                <w:rFonts w:eastAsia="Times New Roman"/>
                <w:color w:val="000000"/>
                <w:kern w:val="0"/>
                <w:sz w:val="20"/>
                <w:szCs w:val="20"/>
                <w14:ligatures w14:val="none"/>
              </w:rPr>
              <w:t xml:space="preserve"> day</w:t>
            </w:r>
            <w:r w:rsidR="0072184A">
              <w:rPr>
                <w:rFonts w:eastAsia="Times New Roman"/>
                <w:color w:val="000000"/>
                <w:kern w:val="0"/>
                <w:sz w:val="20"/>
                <w:szCs w:val="20"/>
                <w14:ligatures w14:val="none"/>
              </w:rPr>
              <w:t xml:space="preserve"> and two days and all higher thresholds</w:t>
            </w:r>
          </w:p>
        </w:tc>
        <w:tc>
          <w:tcPr>
            <w:tcW w:w="593" w:type="dxa"/>
            <w:tcBorders>
              <w:left w:val="single" w:sz="18" w:space="0" w:color="auto"/>
              <w:right w:val="nil"/>
            </w:tcBorders>
            <w:noWrap/>
            <w:vAlign w:val="center"/>
          </w:tcPr>
          <w:p w14:paraId="4DEB29C2" w14:textId="0297E37D" w:rsidR="00A60886" w:rsidRPr="00A60886" w:rsidRDefault="00A60886"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669" w:type="dxa"/>
            <w:tcBorders>
              <w:left w:val="nil"/>
              <w:right w:val="single" w:sz="4" w:space="0" w:color="auto"/>
            </w:tcBorders>
            <w:noWrap/>
            <w:vAlign w:val="center"/>
          </w:tcPr>
          <w:p w14:paraId="51ADCD1E" w14:textId="17FEDED8" w:rsidR="00A60886" w:rsidRPr="00A60886" w:rsidRDefault="00A60886"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 </w:t>
            </w:r>
          </w:p>
        </w:tc>
        <w:tc>
          <w:tcPr>
            <w:tcW w:w="630" w:type="dxa"/>
            <w:tcBorders>
              <w:left w:val="nil"/>
              <w:right w:val="nil"/>
            </w:tcBorders>
            <w:noWrap/>
            <w:vAlign w:val="center"/>
          </w:tcPr>
          <w:p w14:paraId="13A2E958" w14:textId="27B7D34C" w:rsidR="00A60886" w:rsidRPr="00A60886" w:rsidRDefault="00A60886"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6BDE8898" w14:textId="77777777" w:rsidR="00A60886" w:rsidRPr="00A60886" w:rsidRDefault="00A60886" w:rsidP="00953050">
            <w:pPr>
              <w:jc w:val="right"/>
              <w:rPr>
                <w:color w:val="000000"/>
                <w:sz w:val="20"/>
                <w:szCs w:val="20"/>
              </w:rPr>
            </w:pPr>
          </w:p>
        </w:tc>
        <w:tc>
          <w:tcPr>
            <w:tcW w:w="593" w:type="dxa"/>
            <w:tcBorders>
              <w:left w:val="nil"/>
              <w:right w:val="nil"/>
            </w:tcBorders>
            <w:noWrap/>
            <w:vAlign w:val="center"/>
          </w:tcPr>
          <w:p w14:paraId="532B0ED4" w14:textId="5231D862" w:rsidR="00A60886" w:rsidRPr="00A60886" w:rsidRDefault="00A60886"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541" w:type="dxa"/>
            <w:tcBorders>
              <w:left w:val="nil"/>
              <w:right w:val="single" w:sz="4" w:space="0" w:color="auto"/>
            </w:tcBorders>
            <w:noWrap/>
            <w:vAlign w:val="center"/>
          </w:tcPr>
          <w:p w14:paraId="35E4AC2A" w14:textId="77777777" w:rsidR="00A60886" w:rsidRPr="00A60886" w:rsidRDefault="00A60886" w:rsidP="00953050">
            <w:pPr>
              <w:jc w:val="right"/>
              <w:rPr>
                <w:color w:val="000000"/>
                <w:sz w:val="20"/>
                <w:szCs w:val="20"/>
              </w:rPr>
            </w:pPr>
          </w:p>
        </w:tc>
        <w:tc>
          <w:tcPr>
            <w:tcW w:w="593" w:type="dxa"/>
            <w:tcBorders>
              <w:left w:val="nil"/>
              <w:right w:val="nil"/>
            </w:tcBorders>
            <w:noWrap/>
            <w:vAlign w:val="center"/>
          </w:tcPr>
          <w:p w14:paraId="20AD963C" w14:textId="59C651D0" w:rsidR="00A60886" w:rsidRPr="00A60886" w:rsidRDefault="00A60886" w:rsidP="00953050">
            <w:pPr>
              <w:jc w:val="right"/>
              <w:rPr>
                <w:color w:val="000000"/>
                <w:sz w:val="20"/>
                <w:szCs w:val="20"/>
              </w:rPr>
            </w:pPr>
            <w:r w:rsidRPr="00A60886">
              <w:rPr>
                <w:sz w:val="20"/>
                <w:szCs w:val="20"/>
              </w:rPr>
              <w:t>0.13</w:t>
            </w:r>
          </w:p>
        </w:tc>
        <w:tc>
          <w:tcPr>
            <w:tcW w:w="541" w:type="dxa"/>
            <w:tcBorders>
              <w:left w:val="nil"/>
              <w:right w:val="single" w:sz="18" w:space="0" w:color="auto"/>
            </w:tcBorders>
            <w:noWrap/>
            <w:vAlign w:val="center"/>
          </w:tcPr>
          <w:p w14:paraId="3E694082" w14:textId="1CA8F1F0" w:rsidR="00A60886" w:rsidRPr="00A60886" w:rsidRDefault="00A52CB9" w:rsidP="00953050">
            <w:pPr>
              <w:jc w:val="right"/>
              <w:rPr>
                <w:color w:val="000000"/>
                <w:sz w:val="20"/>
                <w:szCs w:val="20"/>
              </w:rPr>
            </w:pPr>
            <w:r>
              <w:rPr>
                <w:sz w:val="20"/>
                <w:szCs w:val="20"/>
              </w:rPr>
              <w:t>1</w:t>
            </w:r>
            <w:r w:rsidR="00A60886" w:rsidRPr="00A60886">
              <w:rPr>
                <w:sz w:val="20"/>
                <w:szCs w:val="20"/>
              </w:rPr>
              <w:t>.</w:t>
            </w:r>
            <w:r>
              <w:rPr>
                <w:sz w:val="20"/>
                <w:szCs w:val="20"/>
              </w:rPr>
              <w:t>4</w:t>
            </w:r>
            <w:r w:rsidR="00A60886" w:rsidRPr="00A60886">
              <w:rPr>
                <w:sz w:val="20"/>
                <w:szCs w:val="20"/>
              </w:rPr>
              <w:t>0</w:t>
            </w:r>
          </w:p>
        </w:tc>
      </w:tr>
      <w:tr w:rsidR="00A60886" w:rsidRPr="00EC051A" w14:paraId="7E25FED9" w14:textId="77777777" w:rsidTr="00953050">
        <w:trPr>
          <w:trHeight w:val="144"/>
        </w:trPr>
        <w:tc>
          <w:tcPr>
            <w:tcW w:w="4220" w:type="dxa"/>
            <w:tcBorders>
              <w:left w:val="single" w:sz="18" w:space="0" w:color="auto"/>
              <w:bottom w:val="single" w:sz="18" w:space="0" w:color="auto"/>
              <w:right w:val="single" w:sz="18" w:space="0" w:color="auto"/>
            </w:tcBorders>
            <w:noWrap/>
            <w:vAlign w:val="center"/>
          </w:tcPr>
          <w:p w14:paraId="60CEEEC2" w14:textId="1FE91E90" w:rsidR="00A60886" w:rsidRPr="00A60886" w:rsidRDefault="00A60886" w:rsidP="003D3834">
            <w:pPr>
              <w:ind w:left="310" w:hanging="310"/>
              <w:jc w:val="left"/>
              <w:rPr>
                <w:rFonts w:eastAsia="Times New Roman"/>
                <w:color w:val="000000"/>
                <w:kern w:val="0"/>
                <w:sz w:val="20"/>
                <w:szCs w:val="20"/>
                <w14:ligatures w14:val="none"/>
              </w:rPr>
            </w:pPr>
            <w:r w:rsidRPr="00A60886">
              <w:rPr>
                <w:rFonts w:eastAsia="Times New Roman"/>
                <w:color w:val="000000"/>
                <w:kern w:val="0"/>
                <w:sz w:val="20"/>
                <w:szCs w:val="20"/>
                <w14:ligatures w14:val="none"/>
              </w:rPr>
              <w:t xml:space="preserve">One or </w:t>
            </w:r>
            <w:r w:rsidR="00D436C6">
              <w:rPr>
                <w:rFonts w:eastAsia="Times New Roman"/>
                <w:color w:val="000000"/>
                <w:kern w:val="0"/>
                <w:sz w:val="20"/>
                <w:szCs w:val="20"/>
                <w14:ligatures w14:val="none"/>
              </w:rPr>
              <w:t>m</w:t>
            </w:r>
            <w:r w:rsidRPr="00A60886">
              <w:rPr>
                <w:rFonts w:eastAsia="Times New Roman"/>
                <w:color w:val="000000"/>
                <w:kern w:val="0"/>
                <w:sz w:val="20"/>
                <w:szCs w:val="20"/>
                <w14:ligatures w14:val="none"/>
              </w:rPr>
              <w:t xml:space="preserve">ore </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ay</w:t>
            </w:r>
            <w:r w:rsidR="00D436C6">
              <w:rPr>
                <w:rFonts w:eastAsia="Times New Roman"/>
                <w:color w:val="000000"/>
                <w:kern w:val="0"/>
                <w:sz w:val="20"/>
                <w:szCs w:val="20"/>
                <w14:ligatures w14:val="none"/>
              </w:rPr>
              <w:t>s</w:t>
            </w:r>
            <w:r w:rsidR="00D436C6" w:rsidRPr="00A60886">
              <w:rPr>
                <w:rFonts w:eastAsia="Times New Roman"/>
                <w:color w:val="000000"/>
                <w:kern w:val="0"/>
                <w:sz w:val="20"/>
                <w:szCs w:val="20"/>
                <w14:ligatures w14:val="none"/>
              </w:rPr>
              <w:t xml:space="preserve"> </w:t>
            </w:r>
            <w:r w:rsidR="00D436C6">
              <w:rPr>
                <w:rFonts w:eastAsia="Times New Roman"/>
                <w:color w:val="000000"/>
                <w:kern w:val="0"/>
                <w:sz w:val="20"/>
                <w:szCs w:val="20"/>
                <w14:ligatures w14:val="none"/>
              </w:rPr>
              <w:t>f</w:t>
            </w:r>
            <w:r w:rsidR="00D436C6" w:rsidRPr="00A60886">
              <w:rPr>
                <w:rFonts w:eastAsia="Times New Roman"/>
                <w:color w:val="000000"/>
                <w:kern w:val="0"/>
                <w:sz w:val="20"/>
                <w:szCs w:val="20"/>
                <w14:ligatures w14:val="none"/>
              </w:rPr>
              <w:t>ull-</w:t>
            </w:r>
            <w:r w:rsidR="00D436C6">
              <w:rPr>
                <w:rFonts w:eastAsia="Times New Roman"/>
                <w:color w:val="000000"/>
                <w:kern w:val="0"/>
                <w:sz w:val="20"/>
                <w:szCs w:val="20"/>
                <w14:ligatures w14:val="none"/>
              </w:rPr>
              <w:t>d</w:t>
            </w:r>
            <w:r w:rsidR="00D436C6" w:rsidRPr="00A60886">
              <w:rPr>
                <w:rFonts w:eastAsia="Times New Roman"/>
                <w:color w:val="000000"/>
                <w:kern w:val="0"/>
                <w:sz w:val="20"/>
                <w:szCs w:val="20"/>
                <w14:ligatures w14:val="none"/>
              </w:rPr>
              <w:t xml:space="preserve">ay </w:t>
            </w:r>
            <w:r w:rsidR="00D436C6">
              <w:rPr>
                <w:rFonts w:eastAsia="Times New Roman"/>
                <w:color w:val="000000"/>
                <w:kern w:val="0"/>
                <w:sz w:val="20"/>
                <w:szCs w:val="20"/>
                <w14:ligatures w14:val="none"/>
              </w:rPr>
              <w:t>t</w:t>
            </w:r>
            <w:r w:rsidR="00D436C6" w:rsidRPr="00A60886">
              <w:rPr>
                <w:rFonts w:eastAsia="Times New Roman"/>
                <w:color w:val="000000"/>
                <w:kern w:val="0"/>
                <w:sz w:val="20"/>
                <w:szCs w:val="20"/>
                <w14:ligatures w14:val="none"/>
              </w:rPr>
              <w:t xml:space="preserve">elework </w:t>
            </w:r>
            <w:r w:rsidRPr="00A60886">
              <w:rPr>
                <w:rFonts w:eastAsia="Times New Roman"/>
                <w:color w:val="000000"/>
                <w:kern w:val="0"/>
                <w:sz w:val="20"/>
                <w:szCs w:val="20"/>
                <w14:ligatures w14:val="none"/>
              </w:rPr>
              <w:t xml:space="preserve">* Presence of </w:t>
            </w:r>
            <w:r w:rsidR="00D436C6">
              <w:rPr>
                <w:rFonts w:eastAsia="Times New Roman"/>
                <w:color w:val="000000"/>
                <w:kern w:val="0"/>
                <w:sz w:val="20"/>
                <w:szCs w:val="20"/>
                <w14:ligatures w14:val="none"/>
              </w:rPr>
              <w:t>c</w:t>
            </w:r>
            <w:r w:rsidRPr="00A60886">
              <w:rPr>
                <w:rFonts w:eastAsia="Times New Roman"/>
                <w:color w:val="000000"/>
                <w:kern w:val="0"/>
                <w:sz w:val="20"/>
                <w:szCs w:val="20"/>
                <w14:ligatures w14:val="none"/>
              </w:rPr>
              <w:t xml:space="preserve">hildren on </w:t>
            </w:r>
            <w:r w:rsidR="0072184A">
              <w:rPr>
                <w:rFonts w:eastAsia="Times New Roman"/>
                <w:color w:val="000000"/>
                <w:kern w:val="0"/>
                <w:sz w:val="20"/>
                <w:szCs w:val="20"/>
                <w14:ligatures w14:val="none"/>
              </w:rPr>
              <w:t xml:space="preserve">the threshold between zero </w:t>
            </w:r>
            <w:r w:rsidR="003D3834">
              <w:rPr>
                <w:rFonts w:eastAsia="Times New Roman"/>
                <w:color w:val="000000"/>
                <w:kern w:val="0"/>
                <w:sz w:val="20"/>
                <w:szCs w:val="20"/>
                <w14:ligatures w14:val="none"/>
              </w:rPr>
              <w:t xml:space="preserve">days </w:t>
            </w:r>
            <w:r w:rsidR="0072184A">
              <w:rPr>
                <w:rFonts w:eastAsia="Times New Roman"/>
                <w:color w:val="000000"/>
                <w:kern w:val="0"/>
                <w:sz w:val="20"/>
                <w:szCs w:val="20"/>
                <w14:ligatures w14:val="none"/>
              </w:rPr>
              <w:t>and one day</w:t>
            </w:r>
            <w:r w:rsidR="003D3834">
              <w:rPr>
                <w:rFonts w:eastAsia="Times New Roman"/>
                <w:color w:val="000000"/>
                <w:kern w:val="0"/>
                <w:sz w:val="20"/>
                <w:szCs w:val="20"/>
                <w14:ligatures w14:val="none"/>
              </w:rPr>
              <w:t xml:space="preserve"> </w:t>
            </w:r>
            <w:r w:rsidR="0072184A">
              <w:rPr>
                <w:rFonts w:eastAsia="Times New Roman"/>
                <w:color w:val="000000"/>
                <w:kern w:val="0"/>
                <w:sz w:val="20"/>
                <w:szCs w:val="20"/>
                <w14:ligatures w14:val="none"/>
              </w:rPr>
              <w:t>and all higher thresholds</w:t>
            </w:r>
          </w:p>
        </w:tc>
        <w:tc>
          <w:tcPr>
            <w:tcW w:w="593" w:type="dxa"/>
            <w:tcBorders>
              <w:left w:val="single" w:sz="18" w:space="0" w:color="auto"/>
              <w:bottom w:val="single" w:sz="18" w:space="0" w:color="auto"/>
              <w:right w:val="nil"/>
            </w:tcBorders>
            <w:noWrap/>
            <w:vAlign w:val="center"/>
          </w:tcPr>
          <w:p w14:paraId="7DAA8395" w14:textId="5D471645" w:rsidR="00A60886" w:rsidRPr="00A60886" w:rsidRDefault="00A60886"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669" w:type="dxa"/>
            <w:tcBorders>
              <w:left w:val="nil"/>
              <w:bottom w:val="single" w:sz="18" w:space="0" w:color="auto"/>
              <w:right w:val="single" w:sz="4" w:space="0" w:color="auto"/>
            </w:tcBorders>
            <w:noWrap/>
            <w:vAlign w:val="center"/>
          </w:tcPr>
          <w:p w14:paraId="1186D5AE" w14:textId="0B2E39C6" w:rsidR="00A60886" w:rsidRPr="00A60886" w:rsidRDefault="00A60886"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 </w:t>
            </w:r>
          </w:p>
        </w:tc>
        <w:tc>
          <w:tcPr>
            <w:tcW w:w="630" w:type="dxa"/>
            <w:tcBorders>
              <w:left w:val="nil"/>
              <w:bottom w:val="single" w:sz="18" w:space="0" w:color="auto"/>
              <w:right w:val="nil"/>
            </w:tcBorders>
            <w:noWrap/>
            <w:vAlign w:val="center"/>
          </w:tcPr>
          <w:p w14:paraId="7CC03313" w14:textId="076B1934" w:rsidR="00A60886" w:rsidRPr="00A60886" w:rsidRDefault="00A60886"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541" w:type="dxa"/>
            <w:tcBorders>
              <w:left w:val="nil"/>
              <w:bottom w:val="single" w:sz="18" w:space="0" w:color="auto"/>
              <w:right w:val="single" w:sz="4" w:space="0" w:color="auto"/>
            </w:tcBorders>
            <w:noWrap/>
            <w:vAlign w:val="center"/>
          </w:tcPr>
          <w:p w14:paraId="747448F3" w14:textId="77777777" w:rsidR="00A60886" w:rsidRPr="00A60886" w:rsidRDefault="00A60886" w:rsidP="00953050">
            <w:pPr>
              <w:jc w:val="right"/>
              <w:rPr>
                <w:color w:val="000000"/>
                <w:sz w:val="20"/>
                <w:szCs w:val="20"/>
              </w:rPr>
            </w:pPr>
          </w:p>
        </w:tc>
        <w:tc>
          <w:tcPr>
            <w:tcW w:w="593" w:type="dxa"/>
            <w:tcBorders>
              <w:left w:val="nil"/>
              <w:bottom w:val="single" w:sz="18" w:space="0" w:color="auto"/>
              <w:right w:val="nil"/>
            </w:tcBorders>
            <w:noWrap/>
            <w:vAlign w:val="center"/>
          </w:tcPr>
          <w:p w14:paraId="2C1F8598" w14:textId="32B2A32D" w:rsidR="00A60886" w:rsidRPr="00A60886" w:rsidRDefault="00A60886" w:rsidP="00953050">
            <w:pPr>
              <w:jc w:val="right"/>
              <w:rPr>
                <w:rFonts w:eastAsia="Times New Roman"/>
                <w:color w:val="000000"/>
                <w:kern w:val="0"/>
                <w:sz w:val="20"/>
                <w:szCs w:val="20"/>
                <w14:ligatures w14:val="none"/>
              </w:rPr>
            </w:pPr>
            <w:r w:rsidRPr="00A60886">
              <w:rPr>
                <w:rFonts w:eastAsia="Times New Roman"/>
                <w:color w:val="000000"/>
                <w:kern w:val="0"/>
                <w:sz w:val="20"/>
                <w:szCs w:val="20"/>
                <w14:ligatures w14:val="none"/>
              </w:rPr>
              <w:t>--</w:t>
            </w:r>
          </w:p>
        </w:tc>
        <w:tc>
          <w:tcPr>
            <w:tcW w:w="541" w:type="dxa"/>
            <w:tcBorders>
              <w:left w:val="nil"/>
              <w:bottom w:val="single" w:sz="18" w:space="0" w:color="auto"/>
              <w:right w:val="single" w:sz="4" w:space="0" w:color="auto"/>
            </w:tcBorders>
            <w:noWrap/>
            <w:vAlign w:val="center"/>
          </w:tcPr>
          <w:p w14:paraId="5054E0AC" w14:textId="77777777" w:rsidR="00A60886" w:rsidRPr="00A60886" w:rsidRDefault="00A60886" w:rsidP="00953050">
            <w:pPr>
              <w:jc w:val="right"/>
              <w:rPr>
                <w:color w:val="000000"/>
                <w:sz w:val="20"/>
                <w:szCs w:val="20"/>
              </w:rPr>
            </w:pPr>
          </w:p>
        </w:tc>
        <w:tc>
          <w:tcPr>
            <w:tcW w:w="593" w:type="dxa"/>
            <w:tcBorders>
              <w:left w:val="nil"/>
              <w:bottom w:val="single" w:sz="18" w:space="0" w:color="auto"/>
              <w:right w:val="nil"/>
            </w:tcBorders>
            <w:noWrap/>
            <w:vAlign w:val="center"/>
          </w:tcPr>
          <w:p w14:paraId="633C191F" w14:textId="5BA20553" w:rsidR="00A60886" w:rsidRPr="00A60886" w:rsidRDefault="00A60886" w:rsidP="00953050">
            <w:pPr>
              <w:jc w:val="right"/>
              <w:rPr>
                <w:color w:val="000000"/>
                <w:sz w:val="20"/>
                <w:szCs w:val="20"/>
              </w:rPr>
            </w:pPr>
            <w:r w:rsidRPr="00A60886">
              <w:rPr>
                <w:sz w:val="20"/>
                <w:szCs w:val="20"/>
              </w:rPr>
              <w:t>0.30</w:t>
            </w:r>
          </w:p>
        </w:tc>
        <w:tc>
          <w:tcPr>
            <w:tcW w:w="541" w:type="dxa"/>
            <w:tcBorders>
              <w:left w:val="nil"/>
              <w:bottom w:val="single" w:sz="18" w:space="0" w:color="auto"/>
              <w:right w:val="single" w:sz="18" w:space="0" w:color="auto"/>
            </w:tcBorders>
            <w:noWrap/>
            <w:vAlign w:val="center"/>
          </w:tcPr>
          <w:p w14:paraId="139CB705" w14:textId="71B332D1" w:rsidR="00A60886" w:rsidRPr="00A60886" w:rsidRDefault="00A60886" w:rsidP="00953050">
            <w:pPr>
              <w:jc w:val="right"/>
              <w:rPr>
                <w:color w:val="000000"/>
                <w:sz w:val="20"/>
                <w:szCs w:val="20"/>
              </w:rPr>
            </w:pPr>
            <w:r w:rsidRPr="00A60886">
              <w:rPr>
                <w:sz w:val="20"/>
                <w:szCs w:val="20"/>
              </w:rPr>
              <w:t>1.72</w:t>
            </w:r>
          </w:p>
        </w:tc>
      </w:tr>
    </w:tbl>
    <w:p w14:paraId="2FECE8DD" w14:textId="77777777" w:rsidR="00660AB2" w:rsidRDefault="00660AB2" w:rsidP="00DE0FC0">
      <w:pPr>
        <w:suppressAutoHyphens w:val="0"/>
        <w:spacing w:line="278" w:lineRule="auto"/>
        <w:contextualSpacing w:val="0"/>
        <w:jc w:val="left"/>
        <w:rPr>
          <w:b/>
          <w:bCs/>
        </w:rPr>
        <w:sectPr w:rsidR="00660AB2" w:rsidSect="00B6518B">
          <w:pgSz w:w="12240" w:h="15840"/>
          <w:pgMar w:top="1152" w:right="1440" w:bottom="1152" w:left="1440" w:header="720" w:footer="720" w:gutter="0"/>
          <w:cols w:space="720"/>
          <w:docGrid w:linePitch="360"/>
        </w:sectPr>
      </w:pPr>
    </w:p>
    <w:p w14:paraId="10F79D6F" w14:textId="2DCDC2B3" w:rsidR="00DE0FC0" w:rsidRDefault="007D4197" w:rsidP="001A42D4">
      <w:pPr>
        <w:suppressAutoHyphens w:val="0"/>
        <w:contextualSpacing w:val="0"/>
        <w:jc w:val="left"/>
        <w:rPr>
          <w:b/>
          <w:bCs/>
        </w:rPr>
      </w:pPr>
      <w:r>
        <w:rPr>
          <w:b/>
          <w:bCs/>
        </w:rPr>
        <w:lastRenderedPageBreak/>
        <w:t xml:space="preserve">Table </w:t>
      </w:r>
      <w:r w:rsidR="006806A9">
        <w:rPr>
          <w:b/>
          <w:bCs/>
        </w:rPr>
        <w:t>6</w:t>
      </w:r>
      <w:r>
        <w:rPr>
          <w:b/>
          <w:bCs/>
        </w:rPr>
        <w:t>: Model Fit</w:t>
      </w:r>
    </w:p>
    <w:p w14:paraId="2E5F6DD2" w14:textId="77777777" w:rsidR="00DE0FC0" w:rsidRDefault="00DE0FC0" w:rsidP="001A42D4">
      <w:pPr>
        <w:suppressAutoHyphens w:val="0"/>
        <w:contextualSpacing w:val="0"/>
        <w:jc w:val="left"/>
        <w:rPr>
          <w:b/>
          <w:bCs/>
        </w:rPr>
      </w:pPr>
    </w:p>
    <w:tbl>
      <w:tblPr>
        <w:tblW w:w="0" w:type="auto"/>
        <w:jc w:val="center"/>
        <w:tblLayout w:type="fixed"/>
        <w:tblLook w:val="04A0" w:firstRow="1" w:lastRow="0" w:firstColumn="1" w:lastColumn="0" w:noHBand="0" w:noVBand="1"/>
      </w:tblPr>
      <w:tblGrid>
        <w:gridCol w:w="3847"/>
        <w:gridCol w:w="1352"/>
        <w:gridCol w:w="628"/>
        <w:gridCol w:w="905"/>
        <w:gridCol w:w="1345"/>
      </w:tblGrid>
      <w:tr w:rsidR="00166890" w:rsidRPr="00F86AB1" w14:paraId="612F900B" w14:textId="77777777" w:rsidTr="00FF0C83">
        <w:trPr>
          <w:trHeight w:val="288"/>
          <w:jc w:val="center"/>
        </w:trPr>
        <w:tc>
          <w:tcPr>
            <w:tcW w:w="8077" w:type="dxa"/>
            <w:gridSpan w:val="5"/>
            <w:tcBorders>
              <w:top w:val="single" w:sz="18" w:space="0" w:color="auto"/>
              <w:left w:val="single" w:sz="18" w:space="0" w:color="auto"/>
              <w:bottom w:val="single" w:sz="8" w:space="0" w:color="auto"/>
              <w:right w:val="single" w:sz="18" w:space="0" w:color="auto"/>
            </w:tcBorders>
            <w:shd w:val="clear" w:color="000000" w:fill="FFFFFF"/>
            <w:noWrap/>
            <w:vAlign w:val="center"/>
          </w:tcPr>
          <w:p w14:paraId="5C5C6F88" w14:textId="2F852380" w:rsidR="00166890" w:rsidRPr="00F86AB1" w:rsidRDefault="00166890"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Comparisons with Restricted (Nested) Models</w:t>
            </w:r>
          </w:p>
        </w:tc>
      </w:tr>
      <w:tr w:rsidR="008455D1" w:rsidRPr="00F86AB1" w14:paraId="40513629" w14:textId="77777777" w:rsidTr="00FF0C83">
        <w:trPr>
          <w:trHeight w:val="288"/>
          <w:jc w:val="center"/>
        </w:trPr>
        <w:tc>
          <w:tcPr>
            <w:tcW w:w="3847" w:type="dxa"/>
            <w:tcBorders>
              <w:top w:val="single" w:sz="18" w:space="0" w:color="auto"/>
              <w:left w:val="single" w:sz="18" w:space="0" w:color="auto"/>
              <w:bottom w:val="single" w:sz="8" w:space="0" w:color="auto"/>
              <w:right w:val="single" w:sz="8" w:space="0" w:color="000000"/>
            </w:tcBorders>
            <w:shd w:val="clear" w:color="000000" w:fill="FFFFFF"/>
            <w:noWrap/>
            <w:vAlign w:val="center"/>
            <w:hideMark/>
          </w:tcPr>
          <w:p w14:paraId="41209BAD" w14:textId="77777777" w:rsidR="008455D1" w:rsidRPr="00F86AB1" w:rsidRDefault="008455D1"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Metric</w:t>
            </w:r>
          </w:p>
        </w:tc>
        <w:tc>
          <w:tcPr>
            <w:tcW w:w="1352" w:type="dxa"/>
            <w:tcBorders>
              <w:top w:val="single" w:sz="18" w:space="0" w:color="auto"/>
              <w:left w:val="nil"/>
              <w:bottom w:val="single" w:sz="8" w:space="0" w:color="auto"/>
              <w:right w:val="nil"/>
            </w:tcBorders>
            <w:shd w:val="clear" w:color="000000" w:fill="FFFFFF"/>
            <w:noWrap/>
            <w:vAlign w:val="center"/>
            <w:hideMark/>
          </w:tcPr>
          <w:p w14:paraId="4C7F39F4" w14:textId="2AA8A18A" w:rsidR="009045D9" w:rsidRPr="00F86AB1" w:rsidRDefault="008455D1"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Proposed</w:t>
            </w:r>
          </w:p>
          <w:p w14:paraId="1B01026F" w14:textId="7DD76D0B" w:rsidR="008455D1" w:rsidRPr="00F86AB1" w:rsidRDefault="008455D1"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Model</w:t>
            </w:r>
          </w:p>
        </w:tc>
        <w:tc>
          <w:tcPr>
            <w:tcW w:w="1533" w:type="dxa"/>
            <w:gridSpan w:val="2"/>
            <w:tcBorders>
              <w:top w:val="single" w:sz="18" w:space="0" w:color="auto"/>
              <w:left w:val="nil"/>
              <w:bottom w:val="single" w:sz="8" w:space="0" w:color="auto"/>
              <w:right w:val="nil"/>
            </w:tcBorders>
            <w:shd w:val="clear" w:color="000000" w:fill="FFFFFF"/>
            <w:vAlign w:val="center"/>
          </w:tcPr>
          <w:p w14:paraId="58EC5721" w14:textId="2249FBC2" w:rsidR="009045D9" w:rsidRPr="00F86AB1" w:rsidRDefault="009045D9"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Model Without</w:t>
            </w:r>
          </w:p>
          <w:p w14:paraId="40298998" w14:textId="11B02B86" w:rsidR="008455D1" w:rsidRPr="00F86AB1" w:rsidRDefault="009045D9"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Shift Effects</w:t>
            </w:r>
          </w:p>
        </w:tc>
        <w:tc>
          <w:tcPr>
            <w:tcW w:w="1345" w:type="dxa"/>
            <w:tcBorders>
              <w:top w:val="single" w:sz="18" w:space="0" w:color="auto"/>
              <w:left w:val="nil"/>
              <w:bottom w:val="single" w:sz="8" w:space="0" w:color="auto"/>
              <w:right w:val="single" w:sz="18" w:space="0" w:color="auto"/>
            </w:tcBorders>
            <w:shd w:val="clear" w:color="000000" w:fill="FFFFFF"/>
            <w:noWrap/>
            <w:vAlign w:val="center"/>
            <w:hideMark/>
          </w:tcPr>
          <w:p w14:paraId="5634BE71" w14:textId="0B4C060A" w:rsidR="009045D9" w:rsidRPr="00F86AB1" w:rsidRDefault="008455D1"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Independent</w:t>
            </w:r>
          </w:p>
          <w:p w14:paraId="10C713D9" w14:textId="47DF2254" w:rsidR="008455D1" w:rsidRPr="00F86AB1" w:rsidRDefault="008455D1"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Model</w:t>
            </w:r>
          </w:p>
        </w:tc>
      </w:tr>
      <w:tr w:rsidR="008455D1" w:rsidRPr="00F86AB1" w14:paraId="25283EBE"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tcPr>
          <w:p w14:paraId="0697A3EE" w14:textId="4CD55E6E" w:rsidR="008455D1" w:rsidRPr="00F86AB1" w:rsidRDefault="00557438" w:rsidP="00FF0C83">
            <w:pPr>
              <w:suppressAutoHyphens w:val="0"/>
              <w:contextualSpacing w:val="0"/>
              <w:jc w:val="left"/>
              <w:rPr>
                <w:rFonts w:eastAsia="Times New Roman"/>
                <w:color w:val="000000"/>
                <w:kern w:val="0"/>
                <w:sz w:val="20"/>
                <w:szCs w:val="20"/>
                <w14:ligatures w14:val="none"/>
              </w:rPr>
            </w:pPr>
            <w:r w:rsidRPr="00F86AB1">
              <w:rPr>
                <w:rFonts w:eastAsia="Times New Roman"/>
                <w:b/>
                <w:bCs/>
                <w:i/>
                <w:iCs/>
                <w:color w:val="000000"/>
                <w:kern w:val="0"/>
                <w:sz w:val="20"/>
                <w:szCs w:val="20"/>
                <w14:ligatures w14:val="none"/>
              </w:rPr>
              <w:t>Disaggregate Measures</w:t>
            </w:r>
          </w:p>
        </w:tc>
        <w:tc>
          <w:tcPr>
            <w:tcW w:w="1352" w:type="dxa"/>
            <w:tcBorders>
              <w:top w:val="nil"/>
              <w:left w:val="nil"/>
              <w:bottom w:val="nil"/>
              <w:right w:val="nil"/>
            </w:tcBorders>
            <w:shd w:val="clear" w:color="000000" w:fill="FFFFFF"/>
            <w:noWrap/>
            <w:vAlign w:val="center"/>
          </w:tcPr>
          <w:p w14:paraId="02789D8F" w14:textId="1B0EE2B7" w:rsidR="008455D1" w:rsidRPr="00F86AB1" w:rsidRDefault="008455D1" w:rsidP="00FF0C83">
            <w:pPr>
              <w:suppressAutoHyphens w:val="0"/>
              <w:contextualSpacing w:val="0"/>
              <w:jc w:val="center"/>
              <w:rPr>
                <w:rFonts w:eastAsia="Times New Roman"/>
                <w:color w:val="000000"/>
                <w:kern w:val="0"/>
                <w:sz w:val="20"/>
                <w:szCs w:val="20"/>
                <w14:ligatures w14:val="none"/>
              </w:rPr>
            </w:pPr>
          </w:p>
        </w:tc>
        <w:tc>
          <w:tcPr>
            <w:tcW w:w="1533" w:type="dxa"/>
            <w:gridSpan w:val="2"/>
            <w:tcBorders>
              <w:top w:val="nil"/>
              <w:left w:val="nil"/>
              <w:bottom w:val="nil"/>
              <w:right w:val="nil"/>
            </w:tcBorders>
            <w:shd w:val="clear" w:color="000000" w:fill="FFFFFF"/>
            <w:vAlign w:val="center"/>
          </w:tcPr>
          <w:p w14:paraId="762E2350" w14:textId="77777777" w:rsidR="008455D1" w:rsidRPr="00F86AB1" w:rsidRDefault="008455D1" w:rsidP="00FF0C83">
            <w:pPr>
              <w:suppressAutoHyphens w:val="0"/>
              <w:contextualSpacing w:val="0"/>
              <w:jc w:val="center"/>
              <w:rPr>
                <w:rFonts w:eastAsia="Times New Roman"/>
                <w:color w:val="000000"/>
                <w:kern w:val="0"/>
                <w:sz w:val="20"/>
                <w:szCs w:val="20"/>
                <w14:ligatures w14:val="none"/>
              </w:rPr>
            </w:pPr>
          </w:p>
        </w:tc>
        <w:tc>
          <w:tcPr>
            <w:tcW w:w="1345" w:type="dxa"/>
            <w:tcBorders>
              <w:top w:val="nil"/>
              <w:left w:val="nil"/>
              <w:bottom w:val="nil"/>
              <w:right w:val="single" w:sz="18" w:space="0" w:color="auto"/>
            </w:tcBorders>
            <w:shd w:val="clear" w:color="000000" w:fill="FFFFFF"/>
            <w:noWrap/>
            <w:vAlign w:val="center"/>
          </w:tcPr>
          <w:p w14:paraId="68411DFC" w14:textId="0AABA6E4" w:rsidR="008455D1" w:rsidRPr="00F86AB1" w:rsidRDefault="008455D1" w:rsidP="00FF0C83">
            <w:pPr>
              <w:suppressAutoHyphens w:val="0"/>
              <w:contextualSpacing w:val="0"/>
              <w:jc w:val="center"/>
              <w:rPr>
                <w:rFonts w:eastAsia="Times New Roman"/>
                <w:color w:val="000000"/>
                <w:kern w:val="0"/>
                <w:sz w:val="20"/>
                <w:szCs w:val="20"/>
                <w14:ligatures w14:val="none"/>
              </w:rPr>
            </w:pPr>
          </w:p>
        </w:tc>
      </w:tr>
      <w:tr w:rsidR="00F36E87" w:rsidRPr="00F86AB1" w14:paraId="1DE7826F"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tcPr>
          <w:p w14:paraId="537D2E6C" w14:textId="74CF71C3" w:rsidR="00F36E87" w:rsidRPr="00F86AB1" w:rsidRDefault="00F36E87"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Log-Likelihood at Convergence</w:t>
            </w:r>
          </w:p>
        </w:tc>
        <w:tc>
          <w:tcPr>
            <w:tcW w:w="1352" w:type="dxa"/>
            <w:tcBorders>
              <w:top w:val="nil"/>
              <w:left w:val="nil"/>
              <w:bottom w:val="nil"/>
              <w:right w:val="nil"/>
            </w:tcBorders>
            <w:shd w:val="clear" w:color="000000" w:fill="FFFFFF"/>
            <w:noWrap/>
            <w:vAlign w:val="center"/>
          </w:tcPr>
          <w:p w14:paraId="046ADA0D" w14:textId="5C39259C"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-2805.70</w:t>
            </w:r>
          </w:p>
        </w:tc>
        <w:tc>
          <w:tcPr>
            <w:tcW w:w="1533" w:type="dxa"/>
            <w:gridSpan w:val="2"/>
            <w:tcBorders>
              <w:top w:val="nil"/>
              <w:left w:val="nil"/>
              <w:bottom w:val="nil"/>
              <w:right w:val="nil"/>
            </w:tcBorders>
            <w:shd w:val="clear" w:color="000000" w:fill="FFFFFF"/>
            <w:vAlign w:val="center"/>
          </w:tcPr>
          <w:p w14:paraId="17ECEF66" w14:textId="1764B2B5"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-2896.64</w:t>
            </w:r>
          </w:p>
        </w:tc>
        <w:tc>
          <w:tcPr>
            <w:tcW w:w="1345" w:type="dxa"/>
            <w:tcBorders>
              <w:top w:val="nil"/>
              <w:left w:val="nil"/>
              <w:bottom w:val="nil"/>
              <w:right w:val="single" w:sz="18" w:space="0" w:color="auto"/>
            </w:tcBorders>
            <w:shd w:val="clear" w:color="000000" w:fill="FFFFFF"/>
            <w:noWrap/>
            <w:vAlign w:val="center"/>
          </w:tcPr>
          <w:p w14:paraId="123BDF05" w14:textId="66A3A33B"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-3026.23</w:t>
            </w:r>
          </w:p>
        </w:tc>
      </w:tr>
      <w:tr w:rsidR="00BA044C" w:rsidRPr="00F86AB1" w14:paraId="005736D6"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tcPr>
          <w:p w14:paraId="03299A74" w14:textId="0849750A" w:rsidR="00BA044C" w:rsidRPr="00F86AB1" w:rsidRDefault="00BA044C"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Log-Likelihood at Constants</w:t>
            </w:r>
          </w:p>
        </w:tc>
        <w:tc>
          <w:tcPr>
            <w:tcW w:w="1352" w:type="dxa"/>
            <w:tcBorders>
              <w:top w:val="nil"/>
              <w:left w:val="nil"/>
              <w:bottom w:val="nil"/>
              <w:right w:val="nil"/>
            </w:tcBorders>
            <w:shd w:val="clear" w:color="000000" w:fill="FFFFFF"/>
            <w:noWrap/>
            <w:vAlign w:val="center"/>
          </w:tcPr>
          <w:p w14:paraId="6E170C69" w14:textId="14AC2011" w:rsidR="00BA044C" w:rsidRPr="00F86AB1" w:rsidRDefault="00BA044C" w:rsidP="00FF0C83">
            <w:pPr>
              <w:suppressAutoHyphens w:val="0"/>
              <w:contextualSpacing w:val="0"/>
              <w:jc w:val="center"/>
              <w:rPr>
                <w:sz w:val="20"/>
                <w:szCs w:val="20"/>
              </w:rPr>
            </w:pPr>
            <w:r w:rsidRPr="00F86AB1">
              <w:rPr>
                <w:rFonts w:eastAsia="Times New Roman"/>
                <w:color w:val="000000"/>
                <w:kern w:val="0"/>
                <w:sz w:val="20"/>
                <w:szCs w:val="20"/>
                <w14:ligatures w14:val="none"/>
              </w:rPr>
              <w:t>-3162.37</w:t>
            </w:r>
          </w:p>
        </w:tc>
        <w:tc>
          <w:tcPr>
            <w:tcW w:w="1533" w:type="dxa"/>
            <w:gridSpan w:val="2"/>
            <w:tcBorders>
              <w:top w:val="nil"/>
              <w:left w:val="nil"/>
              <w:bottom w:val="nil"/>
              <w:right w:val="nil"/>
            </w:tcBorders>
            <w:shd w:val="clear" w:color="000000" w:fill="FFFFFF"/>
            <w:vAlign w:val="center"/>
          </w:tcPr>
          <w:p w14:paraId="054401CD" w14:textId="48E3643C" w:rsidR="00BA044C" w:rsidRPr="00F86AB1" w:rsidRDefault="00BA044C" w:rsidP="00FF0C83">
            <w:pPr>
              <w:suppressAutoHyphens w:val="0"/>
              <w:contextualSpacing w:val="0"/>
              <w:jc w:val="center"/>
              <w:rPr>
                <w:sz w:val="20"/>
                <w:szCs w:val="20"/>
              </w:rPr>
            </w:pPr>
            <w:r w:rsidRPr="00F86AB1">
              <w:rPr>
                <w:rFonts w:eastAsia="Times New Roman"/>
                <w:color w:val="000000"/>
                <w:kern w:val="0"/>
                <w:sz w:val="20"/>
                <w:szCs w:val="20"/>
                <w14:ligatures w14:val="none"/>
              </w:rPr>
              <w:t>-3162.37</w:t>
            </w:r>
          </w:p>
        </w:tc>
        <w:tc>
          <w:tcPr>
            <w:tcW w:w="1345" w:type="dxa"/>
            <w:tcBorders>
              <w:top w:val="nil"/>
              <w:left w:val="nil"/>
              <w:bottom w:val="nil"/>
              <w:right w:val="single" w:sz="18" w:space="0" w:color="auto"/>
            </w:tcBorders>
            <w:shd w:val="clear" w:color="000000" w:fill="FFFFFF"/>
            <w:noWrap/>
            <w:vAlign w:val="center"/>
          </w:tcPr>
          <w:p w14:paraId="1D05BE03" w14:textId="0B9A73FE" w:rsidR="00BA044C" w:rsidRPr="00F86AB1" w:rsidRDefault="00BA044C" w:rsidP="00FF0C83">
            <w:pPr>
              <w:suppressAutoHyphens w:val="0"/>
              <w:contextualSpacing w:val="0"/>
              <w:jc w:val="center"/>
              <w:rPr>
                <w:sz w:val="20"/>
                <w:szCs w:val="20"/>
              </w:rPr>
            </w:pPr>
            <w:r w:rsidRPr="00F86AB1">
              <w:rPr>
                <w:rFonts w:eastAsia="Times New Roman"/>
                <w:color w:val="000000"/>
                <w:kern w:val="0"/>
                <w:sz w:val="20"/>
                <w:szCs w:val="20"/>
                <w14:ligatures w14:val="none"/>
              </w:rPr>
              <w:t>-3162.37</w:t>
            </w:r>
          </w:p>
        </w:tc>
      </w:tr>
      <w:tr w:rsidR="00F36E87" w:rsidRPr="00F86AB1" w14:paraId="73D58C5F"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hideMark/>
          </w:tcPr>
          <w:p w14:paraId="56B76988" w14:textId="77777777" w:rsidR="00F36E87" w:rsidRPr="00F86AB1" w:rsidRDefault="00F36E87"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Number of Parameters</w:t>
            </w:r>
          </w:p>
        </w:tc>
        <w:tc>
          <w:tcPr>
            <w:tcW w:w="1352" w:type="dxa"/>
            <w:tcBorders>
              <w:top w:val="nil"/>
              <w:left w:val="nil"/>
              <w:bottom w:val="nil"/>
              <w:right w:val="nil"/>
            </w:tcBorders>
            <w:shd w:val="clear" w:color="000000" w:fill="FFFFFF"/>
            <w:noWrap/>
            <w:vAlign w:val="center"/>
            <w:hideMark/>
          </w:tcPr>
          <w:p w14:paraId="55586663" w14:textId="632B8A0B"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105</w:t>
            </w:r>
          </w:p>
        </w:tc>
        <w:tc>
          <w:tcPr>
            <w:tcW w:w="1533" w:type="dxa"/>
            <w:gridSpan w:val="2"/>
            <w:tcBorders>
              <w:top w:val="nil"/>
              <w:left w:val="nil"/>
              <w:bottom w:val="nil"/>
              <w:right w:val="nil"/>
            </w:tcBorders>
            <w:shd w:val="clear" w:color="000000" w:fill="FFFFFF"/>
            <w:vAlign w:val="center"/>
          </w:tcPr>
          <w:p w14:paraId="6BC2518B" w14:textId="185BA8E2"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91</w:t>
            </w:r>
          </w:p>
        </w:tc>
        <w:tc>
          <w:tcPr>
            <w:tcW w:w="1345" w:type="dxa"/>
            <w:tcBorders>
              <w:top w:val="nil"/>
              <w:left w:val="nil"/>
              <w:bottom w:val="nil"/>
              <w:right w:val="single" w:sz="18" w:space="0" w:color="auto"/>
            </w:tcBorders>
            <w:shd w:val="clear" w:color="000000" w:fill="FFFFFF"/>
            <w:noWrap/>
            <w:vAlign w:val="center"/>
            <w:hideMark/>
          </w:tcPr>
          <w:p w14:paraId="3B5CD7F4" w14:textId="06C67DA0"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86</w:t>
            </w:r>
          </w:p>
        </w:tc>
      </w:tr>
      <w:tr w:rsidR="00F36E87" w:rsidRPr="00F86AB1" w14:paraId="4D94FED8"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hideMark/>
          </w:tcPr>
          <w:p w14:paraId="62770575" w14:textId="77777777" w:rsidR="00F36E87" w:rsidRPr="00F86AB1" w:rsidRDefault="00F36E87"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Adjusted Likelihood Ratio Index</w:t>
            </w:r>
          </w:p>
        </w:tc>
        <w:tc>
          <w:tcPr>
            <w:tcW w:w="1352" w:type="dxa"/>
            <w:tcBorders>
              <w:top w:val="nil"/>
              <w:left w:val="nil"/>
              <w:bottom w:val="nil"/>
              <w:right w:val="nil"/>
            </w:tcBorders>
            <w:shd w:val="clear" w:color="000000" w:fill="FFFFFF"/>
            <w:noWrap/>
            <w:vAlign w:val="center"/>
            <w:hideMark/>
          </w:tcPr>
          <w:p w14:paraId="0B19378B" w14:textId="060F9D19"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0.083</w:t>
            </w:r>
          </w:p>
        </w:tc>
        <w:tc>
          <w:tcPr>
            <w:tcW w:w="1533" w:type="dxa"/>
            <w:gridSpan w:val="2"/>
            <w:tcBorders>
              <w:top w:val="nil"/>
              <w:left w:val="nil"/>
              <w:bottom w:val="nil"/>
              <w:right w:val="nil"/>
            </w:tcBorders>
            <w:shd w:val="clear" w:color="000000" w:fill="FFFFFF"/>
            <w:vAlign w:val="center"/>
          </w:tcPr>
          <w:p w14:paraId="65A4D14E" w14:textId="200A8154"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0.059</w:t>
            </w:r>
          </w:p>
        </w:tc>
        <w:tc>
          <w:tcPr>
            <w:tcW w:w="1345" w:type="dxa"/>
            <w:tcBorders>
              <w:top w:val="nil"/>
              <w:left w:val="nil"/>
              <w:bottom w:val="nil"/>
              <w:right w:val="single" w:sz="18" w:space="0" w:color="auto"/>
            </w:tcBorders>
            <w:shd w:val="clear" w:color="000000" w:fill="FFFFFF"/>
            <w:noWrap/>
            <w:vAlign w:val="center"/>
            <w:hideMark/>
          </w:tcPr>
          <w:p w14:paraId="61748166" w14:textId="6126FCBB"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0.020</w:t>
            </w:r>
          </w:p>
        </w:tc>
      </w:tr>
      <w:tr w:rsidR="00F36E87" w:rsidRPr="00F86AB1" w14:paraId="0004DB98"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tcPr>
          <w:p w14:paraId="1F176711" w14:textId="55E40FB1" w:rsidR="00F36E87" w:rsidRPr="00F86AB1" w:rsidRDefault="00F36E87"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Bayesian Information Criterion</w:t>
            </w:r>
          </w:p>
        </w:tc>
        <w:tc>
          <w:tcPr>
            <w:tcW w:w="1352" w:type="dxa"/>
            <w:tcBorders>
              <w:top w:val="nil"/>
              <w:left w:val="nil"/>
              <w:bottom w:val="nil"/>
              <w:right w:val="nil"/>
            </w:tcBorders>
            <w:shd w:val="clear" w:color="000000" w:fill="FFFFFF"/>
            <w:noWrap/>
            <w:vAlign w:val="center"/>
          </w:tcPr>
          <w:p w14:paraId="5FD9C938" w14:textId="205A7EDC"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3149.55</w:t>
            </w:r>
          </w:p>
        </w:tc>
        <w:tc>
          <w:tcPr>
            <w:tcW w:w="1533" w:type="dxa"/>
            <w:gridSpan w:val="2"/>
            <w:tcBorders>
              <w:top w:val="nil"/>
              <w:left w:val="nil"/>
              <w:bottom w:val="nil"/>
              <w:right w:val="nil"/>
            </w:tcBorders>
            <w:shd w:val="clear" w:color="000000" w:fill="FFFFFF"/>
            <w:vAlign w:val="center"/>
          </w:tcPr>
          <w:p w14:paraId="41096593" w14:textId="4AC17C30"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3194.65</w:t>
            </w:r>
          </w:p>
        </w:tc>
        <w:tc>
          <w:tcPr>
            <w:tcW w:w="1345" w:type="dxa"/>
            <w:tcBorders>
              <w:top w:val="nil"/>
              <w:left w:val="nil"/>
              <w:bottom w:val="nil"/>
              <w:right w:val="single" w:sz="18" w:space="0" w:color="auto"/>
            </w:tcBorders>
            <w:shd w:val="clear" w:color="000000" w:fill="FFFFFF"/>
            <w:noWrap/>
            <w:vAlign w:val="center"/>
          </w:tcPr>
          <w:p w14:paraId="208A9863" w14:textId="79247436" w:rsidR="00F36E87" w:rsidRPr="00F86AB1" w:rsidRDefault="00F36E87" w:rsidP="00FF0C83">
            <w:pPr>
              <w:suppressAutoHyphens w:val="0"/>
              <w:contextualSpacing w:val="0"/>
              <w:jc w:val="center"/>
              <w:rPr>
                <w:rFonts w:eastAsia="Times New Roman"/>
                <w:color w:val="000000"/>
                <w:kern w:val="0"/>
                <w:sz w:val="20"/>
                <w:szCs w:val="20"/>
                <w14:ligatures w14:val="none"/>
              </w:rPr>
            </w:pPr>
            <w:r w:rsidRPr="00F86AB1">
              <w:rPr>
                <w:sz w:val="20"/>
                <w:szCs w:val="20"/>
              </w:rPr>
              <w:t>3307.86</w:t>
            </w:r>
          </w:p>
        </w:tc>
      </w:tr>
      <w:tr w:rsidR="00DC6BF0" w:rsidRPr="00F86AB1" w14:paraId="67316DAF"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tcPr>
          <w:p w14:paraId="20082A5E" w14:textId="7E9068D3" w:rsidR="00DC6BF0" w:rsidRPr="00F86AB1" w:rsidRDefault="00DC6BF0"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Likelihood Ratio Test Statistic</w:t>
            </w:r>
          </w:p>
        </w:tc>
        <w:tc>
          <w:tcPr>
            <w:tcW w:w="1352" w:type="dxa"/>
            <w:tcBorders>
              <w:top w:val="nil"/>
              <w:left w:val="nil"/>
              <w:bottom w:val="nil"/>
              <w:right w:val="nil"/>
            </w:tcBorders>
            <w:shd w:val="clear" w:color="000000" w:fill="FFFFFF"/>
            <w:noWrap/>
            <w:vAlign w:val="center"/>
          </w:tcPr>
          <w:p w14:paraId="744E0F38" w14:textId="16F96A7E" w:rsidR="00DC6BF0" w:rsidRPr="00F86AB1" w:rsidRDefault="00DC6BF0" w:rsidP="00FF0C83">
            <w:pPr>
              <w:suppressAutoHyphens w:val="0"/>
              <w:contextualSpacing w:val="0"/>
              <w:jc w:val="center"/>
              <w:rPr>
                <w:rFonts w:eastAsia="Times New Roman"/>
                <w:color w:val="000000"/>
                <w:kern w:val="0"/>
                <w:sz w:val="20"/>
                <w:szCs w:val="20"/>
                <w14:ligatures w14:val="none"/>
              </w:rPr>
            </w:pPr>
            <w:r w:rsidRPr="00F86AB1">
              <w:rPr>
                <w:rFonts w:eastAsia="Times New Roman"/>
                <w:color w:val="000000"/>
                <w:kern w:val="0"/>
                <w:sz w:val="20"/>
                <w:szCs w:val="20"/>
                <w14:ligatures w14:val="none"/>
              </w:rPr>
              <w:t>--</w:t>
            </w:r>
          </w:p>
        </w:tc>
        <w:tc>
          <w:tcPr>
            <w:tcW w:w="1533" w:type="dxa"/>
            <w:gridSpan w:val="2"/>
            <w:tcBorders>
              <w:top w:val="nil"/>
              <w:left w:val="nil"/>
              <w:bottom w:val="nil"/>
              <w:right w:val="nil"/>
            </w:tcBorders>
            <w:shd w:val="clear" w:color="000000" w:fill="FFFFFF"/>
            <w:vAlign w:val="center"/>
          </w:tcPr>
          <w:p w14:paraId="71AAD017" w14:textId="7F570335" w:rsidR="00DC6BF0" w:rsidRPr="00F86AB1" w:rsidRDefault="00DC6BF0" w:rsidP="00FF0C83">
            <w:pPr>
              <w:suppressAutoHyphens w:val="0"/>
              <w:contextualSpacing w:val="0"/>
              <w:jc w:val="center"/>
              <w:rPr>
                <w:rFonts w:eastAsia="Times New Roman"/>
                <w:color w:val="000000"/>
                <w:kern w:val="0"/>
                <w:sz w:val="20"/>
                <w:szCs w:val="20"/>
                <w14:ligatures w14:val="none"/>
              </w:rPr>
            </w:pPr>
            <w:r w:rsidRPr="00F86AB1">
              <w:rPr>
                <w:color w:val="000000"/>
                <w:sz w:val="20"/>
                <w:szCs w:val="20"/>
              </w:rPr>
              <w:t>181.89</w:t>
            </w:r>
          </w:p>
        </w:tc>
        <w:tc>
          <w:tcPr>
            <w:tcW w:w="1345" w:type="dxa"/>
            <w:tcBorders>
              <w:top w:val="nil"/>
              <w:left w:val="nil"/>
              <w:bottom w:val="nil"/>
              <w:right w:val="single" w:sz="18" w:space="0" w:color="auto"/>
            </w:tcBorders>
            <w:shd w:val="clear" w:color="000000" w:fill="FFFFFF"/>
            <w:noWrap/>
            <w:vAlign w:val="center"/>
          </w:tcPr>
          <w:p w14:paraId="40FDE470" w14:textId="48230B31" w:rsidR="00DC6BF0" w:rsidRPr="00F86AB1" w:rsidRDefault="00DC6BF0" w:rsidP="00FF0C83">
            <w:pPr>
              <w:suppressAutoHyphens w:val="0"/>
              <w:contextualSpacing w:val="0"/>
              <w:jc w:val="center"/>
              <w:rPr>
                <w:rFonts w:eastAsia="Times New Roman"/>
                <w:color w:val="000000"/>
                <w:kern w:val="0"/>
                <w:sz w:val="20"/>
                <w:szCs w:val="20"/>
                <w14:ligatures w14:val="none"/>
              </w:rPr>
            </w:pPr>
            <w:r w:rsidRPr="00F86AB1">
              <w:rPr>
                <w:color w:val="000000"/>
                <w:sz w:val="20"/>
                <w:szCs w:val="20"/>
              </w:rPr>
              <w:t>441.07</w:t>
            </w:r>
          </w:p>
        </w:tc>
      </w:tr>
      <w:tr w:rsidR="00557438" w:rsidRPr="00F86AB1" w14:paraId="24D5F755"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tcPr>
          <w:p w14:paraId="37BF9C9F" w14:textId="5CB6B3C1" w:rsidR="00557438" w:rsidRPr="00F86AB1" w:rsidRDefault="00166890" w:rsidP="00FF0C83">
            <w:pPr>
              <w:suppressAutoHyphens w:val="0"/>
              <w:contextualSpacing w:val="0"/>
              <w:jc w:val="left"/>
              <w:rPr>
                <w:rFonts w:eastAsia="Times New Roman"/>
                <w:b/>
                <w:bCs/>
                <w:i/>
                <w:iCs/>
                <w:color w:val="000000"/>
                <w:kern w:val="0"/>
                <w:sz w:val="20"/>
                <w:szCs w:val="20"/>
                <w14:ligatures w14:val="none"/>
              </w:rPr>
            </w:pPr>
            <w:r w:rsidRPr="00F86AB1">
              <w:rPr>
                <w:rFonts w:eastAsia="Times New Roman"/>
                <w:b/>
                <w:bCs/>
                <w:i/>
                <w:iCs/>
                <w:color w:val="000000"/>
                <w:kern w:val="0"/>
                <w:sz w:val="20"/>
                <w:szCs w:val="20"/>
                <w14:ligatures w14:val="none"/>
              </w:rPr>
              <w:t>Aggregate Measures</w:t>
            </w:r>
          </w:p>
        </w:tc>
        <w:tc>
          <w:tcPr>
            <w:tcW w:w="1352" w:type="dxa"/>
            <w:tcBorders>
              <w:top w:val="nil"/>
              <w:left w:val="nil"/>
              <w:bottom w:val="nil"/>
              <w:right w:val="nil"/>
            </w:tcBorders>
            <w:shd w:val="clear" w:color="000000" w:fill="FFFFFF"/>
            <w:noWrap/>
            <w:vAlign w:val="center"/>
          </w:tcPr>
          <w:p w14:paraId="4CE8521C" w14:textId="77777777" w:rsidR="00557438" w:rsidRPr="00F86AB1" w:rsidRDefault="00557438" w:rsidP="00FF0C83">
            <w:pPr>
              <w:suppressAutoHyphens w:val="0"/>
              <w:contextualSpacing w:val="0"/>
              <w:jc w:val="center"/>
              <w:rPr>
                <w:rFonts w:eastAsia="Times New Roman"/>
                <w:color w:val="000000"/>
                <w:kern w:val="0"/>
                <w:sz w:val="20"/>
                <w:szCs w:val="20"/>
                <w14:ligatures w14:val="none"/>
              </w:rPr>
            </w:pPr>
          </w:p>
        </w:tc>
        <w:tc>
          <w:tcPr>
            <w:tcW w:w="1533" w:type="dxa"/>
            <w:gridSpan w:val="2"/>
            <w:tcBorders>
              <w:top w:val="nil"/>
              <w:left w:val="nil"/>
              <w:bottom w:val="nil"/>
              <w:right w:val="nil"/>
            </w:tcBorders>
            <w:shd w:val="clear" w:color="000000" w:fill="FFFFFF"/>
            <w:vAlign w:val="center"/>
          </w:tcPr>
          <w:p w14:paraId="07A2C78E" w14:textId="77777777" w:rsidR="00557438" w:rsidRPr="00F86AB1" w:rsidRDefault="00557438" w:rsidP="00FF0C83">
            <w:pPr>
              <w:suppressAutoHyphens w:val="0"/>
              <w:contextualSpacing w:val="0"/>
              <w:jc w:val="center"/>
              <w:rPr>
                <w:rFonts w:eastAsia="Times New Roman"/>
                <w:color w:val="000000"/>
                <w:kern w:val="0"/>
                <w:sz w:val="20"/>
                <w:szCs w:val="20"/>
                <w14:ligatures w14:val="none"/>
              </w:rPr>
            </w:pPr>
          </w:p>
        </w:tc>
        <w:tc>
          <w:tcPr>
            <w:tcW w:w="1345" w:type="dxa"/>
            <w:tcBorders>
              <w:top w:val="nil"/>
              <w:left w:val="nil"/>
              <w:bottom w:val="nil"/>
              <w:right w:val="single" w:sz="18" w:space="0" w:color="auto"/>
            </w:tcBorders>
            <w:shd w:val="clear" w:color="000000" w:fill="FFFFFF"/>
            <w:noWrap/>
            <w:vAlign w:val="center"/>
          </w:tcPr>
          <w:p w14:paraId="0ACE3BBA" w14:textId="77777777" w:rsidR="00557438" w:rsidRPr="00F86AB1" w:rsidRDefault="00557438" w:rsidP="00FF0C83">
            <w:pPr>
              <w:suppressAutoHyphens w:val="0"/>
              <w:contextualSpacing w:val="0"/>
              <w:jc w:val="center"/>
              <w:rPr>
                <w:rFonts w:eastAsia="Times New Roman"/>
                <w:color w:val="000000"/>
                <w:kern w:val="0"/>
                <w:sz w:val="20"/>
                <w:szCs w:val="20"/>
                <w14:ligatures w14:val="none"/>
              </w:rPr>
            </w:pPr>
          </w:p>
        </w:tc>
      </w:tr>
      <w:tr w:rsidR="004A6961" w:rsidRPr="00F86AB1" w14:paraId="505B8D2D"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tcPr>
          <w:p w14:paraId="6755024A" w14:textId="023F64BA" w:rsidR="004A6961" w:rsidRPr="00F86AB1" w:rsidRDefault="004A6961"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Work Arrangement WAPE</w:t>
            </w:r>
          </w:p>
        </w:tc>
        <w:tc>
          <w:tcPr>
            <w:tcW w:w="1352" w:type="dxa"/>
            <w:tcBorders>
              <w:top w:val="nil"/>
              <w:left w:val="nil"/>
              <w:bottom w:val="nil"/>
              <w:right w:val="nil"/>
            </w:tcBorders>
            <w:shd w:val="clear" w:color="000000" w:fill="FFFFFF"/>
            <w:noWrap/>
            <w:vAlign w:val="center"/>
          </w:tcPr>
          <w:p w14:paraId="4345CFA9" w14:textId="0A2F8C04" w:rsidR="004A6961" w:rsidRPr="00F86AB1" w:rsidRDefault="004A6961" w:rsidP="00FF0C83">
            <w:pPr>
              <w:suppressAutoHyphens w:val="0"/>
              <w:contextualSpacing w:val="0"/>
              <w:jc w:val="center"/>
              <w:rPr>
                <w:rFonts w:eastAsia="Times New Roman"/>
                <w:color w:val="000000"/>
                <w:kern w:val="0"/>
                <w:sz w:val="20"/>
                <w:szCs w:val="20"/>
                <w14:ligatures w14:val="none"/>
              </w:rPr>
            </w:pPr>
            <w:r w:rsidRPr="00F86AB1">
              <w:rPr>
                <w:color w:val="000000"/>
                <w:sz w:val="20"/>
                <w:szCs w:val="20"/>
              </w:rPr>
              <w:t>13.21</w:t>
            </w:r>
          </w:p>
        </w:tc>
        <w:tc>
          <w:tcPr>
            <w:tcW w:w="1533" w:type="dxa"/>
            <w:gridSpan w:val="2"/>
            <w:tcBorders>
              <w:top w:val="nil"/>
              <w:left w:val="nil"/>
              <w:bottom w:val="nil"/>
              <w:right w:val="nil"/>
            </w:tcBorders>
            <w:shd w:val="clear" w:color="000000" w:fill="FFFFFF"/>
            <w:vAlign w:val="center"/>
          </w:tcPr>
          <w:p w14:paraId="683C6D1E" w14:textId="5D1B1DB0" w:rsidR="004A6961" w:rsidRPr="00F86AB1" w:rsidRDefault="004A6961" w:rsidP="00FF0C83">
            <w:pPr>
              <w:suppressAutoHyphens w:val="0"/>
              <w:contextualSpacing w:val="0"/>
              <w:jc w:val="center"/>
              <w:rPr>
                <w:rFonts w:eastAsia="Times New Roman"/>
                <w:color w:val="000000"/>
                <w:kern w:val="0"/>
                <w:sz w:val="20"/>
                <w:szCs w:val="20"/>
                <w14:ligatures w14:val="none"/>
              </w:rPr>
            </w:pPr>
            <w:r w:rsidRPr="00F86AB1">
              <w:rPr>
                <w:color w:val="000000"/>
                <w:sz w:val="20"/>
                <w:szCs w:val="20"/>
              </w:rPr>
              <w:t>19.59</w:t>
            </w:r>
          </w:p>
        </w:tc>
        <w:tc>
          <w:tcPr>
            <w:tcW w:w="1345" w:type="dxa"/>
            <w:tcBorders>
              <w:top w:val="nil"/>
              <w:left w:val="nil"/>
              <w:bottom w:val="nil"/>
              <w:right w:val="single" w:sz="18" w:space="0" w:color="auto"/>
            </w:tcBorders>
            <w:shd w:val="clear" w:color="000000" w:fill="FFFFFF"/>
            <w:noWrap/>
            <w:vAlign w:val="center"/>
          </w:tcPr>
          <w:p w14:paraId="71331939" w14:textId="0FAF5A25" w:rsidR="004A6961" w:rsidRPr="00F86AB1" w:rsidRDefault="004A6961" w:rsidP="00FF0C83">
            <w:pPr>
              <w:suppressAutoHyphens w:val="0"/>
              <w:contextualSpacing w:val="0"/>
              <w:jc w:val="center"/>
              <w:rPr>
                <w:rFonts w:eastAsia="Times New Roman"/>
                <w:color w:val="000000"/>
                <w:kern w:val="0"/>
                <w:sz w:val="20"/>
                <w:szCs w:val="20"/>
                <w14:ligatures w14:val="none"/>
              </w:rPr>
            </w:pPr>
            <w:r w:rsidRPr="00F86AB1">
              <w:rPr>
                <w:color w:val="000000"/>
                <w:sz w:val="20"/>
                <w:szCs w:val="20"/>
              </w:rPr>
              <w:t>26.66</w:t>
            </w:r>
          </w:p>
        </w:tc>
      </w:tr>
      <w:tr w:rsidR="004A6961" w:rsidRPr="00F86AB1" w14:paraId="485E207F" w14:textId="77777777" w:rsidTr="00FF0C83">
        <w:trPr>
          <w:trHeight w:val="288"/>
          <w:jc w:val="center"/>
        </w:trPr>
        <w:tc>
          <w:tcPr>
            <w:tcW w:w="3847" w:type="dxa"/>
            <w:tcBorders>
              <w:top w:val="nil"/>
              <w:left w:val="single" w:sz="18" w:space="0" w:color="auto"/>
              <w:bottom w:val="nil"/>
              <w:right w:val="single" w:sz="8" w:space="0" w:color="000000"/>
            </w:tcBorders>
            <w:shd w:val="clear" w:color="000000" w:fill="FFFFFF"/>
            <w:noWrap/>
            <w:vAlign w:val="center"/>
          </w:tcPr>
          <w:p w14:paraId="25FD1CF1" w14:textId="27BDA086" w:rsidR="004A6961" w:rsidRPr="00F86AB1" w:rsidRDefault="004A6961"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Commute Distance APE</w:t>
            </w:r>
          </w:p>
        </w:tc>
        <w:tc>
          <w:tcPr>
            <w:tcW w:w="1352" w:type="dxa"/>
            <w:tcBorders>
              <w:top w:val="nil"/>
              <w:left w:val="nil"/>
              <w:bottom w:val="nil"/>
              <w:right w:val="nil"/>
            </w:tcBorders>
            <w:shd w:val="clear" w:color="000000" w:fill="FFFFFF"/>
            <w:noWrap/>
            <w:vAlign w:val="center"/>
          </w:tcPr>
          <w:p w14:paraId="7A4C1334" w14:textId="0C5D27E2" w:rsidR="004A6961" w:rsidRPr="00F86AB1" w:rsidRDefault="0040364F" w:rsidP="00FF0C83">
            <w:pPr>
              <w:suppressAutoHyphens w:val="0"/>
              <w:contextualSpacing w:val="0"/>
              <w:jc w:val="center"/>
              <w:rPr>
                <w:rFonts w:eastAsia="Times New Roman"/>
                <w:color w:val="000000"/>
                <w:kern w:val="0"/>
                <w:sz w:val="20"/>
                <w:szCs w:val="20"/>
                <w14:ligatures w14:val="none"/>
              </w:rPr>
            </w:pPr>
            <w:r>
              <w:rPr>
                <w:color w:val="000000"/>
                <w:sz w:val="20"/>
                <w:szCs w:val="20"/>
              </w:rPr>
              <w:t>9.28</w:t>
            </w:r>
          </w:p>
        </w:tc>
        <w:tc>
          <w:tcPr>
            <w:tcW w:w="1533" w:type="dxa"/>
            <w:gridSpan w:val="2"/>
            <w:tcBorders>
              <w:top w:val="nil"/>
              <w:left w:val="nil"/>
              <w:bottom w:val="nil"/>
              <w:right w:val="nil"/>
            </w:tcBorders>
            <w:shd w:val="clear" w:color="000000" w:fill="FFFFFF"/>
            <w:vAlign w:val="center"/>
          </w:tcPr>
          <w:p w14:paraId="5389A0EF" w14:textId="61ED2768" w:rsidR="004A6961" w:rsidRPr="00F86AB1" w:rsidRDefault="0040364F" w:rsidP="00FF0C83">
            <w:pPr>
              <w:suppressAutoHyphens w:val="0"/>
              <w:contextualSpacing w:val="0"/>
              <w:jc w:val="center"/>
              <w:rPr>
                <w:rFonts w:eastAsia="Times New Roman"/>
                <w:color w:val="000000"/>
                <w:kern w:val="0"/>
                <w:sz w:val="20"/>
                <w:szCs w:val="20"/>
                <w14:ligatures w14:val="none"/>
              </w:rPr>
            </w:pPr>
            <w:r>
              <w:rPr>
                <w:color w:val="000000"/>
                <w:sz w:val="20"/>
                <w:szCs w:val="20"/>
              </w:rPr>
              <w:t>10.44</w:t>
            </w:r>
          </w:p>
        </w:tc>
        <w:tc>
          <w:tcPr>
            <w:tcW w:w="1345" w:type="dxa"/>
            <w:tcBorders>
              <w:top w:val="nil"/>
              <w:left w:val="nil"/>
              <w:bottom w:val="nil"/>
              <w:right w:val="single" w:sz="18" w:space="0" w:color="auto"/>
            </w:tcBorders>
            <w:shd w:val="clear" w:color="000000" w:fill="FFFFFF"/>
            <w:noWrap/>
            <w:vAlign w:val="center"/>
          </w:tcPr>
          <w:p w14:paraId="61EFD228" w14:textId="2CE803B2" w:rsidR="004A6961" w:rsidRPr="00F86AB1" w:rsidRDefault="0040364F" w:rsidP="00FF0C83">
            <w:pPr>
              <w:suppressAutoHyphens w:val="0"/>
              <w:contextualSpacing w:val="0"/>
              <w:jc w:val="center"/>
              <w:rPr>
                <w:rFonts w:eastAsia="Times New Roman"/>
                <w:color w:val="000000"/>
                <w:kern w:val="0"/>
                <w:sz w:val="20"/>
                <w:szCs w:val="20"/>
                <w14:ligatures w14:val="none"/>
              </w:rPr>
            </w:pPr>
            <w:r>
              <w:rPr>
                <w:color w:val="000000"/>
                <w:sz w:val="20"/>
                <w:szCs w:val="20"/>
              </w:rPr>
              <w:t>1</w:t>
            </w:r>
            <w:r w:rsidR="00C757A4">
              <w:rPr>
                <w:color w:val="000000"/>
                <w:sz w:val="20"/>
                <w:szCs w:val="20"/>
              </w:rPr>
              <w:t>0</w:t>
            </w:r>
            <w:r>
              <w:rPr>
                <w:color w:val="000000"/>
                <w:sz w:val="20"/>
                <w:szCs w:val="20"/>
              </w:rPr>
              <w:t>.75</w:t>
            </w:r>
          </w:p>
        </w:tc>
      </w:tr>
      <w:tr w:rsidR="00166890" w:rsidRPr="00F86AB1" w14:paraId="2A923134" w14:textId="77777777" w:rsidTr="00FF0C83">
        <w:trPr>
          <w:trHeight w:val="288"/>
          <w:jc w:val="center"/>
        </w:trPr>
        <w:tc>
          <w:tcPr>
            <w:tcW w:w="8077" w:type="dxa"/>
            <w:gridSpan w:val="5"/>
            <w:tcBorders>
              <w:top w:val="single" w:sz="18" w:space="0" w:color="auto"/>
              <w:left w:val="single" w:sz="18" w:space="0" w:color="auto"/>
              <w:bottom w:val="single" w:sz="18" w:space="0" w:color="auto"/>
              <w:right w:val="single" w:sz="18" w:space="0" w:color="auto"/>
            </w:tcBorders>
            <w:shd w:val="clear" w:color="000000" w:fill="FFFFFF"/>
            <w:vAlign w:val="center"/>
          </w:tcPr>
          <w:p w14:paraId="66F39B1A" w14:textId="587C0806" w:rsidR="00166890" w:rsidRPr="00F86AB1" w:rsidRDefault="00166890" w:rsidP="00FF0C83">
            <w:pPr>
              <w:suppressAutoHyphens w:val="0"/>
              <w:contextualSpacing w:val="0"/>
              <w:jc w:val="center"/>
              <w:rPr>
                <w:rFonts w:eastAsia="Times New Roman"/>
                <w:color w:val="000000"/>
                <w:kern w:val="0"/>
                <w:sz w:val="20"/>
                <w:szCs w:val="20"/>
                <w14:ligatures w14:val="none"/>
              </w:rPr>
            </w:pPr>
            <w:r w:rsidRPr="00F86AB1">
              <w:rPr>
                <w:rFonts w:eastAsia="Times New Roman"/>
                <w:b/>
                <w:bCs/>
                <w:kern w:val="0"/>
                <w:sz w:val="20"/>
                <w:szCs w:val="20"/>
                <w14:ligatures w14:val="none"/>
              </w:rPr>
              <w:t xml:space="preserve">Comparisons with </w:t>
            </w:r>
            <w:r w:rsidR="00A34260" w:rsidRPr="00F86AB1">
              <w:rPr>
                <w:rFonts w:eastAsia="Times New Roman"/>
                <w:b/>
                <w:bCs/>
                <w:kern w:val="0"/>
                <w:sz w:val="20"/>
                <w:szCs w:val="20"/>
                <w14:ligatures w14:val="none"/>
              </w:rPr>
              <w:t>Unordered (Non-Nested) Model</w:t>
            </w:r>
          </w:p>
        </w:tc>
      </w:tr>
      <w:tr w:rsidR="00A34260" w:rsidRPr="00F86AB1" w14:paraId="1E1783E5" w14:textId="77777777" w:rsidTr="00FF0C83">
        <w:trPr>
          <w:trHeight w:val="288"/>
          <w:jc w:val="center"/>
        </w:trPr>
        <w:tc>
          <w:tcPr>
            <w:tcW w:w="3847" w:type="dxa"/>
            <w:tcBorders>
              <w:top w:val="single" w:sz="18" w:space="0" w:color="auto"/>
              <w:left w:val="single" w:sz="18" w:space="0" w:color="auto"/>
              <w:bottom w:val="single" w:sz="4" w:space="0" w:color="auto"/>
              <w:right w:val="single" w:sz="8" w:space="0" w:color="000000"/>
            </w:tcBorders>
            <w:shd w:val="clear" w:color="000000" w:fill="FFFFFF"/>
            <w:noWrap/>
            <w:vAlign w:val="center"/>
          </w:tcPr>
          <w:p w14:paraId="6E717E6F" w14:textId="56A1A61C" w:rsidR="00A34260" w:rsidRPr="00F86AB1" w:rsidRDefault="00A34260"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Metric</w:t>
            </w:r>
          </w:p>
        </w:tc>
        <w:tc>
          <w:tcPr>
            <w:tcW w:w="1980" w:type="dxa"/>
            <w:gridSpan w:val="2"/>
            <w:tcBorders>
              <w:top w:val="single" w:sz="18" w:space="0" w:color="auto"/>
              <w:left w:val="nil"/>
              <w:bottom w:val="single" w:sz="4" w:space="0" w:color="auto"/>
              <w:right w:val="nil"/>
            </w:tcBorders>
            <w:shd w:val="clear" w:color="000000" w:fill="FFFFFF"/>
            <w:noWrap/>
            <w:vAlign w:val="center"/>
          </w:tcPr>
          <w:p w14:paraId="402A3A57" w14:textId="6B07FC7D" w:rsidR="00721220" w:rsidRPr="00F86AB1" w:rsidRDefault="00721220"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Proposed Model</w:t>
            </w:r>
          </w:p>
        </w:tc>
        <w:tc>
          <w:tcPr>
            <w:tcW w:w="2250" w:type="dxa"/>
            <w:gridSpan w:val="2"/>
            <w:tcBorders>
              <w:top w:val="single" w:sz="18" w:space="0" w:color="auto"/>
              <w:left w:val="nil"/>
              <w:bottom w:val="single" w:sz="4" w:space="0" w:color="auto"/>
              <w:right w:val="single" w:sz="18" w:space="0" w:color="auto"/>
            </w:tcBorders>
            <w:shd w:val="clear" w:color="000000" w:fill="FFFFFF"/>
            <w:noWrap/>
            <w:vAlign w:val="center"/>
          </w:tcPr>
          <w:p w14:paraId="5986A93E" w14:textId="7708B531" w:rsidR="00A34260" w:rsidRPr="00F86AB1" w:rsidRDefault="00721220" w:rsidP="00FF0C83">
            <w:pPr>
              <w:suppressAutoHyphens w:val="0"/>
              <w:contextualSpacing w:val="0"/>
              <w:jc w:val="center"/>
              <w:rPr>
                <w:rFonts w:eastAsia="Times New Roman"/>
                <w:b/>
                <w:bCs/>
                <w:color w:val="000000"/>
                <w:kern w:val="0"/>
                <w:sz w:val="20"/>
                <w:szCs w:val="20"/>
                <w14:ligatures w14:val="none"/>
              </w:rPr>
            </w:pPr>
            <w:r w:rsidRPr="00F86AB1">
              <w:rPr>
                <w:rFonts w:eastAsia="Times New Roman"/>
                <w:b/>
                <w:bCs/>
                <w:color w:val="000000"/>
                <w:kern w:val="0"/>
                <w:sz w:val="20"/>
                <w:szCs w:val="20"/>
                <w14:ligatures w14:val="none"/>
              </w:rPr>
              <w:t>Unordered Model</w:t>
            </w:r>
          </w:p>
        </w:tc>
      </w:tr>
      <w:tr w:rsidR="00FF0C83" w:rsidRPr="00F86AB1" w14:paraId="489BF56A" w14:textId="77777777" w:rsidTr="00FF0C83">
        <w:trPr>
          <w:trHeight w:val="288"/>
          <w:jc w:val="center"/>
        </w:trPr>
        <w:tc>
          <w:tcPr>
            <w:tcW w:w="3847" w:type="dxa"/>
            <w:tcBorders>
              <w:top w:val="single" w:sz="4" w:space="0" w:color="auto"/>
              <w:left w:val="single" w:sz="18" w:space="0" w:color="auto"/>
              <w:right w:val="single" w:sz="8" w:space="0" w:color="000000"/>
            </w:tcBorders>
            <w:shd w:val="clear" w:color="000000" w:fill="FFFFFF"/>
            <w:noWrap/>
            <w:vAlign w:val="center"/>
          </w:tcPr>
          <w:p w14:paraId="3AD99B8E" w14:textId="3A85BDB0" w:rsidR="00FF0C83" w:rsidRPr="00F86AB1" w:rsidRDefault="00FF0C83" w:rsidP="00FF0C83">
            <w:pPr>
              <w:suppressAutoHyphens w:val="0"/>
              <w:contextualSpacing w:val="0"/>
              <w:jc w:val="left"/>
              <w:rPr>
                <w:rFonts w:eastAsia="Times New Roman"/>
                <w:b/>
                <w:bCs/>
                <w:color w:val="000000"/>
                <w:kern w:val="0"/>
                <w:sz w:val="20"/>
                <w:szCs w:val="20"/>
                <w14:ligatures w14:val="none"/>
              </w:rPr>
            </w:pPr>
            <w:r w:rsidRPr="00F86AB1">
              <w:rPr>
                <w:rFonts w:eastAsia="Times New Roman"/>
                <w:b/>
                <w:bCs/>
                <w:i/>
                <w:iCs/>
                <w:color w:val="000000"/>
                <w:kern w:val="0"/>
                <w:sz w:val="20"/>
                <w:szCs w:val="20"/>
                <w14:ligatures w14:val="none"/>
              </w:rPr>
              <w:t>Disaggregate Measures</w:t>
            </w:r>
          </w:p>
        </w:tc>
        <w:tc>
          <w:tcPr>
            <w:tcW w:w="1980" w:type="dxa"/>
            <w:gridSpan w:val="2"/>
            <w:tcBorders>
              <w:top w:val="single" w:sz="4" w:space="0" w:color="auto"/>
              <w:left w:val="nil"/>
              <w:right w:val="nil"/>
            </w:tcBorders>
            <w:shd w:val="clear" w:color="000000" w:fill="FFFFFF"/>
            <w:noWrap/>
            <w:vAlign w:val="center"/>
          </w:tcPr>
          <w:p w14:paraId="49315BE5" w14:textId="77777777" w:rsidR="00FF0C83" w:rsidRPr="00F86AB1" w:rsidRDefault="00FF0C83" w:rsidP="00FF0C83">
            <w:pPr>
              <w:suppressAutoHyphens w:val="0"/>
              <w:contextualSpacing w:val="0"/>
              <w:jc w:val="center"/>
              <w:rPr>
                <w:rFonts w:eastAsia="Times New Roman"/>
                <w:b/>
                <w:bCs/>
                <w:color w:val="000000"/>
                <w:kern w:val="0"/>
                <w:sz w:val="20"/>
                <w:szCs w:val="20"/>
                <w14:ligatures w14:val="none"/>
              </w:rPr>
            </w:pPr>
          </w:p>
        </w:tc>
        <w:tc>
          <w:tcPr>
            <w:tcW w:w="2250" w:type="dxa"/>
            <w:gridSpan w:val="2"/>
            <w:tcBorders>
              <w:top w:val="single" w:sz="4" w:space="0" w:color="auto"/>
              <w:left w:val="nil"/>
              <w:right w:val="single" w:sz="18" w:space="0" w:color="auto"/>
            </w:tcBorders>
            <w:shd w:val="clear" w:color="000000" w:fill="FFFFFF"/>
            <w:noWrap/>
            <w:vAlign w:val="center"/>
          </w:tcPr>
          <w:p w14:paraId="059F3AB5" w14:textId="77777777" w:rsidR="00FF0C83" w:rsidRPr="00F86AB1" w:rsidRDefault="00FF0C83" w:rsidP="00FF0C83">
            <w:pPr>
              <w:suppressAutoHyphens w:val="0"/>
              <w:contextualSpacing w:val="0"/>
              <w:jc w:val="center"/>
              <w:rPr>
                <w:rFonts w:eastAsia="Times New Roman"/>
                <w:b/>
                <w:bCs/>
                <w:color w:val="000000"/>
                <w:kern w:val="0"/>
                <w:sz w:val="20"/>
                <w:szCs w:val="20"/>
                <w14:ligatures w14:val="none"/>
              </w:rPr>
            </w:pPr>
          </w:p>
        </w:tc>
      </w:tr>
      <w:tr w:rsidR="00C05D11" w:rsidRPr="00F86AB1" w14:paraId="4A879EC9" w14:textId="77777777" w:rsidTr="00126606">
        <w:trPr>
          <w:trHeight w:val="288"/>
          <w:jc w:val="center"/>
        </w:trPr>
        <w:tc>
          <w:tcPr>
            <w:tcW w:w="3847" w:type="dxa"/>
            <w:tcBorders>
              <w:left w:val="single" w:sz="18" w:space="0" w:color="auto"/>
              <w:bottom w:val="nil"/>
              <w:right w:val="single" w:sz="8" w:space="0" w:color="000000"/>
            </w:tcBorders>
            <w:shd w:val="clear" w:color="000000" w:fill="FFFFFF"/>
            <w:noWrap/>
            <w:vAlign w:val="center"/>
          </w:tcPr>
          <w:p w14:paraId="202182D8" w14:textId="0328E447" w:rsidR="00C05D11" w:rsidRPr="00F86AB1" w:rsidRDefault="00C05D11" w:rsidP="00C05D11">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Log-Likelihood at Convergence</w:t>
            </w:r>
          </w:p>
        </w:tc>
        <w:tc>
          <w:tcPr>
            <w:tcW w:w="1980" w:type="dxa"/>
            <w:gridSpan w:val="2"/>
            <w:tcBorders>
              <w:left w:val="nil"/>
              <w:bottom w:val="nil"/>
              <w:right w:val="nil"/>
            </w:tcBorders>
            <w:shd w:val="clear" w:color="000000" w:fill="FFFFFF"/>
            <w:noWrap/>
          </w:tcPr>
          <w:p w14:paraId="40A563FF" w14:textId="7A29A209" w:rsidR="00C05D11" w:rsidRPr="00F86AB1" w:rsidRDefault="007F5405" w:rsidP="00C05D11">
            <w:pPr>
              <w:suppressAutoHyphens w:val="0"/>
              <w:contextualSpacing w:val="0"/>
              <w:jc w:val="center"/>
              <w:rPr>
                <w:rFonts w:eastAsia="Times New Roman"/>
                <w:color w:val="000000"/>
                <w:kern w:val="0"/>
                <w:sz w:val="20"/>
                <w:szCs w:val="20"/>
                <w14:ligatures w14:val="none"/>
              </w:rPr>
            </w:pPr>
            <w:r w:rsidRPr="00F86AB1">
              <w:rPr>
                <w:sz w:val="20"/>
                <w:szCs w:val="20"/>
              </w:rPr>
              <w:t>-2187.73</w:t>
            </w:r>
          </w:p>
        </w:tc>
        <w:tc>
          <w:tcPr>
            <w:tcW w:w="2250" w:type="dxa"/>
            <w:gridSpan w:val="2"/>
            <w:tcBorders>
              <w:left w:val="nil"/>
              <w:bottom w:val="nil"/>
              <w:right w:val="single" w:sz="18" w:space="0" w:color="auto"/>
            </w:tcBorders>
            <w:shd w:val="clear" w:color="000000" w:fill="FFFFFF"/>
            <w:noWrap/>
          </w:tcPr>
          <w:p w14:paraId="23FA0B13" w14:textId="63EA9CCB" w:rsidR="00C05D11" w:rsidRPr="00F86AB1" w:rsidRDefault="007F5405" w:rsidP="00C05D11">
            <w:pPr>
              <w:suppressAutoHyphens w:val="0"/>
              <w:contextualSpacing w:val="0"/>
              <w:jc w:val="center"/>
              <w:rPr>
                <w:rFonts w:eastAsia="Times New Roman"/>
                <w:color w:val="000000"/>
                <w:kern w:val="0"/>
                <w:sz w:val="20"/>
                <w:szCs w:val="20"/>
                <w14:ligatures w14:val="none"/>
              </w:rPr>
            </w:pPr>
            <w:r w:rsidRPr="00F86AB1">
              <w:rPr>
                <w:sz w:val="20"/>
                <w:szCs w:val="20"/>
              </w:rPr>
              <w:t>-2114.34</w:t>
            </w:r>
          </w:p>
        </w:tc>
      </w:tr>
      <w:tr w:rsidR="007F5405" w:rsidRPr="00F86AB1" w14:paraId="51FD3219" w14:textId="77777777" w:rsidTr="000A384E">
        <w:trPr>
          <w:trHeight w:val="288"/>
          <w:jc w:val="center"/>
        </w:trPr>
        <w:tc>
          <w:tcPr>
            <w:tcW w:w="3847" w:type="dxa"/>
            <w:tcBorders>
              <w:left w:val="single" w:sz="18" w:space="0" w:color="auto"/>
              <w:bottom w:val="nil"/>
              <w:right w:val="single" w:sz="8" w:space="0" w:color="000000"/>
            </w:tcBorders>
            <w:shd w:val="clear" w:color="000000" w:fill="FFFFFF"/>
            <w:noWrap/>
            <w:vAlign w:val="center"/>
          </w:tcPr>
          <w:p w14:paraId="6B6B0475" w14:textId="52CA1D1C" w:rsidR="007F5405" w:rsidRPr="00F86AB1" w:rsidRDefault="007F5405" w:rsidP="007F5405">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Log-Likelihood at Constants</w:t>
            </w:r>
          </w:p>
        </w:tc>
        <w:tc>
          <w:tcPr>
            <w:tcW w:w="1980" w:type="dxa"/>
            <w:gridSpan w:val="2"/>
            <w:tcBorders>
              <w:left w:val="nil"/>
              <w:bottom w:val="nil"/>
              <w:right w:val="nil"/>
            </w:tcBorders>
            <w:shd w:val="clear" w:color="000000" w:fill="FFFFFF"/>
            <w:noWrap/>
          </w:tcPr>
          <w:p w14:paraId="0396EABA" w14:textId="75DAC83E" w:rsidR="007F5405" w:rsidRPr="00F86AB1" w:rsidRDefault="007F5405" w:rsidP="007F5405">
            <w:pPr>
              <w:suppressAutoHyphens w:val="0"/>
              <w:contextualSpacing w:val="0"/>
              <w:jc w:val="center"/>
              <w:rPr>
                <w:rFonts w:eastAsia="Times New Roman"/>
                <w:color w:val="000000"/>
                <w:kern w:val="0"/>
                <w:sz w:val="20"/>
                <w:szCs w:val="20"/>
                <w14:ligatures w14:val="none"/>
              </w:rPr>
            </w:pPr>
            <w:r w:rsidRPr="00F86AB1">
              <w:rPr>
                <w:sz w:val="20"/>
                <w:szCs w:val="20"/>
              </w:rPr>
              <w:t>-2368.86</w:t>
            </w:r>
          </w:p>
        </w:tc>
        <w:tc>
          <w:tcPr>
            <w:tcW w:w="2250" w:type="dxa"/>
            <w:gridSpan w:val="2"/>
            <w:tcBorders>
              <w:left w:val="nil"/>
              <w:bottom w:val="nil"/>
              <w:right w:val="single" w:sz="18" w:space="0" w:color="auto"/>
            </w:tcBorders>
            <w:shd w:val="clear" w:color="000000" w:fill="FFFFFF"/>
            <w:noWrap/>
          </w:tcPr>
          <w:p w14:paraId="4FB79C8A" w14:textId="0B6982CD" w:rsidR="007F5405" w:rsidRPr="00F86AB1" w:rsidRDefault="007F5405" w:rsidP="007F5405">
            <w:pPr>
              <w:suppressAutoHyphens w:val="0"/>
              <w:contextualSpacing w:val="0"/>
              <w:jc w:val="center"/>
              <w:rPr>
                <w:rFonts w:eastAsia="Times New Roman"/>
                <w:color w:val="000000"/>
                <w:kern w:val="0"/>
                <w:sz w:val="20"/>
                <w:szCs w:val="20"/>
                <w14:ligatures w14:val="none"/>
              </w:rPr>
            </w:pPr>
            <w:r w:rsidRPr="00F86AB1">
              <w:rPr>
                <w:sz w:val="20"/>
                <w:szCs w:val="20"/>
              </w:rPr>
              <w:t>-2368.86</w:t>
            </w:r>
          </w:p>
        </w:tc>
      </w:tr>
      <w:tr w:rsidR="00721220" w:rsidRPr="00F86AB1" w14:paraId="089C80A6" w14:textId="77777777" w:rsidTr="00FF0C83">
        <w:trPr>
          <w:trHeight w:val="288"/>
          <w:jc w:val="center"/>
        </w:trPr>
        <w:tc>
          <w:tcPr>
            <w:tcW w:w="3847" w:type="dxa"/>
            <w:tcBorders>
              <w:top w:val="nil"/>
              <w:left w:val="single" w:sz="18" w:space="0" w:color="auto"/>
              <w:right w:val="single" w:sz="8" w:space="0" w:color="000000"/>
            </w:tcBorders>
            <w:shd w:val="clear" w:color="000000" w:fill="FFFFFF"/>
            <w:noWrap/>
            <w:vAlign w:val="center"/>
          </w:tcPr>
          <w:p w14:paraId="6B1915D6" w14:textId="2ECB972E" w:rsidR="00721220" w:rsidRPr="00F86AB1" w:rsidRDefault="00721220"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Number of Parameters</w:t>
            </w:r>
          </w:p>
        </w:tc>
        <w:tc>
          <w:tcPr>
            <w:tcW w:w="1980" w:type="dxa"/>
            <w:gridSpan w:val="2"/>
            <w:tcBorders>
              <w:top w:val="nil"/>
              <w:left w:val="nil"/>
              <w:right w:val="nil"/>
            </w:tcBorders>
            <w:shd w:val="clear" w:color="000000" w:fill="FFFFFF"/>
            <w:noWrap/>
            <w:vAlign w:val="center"/>
          </w:tcPr>
          <w:p w14:paraId="6C8E05C6" w14:textId="050D376F" w:rsidR="00721220" w:rsidRPr="00F86AB1" w:rsidRDefault="00A9638A" w:rsidP="00FF0C83">
            <w:pPr>
              <w:suppressAutoHyphens w:val="0"/>
              <w:contextualSpacing w:val="0"/>
              <w:jc w:val="center"/>
              <w:rPr>
                <w:rFonts w:eastAsia="Times New Roman"/>
                <w:color w:val="000000"/>
                <w:kern w:val="0"/>
                <w:sz w:val="20"/>
                <w:szCs w:val="20"/>
                <w14:ligatures w14:val="none"/>
              </w:rPr>
            </w:pPr>
            <w:r w:rsidRPr="00F86AB1">
              <w:rPr>
                <w:rFonts w:eastAsia="Times New Roman"/>
                <w:color w:val="000000"/>
                <w:kern w:val="0"/>
                <w:sz w:val="20"/>
                <w:szCs w:val="20"/>
                <w14:ligatures w14:val="none"/>
              </w:rPr>
              <w:t>105</w:t>
            </w:r>
          </w:p>
        </w:tc>
        <w:tc>
          <w:tcPr>
            <w:tcW w:w="2250" w:type="dxa"/>
            <w:gridSpan w:val="2"/>
            <w:tcBorders>
              <w:top w:val="nil"/>
              <w:left w:val="nil"/>
              <w:right w:val="single" w:sz="18" w:space="0" w:color="auto"/>
            </w:tcBorders>
            <w:shd w:val="clear" w:color="000000" w:fill="FFFFFF"/>
            <w:noWrap/>
            <w:vAlign w:val="center"/>
          </w:tcPr>
          <w:p w14:paraId="70B91D0D" w14:textId="6A0219C7" w:rsidR="00721220" w:rsidRPr="00F86AB1" w:rsidRDefault="00A9638A" w:rsidP="00FF0C83">
            <w:pPr>
              <w:suppressAutoHyphens w:val="0"/>
              <w:contextualSpacing w:val="0"/>
              <w:jc w:val="center"/>
              <w:rPr>
                <w:rFonts w:eastAsia="Times New Roman"/>
                <w:color w:val="000000"/>
                <w:kern w:val="0"/>
                <w:sz w:val="20"/>
                <w:szCs w:val="20"/>
                <w14:ligatures w14:val="none"/>
              </w:rPr>
            </w:pPr>
            <w:r w:rsidRPr="00F86AB1">
              <w:rPr>
                <w:rFonts w:eastAsia="Times New Roman"/>
                <w:color w:val="000000"/>
                <w:kern w:val="0"/>
                <w:sz w:val="20"/>
                <w:szCs w:val="20"/>
                <w14:ligatures w14:val="none"/>
              </w:rPr>
              <w:t>1</w:t>
            </w:r>
            <w:r w:rsidR="007F5405" w:rsidRPr="00F86AB1">
              <w:rPr>
                <w:rFonts w:eastAsia="Times New Roman"/>
                <w:color w:val="000000"/>
                <w:kern w:val="0"/>
                <w:sz w:val="20"/>
                <w:szCs w:val="20"/>
                <w14:ligatures w14:val="none"/>
              </w:rPr>
              <w:t>81</w:t>
            </w:r>
          </w:p>
        </w:tc>
      </w:tr>
      <w:tr w:rsidR="007A59C3" w:rsidRPr="00F86AB1" w14:paraId="4D23EB75" w14:textId="77777777" w:rsidTr="00FF0C83">
        <w:trPr>
          <w:trHeight w:val="288"/>
          <w:jc w:val="center"/>
        </w:trPr>
        <w:tc>
          <w:tcPr>
            <w:tcW w:w="3847" w:type="dxa"/>
            <w:tcBorders>
              <w:top w:val="nil"/>
              <w:left w:val="single" w:sz="18" w:space="0" w:color="auto"/>
              <w:right w:val="single" w:sz="8" w:space="0" w:color="000000"/>
            </w:tcBorders>
            <w:shd w:val="clear" w:color="000000" w:fill="FFFFFF"/>
            <w:noWrap/>
            <w:vAlign w:val="center"/>
          </w:tcPr>
          <w:p w14:paraId="7E8D3459" w14:textId="760CB68D" w:rsidR="007A59C3" w:rsidRPr="00F86AB1" w:rsidRDefault="007A59C3"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Adjusted Likelihood Ratio Index</w:t>
            </w:r>
          </w:p>
        </w:tc>
        <w:tc>
          <w:tcPr>
            <w:tcW w:w="1980" w:type="dxa"/>
            <w:gridSpan w:val="2"/>
            <w:tcBorders>
              <w:top w:val="nil"/>
              <w:left w:val="nil"/>
              <w:right w:val="nil"/>
            </w:tcBorders>
            <w:shd w:val="clear" w:color="000000" w:fill="FFFFFF"/>
            <w:noWrap/>
            <w:vAlign w:val="center"/>
          </w:tcPr>
          <w:p w14:paraId="0A1E2482" w14:textId="7AADE132" w:rsidR="007A59C3" w:rsidRPr="00F86AB1" w:rsidRDefault="007A59C3" w:rsidP="00FF0C83">
            <w:pPr>
              <w:suppressAutoHyphens w:val="0"/>
              <w:contextualSpacing w:val="0"/>
              <w:jc w:val="center"/>
              <w:rPr>
                <w:rFonts w:eastAsia="Times New Roman"/>
                <w:color w:val="000000"/>
                <w:kern w:val="0"/>
                <w:sz w:val="20"/>
                <w:szCs w:val="20"/>
                <w14:ligatures w14:val="none"/>
              </w:rPr>
            </w:pPr>
            <w:r w:rsidRPr="00F86AB1">
              <w:rPr>
                <w:sz w:val="20"/>
                <w:szCs w:val="20"/>
              </w:rPr>
              <w:t>0.03</w:t>
            </w:r>
            <w:r w:rsidR="007F5405" w:rsidRPr="00F86AB1">
              <w:rPr>
                <w:sz w:val="20"/>
                <w:szCs w:val="20"/>
              </w:rPr>
              <w:t>7</w:t>
            </w:r>
          </w:p>
        </w:tc>
        <w:tc>
          <w:tcPr>
            <w:tcW w:w="2250" w:type="dxa"/>
            <w:gridSpan w:val="2"/>
            <w:tcBorders>
              <w:top w:val="nil"/>
              <w:left w:val="nil"/>
              <w:right w:val="single" w:sz="18" w:space="0" w:color="auto"/>
            </w:tcBorders>
            <w:shd w:val="clear" w:color="000000" w:fill="FFFFFF"/>
            <w:noWrap/>
            <w:vAlign w:val="center"/>
          </w:tcPr>
          <w:p w14:paraId="416B518A" w14:textId="5248EFB4" w:rsidR="007A59C3" w:rsidRPr="00F86AB1" w:rsidRDefault="007A59C3" w:rsidP="00FF0C83">
            <w:pPr>
              <w:suppressAutoHyphens w:val="0"/>
              <w:contextualSpacing w:val="0"/>
              <w:jc w:val="center"/>
              <w:rPr>
                <w:rFonts w:eastAsia="Times New Roman"/>
                <w:color w:val="000000"/>
                <w:kern w:val="0"/>
                <w:sz w:val="20"/>
                <w:szCs w:val="20"/>
                <w14:ligatures w14:val="none"/>
              </w:rPr>
            </w:pPr>
            <w:r w:rsidRPr="00F86AB1">
              <w:rPr>
                <w:sz w:val="20"/>
                <w:szCs w:val="20"/>
              </w:rPr>
              <w:t>0.03</w:t>
            </w:r>
            <w:r w:rsidR="007F5405" w:rsidRPr="00F86AB1">
              <w:rPr>
                <w:sz w:val="20"/>
                <w:szCs w:val="20"/>
              </w:rPr>
              <w:t>5</w:t>
            </w:r>
          </w:p>
        </w:tc>
      </w:tr>
      <w:tr w:rsidR="007A59C3" w:rsidRPr="00F86AB1" w14:paraId="14A17283" w14:textId="77777777" w:rsidTr="00FF0C83">
        <w:trPr>
          <w:trHeight w:val="288"/>
          <w:jc w:val="center"/>
        </w:trPr>
        <w:tc>
          <w:tcPr>
            <w:tcW w:w="3847" w:type="dxa"/>
            <w:tcBorders>
              <w:top w:val="nil"/>
              <w:left w:val="single" w:sz="18" w:space="0" w:color="auto"/>
              <w:right w:val="single" w:sz="8" w:space="0" w:color="000000"/>
            </w:tcBorders>
            <w:shd w:val="clear" w:color="000000" w:fill="FFFFFF"/>
            <w:noWrap/>
            <w:vAlign w:val="center"/>
          </w:tcPr>
          <w:p w14:paraId="5B9C3E30" w14:textId="10B2DA58" w:rsidR="007A59C3" w:rsidRPr="00F86AB1" w:rsidRDefault="007A59C3"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Bayesian Information Criterion</w:t>
            </w:r>
          </w:p>
        </w:tc>
        <w:tc>
          <w:tcPr>
            <w:tcW w:w="1980" w:type="dxa"/>
            <w:gridSpan w:val="2"/>
            <w:tcBorders>
              <w:top w:val="nil"/>
              <w:left w:val="nil"/>
              <w:right w:val="nil"/>
            </w:tcBorders>
            <w:shd w:val="clear" w:color="000000" w:fill="FFFFFF"/>
            <w:noWrap/>
            <w:vAlign w:val="center"/>
          </w:tcPr>
          <w:p w14:paraId="140A915B" w14:textId="0FB3B3FB" w:rsidR="007A59C3" w:rsidRPr="00F86AB1" w:rsidRDefault="007A59C3" w:rsidP="00FF0C83">
            <w:pPr>
              <w:suppressAutoHyphens w:val="0"/>
              <w:contextualSpacing w:val="0"/>
              <w:jc w:val="center"/>
              <w:rPr>
                <w:rFonts w:eastAsia="Times New Roman"/>
                <w:color w:val="000000"/>
                <w:kern w:val="0"/>
                <w:sz w:val="20"/>
                <w:szCs w:val="20"/>
                <w14:ligatures w14:val="none"/>
              </w:rPr>
            </w:pPr>
            <w:r w:rsidRPr="00F86AB1">
              <w:rPr>
                <w:sz w:val="20"/>
                <w:szCs w:val="20"/>
              </w:rPr>
              <w:t>2</w:t>
            </w:r>
            <w:r w:rsidR="000A3A33" w:rsidRPr="00F86AB1">
              <w:rPr>
                <w:sz w:val="20"/>
                <w:szCs w:val="20"/>
              </w:rPr>
              <w:t>531.59</w:t>
            </w:r>
          </w:p>
        </w:tc>
        <w:tc>
          <w:tcPr>
            <w:tcW w:w="2250" w:type="dxa"/>
            <w:gridSpan w:val="2"/>
            <w:tcBorders>
              <w:top w:val="nil"/>
              <w:left w:val="nil"/>
              <w:right w:val="single" w:sz="18" w:space="0" w:color="auto"/>
            </w:tcBorders>
            <w:shd w:val="clear" w:color="000000" w:fill="FFFFFF"/>
            <w:noWrap/>
            <w:vAlign w:val="center"/>
          </w:tcPr>
          <w:p w14:paraId="74770255" w14:textId="5C0AC45F" w:rsidR="007A59C3" w:rsidRPr="00F86AB1" w:rsidRDefault="000A3A33" w:rsidP="00FF0C83">
            <w:pPr>
              <w:suppressAutoHyphens w:val="0"/>
              <w:contextualSpacing w:val="0"/>
              <w:jc w:val="center"/>
              <w:rPr>
                <w:rFonts w:eastAsia="Times New Roman"/>
                <w:color w:val="000000"/>
                <w:kern w:val="0"/>
                <w:sz w:val="20"/>
                <w:szCs w:val="20"/>
                <w14:ligatures w14:val="none"/>
              </w:rPr>
            </w:pPr>
            <w:r w:rsidRPr="00F86AB1">
              <w:rPr>
                <w:rFonts w:eastAsia="Times New Roman"/>
                <w:color w:val="000000"/>
                <w:kern w:val="0"/>
                <w:sz w:val="20"/>
                <w:szCs w:val="20"/>
                <w14:ligatures w14:val="none"/>
              </w:rPr>
              <w:t>2707.09</w:t>
            </w:r>
          </w:p>
        </w:tc>
      </w:tr>
      <w:tr w:rsidR="00721220" w:rsidRPr="00F86AB1" w14:paraId="5D59F8CF" w14:textId="77777777" w:rsidTr="00FF0C83">
        <w:trPr>
          <w:trHeight w:val="288"/>
          <w:jc w:val="center"/>
        </w:trPr>
        <w:tc>
          <w:tcPr>
            <w:tcW w:w="3847" w:type="dxa"/>
            <w:tcBorders>
              <w:top w:val="nil"/>
              <w:left w:val="single" w:sz="18" w:space="0" w:color="auto"/>
              <w:bottom w:val="single" w:sz="18" w:space="0" w:color="auto"/>
              <w:right w:val="single" w:sz="8" w:space="0" w:color="000000"/>
            </w:tcBorders>
            <w:shd w:val="clear" w:color="000000" w:fill="FFFFFF"/>
            <w:noWrap/>
            <w:vAlign w:val="center"/>
          </w:tcPr>
          <w:p w14:paraId="1C745CE5" w14:textId="0C73FC57" w:rsidR="00721220" w:rsidRPr="00F86AB1" w:rsidRDefault="007A59C3" w:rsidP="00FF0C83">
            <w:pPr>
              <w:suppressAutoHyphens w:val="0"/>
              <w:contextualSpacing w:val="0"/>
              <w:jc w:val="left"/>
              <w:rPr>
                <w:rFonts w:eastAsia="Times New Roman"/>
                <w:color w:val="000000"/>
                <w:kern w:val="0"/>
                <w:sz w:val="20"/>
                <w:szCs w:val="20"/>
                <w14:ligatures w14:val="none"/>
              </w:rPr>
            </w:pPr>
            <w:r w:rsidRPr="00F86AB1">
              <w:rPr>
                <w:rFonts w:eastAsia="Times New Roman"/>
                <w:color w:val="000000"/>
                <w:kern w:val="0"/>
                <w:sz w:val="20"/>
                <w:szCs w:val="20"/>
                <w14:ligatures w14:val="none"/>
              </w:rPr>
              <w:t xml:space="preserve">Informal Non-Nested </w:t>
            </w:r>
            <w:r w:rsidR="00721220" w:rsidRPr="00F86AB1">
              <w:rPr>
                <w:rFonts w:eastAsia="Times New Roman"/>
                <w:color w:val="000000"/>
                <w:kern w:val="0"/>
                <w:sz w:val="20"/>
                <w:szCs w:val="20"/>
                <w14:ligatures w14:val="none"/>
              </w:rPr>
              <w:t>Likelihood Ratio Test</w:t>
            </w:r>
          </w:p>
        </w:tc>
        <w:tc>
          <w:tcPr>
            <w:tcW w:w="1980" w:type="dxa"/>
            <w:gridSpan w:val="2"/>
            <w:tcBorders>
              <w:top w:val="nil"/>
              <w:left w:val="nil"/>
              <w:bottom w:val="single" w:sz="18" w:space="0" w:color="auto"/>
              <w:right w:val="nil"/>
            </w:tcBorders>
            <w:shd w:val="clear" w:color="000000" w:fill="FFFFFF"/>
            <w:noWrap/>
            <w:vAlign w:val="center"/>
          </w:tcPr>
          <w:p w14:paraId="371C75B0" w14:textId="3B6A610A" w:rsidR="00721220" w:rsidRPr="00F86AB1" w:rsidRDefault="007A59C3" w:rsidP="00FF0C83">
            <w:pPr>
              <w:suppressAutoHyphens w:val="0"/>
              <w:contextualSpacing w:val="0"/>
              <w:jc w:val="center"/>
              <w:rPr>
                <w:rFonts w:eastAsia="Times New Roman"/>
                <w:color w:val="000000"/>
                <w:kern w:val="0"/>
                <w:sz w:val="20"/>
                <w:szCs w:val="20"/>
                <w14:ligatures w14:val="none"/>
              </w:rPr>
            </w:pPr>
            <w:r w:rsidRPr="00F86AB1">
              <w:rPr>
                <w:rFonts w:eastAsia="Times New Roman"/>
                <w:color w:val="000000"/>
                <w:kern w:val="0"/>
                <w:sz w:val="20"/>
                <w:szCs w:val="20"/>
                <w14:ligatures w14:val="none"/>
              </w:rPr>
              <w:t>--</w:t>
            </w:r>
          </w:p>
        </w:tc>
        <w:tc>
          <w:tcPr>
            <w:tcW w:w="2250" w:type="dxa"/>
            <w:gridSpan w:val="2"/>
            <w:tcBorders>
              <w:top w:val="nil"/>
              <w:left w:val="nil"/>
              <w:bottom w:val="single" w:sz="18" w:space="0" w:color="auto"/>
              <w:right w:val="single" w:sz="18" w:space="0" w:color="auto"/>
            </w:tcBorders>
            <w:shd w:val="clear" w:color="000000" w:fill="FFFFFF"/>
            <w:noWrap/>
            <w:vAlign w:val="center"/>
          </w:tcPr>
          <w:p w14:paraId="59DBB920" w14:textId="74E9668D" w:rsidR="00721220" w:rsidRPr="00F86AB1" w:rsidRDefault="00441E9D" w:rsidP="00FF0C83">
            <w:pPr>
              <w:suppressAutoHyphens w:val="0"/>
              <w:contextualSpacing w:val="0"/>
              <w:jc w:val="center"/>
              <w:rPr>
                <w:rFonts w:eastAsia="Times New Roman"/>
                <w:color w:val="000000"/>
                <w:kern w:val="0"/>
                <w:sz w:val="20"/>
                <w:szCs w:val="20"/>
                <w14:ligatures w14:val="none"/>
              </w:rPr>
            </w:pPr>
            <w:r w:rsidRPr="00F86AB1">
              <w:rPr>
                <w:rFonts w:eastAsia="Times New Roman"/>
                <w:color w:val="000000"/>
                <w:kern w:val="0"/>
                <w:position w:val="-10"/>
                <w:sz w:val="20"/>
                <w:szCs w:val="20"/>
                <w14:ligatures w14:val="none"/>
              </w:rPr>
              <w:object w:dxaOrig="1719" w:dyaOrig="300" w14:anchorId="2AC7FCC3">
                <v:shape id="_x0000_i1152" type="#_x0000_t75" style="width:86.15pt;height:15pt" o:ole="">
                  <v:imagedata r:id="rId254" o:title=""/>
                </v:shape>
                <o:OLEObject Type="Embed" ProgID="Equation.DSMT4" ShapeID="_x0000_i1152" DrawAspect="Content" ObjectID="_1846407009" r:id="rId255"/>
              </w:object>
            </w:r>
          </w:p>
        </w:tc>
      </w:tr>
    </w:tbl>
    <w:p w14:paraId="19C34B61" w14:textId="10A5EE5F" w:rsidR="007D4197" w:rsidRDefault="007D4197">
      <w:pPr>
        <w:suppressAutoHyphens w:val="0"/>
        <w:spacing w:after="160" w:line="278" w:lineRule="auto"/>
        <w:contextualSpacing w:val="0"/>
        <w:jc w:val="left"/>
      </w:pPr>
    </w:p>
    <w:p w14:paraId="0E964374" w14:textId="2F964685" w:rsidR="00396F92" w:rsidRPr="006806A9" w:rsidRDefault="00396F92" w:rsidP="001A42D4">
      <w:pPr>
        <w:suppressAutoHyphens w:val="0"/>
        <w:contextualSpacing w:val="0"/>
        <w:jc w:val="left"/>
        <w:rPr>
          <w:b/>
          <w:bCs/>
        </w:rPr>
        <w:sectPr w:rsidR="00396F92" w:rsidRPr="006806A9" w:rsidSect="00396F92">
          <w:pgSz w:w="12240" w:h="15840"/>
          <w:pgMar w:top="1152" w:right="1440" w:bottom="1152" w:left="1440" w:header="720" w:footer="720" w:gutter="0"/>
          <w:cols w:space="720"/>
          <w:docGrid w:linePitch="360"/>
        </w:sectPr>
      </w:pPr>
    </w:p>
    <w:p w14:paraId="6CF72C59" w14:textId="58515C80" w:rsidR="001A42D4" w:rsidRDefault="001A42D4" w:rsidP="001A42D4">
      <w:pPr>
        <w:suppressAutoHyphens w:val="0"/>
        <w:contextualSpacing w:val="0"/>
        <w:jc w:val="left"/>
        <w:rPr>
          <w:b/>
          <w:bCs/>
        </w:rPr>
      </w:pPr>
      <w:r>
        <w:rPr>
          <w:b/>
          <w:bCs/>
        </w:rPr>
        <w:lastRenderedPageBreak/>
        <w:t xml:space="preserve">Table </w:t>
      </w:r>
      <w:r w:rsidR="00850579">
        <w:rPr>
          <w:b/>
          <w:bCs/>
        </w:rPr>
        <w:t>7</w:t>
      </w:r>
      <w:r>
        <w:rPr>
          <w:b/>
          <w:bCs/>
        </w:rPr>
        <w:t>: Exogenous Variable Effects on Weekly Commute VMT</w:t>
      </w:r>
    </w:p>
    <w:p w14:paraId="02720ADC" w14:textId="77777777" w:rsidR="001A42D4" w:rsidRDefault="001A42D4" w:rsidP="001A42D4">
      <w:pPr>
        <w:suppressAutoHyphens w:val="0"/>
        <w:contextualSpacing w:val="0"/>
        <w:jc w:val="left"/>
        <w:rPr>
          <w:b/>
          <w:bCs/>
        </w:rPr>
      </w:pPr>
    </w:p>
    <w:tbl>
      <w:tblPr>
        <w:tblW w:w="12577" w:type="dxa"/>
        <w:jc w:val="center"/>
        <w:tblLayout w:type="fixed"/>
        <w:tblCellMar>
          <w:left w:w="29" w:type="dxa"/>
          <w:right w:w="29" w:type="dxa"/>
        </w:tblCellMar>
        <w:tblLook w:val="04A0" w:firstRow="1" w:lastRow="0" w:firstColumn="1" w:lastColumn="0" w:noHBand="0" w:noVBand="1"/>
      </w:tblPr>
      <w:tblGrid>
        <w:gridCol w:w="1610"/>
        <w:gridCol w:w="1710"/>
        <w:gridCol w:w="2327"/>
        <w:gridCol w:w="1303"/>
        <w:gridCol w:w="1303"/>
        <w:gridCol w:w="1440"/>
        <w:gridCol w:w="1440"/>
        <w:gridCol w:w="1444"/>
      </w:tblGrid>
      <w:tr w:rsidR="00C10DAB" w:rsidRPr="00C10DAB" w14:paraId="4A3DD024" w14:textId="77777777" w:rsidTr="00886E0D">
        <w:trPr>
          <w:trHeight w:val="20"/>
          <w:jc w:val="center"/>
        </w:trPr>
        <w:tc>
          <w:tcPr>
            <w:tcW w:w="1610" w:type="dxa"/>
            <w:vMerge w:val="restart"/>
            <w:tcBorders>
              <w:top w:val="single" w:sz="18" w:space="0" w:color="auto"/>
              <w:left w:val="single" w:sz="18" w:space="0" w:color="auto"/>
              <w:bottom w:val="single" w:sz="8" w:space="0" w:color="000000"/>
              <w:right w:val="single" w:sz="4" w:space="0" w:color="auto"/>
            </w:tcBorders>
            <w:noWrap/>
            <w:vAlign w:val="center"/>
            <w:hideMark/>
          </w:tcPr>
          <w:p w14:paraId="0338D1F7" w14:textId="77777777" w:rsidR="00C10DAB" w:rsidRPr="00BD4520" w:rsidRDefault="00C10DAB" w:rsidP="00BD4520">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Variable</w:t>
            </w:r>
          </w:p>
        </w:tc>
        <w:tc>
          <w:tcPr>
            <w:tcW w:w="1710" w:type="dxa"/>
            <w:vMerge w:val="restart"/>
            <w:tcBorders>
              <w:top w:val="single" w:sz="18" w:space="0" w:color="auto"/>
              <w:left w:val="single" w:sz="4" w:space="0" w:color="auto"/>
              <w:bottom w:val="single" w:sz="8" w:space="0" w:color="000000"/>
              <w:right w:val="single" w:sz="4" w:space="0" w:color="auto"/>
            </w:tcBorders>
            <w:noWrap/>
            <w:vAlign w:val="center"/>
            <w:hideMark/>
          </w:tcPr>
          <w:p w14:paraId="35DBA9D4" w14:textId="523BF8AB" w:rsidR="00C10DAB" w:rsidRPr="00BD4520" w:rsidRDefault="00C10DAB" w:rsidP="00BD4520">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Base</w:t>
            </w:r>
          </w:p>
        </w:tc>
        <w:tc>
          <w:tcPr>
            <w:tcW w:w="2327" w:type="dxa"/>
            <w:vMerge w:val="restart"/>
            <w:tcBorders>
              <w:top w:val="single" w:sz="18" w:space="0" w:color="auto"/>
              <w:left w:val="single" w:sz="4" w:space="0" w:color="auto"/>
              <w:bottom w:val="single" w:sz="8" w:space="0" w:color="000000"/>
              <w:right w:val="single" w:sz="18" w:space="0" w:color="auto"/>
            </w:tcBorders>
            <w:noWrap/>
            <w:vAlign w:val="center"/>
            <w:hideMark/>
          </w:tcPr>
          <w:p w14:paraId="470EED3B" w14:textId="77777777" w:rsidR="00C10DAB" w:rsidRPr="00BD4520" w:rsidRDefault="00C10DAB" w:rsidP="00BD4520">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Treatment</w:t>
            </w:r>
          </w:p>
        </w:tc>
        <w:tc>
          <w:tcPr>
            <w:tcW w:w="6930" w:type="dxa"/>
            <w:gridSpan w:val="5"/>
            <w:tcBorders>
              <w:top w:val="single" w:sz="18" w:space="0" w:color="auto"/>
              <w:left w:val="single" w:sz="18" w:space="0" w:color="auto"/>
              <w:bottom w:val="single" w:sz="4" w:space="0" w:color="auto"/>
              <w:right w:val="single" w:sz="18" w:space="0" w:color="auto"/>
            </w:tcBorders>
            <w:noWrap/>
            <w:vAlign w:val="center"/>
            <w:hideMark/>
          </w:tcPr>
          <w:p w14:paraId="22AFB84B" w14:textId="77777777" w:rsidR="00C10DAB" w:rsidRPr="00BD4520" w:rsidRDefault="00C10DAB" w:rsidP="00BD4520">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Percent Change in:</w:t>
            </w:r>
          </w:p>
        </w:tc>
      </w:tr>
      <w:tr w:rsidR="00886E0D" w:rsidRPr="00C10DAB" w14:paraId="7F2FD648" w14:textId="77777777" w:rsidTr="00886E0D">
        <w:trPr>
          <w:trHeight w:val="20"/>
          <w:jc w:val="center"/>
        </w:trPr>
        <w:tc>
          <w:tcPr>
            <w:tcW w:w="1610" w:type="dxa"/>
            <w:vMerge/>
            <w:tcBorders>
              <w:top w:val="single" w:sz="8" w:space="0" w:color="auto"/>
              <w:left w:val="single" w:sz="18" w:space="0" w:color="auto"/>
              <w:bottom w:val="single" w:sz="18" w:space="0" w:color="auto"/>
              <w:right w:val="single" w:sz="4" w:space="0" w:color="auto"/>
            </w:tcBorders>
            <w:vAlign w:val="center"/>
            <w:hideMark/>
          </w:tcPr>
          <w:p w14:paraId="4066C613" w14:textId="77777777" w:rsidR="00886E0D" w:rsidRPr="00C10DAB" w:rsidRDefault="00886E0D" w:rsidP="00E457CD">
            <w:pPr>
              <w:suppressAutoHyphens w:val="0"/>
              <w:contextualSpacing w:val="0"/>
              <w:jc w:val="left"/>
              <w:rPr>
                <w:rFonts w:eastAsia="Times New Roman"/>
                <w:color w:val="000000"/>
                <w:kern w:val="0"/>
                <w:sz w:val="20"/>
                <w:szCs w:val="20"/>
                <w14:ligatures w14:val="none"/>
              </w:rPr>
            </w:pPr>
          </w:p>
        </w:tc>
        <w:tc>
          <w:tcPr>
            <w:tcW w:w="1710" w:type="dxa"/>
            <w:vMerge/>
            <w:tcBorders>
              <w:top w:val="single" w:sz="8" w:space="0" w:color="auto"/>
              <w:left w:val="single" w:sz="4" w:space="0" w:color="auto"/>
              <w:bottom w:val="single" w:sz="18" w:space="0" w:color="auto"/>
              <w:right w:val="single" w:sz="4" w:space="0" w:color="auto"/>
            </w:tcBorders>
            <w:vAlign w:val="center"/>
            <w:hideMark/>
          </w:tcPr>
          <w:p w14:paraId="41C9AE4E" w14:textId="77777777" w:rsidR="00886E0D" w:rsidRPr="00C10DAB" w:rsidRDefault="00886E0D" w:rsidP="00E457CD">
            <w:pPr>
              <w:suppressAutoHyphens w:val="0"/>
              <w:contextualSpacing w:val="0"/>
              <w:jc w:val="left"/>
              <w:rPr>
                <w:rFonts w:eastAsia="Times New Roman"/>
                <w:color w:val="000000"/>
                <w:kern w:val="0"/>
                <w:sz w:val="20"/>
                <w:szCs w:val="20"/>
                <w14:ligatures w14:val="none"/>
              </w:rPr>
            </w:pPr>
          </w:p>
        </w:tc>
        <w:tc>
          <w:tcPr>
            <w:tcW w:w="2327" w:type="dxa"/>
            <w:vMerge/>
            <w:tcBorders>
              <w:top w:val="single" w:sz="8" w:space="0" w:color="auto"/>
              <w:left w:val="single" w:sz="4" w:space="0" w:color="auto"/>
              <w:bottom w:val="single" w:sz="18" w:space="0" w:color="auto"/>
              <w:right w:val="single" w:sz="18" w:space="0" w:color="auto"/>
            </w:tcBorders>
            <w:vAlign w:val="center"/>
            <w:hideMark/>
          </w:tcPr>
          <w:p w14:paraId="7130B349" w14:textId="77777777" w:rsidR="00886E0D" w:rsidRPr="00C10DAB" w:rsidRDefault="00886E0D" w:rsidP="00E457CD">
            <w:pPr>
              <w:suppressAutoHyphens w:val="0"/>
              <w:contextualSpacing w:val="0"/>
              <w:jc w:val="left"/>
              <w:rPr>
                <w:rFonts w:eastAsia="Times New Roman"/>
                <w:color w:val="000000"/>
                <w:kern w:val="0"/>
                <w:sz w:val="20"/>
                <w:szCs w:val="20"/>
                <w14:ligatures w14:val="none"/>
              </w:rPr>
            </w:pPr>
          </w:p>
        </w:tc>
        <w:tc>
          <w:tcPr>
            <w:tcW w:w="1303" w:type="dxa"/>
            <w:tcBorders>
              <w:top w:val="single" w:sz="4" w:space="0" w:color="auto"/>
              <w:left w:val="single" w:sz="18" w:space="0" w:color="auto"/>
              <w:bottom w:val="single" w:sz="18" w:space="0" w:color="auto"/>
              <w:right w:val="single" w:sz="4" w:space="0" w:color="auto"/>
            </w:tcBorders>
            <w:noWrap/>
            <w:vAlign w:val="bottom"/>
            <w:hideMark/>
          </w:tcPr>
          <w:p w14:paraId="745AE643" w14:textId="4BA1CB2B" w:rsidR="00886E0D" w:rsidRPr="00BD4520" w:rsidRDefault="00886E0D" w:rsidP="00E457CD">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Number of Days of Full-Day Telework</w:t>
            </w:r>
          </w:p>
        </w:tc>
        <w:tc>
          <w:tcPr>
            <w:tcW w:w="1303" w:type="dxa"/>
            <w:tcBorders>
              <w:top w:val="single" w:sz="4" w:space="0" w:color="auto"/>
              <w:left w:val="nil"/>
              <w:bottom w:val="single" w:sz="18" w:space="0" w:color="auto"/>
              <w:right w:val="single" w:sz="4" w:space="0" w:color="auto"/>
            </w:tcBorders>
            <w:noWrap/>
            <w:vAlign w:val="bottom"/>
            <w:hideMark/>
          </w:tcPr>
          <w:p w14:paraId="5E408429" w14:textId="27F2A046" w:rsidR="00886E0D" w:rsidRPr="00BD4520" w:rsidRDefault="00886E0D" w:rsidP="00E457CD">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Number of Days of Part-Day Telework</w:t>
            </w:r>
          </w:p>
        </w:tc>
        <w:tc>
          <w:tcPr>
            <w:tcW w:w="1440" w:type="dxa"/>
            <w:tcBorders>
              <w:top w:val="single" w:sz="4" w:space="0" w:color="auto"/>
              <w:left w:val="nil"/>
              <w:bottom w:val="single" w:sz="18" w:space="0" w:color="auto"/>
              <w:right w:val="single" w:sz="4" w:space="0" w:color="auto"/>
            </w:tcBorders>
            <w:noWrap/>
            <w:vAlign w:val="center"/>
            <w:hideMark/>
          </w:tcPr>
          <w:p w14:paraId="63124E9E" w14:textId="77777777" w:rsidR="00886E0D" w:rsidRPr="00BD4520" w:rsidRDefault="00886E0D" w:rsidP="00E457CD">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Average One-Way Commute Distance</w:t>
            </w:r>
          </w:p>
        </w:tc>
        <w:tc>
          <w:tcPr>
            <w:tcW w:w="1440" w:type="dxa"/>
            <w:tcBorders>
              <w:top w:val="single" w:sz="4" w:space="0" w:color="auto"/>
              <w:left w:val="nil"/>
              <w:bottom w:val="single" w:sz="18" w:space="0" w:color="auto"/>
              <w:right w:val="single" w:sz="4" w:space="0" w:color="auto"/>
            </w:tcBorders>
            <w:noWrap/>
            <w:vAlign w:val="center"/>
            <w:hideMark/>
          </w:tcPr>
          <w:p w14:paraId="505F0134" w14:textId="77777777" w:rsidR="00886E0D" w:rsidRPr="00BD4520" w:rsidRDefault="00886E0D" w:rsidP="00E457CD">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Average Weekly (two-way) Commute</w:t>
            </w:r>
          </w:p>
        </w:tc>
        <w:tc>
          <w:tcPr>
            <w:tcW w:w="1444" w:type="dxa"/>
            <w:tcBorders>
              <w:top w:val="single" w:sz="4" w:space="0" w:color="auto"/>
              <w:left w:val="nil"/>
              <w:bottom w:val="single" w:sz="18" w:space="0" w:color="auto"/>
              <w:right w:val="single" w:sz="18" w:space="0" w:color="auto"/>
            </w:tcBorders>
            <w:noWrap/>
            <w:vAlign w:val="center"/>
            <w:hideMark/>
          </w:tcPr>
          <w:p w14:paraId="67BE00C1" w14:textId="77777777" w:rsidR="00886E0D" w:rsidRPr="00BD4520" w:rsidRDefault="00886E0D" w:rsidP="00E457CD">
            <w:pPr>
              <w:suppressAutoHyphens w:val="0"/>
              <w:contextualSpacing w:val="0"/>
              <w:jc w:val="center"/>
              <w:rPr>
                <w:rFonts w:eastAsia="Times New Roman"/>
                <w:b/>
                <w:bCs/>
                <w:color w:val="000000"/>
                <w:kern w:val="0"/>
                <w:sz w:val="20"/>
                <w:szCs w:val="20"/>
                <w14:ligatures w14:val="none"/>
              </w:rPr>
            </w:pPr>
            <w:r w:rsidRPr="00BD4520">
              <w:rPr>
                <w:rFonts w:eastAsia="Times New Roman"/>
                <w:b/>
                <w:bCs/>
                <w:color w:val="000000"/>
                <w:kern w:val="0"/>
                <w:sz w:val="20"/>
                <w:szCs w:val="20"/>
                <w14:ligatures w14:val="none"/>
              </w:rPr>
              <w:t>Portion of Commute for Part-Day Work</w:t>
            </w:r>
          </w:p>
        </w:tc>
      </w:tr>
      <w:tr w:rsidR="00B35DFA" w:rsidRPr="00C10DAB" w14:paraId="1348C56D" w14:textId="77777777" w:rsidTr="00AC65DD">
        <w:trPr>
          <w:trHeight w:val="20"/>
          <w:jc w:val="center"/>
        </w:trPr>
        <w:tc>
          <w:tcPr>
            <w:tcW w:w="1610" w:type="dxa"/>
            <w:vMerge w:val="restart"/>
            <w:tcBorders>
              <w:top w:val="single" w:sz="18" w:space="0" w:color="auto"/>
              <w:left w:val="single" w:sz="18" w:space="0" w:color="auto"/>
              <w:bottom w:val="nil"/>
              <w:right w:val="single" w:sz="4" w:space="0" w:color="auto"/>
            </w:tcBorders>
            <w:noWrap/>
            <w:vAlign w:val="center"/>
            <w:hideMark/>
          </w:tcPr>
          <w:p w14:paraId="693C971E"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Gender</w:t>
            </w:r>
          </w:p>
        </w:tc>
        <w:tc>
          <w:tcPr>
            <w:tcW w:w="1710" w:type="dxa"/>
            <w:tcBorders>
              <w:top w:val="single" w:sz="18" w:space="0" w:color="auto"/>
              <w:left w:val="nil"/>
              <w:bottom w:val="nil"/>
              <w:right w:val="single" w:sz="4" w:space="0" w:color="auto"/>
            </w:tcBorders>
            <w:noWrap/>
            <w:vAlign w:val="center"/>
            <w:hideMark/>
          </w:tcPr>
          <w:p w14:paraId="547E499E"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Male</w:t>
            </w:r>
          </w:p>
        </w:tc>
        <w:tc>
          <w:tcPr>
            <w:tcW w:w="2327" w:type="dxa"/>
            <w:tcBorders>
              <w:top w:val="single" w:sz="18" w:space="0" w:color="auto"/>
              <w:left w:val="nil"/>
              <w:bottom w:val="nil"/>
              <w:right w:val="single" w:sz="18" w:space="0" w:color="auto"/>
            </w:tcBorders>
            <w:noWrap/>
            <w:vAlign w:val="center"/>
            <w:hideMark/>
          </w:tcPr>
          <w:p w14:paraId="0BDB0593"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Female</w:t>
            </w:r>
          </w:p>
        </w:tc>
        <w:tc>
          <w:tcPr>
            <w:tcW w:w="1303" w:type="dxa"/>
            <w:tcBorders>
              <w:top w:val="single" w:sz="18" w:space="0" w:color="auto"/>
              <w:left w:val="single" w:sz="18" w:space="0" w:color="auto"/>
              <w:bottom w:val="nil"/>
              <w:right w:val="single" w:sz="4" w:space="0" w:color="auto"/>
            </w:tcBorders>
            <w:noWrap/>
            <w:vAlign w:val="bottom"/>
            <w:hideMark/>
          </w:tcPr>
          <w:p w14:paraId="6C717D57" w14:textId="3A17E0B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7.53</w:t>
            </w:r>
          </w:p>
        </w:tc>
        <w:tc>
          <w:tcPr>
            <w:tcW w:w="1303" w:type="dxa"/>
            <w:tcBorders>
              <w:top w:val="single" w:sz="18" w:space="0" w:color="auto"/>
              <w:left w:val="nil"/>
              <w:bottom w:val="nil"/>
              <w:right w:val="single" w:sz="4" w:space="0" w:color="auto"/>
            </w:tcBorders>
            <w:noWrap/>
            <w:vAlign w:val="bottom"/>
            <w:hideMark/>
          </w:tcPr>
          <w:p w14:paraId="58E26180" w14:textId="2FE3FE0D"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13.10</w:t>
            </w:r>
          </w:p>
        </w:tc>
        <w:tc>
          <w:tcPr>
            <w:tcW w:w="1440" w:type="dxa"/>
            <w:tcBorders>
              <w:top w:val="single" w:sz="18" w:space="0" w:color="auto"/>
              <w:left w:val="nil"/>
              <w:bottom w:val="nil"/>
              <w:right w:val="single" w:sz="4" w:space="0" w:color="auto"/>
            </w:tcBorders>
            <w:noWrap/>
            <w:vAlign w:val="bottom"/>
            <w:hideMark/>
          </w:tcPr>
          <w:p w14:paraId="004AF7AA" w14:textId="0D47F309"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-19.34</w:t>
            </w:r>
          </w:p>
        </w:tc>
        <w:tc>
          <w:tcPr>
            <w:tcW w:w="1440" w:type="dxa"/>
            <w:tcBorders>
              <w:top w:val="single" w:sz="18" w:space="0" w:color="auto"/>
              <w:left w:val="nil"/>
              <w:bottom w:val="nil"/>
              <w:right w:val="single" w:sz="4" w:space="0" w:color="auto"/>
            </w:tcBorders>
            <w:noWrap/>
            <w:vAlign w:val="bottom"/>
            <w:hideMark/>
          </w:tcPr>
          <w:p w14:paraId="570BD2F4" w14:textId="5E833176"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-21.69</w:t>
            </w:r>
          </w:p>
        </w:tc>
        <w:tc>
          <w:tcPr>
            <w:tcW w:w="1444" w:type="dxa"/>
            <w:tcBorders>
              <w:top w:val="single" w:sz="18" w:space="0" w:color="auto"/>
              <w:left w:val="nil"/>
              <w:bottom w:val="nil"/>
              <w:right w:val="single" w:sz="18" w:space="0" w:color="auto"/>
            </w:tcBorders>
            <w:noWrap/>
            <w:vAlign w:val="bottom"/>
            <w:hideMark/>
          </w:tcPr>
          <w:p w14:paraId="7BA8BC32" w14:textId="1F8C10AD"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15.41</w:t>
            </w:r>
          </w:p>
        </w:tc>
      </w:tr>
      <w:tr w:rsidR="00B35DFA" w:rsidRPr="00C10DAB" w14:paraId="40045F76" w14:textId="77777777" w:rsidTr="00AC65DD">
        <w:trPr>
          <w:trHeight w:val="20"/>
          <w:jc w:val="center"/>
        </w:trPr>
        <w:tc>
          <w:tcPr>
            <w:tcW w:w="1610" w:type="dxa"/>
            <w:vMerge/>
            <w:tcBorders>
              <w:top w:val="nil"/>
              <w:left w:val="single" w:sz="18" w:space="0" w:color="auto"/>
              <w:bottom w:val="nil"/>
              <w:right w:val="single" w:sz="4" w:space="0" w:color="auto"/>
            </w:tcBorders>
            <w:vAlign w:val="center"/>
            <w:hideMark/>
          </w:tcPr>
          <w:p w14:paraId="69CA926E"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1B6069C5"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Male</w:t>
            </w:r>
          </w:p>
        </w:tc>
        <w:tc>
          <w:tcPr>
            <w:tcW w:w="2327" w:type="dxa"/>
            <w:tcBorders>
              <w:top w:val="nil"/>
              <w:left w:val="nil"/>
              <w:bottom w:val="nil"/>
              <w:right w:val="single" w:sz="18" w:space="0" w:color="auto"/>
            </w:tcBorders>
            <w:noWrap/>
            <w:vAlign w:val="center"/>
            <w:hideMark/>
          </w:tcPr>
          <w:p w14:paraId="5CC65BF1"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Nonbinary</w:t>
            </w:r>
          </w:p>
        </w:tc>
        <w:tc>
          <w:tcPr>
            <w:tcW w:w="1303" w:type="dxa"/>
            <w:tcBorders>
              <w:top w:val="nil"/>
              <w:left w:val="single" w:sz="18" w:space="0" w:color="auto"/>
              <w:bottom w:val="nil"/>
              <w:right w:val="single" w:sz="4" w:space="0" w:color="auto"/>
            </w:tcBorders>
            <w:noWrap/>
            <w:vAlign w:val="bottom"/>
            <w:hideMark/>
          </w:tcPr>
          <w:p w14:paraId="40C2214A" w14:textId="5062150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-12.12</w:t>
            </w:r>
          </w:p>
        </w:tc>
        <w:tc>
          <w:tcPr>
            <w:tcW w:w="1303" w:type="dxa"/>
            <w:tcBorders>
              <w:top w:val="nil"/>
              <w:left w:val="nil"/>
              <w:bottom w:val="nil"/>
              <w:right w:val="single" w:sz="4" w:space="0" w:color="auto"/>
            </w:tcBorders>
            <w:noWrap/>
            <w:vAlign w:val="bottom"/>
            <w:hideMark/>
          </w:tcPr>
          <w:p w14:paraId="7283ED92" w14:textId="5CED7027"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-18.10</w:t>
            </w:r>
          </w:p>
        </w:tc>
        <w:tc>
          <w:tcPr>
            <w:tcW w:w="1440" w:type="dxa"/>
            <w:tcBorders>
              <w:top w:val="nil"/>
              <w:left w:val="nil"/>
              <w:bottom w:val="nil"/>
              <w:right w:val="single" w:sz="4" w:space="0" w:color="auto"/>
            </w:tcBorders>
            <w:noWrap/>
            <w:vAlign w:val="bottom"/>
            <w:hideMark/>
          </w:tcPr>
          <w:p w14:paraId="4365F459" w14:textId="08F65D30"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8.63</w:t>
            </w:r>
          </w:p>
        </w:tc>
        <w:tc>
          <w:tcPr>
            <w:tcW w:w="1440" w:type="dxa"/>
            <w:tcBorders>
              <w:top w:val="nil"/>
              <w:left w:val="nil"/>
              <w:bottom w:val="nil"/>
              <w:right w:val="single" w:sz="4" w:space="0" w:color="auto"/>
            </w:tcBorders>
            <w:noWrap/>
            <w:vAlign w:val="bottom"/>
            <w:hideMark/>
          </w:tcPr>
          <w:p w14:paraId="395BC7CF" w14:textId="34231E2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11.87</w:t>
            </w:r>
          </w:p>
        </w:tc>
        <w:tc>
          <w:tcPr>
            <w:tcW w:w="1444" w:type="dxa"/>
            <w:tcBorders>
              <w:top w:val="nil"/>
              <w:left w:val="nil"/>
              <w:bottom w:val="nil"/>
              <w:right w:val="single" w:sz="18" w:space="0" w:color="auto"/>
            </w:tcBorders>
            <w:noWrap/>
            <w:vAlign w:val="bottom"/>
            <w:hideMark/>
          </w:tcPr>
          <w:p w14:paraId="110D2300" w14:textId="5F2B5D30"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-26.27</w:t>
            </w:r>
          </w:p>
        </w:tc>
      </w:tr>
      <w:tr w:rsidR="00B35DFA" w:rsidRPr="00C10DAB" w14:paraId="555B1864" w14:textId="77777777" w:rsidTr="00AC65DD">
        <w:trPr>
          <w:trHeight w:val="20"/>
          <w:jc w:val="center"/>
        </w:trPr>
        <w:tc>
          <w:tcPr>
            <w:tcW w:w="1610" w:type="dxa"/>
            <w:vMerge w:val="restart"/>
            <w:tcBorders>
              <w:top w:val="nil"/>
              <w:left w:val="single" w:sz="18" w:space="0" w:color="auto"/>
              <w:bottom w:val="nil"/>
              <w:right w:val="single" w:sz="4" w:space="0" w:color="auto"/>
            </w:tcBorders>
            <w:noWrap/>
            <w:vAlign w:val="center"/>
            <w:hideMark/>
          </w:tcPr>
          <w:p w14:paraId="02CF0F02"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Age</w:t>
            </w:r>
          </w:p>
        </w:tc>
        <w:tc>
          <w:tcPr>
            <w:tcW w:w="1710" w:type="dxa"/>
            <w:tcBorders>
              <w:top w:val="nil"/>
              <w:left w:val="nil"/>
              <w:bottom w:val="nil"/>
              <w:right w:val="single" w:sz="4" w:space="0" w:color="auto"/>
            </w:tcBorders>
            <w:noWrap/>
            <w:vAlign w:val="center"/>
            <w:hideMark/>
          </w:tcPr>
          <w:p w14:paraId="5C7F6ABC" w14:textId="77777777" w:rsidR="00B35DFA" w:rsidRPr="0024189C" w:rsidRDefault="00B35DFA" w:rsidP="00B35DFA">
            <w:pPr>
              <w:suppressAutoHyphens w:val="0"/>
              <w:ind w:right="330"/>
              <w:contextualSpacing w:val="0"/>
              <w:jc w:val="left"/>
              <w:rPr>
                <w:rFonts w:eastAsia="Times New Roman"/>
                <w:kern w:val="0"/>
                <w:sz w:val="20"/>
                <w:szCs w:val="20"/>
                <w14:ligatures w14:val="none"/>
              </w:rPr>
            </w:pPr>
            <w:r w:rsidRPr="0024189C">
              <w:rPr>
                <w:rFonts w:eastAsia="Times New Roman"/>
                <w:kern w:val="0"/>
                <w:sz w:val="20"/>
                <w:szCs w:val="20"/>
                <w14:ligatures w14:val="none"/>
              </w:rPr>
              <w:t>18-24</w:t>
            </w:r>
          </w:p>
        </w:tc>
        <w:tc>
          <w:tcPr>
            <w:tcW w:w="2327" w:type="dxa"/>
            <w:tcBorders>
              <w:top w:val="nil"/>
              <w:left w:val="nil"/>
              <w:bottom w:val="nil"/>
              <w:right w:val="single" w:sz="18" w:space="0" w:color="auto"/>
            </w:tcBorders>
            <w:noWrap/>
            <w:vAlign w:val="center"/>
            <w:hideMark/>
          </w:tcPr>
          <w:p w14:paraId="1F2E922E"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25-44</w:t>
            </w:r>
          </w:p>
        </w:tc>
        <w:tc>
          <w:tcPr>
            <w:tcW w:w="1303" w:type="dxa"/>
            <w:tcBorders>
              <w:top w:val="nil"/>
              <w:left w:val="single" w:sz="18" w:space="0" w:color="auto"/>
              <w:bottom w:val="nil"/>
              <w:right w:val="single" w:sz="4" w:space="0" w:color="auto"/>
            </w:tcBorders>
            <w:noWrap/>
            <w:vAlign w:val="bottom"/>
            <w:hideMark/>
          </w:tcPr>
          <w:p w14:paraId="58AABE0F" w14:textId="0C43279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-22.24</w:t>
            </w:r>
          </w:p>
        </w:tc>
        <w:tc>
          <w:tcPr>
            <w:tcW w:w="1303" w:type="dxa"/>
            <w:tcBorders>
              <w:top w:val="nil"/>
              <w:left w:val="nil"/>
              <w:bottom w:val="nil"/>
              <w:right w:val="single" w:sz="4" w:space="0" w:color="auto"/>
            </w:tcBorders>
            <w:noWrap/>
            <w:vAlign w:val="bottom"/>
            <w:hideMark/>
          </w:tcPr>
          <w:p w14:paraId="294A2D00" w14:textId="31DB14F8"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26.67</w:t>
            </w:r>
          </w:p>
        </w:tc>
        <w:tc>
          <w:tcPr>
            <w:tcW w:w="1440" w:type="dxa"/>
            <w:tcBorders>
              <w:top w:val="nil"/>
              <w:left w:val="nil"/>
              <w:bottom w:val="nil"/>
              <w:right w:val="single" w:sz="4" w:space="0" w:color="auto"/>
            </w:tcBorders>
            <w:noWrap/>
            <w:vAlign w:val="bottom"/>
            <w:hideMark/>
          </w:tcPr>
          <w:p w14:paraId="18AC71F8" w14:textId="3760AFD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29.24</w:t>
            </w:r>
          </w:p>
        </w:tc>
        <w:tc>
          <w:tcPr>
            <w:tcW w:w="1440" w:type="dxa"/>
            <w:tcBorders>
              <w:top w:val="nil"/>
              <w:left w:val="nil"/>
              <w:bottom w:val="nil"/>
              <w:right w:val="single" w:sz="4" w:space="0" w:color="auto"/>
            </w:tcBorders>
            <w:noWrap/>
            <w:vAlign w:val="bottom"/>
            <w:hideMark/>
          </w:tcPr>
          <w:p w14:paraId="2A9CFD27" w14:textId="00C0B79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35.05</w:t>
            </w:r>
          </w:p>
        </w:tc>
        <w:tc>
          <w:tcPr>
            <w:tcW w:w="1444" w:type="dxa"/>
            <w:tcBorders>
              <w:top w:val="nil"/>
              <w:left w:val="nil"/>
              <w:bottom w:val="nil"/>
              <w:right w:val="single" w:sz="18" w:space="0" w:color="auto"/>
            </w:tcBorders>
            <w:noWrap/>
            <w:vAlign w:val="bottom"/>
            <w:hideMark/>
          </w:tcPr>
          <w:p w14:paraId="63A894A3" w14:textId="4C735CF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-3.65</w:t>
            </w:r>
          </w:p>
        </w:tc>
      </w:tr>
      <w:tr w:rsidR="00B35DFA" w:rsidRPr="00C10DAB" w14:paraId="7B09D473" w14:textId="77777777" w:rsidTr="00AC65DD">
        <w:trPr>
          <w:trHeight w:val="20"/>
          <w:jc w:val="center"/>
        </w:trPr>
        <w:tc>
          <w:tcPr>
            <w:tcW w:w="1610" w:type="dxa"/>
            <w:vMerge/>
            <w:tcBorders>
              <w:top w:val="nil"/>
              <w:left w:val="single" w:sz="18" w:space="0" w:color="auto"/>
              <w:bottom w:val="nil"/>
              <w:right w:val="single" w:sz="4" w:space="0" w:color="auto"/>
            </w:tcBorders>
            <w:vAlign w:val="center"/>
            <w:hideMark/>
          </w:tcPr>
          <w:p w14:paraId="22C392BD"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43E13167"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18-24</w:t>
            </w:r>
          </w:p>
        </w:tc>
        <w:tc>
          <w:tcPr>
            <w:tcW w:w="2327" w:type="dxa"/>
            <w:tcBorders>
              <w:top w:val="nil"/>
              <w:left w:val="nil"/>
              <w:bottom w:val="nil"/>
              <w:right w:val="single" w:sz="18" w:space="0" w:color="auto"/>
            </w:tcBorders>
            <w:noWrap/>
            <w:vAlign w:val="center"/>
            <w:hideMark/>
          </w:tcPr>
          <w:p w14:paraId="313126F8"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45-54</w:t>
            </w:r>
          </w:p>
        </w:tc>
        <w:tc>
          <w:tcPr>
            <w:tcW w:w="1303" w:type="dxa"/>
            <w:tcBorders>
              <w:top w:val="nil"/>
              <w:left w:val="single" w:sz="18" w:space="0" w:color="auto"/>
              <w:bottom w:val="nil"/>
              <w:right w:val="single" w:sz="4" w:space="0" w:color="auto"/>
            </w:tcBorders>
            <w:noWrap/>
            <w:vAlign w:val="bottom"/>
            <w:hideMark/>
          </w:tcPr>
          <w:p w14:paraId="45B0B6CF" w14:textId="2509587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-41.20</w:t>
            </w:r>
          </w:p>
        </w:tc>
        <w:tc>
          <w:tcPr>
            <w:tcW w:w="1303" w:type="dxa"/>
            <w:tcBorders>
              <w:top w:val="nil"/>
              <w:left w:val="nil"/>
              <w:bottom w:val="nil"/>
              <w:right w:val="single" w:sz="4" w:space="0" w:color="auto"/>
            </w:tcBorders>
            <w:noWrap/>
            <w:vAlign w:val="bottom"/>
            <w:hideMark/>
          </w:tcPr>
          <w:p w14:paraId="2761FE50" w14:textId="3AB0468C"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36.98</w:t>
            </w:r>
          </w:p>
        </w:tc>
        <w:tc>
          <w:tcPr>
            <w:tcW w:w="1440" w:type="dxa"/>
            <w:tcBorders>
              <w:top w:val="nil"/>
              <w:left w:val="nil"/>
              <w:bottom w:val="nil"/>
              <w:right w:val="single" w:sz="4" w:space="0" w:color="auto"/>
            </w:tcBorders>
            <w:noWrap/>
            <w:vAlign w:val="bottom"/>
            <w:hideMark/>
          </w:tcPr>
          <w:p w14:paraId="68B7A3DD" w14:textId="6B74FBED"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54.05</w:t>
            </w:r>
          </w:p>
        </w:tc>
        <w:tc>
          <w:tcPr>
            <w:tcW w:w="1440" w:type="dxa"/>
            <w:tcBorders>
              <w:top w:val="nil"/>
              <w:left w:val="nil"/>
              <w:bottom w:val="nil"/>
              <w:right w:val="single" w:sz="4" w:space="0" w:color="auto"/>
            </w:tcBorders>
            <w:noWrap/>
            <w:vAlign w:val="bottom"/>
            <w:hideMark/>
          </w:tcPr>
          <w:p w14:paraId="68165064" w14:textId="2C3F9359"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70.15</w:t>
            </w:r>
          </w:p>
        </w:tc>
        <w:tc>
          <w:tcPr>
            <w:tcW w:w="1444" w:type="dxa"/>
            <w:tcBorders>
              <w:top w:val="nil"/>
              <w:left w:val="nil"/>
              <w:bottom w:val="nil"/>
              <w:right w:val="single" w:sz="18" w:space="0" w:color="auto"/>
            </w:tcBorders>
            <w:noWrap/>
            <w:vAlign w:val="bottom"/>
            <w:hideMark/>
          </w:tcPr>
          <w:p w14:paraId="3B16F6E0" w14:textId="2EA198C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-23.58</w:t>
            </w:r>
          </w:p>
        </w:tc>
      </w:tr>
      <w:tr w:rsidR="00B35DFA" w:rsidRPr="00C10DAB" w14:paraId="558DAEA0" w14:textId="77777777" w:rsidTr="00AC65DD">
        <w:trPr>
          <w:trHeight w:val="20"/>
          <w:jc w:val="center"/>
        </w:trPr>
        <w:tc>
          <w:tcPr>
            <w:tcW w:w="1610" w:type="dxa"/>
            <w:vMerge/>
            <w:tcBorders>
              <w:top w:val="nil"/>
              <w:left w:val="single" w:sz="18" w:space="0" w:color="auto"/>
              <w:bottom w:val="nil"/>
              <w:right w:val="single" w:sz="4" w:space="0" w:color="auto"/>
            </w:tcBorders>
            <w:vAlign w:val="center"/>
            <w:hideMark/>
          </w:tcPr>
          <w:p w14:paraId="43284141"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7A5C2FA7"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18-24</w:t>
            </w:r>
          </w:p>
        </w:tc>
        <w:tc>
          <w:tcPr>
            <w:tcW w:w="2327" w:type="dxa"/>
            <w:tcBorders>
              <w:top w:val="nil"/>
              <w:left w:val="nil"/>
              <w:bottom w:val="nil"/>
              <w:right w:val="single" w:sz="18" w:space="0" w:color="auto"/>
            </w:tcBorders>
            <w:noWrap/>
            <w:vAlign w:val="center"/>
            <w:hideMark/>
          </w:tcPr>
          <w:p w14:paraId="3D9D2017"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55+</w:t>
            </w:r>
          </w:p>
        </w:tc>
        <w:tc>
          <w:tcPr>
            <w:tcW w:w="1303" w:type="dxa"/>
            <w:tcBorders>
              <w:top w:val="nil"/>
              <w:left w:val="single" w:sz="18" w:space="0" w:color="auto"/>
              <w:bottom w:val="nil"/>
              <w:right w:val="single" w:sz="4" w:space="0" w:color="auto"/>
            </w:tcBorders>
            <w:noWrap/>
            <w:vAlign w:val="bottom"/>
            <w:hideMark/>
          </w:tcPr>
          <w:p w14:paraId="4FE4E719" w14:textId="04010E46"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-7.24</w:t>
            </w:r>
          </w:p>
        </w:tc>
        <w:tc>
          <w:tcPr>
            <w:tcW w:w="1303" w:type="dxa"/>
            <w:tcBorders>
              <w:top w:val="nil"/>
              <w:left w:val="nil"/>
              <w:bottom w:val="nil"/>
              <w:right w:val="single" w:sz="4" w:space="0" w:color="auto"/>
            </w:tcBorders>
            <w:noWrap/>
            <w:vAlign w:val="bottom"/>
            <w:hideMark/>
          </w:tcPr>
          <w:p w14:paraId="1B8294A2" w14:textId="4389B11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8.47</w:t>
            </w:r>
          </w:p>
        </w:tc>
        <w:tc>
          <w:tcPr>
            <w:tcW w:w="1440" w:type="dxa"/>
            <w:tcBorders>
              <w:top w:val="nil"/>
              <w:left w:val="nil"/>
              <w:bottom w:val="nil"/>
              <w:right w:val="single" w:sz="4" w:space="0" w:color="auto"/>
            </w:tcBorders>
            <w:noWrap/>
            <w:vAlign w:val="bottom"/>
            <w:hideMark/>
          </w:tcPr>
          <w:p w14:paraId="631D9AC9" w14:textId="7E129BB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-3.89</w:t>
            </w:r>
          </w:p>
        </w:tc>
        <w:tc>
          <w:tcPr>
            <w:tcW w:w="1440" w:type="dxa"/>
            <w:tcBorders>
              <w:top w:val="nil"/>
              <w:left w:val="nil"/>
              <w:bottom w:val="nil"/>
              <w:right w:val="single" w:sz="4" w:space="0" w:color="auto"/>
            </w:tcBorders>
            <w:noWrap/>
            <w:vAlign w:val="bottom"/>
            <w:hideMark/>
          </w:tcPr>
          <w:p w14:paraId="01C80C6E" w14:textId="6F3B223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-1.20</w:t>
            </w:r>
          </w:p>
        </w:tc>
        <w:tc>
          <w:tcPr>
            <w:tcW w:w="1444" w:type="dxa"/>
            <w:tcBorders>
              <w:top w:val="nil"/>
              <w:left w:val="nil"/>
              <w:bottom w:val="nil"/>
              <w:right w:val="single" w:sz="18" w:space="0" w:color="auto"/>
            </w:tcBorders>
            <w:noWrap/>
            <w:vAlign w:val="bottom"/>
            <w:hideMark/>
          </w:tcPr>
          <w:p w14:paraId="729191A7" w14:textId="5A9F9F19"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8.08</w:t>
            </w:r>
          </w:p>
        </w:tc>
      </w:tr>
      <w:tr w:rsidR="00B35DFA" w:rsidRPr="00C10DAB" w14:paraId="78D5B82C" w14:textId="77777777" w:rsidTr="00AC65DD">
        <w:trPr>
          <w:trHeight w:val="20"/>
          <w:jc w:val="center"/>
        </w:trPr>
        <w:tc>
          <w:tcPr>
            <w:tcW w:w="1610" w:type="dxa"/>
            <w:tcBorders>
              <w:top w:val="nil"/>
              <w:left w:val="single" w:sz="18" w:space="0" w:color="auto"/>
              <w:bottom w:val="nil"/>
              <w:right w:val="single" w:sz="4" w:space="0" w:color="auto"/>
            </w:tcBorders>
            <w:noWrap/>
            <w:vAlign w:val="center"/>
            <w:hideMark/>
          </w:tcPr>
          <w:p w14:paraId="5E1C5391"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Race</w:t>
            </w:r>
          </w:p>
        </w:tc>
        <w:tc>
          <w:tcPr>
            <w:tcW w:w="1710" w:type="dxa"/>
            <w:tcBorders>
              <w:top w:val="nil"/>
              <w:left w:val="nil"/>
              <w:bottom w:val="nil"/>
              <w:right w:val="single" w:sz="4" w:space="0" w:color="auto"/>
            </w:tcBorders>
            <w:noWrap/>
            <w:vAlign w:val="center"/>
            <w:hideMark/>
          </w:tcPr>
          <w:p w14:paraId="7FBEDD14"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White</w:t>
            </w:r>
          </w:p>
        </w:tc>
        <w:tc>
          <w:tcPr>
            <w:tcW w:w="2327" w:type="dxa"/>
            <w:tcBorders>
              <w:top w:val="nil"/>
              <w:left w:val="nil"/>
              <w:bottom w:val="nil"/>
              <w:right w:val="single" w:sz="18" w:space="0" w:color="auto"/>
            </w:tcBorders>
            <w:noWrap/>
            <w:vAlign w:val="center"/>
            <w:hideMark/>
          </w:tcPr>
          <w:p w14:paraId="58344EB0"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Non-White</w:t>
            </w:r>
          </w:p>
        </w:tc>
        <w:tc>
          <w:tcPr>
            <w:tcW w:w="1303" w:type="dxa"/>
            <w:tcBorders>
              <w:top w:val="nil"/>
              <w:left w:val="single" w:sz="18" w:space="0" w:color="auto"/>
              <w:bottom w:val="nil"/>
              <w:right w:val="single" w:sz="4" w:space="0" w:color="auto"/>
            </w:tcBorders>
            <w:noWrap/>
            <w:vAlign w:val="bottom"/>
            <w:hideMark/>
          </w:tcPr>
          <w:p w14:paraId="69BB8AAE" w14:textId="0C2728BD"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4.62</w:t>
            </w:r>
          </w:p>
        </w:tc>
        <w:tc>
          <w:tcPr>
            <w:tcW w:w="1303" w:type="dxa"/>
            <w:tcBorders>
              <w:top w:val="nil"/>
              <w:left w:val="nil"/>
              <w:bottom w:val="nil"/>
              <w:right w:val="single" w:sz="4" w:space="0" w:color="auto"/>
            </w:tcBorders>
            <w:noWrap/>
            <w:vAlign w:val="bottom"/>
            <w:hideMark/>
          </w:tcPr>
          <w:p w14:paraId="5AC41FC2" w14:textId="5D7C6B5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-18.30</w:t>
            </w:r>
          </w:p>
        </w:tc>
        <w:tc>
          <w:tcPr>
            <w:tcW w:w="1440" w:type="dxa"/>
            <w:tcBorders>
              <w:top w:val="nil"/>
              <w:left w:val="nil"/>
              <w:bottom w:val="nil"/>
              <w:right w:val="single" w:sz="4" w:space="0" w:color="auto"/>
            </w:tcBorders>
            <w:noWrap/>
            <w:vAlign w:val="bottom"/>
            <w:hideMark/>
          </w:tcPr>
          <w:p w14:paraId="63EA34B2" w14:textId="7BFBD4A9"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-8.16</w:t>
            </w:r>
          </w:p>
        </w:tc>
        <w:tc>
          <w:tcPr>
            <w:tcW w:w="1440" w:type="dxa"/>
            <w:tcBorders>
              <w:top w:val="nil"/>
              <w:left w:val="nil"/>
              <w:bottom w:val="nil"/>
              <w:right w:val="single" w:sz="4" w:space="0" w:color="auto"/>
            </w:tcBorders>
            <w:noWrap/>
            <w:vAlign w:val="bottom"/>
            <w:hideMark/>
          </w:tcPr>
          <w:p w14:paraId="2AF48C13" w14:textId="1571DED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-4.77</w:t>
            </w:r>
          </w:p>
        </w:tc>
        <w:tc>
          <w:tcPr>
            <w:tcW w:w="1444" w:type="dxa"/>
            <w:tcBorders>
              <w:top w:val="nil"/>
              <w:left w:val="nil"/>
              <w:bottom w:val="nil"/>
              <w:right w:val="single" w:sz="18" w:space="0" w:color="auto"/>
            </w:tcBorders>
            <w:noWrap/>
            <w:vAlign w:val="bottom"/>
            <w:hideMark/>
          </w:tcPr>
          <w:p w14:paraId="02AE6E9A" w14:textId="47DED035"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-19.13</w:t>
            </w:r>
          </w:p>
        </w:tc>
      </w:tr>
      <w:tr w:rsidR="00B35DFA" w:rsidRPr="00C10DAB" w14:paraId="49A2503B" w14:textId="77777777" w:rsidTr="00AC65DD">
        <w:trPr>
          <w:trHeight w:val="20"/>
          <w:jc w:val="center"/>
        </w:trPr>
        <w:tc>
          <w:tcPr>
            <w:tcW w:w="1610" w:type="dxa"/>
            <w:tcBorders>
              <w:top w:val="nil"/>
              <w:left w:val="single" w:sz="18" w:space="0" w:color="auto"/>
              <w:bottom w:val="nil"/>
              <w:right w:val="single" w:sz="4" w:space="0" w:color="auto"/>
            </w:tcBorders>
            <w:noWrap/>
            <w:vAlign w:val="center"/>
            <w:hideMark/>
          </w:tcPr>
          <w:p w14:paraId="3A0772F6"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Ethnicity</w:t>
            </w:r>
          </w:p>
        </w:tc>
        <w:tc>
          <w:tcPr>
            <w:tcW w:w="1710" w:type="dxa"/>
            <w:tcBorders>
              <w:top w:val="nil"/>
              <w:left w:val="nil"/>
              <w:bottom w:val="nil"/>
              <w:right w:val="single" w:sz="4" w:space="0" w:color="auto"/>
            </w:tcBorders>
            <w:noWrap/>
            <w:vAlign w:val="center"/>
            <w:hideMark/>
          </w:tcPr>
          <w:p w14:paraId="4AD22567"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Not Hispanic</w:t>
            </w:r>
          </w:p>
        </w:tc>
        <w:tc>
          <w:tcPr>
            <w:tcW w:w="2327" w:type="dxa"/>
            <w:tcBorders>
              <w:top w:val="nil"/>
              <w:left w:val="nil"/>
              <w:bottom w:val="nil"/>
              <w:right w:val="single" w:sz="18" w:space="0" w:color="auto"/>
            </w:tcBorders>
            <w:noWrap/>
            <w:vAlign w:val="center"/>
            <w:hideMark/>
          </w:tcPr>
          <w:p w14:paraId="7AF1B8AE"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Hispanic</w:t>
            </w:r>
          </w:p>
        </w:tc>
        <w:tc>
          <w:tcPr>
            <w:tcW w:w="1303" w:type="dxa"/>
            <w:tcBorders>
              <w:top w:val="nil"/>
              <w:left w:val="single" w:sz="18" w:space="0" w:color="auto"/>
              <w:bottom w:val="nil"/>
              <w:right w:val="single" w:sz="4" w:space="0" w:color="auto"/>
            </w:tcBorders>
            <w:noWrap/>
            <w:vAlign w:val="bottom"/>
            <w:hideMark/>
          </w:tcPr>
          <w:p w14:paraId="2646EA5E" w14:textId="23057321"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9.59</w:t>
            </w:r>
          </w:p>
        </w:tc>
        <w:tc>
          <w:tcPr>
            <w:tcW w:w="1303" w:type="dxa"/>
            <w:tcBorders>
              <w:top w:val="nil"/>
              <w:left w:val="nil"/>
              <w:bottom w:val="nil"/>
              <w:right w:val="single" w:sz="4" w:space="0" w:color="auto"/>
            </w:tcBorders>
            <w:noWrap/>
            <w:vAlign w:val="bottom"/>
            <w:hideMark/>
          </w:tcPr>
          <w:p w14:paraId="0999D512" w14:textId="634D6AB7"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-8.80</w:t>
            </w:r>
          </w:p>
        </w:tc>
        <w:tc>
          <w:tcPr>
            <w:tcW w:w="1440" w:type="dxa"/>
            <w:tcBorders>
              <w:top w:val="nil"/>
              <w:left w:val="nil"/>
              <w:bottom w:val="nil"/>
              <w:right w:val="single" w:sz="4" w:space="0" w:color="auto"/>
            </w:tcBorders>
            <w:noWrap/>
            <w:vAlign w:val="bottom"/>
            <w:hideMark/>
          </w:tcPr>
          <w:p w14:paraId="3DF2ABB9" w14:textId="2D55E7D8"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-14.69</w:t>
            </w:r>
          </w:p>
        </w:tc>
        <w:tc>
          <w:tcPr>
            <w:tcW w:w="1440" w:type="dxa"/>
            <w:tcBorders>
              <w:top w:val="nil"/>
              <w:left w:val="nil"/>
              <w:bottom w:val="nil"/>
              <w:right w:val="single" w:sz="4" w:space="0" w:color="auto"/>
            </w:tcBorders>
            <w:noWrap/>
            <w:vAlign w:val="bottom"/>
            <w:hideMark/>
          </w:tcPr>
          <w:p w14:paraId="21B2AF5A" w14:textId="0AC2A2AE"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-18.45</w:t>
            </w:r>
          </w:p>
        </w:tc>
        <w:tc>
          <w:tcPr>
            <w:tcW w:w="1444" w:type="dxa"/>
            <w:tcBorders>
              <w:top w:val="nil"/>
              <w:left w:val="nil"/>
              <w:bottom w:val="nil"/>
              <w:right w:val="single" w:sz="18" w:space="0" w:color="auto"/>
            </w:tcBorders>
            <w:noWrap/>
            <w:vAlign w:val="bottom"/>
            <w:hideMark/>
          </w:tcPr>
          <w:p w14:paraId="5EFDCCAF" w14:textId="3DDB1CCA"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-5.98</w:t>
            </w:r>
          </w:p>
        </w:tc>
      </w:tr>
      <w:tr w:rsidR="00B35DFA" w:rsidRPr="00C10DAB" w14:paraId="1FA68D35" w14:textId="77777777" w:rsidTr="00AC65DD">
        <w:trPr>
          <w:trHeight w:val="20"/>
          <w:jc w:val="center"/>
        </w:trPr>
        <w:tc>
          <w:tcPr>
            <w:tcW w:w="1610" w:type="dxa"/>
            <w:tcBorders>
              <w:top w:val="nil"/>
              <w:left w:val="single" w:sz="18" w:space="0" w:color="auto"/>
              <w:bottom w:val="single" w:sz="4" w:space="0" w:color="auto"/>
              <w:right w:val="single" w:sz="4" w:space="0" w:color="auto"/>
            </w:tcBorders>
            <w:noWrap/>
            <w:vAlign w:val="center"/>
            <w:hideMark/>
          </w:tcPr>
          <w:p w14:paraId="72ECCE88" w14:textId="2C1A226E"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 xml:space="preserve">Disability </w:t>
            </w:r>
          </w:p>
        </w:tc>
        <w:tc>
          <w:tcPr>
            <w:tcW w:w="1710" w:type="dxa"/>
            <w:tcBorders>
              <w:top w:val="nil"/>
              <w:left w:val="nil"/>
              <w:bottom w:val="single" w:sz="4" w:space="0" w:color="auto"/>
              <w:right w:val="single" w:sz="4" w:space="0" w:color="auto"/>
            </w:tcBorders>
            <w:noWrap/>
            <w:vAlign w:val="center"/>
            <w:hideMark/>
          </w:tcPr>
          <w:p w14:paraId="01BC3537"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No</w:t>
            </w:r>
          </w:p>
        </w:tc>
        <w:tc>
          <w:tcPr>
            <w:tcW w:w="2327" w:type="dxa"/>
            <w:tcBorders>
              <w:top w:val="nil"/>
              <w:left w:val="nil"/>
              <w:bottom w:val="single" w:sz="4" w:space="0" w:color="auto"/>
              <w:right w:val="single" w:sz="18" w:space="0" w:color="auto"/>
            </w:tcBorders>
            <w:noWrap/>
            <w:vAlign w:val="center"/>
            <w:hideMark/>
          </w:tcPr>
          <w:p w14:paraId="2C52318F"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Yes</w:t>
            </w:r>
          </w:p>
        </w:tc>
        <w:tc>
          <w:tcPr>
            <w:tcW w:w="1303" w:type="dxa"/>
            <w:tcBorders>
              <w:top w:val="nil"/>
              <w:left w:val="single" w:sz="18" w:space="0" w:color="auto"/>
              <w:bottom w:val="single" w:sz="4" w:space="0" w:color="auto"/>
              <w:right w:val="single" w:sz="4" w:space="0" w:color="auto"/>
            </w:tcBorders>
            <w:noWrap/>
            <w:vAlign w:val="bottom"/>
            <w:hideMark/>
          </w:tcPr>
          <w:p w14:paraId="684405BA" w14:textId="174B4FB0"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12.81</w:t>
            </w:r>
          </w:p>
        </w:tc>
        <w:tc>
          <w:tcPr>
            <w:tcW w:w="1303" w:type="dxa"/>
            <w:tcBorders>
              <w:top w:val="nil"/>
              <w:left w:val="nil"/>
              <w:bottom w:val="single" w:sz="4" w:space="0" w:color="auto"/>
              <w:right w:val="single" w:sz="4" w:space="0" w:color="auto"/>
            </w:tcBorders>
            <w:noWrap/>
            <w:vAlign w:val="bottom"/>
            <w:hideMark/>
          </w:tcPr>
          <w:p w14:paraId="149CAC0E" w14:textId="18BD0BE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8.01</w:t>
            </w:r>
          </w:p>
        </w:tc>
        <w:tc>
          <w:tcPr>
            <w:tcW w:w="1440" w:type="dxa"/>
            <w:tcBorders>
              <w:top w:val="nil"/>
              <w:left w:val="nil"/>
              <w:bottom w:val="single" w:sz="4" w:space="0" w:color="auto"/>
              <w:right w:val="single" w:sz="4" w:space="0" w:color="auto"/>
            </w:tcBorders>
            <w:noWrap/>
            <w:vAlign w:val="bottom"/>
            <w:hideMark/>
          </w:tcPr>
          <w:p w14:paraId="51C37739" w14:textId="17626C77"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0.04</w:t>
            </w:r>
          </w:p>
        </w:tc>
        <w:tc>
          <w:tcPr>
            <w:tcW w:w="1440" w:type="dxa"/>
            <w:tcBorders>
              <w:top w:val="nil"/>
              <w:left w:val="nil"/>
              <w:bottom w:val="single" w:sz="4" w:space="0" w:color="auto"/>
              <w:right w:val="single" w:sz="4" w:space="0" w:color="auto"/>
            </w:tcBorders>
            <w:noWrap/>
            <w:vAlign w:val="bottom"/>
            <w:hideMark/>
          </w:tcPr>
          <w:p w14:paraId="52C1A2B1" w14:textId="1A6BE328"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-9.72</w:t>
            </w:r>
          </w:p>
        </w:tc>
        <w:tc>
          <w:tcPr>
            <w:tcW w:w="1444" w:type="dxa"/>
            <w:tcBorders>
              <w:top w:val="nil"/>
              <w:left w:val="nil"/>
              <w:bottom w:val="single" w:sz="4" w:space="0" w:color="auto"/>
              <w:right w:val="single" w:sz="18" w:space="0" w:color="auto"/>
            </w:tcBorders>
            <w:noWrap/>
            <w:vAlign w:val="bottom"/>
            <w:hideMark/>
          </w:tcPr>
          <w:p w14:paraId="698B4A19" w14:textId="7C8F80DD"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18.97</w:t>
            </w:r>
          </w:p>
        </w:tc>
      </w:tr>
      <w:tr w:rsidR="00B35DFA" w:rsidRPr="00C10DAB" w14:paraId="6EF86F44" w14:textId="77777777" w:rsidTr="00AC65DD">
        <w:trPr>
          <w:trHeight w:val="20"/>
          <w:jc w:val="center"/>
        </w:trPr>
        <w:tc>
          <w:tcPr>
            <w:tcW w:w="1610" w:type="dxa"/>
            <w:vMerge w:val="restart"/>
            <w:tcBorders>
              <w:top w:val="nil"/>
              <w:left w:val="single" w:sz="18" w:space="0" w:color="auto"/>
              <w:bottom w:val="single" w:sz="4" w:space="0" w:color="000000"/>
              <w:right w:val="single" w:sz="4" w:space="0" w:color="auto"/>
            </w:tcBorders>
            <w:noWrap/>
            <w:vAlign w:val="center"/>
            <w:hideMark/>
          </w:tcPr>
          <w:p w14:paraId="50DC8DF0"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Income</w:t>
            </w:r>
          </w:p>
        </w:tc>
        <w:tc>
          <w:tcPr>
            <w:tcW w:w="1710" w:type="dxa"/>
            <w:tcBorders>
              <w:top w:val="nil"/>
              <w:left w:val="nil"/>
              <w:bottom w:val="nil"/>
              <w:right w:val="single" w:sz="4" w:space="0" w:color="auto"/>
            </w:tcBorders>
            <w:noWrap/>
            <w:vAlign w:val="center"/>
            <w:hideMark/>
          </w:tcPr>
          <w:p w14:paraId="383E1B43"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Less than $50,000</w:t>
            </w:r>
          </w:p>
        </w:tc>
        <w:tc>
          <w:tcPr>
            <w:tcW w:w="2327" w:type="dxa"/>
            <w:tcBorders>
              <w:top w:val="nil"/>
              <w:left w:val="nil"/>
              <w:bottom w:val="nil"/>
              <w:right w:val="single" w:sz="18" w:space="0" w:color="auto"/>
            </w:tcBorders>
            <w:noWrap/>
            <w:vAlign w:val="center"/>
            <w:hideMark/>
          </w:tcPr>
          <w:p w14:paraId="41A8A278"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$50,000 - $99,999</w:t>
            </w:r>
          </w:p>
        </w:tc>
        <w:tc>
          <w:tcPr>
            <w:tcW w:w="1303" w:type="dxa"/>
            <w:tcBorders>
              <w:top w:val="nil"/>
              <w:left w:val="single" w:sz="18" w:space="0" w:color="auto"/>
              <w:bottom w:val="nil"/>
              <w:right w:val="single" w:sz="4" w:space="0" w:color="auto"/>
            </w:tcBorders>
            <w:noWrap/>
            <w:vAlign w:val="bottom"/>
            <w:hideMark/>
          </w:tcPr>
          <w:p w14:paraId="7D6DBA38" w14:textId="13433EC8"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11.33</w:t>
            </w:r>
          </w:p>
        </w:tc>
        <w:tc>
          <w:tcPr>
            <w:tcW w:w="1303" w:type="dxa"/>
            <w:tcBorders>
              <w:top w:val="nil"/>
              <w:left w:val="nil"/>
              <w:bottom w:val="nil"/>
              <w:right w:val="single" w:sz="4" w:space="0" w:color="auto"/>
            </w:tcBorders>
            <w:noWrap/>
            <w:vAlign w:val="bottom"/>
            <w:hideMark/>
          </w:tcPr>
          <w:p w14:paraId="758DF45F" w14:textId="56612BE0"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-8.35</w:t>
            </w:r>
          </w:p>
        </w:tc>
        <w:tc>
          <w:tcPr>
            <w:tcW w:w="1440" w:type="dxa"/>
            <w:tcBorders>
              <w:top w:val="nil"/>
              <w:left w:val="nil"/>
              <w:bottom w:val="nil"/>
              <w:right w:val="single" w:sz="4" w:space="0" w:color="auto"/>
            </w:tcBorders>
            <w:noWrap/>
            <w:vAlign w:val="bottom"/>
            <w:hideMark/>
          </w:tcPr>
          <w:p w14:paraId="21D03DC9" w14:textId="0422830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-23.67</w:t>
            </w:r>
          </w:p>
        </w:tc>
        <w:tc>
          <w:tcPr>
            <w:tcW w:w="1440" w:type="dxa"/>
            <w:tcBorders>
              <w:top w:val="nil"/>
              <w:left w:val="nil"/>
              <w:bottom w:val="nil"/>
              <w:right w:val="single" w:sz="4" w:space="0" w:color="auto"/>
            </w:tcBorders>
            <w:noWrap/>
            <w:vAlign w:val="bottom"/>
            <w:hideMark/>
          </w:tcPr>
          <w:p w14:paraId="4CDF0A1B" w14:textId="067DCD97"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-26.23</w:t>
            </w:r>
          </w:p>
        </w:tc>
        <w:tc>
          <w:tcPr>
            <w:tcW w:w="1444" w:type="dxa"/>
            <w:tcBorders>
              <w:top w:val="nil"/>
              <w:left w:val="nil"/>
              <w:bottom w:val="nil"/>
              <w:right w:val="single" w:sz="18" w:space="0" w:color="auto"/>
            </w:tcBorders>
            <w:noWrap/>
            <w:vAlign w:val="bottom"/>
            <w:hideMark/>
          </w:tcPr>
          <w:p w14:paraId="23938F98" w14:textId="2304565A"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2.16</w:t>
            </w:r>
          </w:p>
        </w:tc>
      </w:tr>
      <w:tr w:rsidR="00B35DFA" w:rsidRPr="00C10DAB" w14:paraId="5FEB71C5" w14:textId="77777777" w:rsidTr="00AC65DD">
        <w:trPr>
          <w:trHeight w:val="20"/>
          <w:jc w:val="center"/>
        </w:trPr>
        <w:tc>
          <w:tcPr>
            <w:tcW w:w="1610" w:type="dxa"/>
            <w:vMerge/>
            <w:tcBorders>
              <w:top w:val="nil"/>
              <w:left w:val="single" w:sz="18" w:space="0" w:color="auto"/>
              <w:bottom w:val="single" w:sz="4" w:space="0" w:color="000000"/>
              <w:right w:val="single" w:sz="4" w:space="0" w:color="auto"/>
            </w:tcBorders>
            <w:vAlign w:val="center"/>
            <w:hideMark/>
          </w:tcPr>
          <w:p w14:paraId="4BD1749F"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3D73C769"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Less than $50,000</w:t>
            </w:r>
          </w:p>
        </w:tc>
        <w:tc>
          <w:tcPr>
            <w:tcW w:w="2327" w:type="dxa"/>
            <w:tcBorders>
              <w:top w:val="nil"/>
              <w:left w:val="nil"/>
              <w:bottom w:val="nil"/>
              <w:right w:val="single" w:sz="18" w:space="0" w:color="auto"/>
            </w:tcBorders>
            <w:noWrap/>
            <w:vAlign w:val="center"/>
            <w:hideMark/>
          </w:tcPr>
          <w:p w14:paraId="1DB5E435"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$100,000 - $199,999</w:t>
            </w:r>
          </w:p>
        </w:tc>
        <w:tc>
          <w:tcPr>
            <w:tcW w:w="1303" w:type="dxa"/>
            <w:tcBorders>
              <w:top w:val="nil"/>
              <w:left w:val="single" w:sz="18" w:space="0" w:color="auto"/>
              <w:bottom w:val="nil"/>
              <w:right w:val="single" w:sz="4" w:space="0" w:color="auto"/>
            </w:tcBorders>
            <w:noWrap/>
            <w:vAlign w:val="bottom"/>
            <w:hideMark/>
          </w:tcPr>
          <w:p w14:paraId="66008FA8" w14:textId="36A4513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18.33</w:t>
            </w:r>
          </w:p>
        </w:tc>
        <w:tc>
          <w:tcPr>
            <w:tcW w:w="1303" w:type="dxa"/>
            <w:tcBorders>
              <w:top w:val="nil"/>
              <w:left w:val="nil"/>
              <w:bottom w:val="nil"/>
              <w:right w:val="single" w:sz="4" w:space="0" w:color="auto"/>
            </w:tcBorders>
            <w:noWrap/>
            <w:vAlign w:val="bottom"/>
            <w:hideMark/>
          </w:tcPr>
          <w:p w14:paraId="3E940808" w14:textId="4CC21B1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18.25</w:t>
            </w:r>
          </w:p>
        </w:tc>
        <w:tc>
          <w:tcPr>
            <w:tcW w:w="1440" w:type="dxa"/>
            <w:tcBorders>
              <w:top w:val="nil"/>
              <w:left w:val="nil"/>
              <w:bottom w:val="nil"/>
              <w:right w:val="single" w:sz="4" w:space="0" w:color="auto"/>
            </w:tcBorders>
            <w:noWrap/>
            <w:vAlign w:val="bottom"/>
            <w:hideMark/>
          </w:tcPr>
          <w:p w14:paraId="69DA8D4C" w14:textId="43E3675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-21.30</w:t>
            </w:r>
          </w:p>
        </w:tc>
        <w:tc>
          <w:tcPr>
            <w:tcW w:w="1440" w:type="dxa"/>
            <w:tcBorders>
              <w:top w:val="nil"/>
              <w:left w:val="nil"/>
              <w:bottom w:val="nil"/>
              <w:right w:val="single" w:sz="4" w:space="0" w:color="auto"/>
            </w:tcBorders>
            <w:noWrap/>
            <w:vAlign w:val="bottom"/>
            <w:hideMark/>
          </w:tcPr>
          <w:p w14:paraId="006B8B48" w14:textId="699F8D50"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-28.50</w:t>
            </w:r>
          </w:p>
        </w:tc>
        <w:tc>
          <w:tcPr>
            <w:tcW w:w="1444" w:type="dxa"/>
            <w:tcBorders>
              <w:top w:val="nil"/>
              <w:left w:val="nil"/>
              <w:bottom w:val="nil"/>
              <w:right w:val="single" w:sz="18" w:space="0" w:color="auto"/>
            </w:tcBorders>
            <w:noWrap/>
            <w:vAlign w:val="bottom"/>
            <w:hideMark/>
          </w:tcPr>
          <w:p w14:paraId="38CB077F" w14:textId="141AABC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39.06</w:t>
            </w:r>
          </w:p>
        </w:tc>
      </w:tr>
      <w:tr w:rsidR="00B35DFA" w:rsidRPr="00C10DAB" w14:paraId="5247C082" w14:textId="77777777" w:rsidTr="00AC65DD">
        <w:trPr>
          <w:trHeight w:val="20"/>
          <w:jc w:val="center"/>
        </w:trPr>
        <w:tc>
          <w:tcPr>
            <w:tcW w:w="1610" w:type="dxa"/>
            <w:vMerge/>
            <w:tcBorders>
              <w:top w:val="nil"/>
              <w:left w:val="single" w:sz="18" w:space="0" w:color="auto"/>
              <w:bottom w:val="single" w:sz="4" w:space="0" w:color="000000"/>
              <w:right w:val="single" w:sz="4" w:space="0" w:color="auto"/>
            </w:tcBorders>
            <w:vAlign w:val="center"/>
            <w:hideMark/>
          </w:tcPr>
          <w:p w14:paraId="667887AD"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single" w:sz="4" w:space="0" w:color="auto"/>
              <w:right w:val="single" w:sz="4" w:space="0" w:color="auto"/>
            </w:tcBorders>
            <w:noWrap/>
            <w:vAlign w:val="center"/>
            <w:hideMark/>
          </w:tcPr>
          <w:p w14:paraId="38F9F461"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Less than $50,000</w:t>
            </w:r>
          </w:p>
        </w:tc>
        <w:tc>
          <w:tcPr>
            <w:tcW w:w="2327" w:type="dxa"/>
            <w:tcBorders>
              <w:top w:val="nil"/>
              <w:left w:val="nil"/>
              <w:bottom w:val="single" w:sz="4" w:space="0" w:color="auto"/>
              <w:right w:val="single" w:sz="18" w:space="0" w:color="auto"/>
            </w:tcBorders>
            <w:noWrap/>
            <w:vAlign w:val="center"/>
            <w:hideMark/>
          </w:tcPr>
          <w:p w14:paraId="682102BB"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$200,000+</w:t>
            </w:r>
          </w:p>
        </w:tc>
        <w:tc>
          <w:tcPr>
            <w:tcW w:w="1303" w:type="dxa"/>
            <w:tcBorders>
              <w:top w:val="nil"/>
              <w:left w:val="single" w:sz="18" w:space="0" w:color="auto"/>
              <w:bottom w:val="single" w:sz="4" w:space="0" w:color="auto"/>
              <w:right w:val="single" w:sz="4" w:space="0" w:color="auto"/>
            </w:tcBorders>
            <w:noWrap/>
            <w:vAlign w:val="bottom"/>
            <w:hideMark/>
          </w:tcPr>
          <w:p w14:paraId="5572A370" w14:textId="3D54D916"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17.21</w:t>
            </w:r>
          </w:p>
        </w:tc>
        <w:tc>
          <w:tcPr>
            <w:tcW w:w="1303" w:type="dxa"/>
            <w:tcBorders>
              <w:top w:val="nil"/>
              <w:left w:val="nil"/>
              <w:bottom w:val="single" w:sz="4" w:space="0" w:color="auto"/>
              <w:right w:val="single" w:sz="4" w:space="0" w:color="auto"/>
            </w:tcBorders>
            <w:noWrap/>
            <w:vAlign w:val="bottom"/>
            <w:hideMark/>
          </w:tcPr>
          <w:p w14:paraId="29F4E1EC" w14:textId="06B2223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22.30</w:t>
            </w:r>
          </w:p>
        </w:tc>
        <w:tc>
          <w:tcPr>
            <w:tcW w:w="1440" w:type="dxa"/>
            <w:tcBorders>
              <w:top w:val="nil"/>
              <w:left w:val="nil"/>
              <w:bottom w:val="single" w:sz="4" w:space="0" w:color="auto"/>
              <w:right w:val="single" w:sz="4" w:space="0" w:color="auto"/>
            </w:tcBorders>
            <w:noWrap/>
            <w:vAlign w:val="bottom"/>
            <w:hideMark/>
          </w:tcPr>
          <w:p w14:paraId="393356A0" w14:textId="1316EB7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-21.99</w:t>
            </w:r>
          </w:p>
        </w:tc>
        <w:tc>
          <w:tcPr>
            <w:tcW w:w="1440" w:type="dxa"/>
            <w:tcBorders>
              <w:top w:val="nil"/>
              <w:left w:val="nil"/>
              <w:bottom w:val="single" w:sz="4" w:space="0" w:color="auto"/>
              <w:right w:val="single" w:sz="4" w:space="0" w:color="auto"/>
            </w:tcBorders>
            <w:noWrap/>
            <w:vAlign w:val="bottom"/>
            <w:hideMark/>
          </w:tcPr>
          <w:p w14:paraId="018F09F3" w14:textId="68F64A30"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-25.08</w:t>
            </w:r>
          </w:p>
        </w:tc>
        <w:tc>
          <w:tcPr>
            <w:tcW w:w="1444" w:type="dxa"/>
            <w:tcBorders>
              <w:top w:val="nil"/>
              <w:left w:val="nil"/>
              <w:bottom w:val="single" w:sz="4" w:space="0" w:color="auto"/>
              <w:right w:val="single" w:sz="18" w:space="0" w:color="auto"/>
            </w:tcBorders>
            <w:noWrap/>
            <w:vAlign w:val="bottom"/>
            <w:hideMark/>
          </w:tcPr>
          <w:p w14:paraId="677D703D" w14:textId="623F6938"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43.10</w:t>
            </w:r>
          </w:p>
        </w:tc>
      </w:tr>
      <w:tr w:rsidR="00B35DFA" w:rsidRPr="00C10DAB" w14:paraId="7F8200FF" w14:textId="77777777" w:rsidTr="00AC65DD">
        <w:trPr>
          <w:trHeight w:val="20"/>
          <w:jc w:val="center"/>
        </w:trPr>
        <w:tc>
          <w:tcPr>
            <w:tcW w:w="1610" w:type="dxa"/>
            <w:vMerge w:val="restart"/>
            <w:tcBorders>
              <w:top w:val="nil"/>
              <w:left w:val="single" w:sz="18" w:space="0" w:color="auto"/>
              <w:bottom w:val="nil"/>
              <w:right w:val="single" w:sz="4" w:space="0" w:color="auto"/>
            </w:tcBorders>
            <w:noWrap/>
            <w:vAlign w:val="center"/>
            <w:hideMark/>
          </w:tcPr>
          <w:p w14:paraId="25B11332"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Population Density</w:t>
            </w:r>
          </w:p>
        </w:tc>
        <w:tc>
          <w:tcPr>
            <w:tcW w:w="1710" w:type="dxa"/>
            <w:tcBorders>
              <w:top w:val="nil"/>
              <w:left w:val="nil"/>
              <w:bottom w:val="nil"/>
              <w:right w:val="single" w:sz="4" w:space="0" w:color="auto"/>
            </w:tcBorders>
            <w:noWrap/>
            <w:vAlign w:val="center"/>
            <w:hideMark/>
          </w:tcPr>
          <w:p w14:paraId="153A2215"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&lt;4,000</w:t>
            </w:r>
          </w:p>
        </w:tc>
        <w:tc>
          <w:tcPr>
            <w:tcW w:w="2327" w:type="dxa"/>
            <w:tcBorders>
              <w:top w:val="nil"/>
              <w:left w:val="nil"/>
              <w:bottom w:val="nil"/>
              <w:right w:val="single" w:sz="18" w:space="0" w:color="auto"/>
            </w:tcBorders>
            <w:noWrap/>
            <w:vAlign w:val="center"/>
            <w:hideMark/>
          </w:tcPr>
          <w:p w14:paraId="723A4CF4"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4,000 - 5,999</w:t>
            </w:r>
          </w:p>
        </w:tc>
        <w:tc>
          <w:tcPr>
            <w:tcW w:w="1303" w:type="dxa"/>
            <w:tcBorders>
              <w:top w:val="nil"/>
              <w:left w:val="single" w:sz="18" w:space="0" w:color="auto"/>
              <w:bottom w:val="nil"/>
              <w:right w:val="single" w:sz="4" w:space="0" w:color="auto"/>
            </w:tcBorders>
            <w:noWrap/>
            <w:vAlign w:val="bottom"/>
            <w:hideMark/>
          </w:tcPr>
          <w:p w14:paraId="41A717DD" w14:textId="6498906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-3.10</w:t>
            </w:r>
          </w:p>
        </w:tc>
        <w:tc>
          <w:tcPr>
            <w:tcW w:w="1303" w:type="dxa"/>
            <w:tcBorders>
              <w:top w:val="nil"/>
              <w:left w:val="nil"/>
              <w:bottom w:val="nil"/>
              <w:right w:val="single" w:sz="4" w:space="0" w:color="auto"/>
            </w:tcBorders>
            <w:noWrap/>
            <w:vAlign w:val="bottom"/>
            <w:hideMark/>
          </w:tcPr>
          <w:p w14:paraId="424B506D" w14:textId="19AD08C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13.72</w:t>
            </w:r>
          </w:p>
        </w:tc>
        <w:tc>
          <w:tcPr>
            <w:tcW w:w="1440" w:type="dxa"/>
            <w:tcBorders>
              <w:top w:val="nil"/>
              <w:left w:val="nil"/>
              <w:bottom w:val="nil"/>
              <w:right w:val="single" w:sz="4" w:space="0" w:color="auto"/>
            </w:tcBorders>
            <w:noWrap/>
            <w:vAlign w:val="bottom"/>
            <w:hideMark/>
          </w:tcPr>
          <w:p w14:paraId="22508CF0" w14:textId="41871716"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-19.87</w:t>
            </w:r>
          </w:p>
        </w:tc>
        <w:tc>
          <w:tcPr>
            <w:tcW w:w="1440" w:type="dxa"/>
            <w:tcBorders>
              <w:top w:val="nil"/>
              <w:left w:val="nil"/>
              <w:bottom w:val="nil"/>
              <w:right w:val="single" w:sz="4" w:space="0" w:color="auto"/>
            </w:tcBorders>
            <w:noWrap/>
            <w:vAlign w:val="bottom"/>
            <w:hideMark/>
          </w:tcPr>
          <w:p w14:paraId="073B93EE" w14:textId="2A6F614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-23.68</w:t>
            </w:r>
          </w:p>
        </w:tc>
        <w:tc>
          <w:tcPr>
            <w:tcW w:w="1444" w:type="dxa"/>
            <w:tcBorders>
              <w:top w:val="nil"/>
              <w:left w:val="nil"/>
              <w:bottom w:val="nil"/>
              <w:right w:val="single" w:sz="18" w:space="0" w:color="auto"/>
            </w:tcBorders>
            <w:noWrap/>
            <w:vAlign w:val="bottom"/>
            <w:hideMark/>
          </w:tcPr>
          <w:p w14:paraId="13A6C28B" w14:textId="43B42EBA"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-1.91</w:t>
            </w:r>
          </w:p>
        </w:tc>
      </w:tr>
      <w:tr w:rsidR="00B35DFA" w:rsidRPr="00C10DAB" w14:paraId="566ED5AF" w14:textId="77777777" w:rsidTr="00AC65DD">
        <w:trPr>
          <w:trHeight w:val="20"/>
          <w:jc w:val="center"/>
        </w:trPr>
        <w:tc>
          <w:tcPr>
            <w:tcW w:w="1610" w:type="dxa"/>
            <w:vMerge/>
            <w:tcBorders>
              <w:top w:val="nil"/>
              <w:left w:val="single" w:sz="18" w:space="0" w:color="auto"/>
              <w:bottom w:val="nil"/>
              <w:right w:val="single" w:sz="4" w:space="0" w:color="auto"/>
            </w:tcBorders>
            <w:vAlign w:val="center"/>
            <w:hideMark/>
          </w:tcPr>
          <w:p w14:paraId="396D20D0"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2A908DE0"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&lt;4,000</w:t>
            </w:r>
          </w:p>
        </w:tc>
        <w:tc>
          <w:tcPr>
            <w:tcW w:w="2327" w:type="dxa"/>
            <w:tcBorders>
              <w:top w:val="nil"/>
              <w:left w:val="nil"/>
              <w:bottom w:val="nil"/>
              <w:right w:val="single" w:sz="18" w:space="0" w:color="auto"/>
            </w:tcBorders>
            <w:noWrap/>
            <w:vAlign w:val="center"/>
            <w:hideMark/>
          </w:tcPr>
          <w:p w14:paraId="069F9AB4"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6,000+</w:t>
            </w:r>
          </w:p>
        </w:tc>
        <w:tc>
          <w:tcPr>
            <w:tcW w:w="1303" w:type="dxa"/>
            <w:tcBorders>
              <w:top w:val="nil"/>
              <w:left w:val="single" w:sz="18" w:space="0" w:color="auto"/>
              <w:bottom w:val="nil"/>
              <w:right w:val="single" w:sz="4" w:space="0" w:color="auto"/>
            </w:tcBorders>
            <w:noWrap/>
            <w:vAlign w:val="bottom"/>
            <w:hideMark/>
          </w:tcPr>
          <w:p w14:paraId="33FE9414" w14:textId="057E18CD"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-3.10</w:t>
            </w:r>
          </w:p>
        </w:tc>
        <w:tc>
          <w:tcPr>
            <w:tcW w:w="1303" w:type="dxa"/>
            <w:tcBorders>
              <w:top w:val="nil"/>
              <w:left w:val="nil"/>
              <w:bottom w:val="nil"/>
              <w:right w:val="single" w:sz="4" w:space="0" w:color="auto"/>
            </w:tcBorders>
            <w:noWrap/>
            <w:vAlign w:val="bottom"/>
            <w:hideMark/>
          </w:tcPr>
          <w:p w14:paraId="48838EF1" w14:textId="3D74DD39"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13.72</w:t>
            </w:r>
          </w:p>
        </w:tc>
        <w:tc>
          <w:tcPr>
            <w:tcW w:w="1440" w:type="dxa"/>
            <w:tcBorders>
              <w:top w:val="nil"/>
              <w:left w:val="nil"/>
              <w:bottom w:val="nil"/>
              <w:right w:val="single" w:sz="4" w:space="0" w:color="auto"/>
            </w:tcBorders>
            <w:noWrap/>
            <w:vAlign w:val="bottom"/>
            <w:hideMark/>
          </w:tcPr>
          <w:p w14:paraId="4450A8BD" w14:textId="0953696A"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-26.53</w:t>
            </w:r>
          </w:p>
        </w:tc>
        <w:tc>
          <w:tcPr>
            <w:tcW w:w="1440" w:type="dxa"/>
            <w:tcBorders>
              <w:top w:val="nil"/>
              <w:left w:val="nil"/>
              <w:bottom w:val="nil"/>
              <w:right w:val="single" w:sz="4" w:space="0" w:color="auto"/>
            </w:tcBorders>
            <w:noWrap/>
            <w:vAlign w:val="bottom"/>
            <w:hideMark/>
          </w:tcPr>
          <w:p w14:paraId="65662ECD" w14:textId="71EB9940"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-30.48</w:t>
            </w:r>
          </w:p>
        </w:tc>
        <w:tc>
          <w:tcPr>
            <w:tcW w:w="1444" w:type="dxa"/>
            <w:tcBorders>
              <w:top w:val="nil"/>
              <w:left w:val="nil"/>
              <w:bottom w:val="nil"/>
              <w:right w:val="single" w:sz="18" w:space="0" w:color="auto"/>
            </w:tcBorders>
            <w:noWrap/>
            <w:vAlign w:val="bottom"/>
            <w:hideMark/>
          </w:tcPr>
          <w:p w14:paraId="1C1E6E01" w14:textId="5226987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-4.55</w:t>
            </w:r>
          </w:p>
        </w:tc>
      </w:tr>
      <w:tr w:rsidR="00B35DFA" w:rsidRPr="00C10DAB" w14:paraId="33B028A7" w14:textId="77777777" w:rsidTr="00AC65DD">
        <w:trPr>
          <w:trHeight w:val="20"/>
          <w:jc w:val="center"/>
        </w:trPr>
        <w:tc>
          <w:tcPr>
            <w:tcW w:w="1610" w:type="dxa"/>
            <w:vMerge w:val="restart"/>
            <w:tcBorders>
              <w:top w:val="nil"/>
              <w:left w:val="single" w:sz="18" w:space="0" w:color="auto"/>
              <w:bottom w:val="single" w:sz="4" w:space="0" w:color="000000"/>
              <w:right w:val="single" w:sz="4" w:space="0" w:color="auto"/>
            </w:tcBorders>
            <w:noWrap/>
            <w:vAlign w:val="center"/>
            <w:hideMark/>
          </w:tcPr>
          <w:p w14:paraId="54C15F7B" w14:textId="37624868"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Walkability Index</w:t>
            </w:r>
          </w:p>
        </w:tc>
        <w:tc>
          <w:tcPr>
            <w:tcW w:w="1710" w:type="dxa"/>
            <w:tcBorders>
              <w:top w:val="nil"/>
              <w:left w:val="nil"/>
              <w:bottom w:val="nil"/>
              <w:right w:val="single" w:sz="4" w:space="0" w:color="auto"/>
            </w:tcBorders>
            <w:noWrap/>
            <w:vAlign w:val="center"/>
            <w:hideMark/>
          </w:tcPr>
          <w:p w14:paraId="1978D411"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&lt;10</w:t>
            </w:r>
          </w:p>
        </w:tc>
        <w:tc>
          <w:tcPr>
            <w:tcW w:w="2327" w:type="dxa"/>
            <w:tcBorders>
              <w:top w:val="nil"/>
              <w:left w:val="nil"/>
              <w:bottom w:val="nil"/>
              <w:right w:val="single" w:sz="18" w:space="0" w:color="auto"/>
            </w:tcBorders>
            <w:noWrap/>
            <w:vAlign w:val="center"/>
            <w:hideMark/>
          </w:tcPr>
          <w:p w14:paraId="4B6C569C"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10 - 14.9</w:t>
            </w:r>
          </w:p>
        </w:tc>
        <w:tc>
          <w:tcPr>
            <w:tcW w:w="1303" w:type="dxa"/>
            <w:tcBorders>
              <w:top w:val="nil"/>
              <w:left w:val="single" w:sz="18" w:space="0" w:color="auto"/>
              <w:bottom w:val="nil"/>
              <w:right w:val="single" w:sz="4" w:space="0" w:color="auto"/>
            </w:tcBorders>
            <w:noWrap/>
            <w:vAlign w:val="bottom"/>
            <w:hideMark/>
          </w:tcPr>
          <w:p w14:paraId="16436EA0" w14:textId="1722A3F6"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23.08</w:t>
            </w:r>
          </w:p>
        </w:tc>
        <w:tc>
          <w:tcPr>
            <w:tcW w:w="1303" w:type="dxa"/>
            <w:tcBorders>
              <w:top w:val="nil"/>
              <w:left w:val="nil"/>
              <w:bottom w:val="nil"/>
              <w:right w:val="single" w:sz="4" w:space="0" w:color="auto"/>
            </w:tcBorders>
            <w:noWrap/>
            <w:vAlign w:val="bottom"/>
            <w:hideMark/>
          </w:tcPr>
          <w:p w14:paraId="33F79C55" w14:textId="33286359"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36.48</w:t>
            </w:r>
          </w:p>
        </w:tc>
        <w:tc>
          <w:tcPr>
            <w:tcW w:w="1440" w:type="dxa"/>
            <w:tcBorders>
              <w:top w:val="nil"/>
              <w:left w:val="nil"/>
              <w:bottom w:val="nil"/>
              <w:right w:val="single" w:sz="4" w:space="0" w:color="auto"/>
            </w:tcBorders>
            <w:noWrap/>
            <w:vAlign w:val="bottom"/>
            <w:hideMark/>
          </w:tcPr>
          <w:p w14:paraId="40449365" w14:textId="2B0B8821"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-41.28</w:t>
            </w:r>
          </w:p>
        </w:tc>
        <w:tc>
          <w:tcPr>
            <w:tcW w:w="1440" w:type="dxa"/>
            <w:tcBorders>
              <w:top w:val="nil"/>
              <w:left w:val="nil"/>
              <w:bottom w:val="nil"/>
              <w:right w:val="single" w:sz="4" w:space="0" w:color="auto"/>
            </w:tcBorders>
            <w:noWrap/>
            <w:vAlign w:val="bottom"/>
            <w:hideMark/>
          </w:tcPr>
          <w:p w14:paraId="21D759F1" w14:textId="5ABFAEC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-46.55</w:t>
            </w:r>
          </w:p>
        </w:tc>
        <w:tc>
          <w:tcPr>
            <w:tcW w:w="1444" w:type="dxa"/>
            <w:tcBorders>
              <w:top w:val="nil"/>
              <w:left w:val="nil"/>
              <w:bottom w:val="nil"/>
              <w:right w:val="single" w:sz="18" w:space="0" w:color="auto"/>
            </w:tcBorders>
            <w:noWrap/>
            <w:vAlign w:val="bottom"/>
            <w:hideMark/>
          </w:tcPr>
          <w:p w14:paraId="5DA23AA1" w14:textId="494E43B7"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92.78</w:t>
            </w:r>
          </w:p>
        </w:tc>
      </w:tr>
      <w:tr w:rsidR="00B35DFA" w:rsidRPr="00C10DAB" w14:paraId="6B3D819C" w14:textId="77777777" w:rsidTr="00AC65DD">
        <w:trPr>
          <w:trHeight w:val="20"/>
          <w:jc w:val="center"/>
        </w:trPr>
        <w:tc>
          <w:tcPr>
            <w:tcW w:w="1610" w:type="dxa"/>
            <w:vMerge/>
            <w:tcBorders>
              <w:top w:val="nil"/>
              <w:left w:val="single" w:sz="18" w:space="0" w:color="auto"/>
              <w:bottom w:val="single" w:sz="4" w:space="0" w:color="000000"/>
              <w:right w:val="single" w:sz="4" w:space="0" w:color="auto"/>
            </w:tcBorders>
            <w:vAlign w:val="center"/>
            <w:hideMark/>
          </w:tcPr>
          <w:p w14:paraId="0814534E"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single" w:sz="4" w:space="0" w:color="auto"/>
              <w:right w:val="single" w:sz="4" w:space="0" w:color="auto"/>
            </w:tcBorders>
            <w:noWrap/>
            <w:vAlign w:val="center"/>
            <w:hideMark/>
          </w:tcPr>
          <w:p w14:paraId="0ECC9980"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&lt;10</w:t>
            </w:r>
          </w:p>
        </w:tc>
        <w:tc>
          <w:tcPr>
            <w:tcW w:w="2327" w:type="dxa"/>
            <w:tcBorders>
              <w:top w:val="nil"/>
              <w:left w:val="nil"/>
              <w:bottom w:val="single" w:sz="4" w:space="0" w:color="auto"/>
              <w:right w:val="single" w:sz="18" w:space="0" w:color="auto"/>
            </w:tcBorders>
            <w:noWrap/>
            <w:vAlign w:val="center"/>
            <w:hideMark/>
          </w:tcPr>
          <w:p w14:paraId="5A2985E3"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15+</w:t>
            </w:r>
          </w:p>
        </w:tc>
        <w:tc>
          <w:tcPr>
            <w:tcW w:w="1303" w:type="dxa"/>
            <w:tcBorders>
              <w:top w:val="nil"/>
              <w:left w:val="single" w:sz="18" w:space="0" w:color="auto"/>
              <w:bottom w:val="single" w:sz="4" w:space="0" w:color="auto"/>
              <w:right w:val="single" w:sz="4" w:space="0" w:color="auto"/>
            </w:tcBorders>
            <w:noWrap/>
            <w:vAlign w:val="bottom"/>
            <w:hideMark/>
          </w:tcPr>
          <w:p w14:paraId="06022CC3" w14:textId="491BC106"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41.04</w:t>
            </w:r>
          </w:p>
        </w:tc>
        <w:tc>
          <w:tcPr>
            <w:tcW w:w="1303" w:type="dxa"/>
            <w:tcBorders>
              <w:top w:val="nil"/>
              <w:left w:val="nil"/>
              <w:bottom w:val="single" w:sz="4" w:space="0" w:color="auto"/>
              <w:right w:val="single" w:sz="4" w:space="0" w:color="auto"/>
            </w:tcBorders>
            <w:noWrap/>
            <w:vAlign w:val="bottom"/>
            <w:hideMark/>
          </w:tcPr>
          <w:p w14:paraId="1C7BD968" w14:textId="600435C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32.57</w:t>
            </w:r>
          </w:p>
        </w:tc>
        <w:tc>
          <w:tcPr>
            <w:tcW w:w="1440" w:type="dxa"/>
            <w:tcBorders>
              <w:top w:val="nil"/>
              <w:left w:val="nil"/>
              <w:bottom w:val="single" w:sz="4" w:space="0" w:color="auto"/>
              <w:right w:val="single" w:sz="4" w:space="0" w:color="auto"/>
            </w:tcBorders>
            <w:noWrap/>
            <w:vAlign w:val="bottom"/>
            <w:hideMark/>
          </w:tcPr>
          <w:p w14:paraId="5E54713A" w14:textId="3E8D6E49"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-48.25</w:t>
            </w:r>
          </w:p>
        </w:tc>
        <w:tc>
          <w:tcPr>
            <w:tcW w:w="1440" w:type="dxa"/>
            <w:tcBorders>
              <w:top w:val="nil"/>
              <w:left w:val="nil"/>
              <w:bottom w:val="single" w:sz="4" w:space="0" w:color="auto"/>
              <w:right w:val="single" w:sz="4" w:space="0" w:color="auto"/>
            </w:tcBorders>
            <w:noWrap/>
            <w:vAlign w:val="bottom"/>
            <w:hideMark/>
          </w:tcPr>
          <w:p w14:paraId="6888B4D4" w14:textId="11787811"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-54.98</w:t>
            </w:r>
          </w:p>
        </w:tc>
        <w:tc>
          <w:tcPr>
            <w:tcW w:w="1444" w:type="dxa"/>
            <w:tcBorders>
              <w:top w:val="nil"/>
              <w:left w:val="nil"/>
              <w:bottom w:val="single" w:sz="4" w:space="0" w:color="auto"/>
              <w:right w:val="single" w:sz="18" w:space="0" w:color="auto"/>
            </w:tcBorders>
            <w:noWrap/>
            <w:vAlign w:val="bottom"/>
            <w:hideMark/>
          </w:tcPr>
          <w:p w14:paraId="5F8E2565" w14:textId="6382AFFA"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113.24</w:t>
            </w:r>
          </w:p>
        </w:tc>
      </w:tr>
      <w:tr w:rsidR="00B35DFA" w:rsidRPr="00C10DAB" w14:paraId="6A237DE0" w14:textId="77777777" w:rsidTr="00AC65DD">
        <w:trPr>
          <w:trHeight w:val="20"/>
          <w:jc w:val="center"/>
        </w:trPr>
        <w:tc>
          <w:tcPr>
            <w:tcW w:w="1610" w:type="dxa"/>
            <w:vMerge w:val="restart"/>
            <w:tcBorders>
              <w:top w:val="nil"/>
              <w:left w:val="single" w:sz="18" w:space="0" w:color="auto"/>
              <w:bottom w:val="nil"/>
              <w:right w:val="single" w:sz="4" w:space="0" w:color="auto"/>
            </w:tcBorders>
            <w:noWrap/>
            <w:vAlign w:val="center"/>
            <w:hideMark/>
          </w:tcPr>
          <w:p w14:paraId="1FF6DFD6" w14:textId="777777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Industry</w:t>
            </w:r>
          </w:p>
        </w:tc>
        <w:tc>
          <w:tcPr>
            <w:tcW w:w="1710" w:type="dxa"/>
            <w:tcBorders>
              <w:top w:val="nil"/>
              <w:left w:val="nil"/>
              <w:bottom w:val="nil"/>
              <w:right w:val="single" w:sz="4" w:space="0" w:color="auto"/>
            </w:tcBorders>
            <w:noWrap/>
            <w:vAlign w:val="center"/>
            <w:hideMark/>
          </w:tcPr>
          <w:p w14:paraId="5CF5E97C" w14:textId="3479ABDC"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Hospitality</w:t>
            </w:r>
          </w:p>
        </w:tc>
        <w:tc>
          <w:tcPr>
            <w:tcW w:w="2327" w:type="dxa"/>
            <w:tcBorders>
              <w:top w:val="nil"/>
              <w:left w:val="nil"/>
              <w:bottom w:val="nil"/>
              <w:right w:val="single" w:sz="18" w:space="0" w:color="auto"/>
            </w:tcBorders>
            <w:noWrap/>
            <w:vAlign w:val="center"/>
          </w:tcPr>
          <w:p w14:paraId="610B2498" w14:textId="3D800471"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Health</w:t>
            </w:r>
          </w:p>
        </w:tc>
        <w:tc>
          <w:tcPr>
            <w:tcW w:w="1303" w:type="dxa"/>
            <w:tcBorders>
              <w:top w:val="nil"/>
              <w:left w:val="single" w:sz="18" w:space="0" w:color="auto"/>
              <w:bottom w:val="nil"/>
              <w:right w:val="single" w:sz="4" w:space="0" w:color="auto"/>
            </w:tcBorders>
            <w:noWrap/>
            <w:vAlign w:val="bottom"/>
          </w:tcPr>
          <w:p w14:paraId="0387C04D" w14:textId="233B0F2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-10.91</w:t>
            </w:r>
          </w:p>
        </w:tc>
        <w:tc>
          <w:tcPr>
            <w:tcW w:w="1303" w:type="dxa"/>
            <w:tcBorders>
              <w:top w:val="nil"/>
              <w:left w:val="nil"/>
              <w:bottom w:val="nil"/>
              <w:right w:val="single" w:sz="4" w:space="0" w:color="auto"/>
            </w:tcBorders>
            <w:noWrap/>
            <w:vAlign w:val="bottom"/>
          </w:tcPr>
          <w:p w14:paraId="09E8FEBA" w14:textId="10610A2E"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7.73</w:t>
            </w:r>
          </w:p>
        </w:tc>
        <w:tc>
          <w:tcPr>
            <w:tcW w:w="1440" w:type="dxa"/>
            <w:tcBorders>
              <w:top w:val="nil"/>
              <w:left w:val="nil"/>
              <w:bottom w:val="nil"/>
              <w:right w:val="single" w:sz="4" w:space="0" w:color="auto"/>
            </w:tcBorders>
            <w:noWrap/>
            <w:vAlign w:val="bottom"/>
          </w:tcPr>
          <w:p w14:paraId="4B5B7B4F" w14:textId="52EFF71B"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-3.47</w:t>
            </w:r>
          </w:p>
        </w:tc>
        <w:tc>
          <w:tcPr>
            <w:tcW w:w="1440" w:type="dxa"/>
            <w:tcBorders>
              <w:top w:val="nil"/>
              <w:left w:val="nil"/>
              <w:bottom w:val="nil"/>
              <w:right w:val="single" w:sz="4" w:space="0" w:color="auto"/>
            </w:tcBorders>
            <w:noWrap/>
            <w:vAlign w:val="bottom"/>
          </w:tcPr>
          <w:p w14:paraId="0F965A4C" w14:textId="03724D5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-6.83</w:t>
            </w:r>
          </w:p>
        </w:tc>
        <w:tc>
          <w:tcPr>
            <w:tcW w:w="1444" w:type="dxa"/>
            <w:tcBorders>
              <w:top w:val="nil"/>
              <w:left w:val="nil"/>
              <w:bottom w:val="nil"/>
              <w:right w:val="single" w:sz="18" w:space="0" w:color="auto"/>
            </w:tcBorders>
            <w:noWrap/>
            <w:vAlign w:val="bottom"/>
          </w:tcPr>
          <w:p w14:paraId="1612CBDC" w14:textId="39C25625"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-13.49</w:t>
            </w:r>
          </w:p>
        </w:tc>
      </w:tr>
      <w:tr w:rsidR="00B35DFA" w:rsidRPr="00C10DAB" w14:paraId="34EED345" w14:textId="77777777" w:rsidTr="00AC65DD">
        <w:trPr>
          <w:trHeight w:val="20"/>
          <w:jc w:val="center"/>
        </w:trPr>
        <w:tc>
          <w:tcPr>
            <w:tcW w:w="1610" w:type="dxa"/>
            <w:vMerge/>
            <w:tcBorders>
              <w:top w:val="nil"/>
              <w:left w:val="single" w:sz="18" w:space="0" w:color="auto"/>
              <w:bottom w:val="nil"/>
              <w:right w:val="single" w:sz="4" w:space="0" w:color="auto"/>
            </w:tcBorders>
            <w:vAlign w:val="center"/>
            <w:hideMark/>
          </w:tcPr>
          <w:p w14:paraId="6EA0FB19"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30CDF089" w14:textId="29280AF2"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Hospitality</w:t>
            </w:r>
          </w:p>
        </w:tc>
        <w:tc>
          <w:tcPr>
            <w:tcW w:w="2327" w:type="dxa"/>
            <w:tcBorders>
              <w:top w:val="nil"/>
              <w:left w:val="nil"/>
              <w:bottom w:val="nil"/>
              <w:right w:val="single" w:sz="18" w:space="0" w:color="auto"/>
            </w:tcBorders>
            <w:noWrap/>
            <w:vAlign w:val="center"/>
          </w:tcPr>
          <w:p w14:paraId="67917462" w14:textId="6F91CE7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Construction/manufacturing</w:t>
            </w:r>
          </w:p>
        </w:tc>
        <w:tc>
          <w:tcPr>
            <w:tcW w:w="1303" w:type="dxa"/>
            <w:tcBorders>
              <w:top w:val="nil"/>
              <w:left w:val="single" w:sz="18" w:space="0" w:color="auto"/>
              <w:bottom w:val="nil"/>
              <w:right w:val="single" w:sz="4" w:space="0" w:color="auto"/>
            </w:tcBorders>
            <w:noWrap/>
            <w:vAlign w:val="bottom"/>
          </w:tcPr>
          <w:p w14:paraId="522AD1C8" w14:textId="24FAFF51"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-20.29</w:t>
            </w:r>
          </w:p>
        </w:tc>
        <w:tc>
          <w:tcPr>
            <w:tcW w:w="1303" w:type="dxa"/>
            <w:tcBorders>
              <w:top w:val="nil"/>
              <w:left w:val="nil"/>
              <w:bottom w:val="nil"/>
              <w:right w:val="single" w:sz="4" w:space="0" w:color="auto"/>
            </w:tcBorders>
            <w:noWrap/>
            <w:vAlign w:val="bottom"/>
          </w:tcPr>
          <w:p w14:paraId="4FBEBB00" w14:textId="40BDA5F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-9.56</w:t>
            </w:r>
          </w:p>
        </w:tc>
        <w:tc>
          <w:tcPr>
            <w:tcW w:w="1440" w:type="dxa"/>
            <w:tcBorders>
              <w:top w:val="nil"/>
              <w:left w:val="nil"/>
              <w:bottom w:val="nil"/>
              <w:right w:val="single" w:sz="4" w:space="0" w:color="auto"/>
            </w:tcBorders>
            <w:noWrap/>
            <w:vAlign w:val="bottom"/>
          </w:tcPr>
          <w:p w14:paraId="4839D926" w14:textId="03BDB741"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-23.61</w:t>
            </w:r>
          </w:p>
        </w:tc>
        <w:tc>
          <w:tcPr>
            <w:tcW w:w="1440" w:type="dxa"/>
            <w:tcBorders>
              <w:top w:val="nil"/>
              <w:left w:val="nil"/>
              <w:bottom w:val="nil"/>
              <w:right w:val="single" w:sz="4" w:space="0" w:color="auto"/>
            </w:tcBorders>
            <w:noWrap/>
            <w:vAlign w:val="bottom"/>
          </w:tcPr>
          <w:p w14:paraId="6E4C64EA" w14:textId="5137F294"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-21.03</w:t>
            </w:r>
          </w:p>
        </w:tc>
        <w:tc>
          <w:tcPr>
            <w:tcW w:w="1444" w:type="dxa"/>
            <w:tcBorders>
              <w:top w:val="nil"/>
              <w:left w:val="nil"/>
              <w:bottom w:val="nil"/>
              <w:right w:val="single" w:sz="18" w:space="0" w:color="auto"/>
            </w:tcBorders>
            <w:noWrap/>
            <w:vAlign w:val="bottom"/>
          </w:tcPr>
          <w:p w14:paraId="03C8443F" w14:textId="4970652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-40.08</w:t>
            </w:r>
          </w:p>
        </w:tc>
      </w:tr>
      <w:tr w:rsidR="00B35DFA" w:rsidRPr="00C10DAB" w14:paraId="528EAB90" w14:textId="77777777" w:rsidTr="00AC65DD">
        <w:trPr>
          <w:trHeight w:val="20"/>
          <w:jc w:val="center"/>
        </w:trPr>
        <w:tc>
          <w:tcPr>
            <w:tcW w:w="1610" w:type="dxa"/>
            <w:vMerge/>
            <w:tcBorders>
              <w:top w:val="nil"/>
              <w:left w:val="single" w:sz="18" w:space="0" w:color="auto"/>
              <w:bottom w:val="nil"/>
              <w:right w:val="single" w:sz="4" w:space="0" w:color="auto"/>
            </w:tcBorders>
            <w:vAlign w:val="center"/>
            <w:hideMark/>
          </w:tcPr>
          <w:p w14:paraId="492BC240"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2EC7F654" w14:textId="5DB94F67"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Hospitality</w:t>
            </w:r>
          </w:p>
        </w:tc>
        <w:tc>
          <w:tcPr>
            <w:tcW w:w="2327" w:type="dxa"/>
            <w:tcBorders>
              <w:top w:val="nil"/>
              <w:left w:val="nil"/>
              <w:bottom w:val="nil"/>
              <w:right w:val="single" w:sz="18" w:space="0" w:color="auto"/>
            </w:tcBorders>
            <w:noWrap/>
            <w:vAlign w:val="center"/>
          </w:tcPr>
          <w:p w14:paraId="4841CFA1" w14:textId="62D1EC51"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Education/social work</w:t>
            </w:r>
          </w:p>
        </w:tc>
        <w:tc>
          <w:tcPr>
            <w:tcW w:w="1303" w:type="dxa"/>
            <w:tcBorders>
              <w:top w:val="nil"/>
              <w:left w:val="single" w:sz="18" w:space="0" w:color="auto"/>
              <w:bottom w:val="nil"/>
              <w:right w:val="single" w:sz="4" w:space="0" w:color="auto"/>
            </w:tcBorders>
            <w:noWrap/>
            <w:vAlign w:val="bottom"/>
          </w:tcPr>
          <w:p w14:paraId="1FC72889" w14:textId="1F93989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-8.65</w:t>
            </w:r>
          </w:p>
        </w:tc>
        <w:tc>
          <w:tcPr>
            <w:tcW w:w="1303" w:type="dxa"/>
            <w:tcBorders>
              <w:top w:val="nil"/>
              <w:left w:val="nil"/>
              <w:bottom w:val="nil"/>
              <w:right w:val="single" w:sz="4" w:space="0" w:color="auto"/>
            </w:tcBorders>
            <w:noWrap/>
            <w:vAlign w:val="bottom"/>
          </w:tcPr>
          <w:p w14:paraId="366AC977" w14:textId="4449A409"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-11.34</w:t>
            </w:r>
          </w:p>
        </w:tc>
        <w:tc>
          <w:tcPr>
            <w:tcW w:w="1440" w:type="dxa"/>
            <w:tcBorders>
              <w:top w:val="nil"/>
              <w:left w:val="nil"/>
              <w:bottom w:val="nil"/>
              <w:right w:val="single" w:sz="4" w:space="0" w:color="auto"/>
            </w:tcBorders>
            <w:noWrap/>
            <w:vAlign w:val="bottom"/>
          </w:tcPr>
          <w:p w14:paraId="09A2B144" w14:textId="64E4B57E"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6.25</w:t>
            </w:r>
          </w:p>
        </w:tc>
        <w:tc>
          <w:tcPr>
            <w:tcW w:w="1440" w:type="dxa"/>
            <w:tcBorders>
              <w:top w:val="nil"/>
              <w:left w:val="nil"/>
              <w:bottom w:val="nil"/>
              <w:right w:val="single" w:sz="4" w:space="0" w:color="auto"/>
            </w:tcBorders>
            <w:noWrap/>
            <w:vAlign w:val="bottom"/>
          </w:tcPr>
          <w:p w14:paraId="417744A9" w14:textId="4CFE66E4"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8.34</w:t>
            </w:r>
          </w:p>
        </w:tc>
        <w:tc>
          <w:tcPr>
            <w:tcW w:w="1444" w:type="dxa"/>
            <w:tcBorders>
              <w:top w:val="nil"/>
              <w:left w:val="nil"/>
              <w:bottom w:val="nil"/>
              <w:right w:val="single" w:sz="18" w:space="0" w:color="auto"/>
            </w:tcBorders>
            <w:noWrap/>
            <w:vAlign w:val="bottom"/>
          </w:tcPr>
          <w:p w14:paraId="1791E1C3" w14:textId="52CE1397"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-18.24</w:t>
            </w:r>
          </w:p>
        </w:tc>
      </w:tr>
      <w:tr w:rsidR="00B35DFA" w:rsidRPr="00C10DAB" w14:paraId="2AFB0E3F" w14:textId="77777777" w:rsidTr="00AC65DD">
        <w:trPr>
          <w:trHeight w:val="20"/>
          <w:jc w:val="center"/>
        </w:trPr>
        <w:tc>
          <w:tcPr>
            <w:tcW w:w="1610" w:type="dxa"/>
            <w:vMerge/>
            <w:tcBorders>
              <w:top w:val="nil"/>
              <w:left w:val="single" w:sz="18" w:space="0" w:color="auto"/>
              <w:bottom w:val="nil"/>
              <w:right w:val="single" w:sz="4" w:space="0" w:color="auto"/>
            </w:tcBorders>
            <w:vAlign w:val="center"/>
            <w:hideMark/>
          </w:tcPr>
          <w:p w14:paraId="46589638"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4F87B331" w14:textId="1911DF89"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Hospitality</w:t>
            </w:r>
          </w:p>
        </w:tc>
        <w:tc>
          <w:tcPr>
            <w:tcW w:w="2327" w:type="dxa"/>
            <w:tcBorders>
              <w:top w:val="nil"/>
              <w:left w:val="nil"/>
              <w:bottom w:val="nil"/>
              <w:right w:val="single" w:sz="18" w:space="0" w:color="auto"/>
            </w:tcBorders>
            <w:noWrap/>
            <w:vAlign w:val="center"/>
          </w:tcPr>
          <w:p w14:paraId="23F23844" w14:textId="78781578"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Information/finance</w:t>
            </w:r>
          </w:p>
        </w:tc>
        <w:tc>
          <w:tcPr>
            <w:tcW w:w="1303" w:type="dxa"/>
            <w:tcBorders>
              <w:top w:val="nil"/>
              <w:left w:val="single" w:sz="18" w:space="0" w:color="auto"/>
              <w:bottom w:val="nil"/>
              <w:right w:val="single" w:sz="4" w:space="0" w:color="auto"/>
            </w:tcBorders>
            <w:noWrap/>
            <w:vAlign w:val="bottom"/>
          </w:tcPr>
          <w:p w14:paraId="1E655DE6" w14:textId="0E908BA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12.57</w:t>
            </w:r>
          </w:p>
        </w:tc>
        <w:tc>
          <w:tcPr>
            <w:tcW w:w="1303" w:type="dxa"/>
            <w:tcBorders>
              <w:top w:val="nil"/>
              <w:left w:val="nil"/>
              <w:bottom w:val="nil"/>
              <w:right w:val="single" w:sz="4" w:space="0" w:color="auto"/>
            </w:tcBorders>
            <w:noWrap/>
            <w:vAlign w:val="bottom"/>
          </w:tcPr>
          <w:p w14:paraId="31D00830" w14:textId="52C2BA87"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-11.69</w:t>
            </w:r>
          </w:p>
        </w:tc>
        <w:tc>
          <w:tcPr>
            <w:tcW w:w="1440" w:type="dxa"/>
            <w:tcBorders>
              <w:top w:val="nil"/>
              <w:left w:val="nil"/>
              <w:bottom w:val="nil"/>
              <w:right w:val="single" w:sz="4" w:space="0" w:color="auto"/>
            </w:tcBorders>
            <w:noWrap/>
            <w:vAlign w:val="bottom"/>
          </w:tcPr>
          <w:p w14:paraId="133A53BF" w14:textId="64863095"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9.16</w:t>
            </w:r>
          </w:p>
        </w:tc>
        <w:tc>
          <w:tcPr>
            <w:tcW w:w="1440" w:type="dxa"/>
            <w:tcBorders>
              <w:top w:val="nil"/>
              <w:left w:val="nil"/>
              <w:bottom w:val="nil"/>
              <w:right w:val="single" w:sz="4" w:space="0" w:color="auto"/>
            </w:tcBorders>
            <w:noWrap/>
            <w:vAlign w:val="bottom"/>
          </w:tcPr>
          <w:p w14:paraId="3FAB864D" w14:textId="7EA102B1"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5.00</w:t>
            </w:r>
          </w:p>
        </w:tc>
        <w:tc>
          <w:tcPr>
            <w:tcW w:w="1444" w:type="dxa"/>
            <w:tcBorders>
              <w:top w:val="nil"/>
              <w:left w:val="nil"/>
              <w:bottom w:val="nil"/>
              <w:right w:val="single" w:sz="18" w:space="0" w:color="auto"/>
            </w:tcBorders>
            <w:noWrap/>
            <w:vAlign w:val="bottom"/>
          </w:tcPr>
          <w:p w14:paraId="324C0F7D" w14:textId="20D114C4"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6.58</w:t>
            </w:r>
          </w:p>
        </w:tc>
      </w:tr>
      <w:tr w:rsidR="00B35DFA" w:rsidRPr="00C10DAB" w14:paraId="01771214" w14:textId="77777777" w:rsidTr="00AC65DD">
        <w:trPr>
          <w:trHeight w:val="20"/>
          <w:jc w:val="center"/>
        </w:trPr>
        <w:tc>
          <w:tcPr>
            <w:tcW w:w="1610" w:type="dxa"/>
            <w:vMerge/>
            <w:tcBorders>
              <w:top w:val="nil"/>
              <w:left w:val="single" w:sz="18" w:space="0" w:color="auto"/>
              <w:bottom w:val="nil"/>
              <w:right w:val="single" w:sz="4" w:space="0" w:color="auto"/>
            </w:tcBorders>
            <w:vAlign w:val="center"/>
            <w:hideMark/>
          </w:tcPr>
          <w:p w14:paraId="7C5E4693"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nil"/>
              <w:right w:val="single" w:sz="4" w:space="0" w:color="auto"/>
            </w:tcBorders>
            <w:noWrap/>
            <w:vAlign w:val="center"/>
            <w:hideMark/>
          </w:tcPr>
          <w:p w14:paraId="47C65E60" w14:textId="41A95AEC"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Hospitality</w:t>
            </w:r>
          </w:p>
        </w:tc>
        <w:tc>
          <w:tcPr>
            <w:tcW w:w="2327" w:type="dxa"/>
            <w:tcBorders>
              <w:top w:val="nil"/>
              <w:left w:val="nil"/>
              <w:bottom w:val="nil"/>
              <w:right w:val="single" w:sz="18" w:space="0" w:color="auto"/>
            </w:tcBorders>
            <w:noWrap/>
            <w:vAlign w:val="center"/>
          </w:tcPr>
          <w:p w14:paraId="201F7526" w14:textId="179CC6FF"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Technology</w:t>
            </w:r>
          </w:p>
        </w:tc>
        <w:tc>
          <w:tcPr>
            <w:tcW w:w="1303" w:type="dxa"/>
            <w:tcBorders>
              <w:top w:val="nil"/>
              <w:left w:val="single" w:sz="18" w:space="0" w:color="auto"/>
              <w:bottom w:val="nil"/>
              <w:right w:val="single" w:sz="4" w:space="0" w:color="auto"/>
            </w:tcBorders>
            <w:noWrap/>
            <w:vAlign w:val="bottom"/>
          </w:tcPr>
          <w:p w14:paraId="71DDF856" w14:textId="460502F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6.39</w:t>
            </w:r>
          </w:p>
        </w:tc>
        <w:tc>
          <w:tcPr>
            <w:tcW w:w="1303" w:type="dxa"/>
            <w:tcBorders>
              <w:top w:val="nil"/>
              <w:left w:val="nil"/>
              <w:bottom w:val="nil"/>
              <w:right w:val="single" w:sz="4" w:space="0" w:color="auto"/>
            </w:tcBorders>
            <w:noWrap/>
            <w:vAlign w:val="bottom"/>
          </w:tcPr>
          <w:p w14:paraId="6B8CEAA9" w14:textId="39F34D5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-5.68</w:t>
            </w:r>
          </w:p>
        </w:tc>
        <w:tc>
          <w:tcPr>
            <w:tcW w:w="1440" w:type="dxa"/>
            <w:tcBorders>
              <w:top w:val="nil"/>
              <w:left w:val="nil"/>
              <w:bottom w:val="nil"/>
              <w:right w:val="single" w:sz="4" w:space="0" w:color="auto"/>
            </w:tcBorders>
            <w:noWrap/>
            <w:vAlign w:val="bottom"/>
          </w:tcPr>
          <w:p w14:paraId="339D5BD2" w14:textId="438C84D0"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5.41</w:t>
            </w:r>
          </w:p>
        </w:tc>
        <w:tc>
          <w:tcPr>
            <w:tcW w:w="1440" w:type="dxa"/>
            <w:tcBorders>
              <w:top w:val="nil"/>
              <w:left w:val="nil"/>
              <w:bottom w:val="nil"/>
              <w:right w:val="single" w:sz="4" w:space="0" w:color="auto"/>
            </w:tcBorders>
            <w:noWrap/>
            <w:vAlign w:val="bottom"/>
          </w:tcPr>
          <w:p w14:paraId="36D8512B" w14:textId="453DFA7D"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3.52</w:t>
            </w:r>
          </w:p>
        </w:tc>
        <w:tc>
          <w:tcPr>
            <w:tcW w:w="1444" w:type="dxa"/>
            <w:tcBorders>
              <w:top w:val="nil"/>
              <w:left w:val="nil"/>
              <w:bottom w:val="nil"/>
              <w:right w:val="single" w:sz="18" w:space="0" w:color="auto"/>
            </w:tcBorders>
            <w:noWrap/>
            <w:vAlign w:val="bottom"/>
          </w:tcPr>
          <w:p w14:paraId="23AEBC35" w14:textId="48D7F72E"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4.81</w:t>
            </w:r>
          </w:p>
        </w:tc>
      </w:tr>
      <w:tr w:rsidR="00B35DFA" w:rsidRPr="00C10DAB" w14:paraId="6B2B3377" w14:textId="77777777" w:rsidTr="00AC65DD">
        <w:trPr>
          <w:trHeight w:val="20"/>
          <w:jc w:val="center"/>
        </w:trPr>
        <w:tc>
          <w:tcPr>
            <w:tcW w:w="1610" w:type="dxa"/>
            <w:vMerge/>
            <w:tcBorders>
              <w:top w:val="nil"/>
              <w:left w:val="single" w:sz="18" w:space="0" w:color="auto"/>
              <w:bottom w:val="single" w:sz="18" w:space="0" w:color="auto"/>
              <w:right w:val="single" w:sz="4" w:space="0" w:color="auto"/>
            </w:tcBorders>
            <w:vAlign w:val="center"/>
            <w:hideMark/>
          </w:tcPr>
          <w:p w14:paraId="4FFD2E0E" w14:textId="77777777" w:rsidR="00B35DFA" w:rsidRPr="0024189C" w:rsidRDefault="00B35DFA" w:rsidP="00B35DFA">
            <w:pPr>
              <w:suppressAutoHyphens w:val="0"/>
              <w:contextualSpacing w:val="0"/>
              <w:jc w:val="left"/>
              <w:rPr>
                <w:rFonts w:eastAsia="Times New Roman"/>
                <w:kern w:val="0"/>
                <w:sz w:val="20"/>
                <w:szCs w:val="20"/>
                <w14:ligatures w14:val="none"/>
              </w:rPr>
            </w:pPr>
          </w:p>
        </w:tc>
        <w:tc>
          <w:tcPr>
            <w:tcW w:w="1710" w:type="dxa"/>
            <w:tcBorders>
              <w:top w:val="nil"/>
              <w:left w:val="nil"/>
              <w:bottom w:val="single" w:sz="18" w:space="0" w:color="auto"/>
              <w:right w:val="single" w:sz="4" w:space="0" w:color="auto"/>
            </w:tcBorders>
            <w:noWrap/>
            <w:vAlign w:val="center"/>
            <w:hideMark/>
          </w:tcPr>
          <w:p w14:paraId="3EDCB00B" w14:textId="629322C2"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Hospitality</w:t>
            </w:r>
          </w:p>
        </w:tc>
        <w:tc>
          <w:tcPr>
            <w:tcW w:w="2327" w:type="dxa"/>
            <w:tcBorders>
              <w:top w:val="nil"/>
              <w:left w:val="nil"/>
              <w:bottom w:val="single" w:sz="18" w:space="0" w:color="auto"/>
              <w:right w:val="single" w:sz="18" w:space="0" w:color="auto"/>
            </w:tcBorders>
            <w:noWrap/>
            <w:vAlign w:val="center"/>
          </w:tcPr>
          <w:p w14:paraId="335A7CF3" w14:textId="1D4A8F8A" w:rsidR="00B35DFA" w:rsidRPr="0024189C" w:rsidRDefault="00B35DFA" w:rsidP="00B35DFA">
            <w:pPr>
              <w:suppressAutoHyphens w:val="0"/>
              <w:contextualSpacing w:val="0"/>
              <w:jc w:val="left"/>
              <w:rPr>
                <w:rFonts w:eastAsia="Times New Roman"/>
                <w:kern w:val="0"/>
                <w:sz w:val="20"/>
                <w:szCs w:val="20"/>
                <w14:ligatures w14:val="none"/>
              </w:rPr>
            </w:pPr>
            <w:r w:rsidRPr="0024189C">
              <w:rPr>
                <w:rFonts w:eastAsia="Times New Roman"/>
                <w:kern w:val="0"/>
                <w:sz w:val="20"/>
                <w:szCs w:val="20"/>
                <w14:ligatures w14:val="none"/>
              </w:rPr>
              <w:t>Public administration</w:t>
            </w:r>
          </w:p>
        </w:tc>
        <w:tc>
          <w:tcPr>
            <w:tcW w:w="1303" w:type="dxa"/>
            <w:tcBorders>
              <w:top w:val="nil"/>
              <w:left w:val="single" w:sz="18" w:space="0" w:color="auto"/>
              <w:bottom w:val="single" w:sz="18" w:space="0" w:color="auto"/>
              <w:right w:val="single" w:sz="4" w:space="0" w:color="auto"/>
            </w:tcBorders>
            <w:noWrap/>
            <w:vAlign w:val="bottom"/>
          </w:tcPr>
          <w:p w14:paraId="31783FC9" w14:textId="4E92C3AF"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-22.65</w:t>
            </w:r>
          </w:p>
        </w:tc>
        <w:tc>
          <w:tcPr>
            <w:tcW w:w="1303" w:type="dxa"/>
            <w:tcBorders>
              <w:top w:val="nil"/>
              <w:left w:val="nil"/>
              <w:bottom w:val="single" w:sz="18" w:space="0" w:color="auto"/>
              <w:right w:val="single" w:sz="4" w:space="0" w:color="auto"/>
            </w:tcBorders>
            <w:noWrap/>
            <w:vAlign w:val="bottom"/>
          </w:tcPr>
          <w:p w14:paraId="6D33BCC3" w14:textId="4CCE7C21"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46.27</w:t>
            </w:r>
          </w:p>
        </w:tc>
        <w:tc>
          <w:tcPr>
            <w:tcW w:w="1440" w:type="dxa"/>
            <w:tcBorders>
              <w:top w:val="nil"/>
              <w:left w:val="nil"/>
              <w:bottom w:val="single" w:sz="18" w:space="0" w:color="auto"/>
              <w:right w:val="single" w:sz="4" w:space="0" w:color="auto"/>
            </w:tcBorders>
            <w:noWrap/>
            <w:vAlign w:val="bottom"/>
          </w:tcPr>
          <w:p w14:paraId="6DDBF00E" w14:textId="58093658"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-5.89</w:t>
            </w:r>
          </w:p>
        </w:tc>
        <w:tc>
          <w:tcPr>
            <w:tcW w:w="1440" w:type="dxa"/>
            <w:tcBorders>
              <w:top w:val="nil"/>
              <w:left w:val="nil"/>
              <w:bottom w:val="single" w:sz="18" w:space="0" w:color="auto"/>
              <w:right w:val="single" w:sz="4" w:space="0" w:color="auto"/>
            </w:tcBorders>
            <w:noWrap/>
            <w:vAlign w:val="bottom"/>
          </w:tcPr>
          <w:p w14:paraId="299542B2" w14:textId="063BCB72"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-8.03</w:t>
            </w:r>
          </w:p>
        </w:tc>
        <w:tc>
          <w:tcPr>
            <w:tcW w:w="1444" w:type="dxa"/>
            <w:tcBorders>
              <w:top w:val="nil"/>
              <w:left w:val="nil"/>
              <w:bottom w:val="single" w:sz="18" w:space="0" w:color="auto"/>
              <w:right w:val="single" w:sz="18" w:space="0" w:color="auto"/>
            </w:tcBorders>
            <w:noWrap/>
            <w:vAlign w:val="bottom"/>
          </w:tcPr>
          <w:p w14:paraId="5E2C7902" w14:textId="5F260BA3" w:rsidR="00B35DFA" w:rsidRPr="00B35DFA" w:rsidRDefault="00B35DFA" w:rsidP="00B35DFA">
            <w:pPr>
              <w:tabs>
                <w:tab w:val="decimal" w:pos="388"/>
              </w:tabs>
              <w:suppressAutoHyphens w:val="0"/>
              <w:contextualSpacing w:val="0"/>
              <w:jc w:val="center"/>
              <w:rPr>
                <w:rFonts w:eastAsia="Times New Roman"/>
                <w:kern w:val="0"/>
                <w:sz w:val="20"/>
                <w:szCs w:val="20"/>
                <w14:ligatures w14:val="none"/>
              </w:rPr>
            </w:pPr>
            <w:r w:rsidRPr="00B35DFA">
              <w:rPr>
                <w:sz w:val="20"/>
                <w:szCs w:val="20"/>
              </w:rPr>
              <w:t>-14.44</w:t>
            </w:r>
          </w:p>
        </w:tc>
      </w:tr>
    </w:tbl>
    <w:p w14:paraId="4876E790" w14:textId="77777777" w:rsidR="00C14A8B" w:rsidRDefault="00C14A8B">
      <w:pPr>
        <w:suppressAutoHyphens w:val="0"/>
        <w:spacing w:after="160" w:line="278" w:lineRule="auto"/>
        <w:contextualSpacing w:val="0"/>
        <w:jc w:val="left"/>
        <w:rPr>
          <w:b/>
          <w:bCs/>
        </w:rPr>
      </w:pPr>
    </w:p>
    <w:p w14:paraId="3E797C05" w14:textId="77777777" w:rsidR="00E457CD" w:rsidRDefault="00E457CD">
      <w:pPr>
        <w:suppressAutoHyphens w:val="0"/>
        <w:spacing w:after="160" w:line="278" w:lineRule="auto"/>
        <w:contextualSpacing w:val="0"/>
        <w:jc w:val="left"/>
        <w:rPr>
          <w:b/>
          <w:bCs/>
        </w:rPr>
        <w:sectPr w:rsidR="00E457CD" w:rsidSect="00F6798D">
          <w:pgSz w:w="15840" w:h="12240" w:orient="landscape"/>
          <w:pgMar w:top="1440" w:right="1152" w:bottom="1440" w:left="1152" w:header="720" w:footer="720" w:gutter="0"/>
          <w:cols w:space="720"/>
          <w:docGrid w:linePitch="360"/>
        </w:sectPr>
      </w:pPr>
    </w:p>
    <w:p w14:paraId="1E93643B" w14:textId="77777777" w:rsidR="00C334C9" w:rsidRDefault="00C334C9" w:rsidP="001D6510"/>
    <w:p w14:paraId="618BCC1C" w14:textId="71E5D0B2" w:rsidR="00EC5FB6" w:rsidRDefault="00D35A58" w:rsidP="0052022D">
      <w:pPr>
        <w:jc w:val="center"/>
      </w:pPr>
      <w:r>
        <w:rPr>
          <w:noProof/>
        </w:rPr>
        <w:drawing>
          <wp:anchor distT="0" distB="0" distL="114300" distR="114300" simplePos="0" relativeHeight="251659264" behindDoc="0" locked="0" layoutInCell="1" allowOverlap="1" wp14:anchorId="18843048" wp14:editId="223CF820">
            <wp:simplePos x="0" y="0"/>
            <wp:positionH relativeFrom="column">
              <wp:posOffset>0</wp:posOffset>
            </wp:positionH>
            <wp:positionV relativeFrom="paragraph">
              <wp:posOffset>172720</wp:posOffset>
            </wp:positionV>
            <wp:extent cx="6334760" cy="3792855"/>
            <wp:effectExtent l="0" t="0" r="8890" b="0"/>
            <wp:wrapTopAndBottom/>
            <wp:docPr id="2040105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105333" name="Picture 2"/>
                    <pic:cNvPicPr>
                      <a:picLocks noChangeAspect="1" noChangeArrowheads="1"/>
                    </pic:cNvPicPr>
                  </pic:nvPicPr>
                  <pic:blipFill>
                    <a:blip r:embed="rId256">
                      <a:extLst>
                        <a:ext uri="{96DAC541-7B7A-43D3-8B79-37D633B846F1}">
                          <asvg:svgBlip xmlns:asvg="http://schemas.microsoft.com/office/drawing/2016/SVG/main" r:embed="rId257"/>
                        </a:ext>
                      </a:extLst>
                    </a:blip>
                    <a:stretch>
                      <a:fillRect/>
                    </a:stretch>
                  </pic:blipFill>
                  <pic:spPr bwMode="auto">
                    <a:xfrm>
                      <a:off x="0" y="0"/>
                      <a:ext cx="6334760" cy="3792855"/>
                    </a:xfrm>
                    <a:prstGeom prst="rect">
                      <a:avLst/>
                    </a:prstGeom>
                  </pic:spPr>
                </pic:pic>
              </a:graphicData>
            </a:graphic>
            <wp14:sizeRelV relativeFrom="margin">
              <wp14:pctHeight>0</wp14:pctHeight>
            </wp14:sizeRelV>
          </wp:anchor>
        </w:drawing>
      </w:r>
    </w:p>
    <w:p w14:paraId="5DA22A84" w14:textId="46741671" w:rsidR="004432A2" w:rsidRDefault="004432A2" w:rsidP="00CC1808">
      <w:pPr>
        <w:jc w:val="center"/>
        <w:rPr>
          <w:b/>
          <w:bCs/>
        </w:rPr>
      </w:pPr>
      <w:r w:rsidRPr="001D6510">
        <w:rPr>
          <w:b/>
          <w:bCs/>
        </w:rPr>
        <w:t xml:space="preserve">Figure 1: Relationship Between </w:t>
      </w:r>
      <w:r w:rsidR="008969F3">
        <w:rPr>
          <w:b/>
          <w:bCs/>
        </w:rPr>
        <w:t xml:space="preserve">Commute Distance </w:t>
      </w:r>
      <w:r w:rsidR="00937E2C">
        <w:rPr>
          <w:b/>
          <w:bCs/>
        </w:rPr>
        <w:t>and Work Arrangement Participation</w:t>
      </w:r>
    </w:p>
    <w:p w14:paraId="43941F87" w14:textId="77777777" w:rsidR="006B5B6F" w:rsidRDefault="006B5B6F" w:rsidP="0052022D">
      <w:pPr>
        <w:rPr>
          <w:b/>
          <w:bCs/>
        </w:rPr>
      </w:pPr>
    </w:p>
    <w:p w14:paraId="54F73D2A" w14:textId="28838F75" w:rsidR="008B2D73" w:rsidRDefault="008B2D73" w:rsidP="00937E2C">
      <w:pPr>
        <w:jc w:val="center"/>
        <w:rPr>
          <w:b/>
          <w:bCs/>
        </w:rPr>
      </w:pPr>
    </w:p>
    <w:p w14:paraId="527DBA00" w14:textId="588F2A6E" w:rsidR="00D27248" w:rsidRDefault="00D27248" w:rsidP="001D6510">
      <w:pPr>
        <w:rPr>
          <w:b/>
          <w:bCs/>
        </w:rPr>
      </w:pPr>
    </w:p>
    <w:p w14:paraId="652A6052" w14:textId="7BC99CB7" w:rsidR="00E71EA9" w:rsidRDefault="00E71EA9" w:rsidP="001D6510">
      <w:pPr>
        <w:rPr>
          <w:b/>
          <w:bCs/>
          <w:noProof/>
        </w:rPr>
      </w:pPr>
    </w:p>
    <w:p w14:paraId="65EE47FA" w14:textId="4F5168DF" w:rsidR="00396F92" w:rsidRDefault="00D27248" w:rsidP="001D6510">
      <w:pPr>
        <w:rPr>
          <w:b/>
          <w:bCs/>
          <w:noProof/>
        </w:rPr>
      </w:pPr>
      <w:r>
        <w:rPr>
          <w:b/>
          <w:bCs/>
          <w:noProof/>
        </w:rPr>
        <w:drawing>
          <wp:inline distT="0" distB="0" distL="0" distR="0" wp14:anchorId="0131194B" wp14:editId="3B23468B">
            <wp:extent cx="5943600" cy="2722585"/>
            <wp:effectExtent l="0" t="0" r="0" b="1905"/>
            <wp:docPr id="18293712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58" cstate="print">
                      <a:extLst>
                        <a:ext uri="{28A0092B-C50C-407E-A947-70E740481C1C}">
                          <a14:useLocalDpi xmlns:a14="http://schemas.microsoft.com/office/drawing/2010/main" val="0"/>
                        </a:ext>
                      </a:extLst>
                    </a:blip>
                    <a:srcRect/>
                    <a:stretch>
                      <a:fillRect/>
                    </a:stretch>
                  </pic:blipFill>
                  <pic:spPr bwMode="auto">
                    <a:xfrm>
                      <a:off x="0" y="0"/>
                      <a:ext cx="5943600" cy="2722585"/>
                    </a:xfrm>
                    <a:prstGeom prst="rect">
                      <a:avLst/>
                    </a:prstGeom>
                    <a:noFill/>
                  </pic:spPr>
                </pic:pic>
              </a:graphicData>
            </a:graphic>
          </wp:inline>
        </w:drawing>
      </w:r>
    </w:p>
    <w:p w14:paraId="6EE8FDE5" w14:textId="77777777" w:rsidR="00396F92" w:rsidRDefault="00396F92" w:rsidP="001D6510">
      <w:pPr>
        <w:rPr>
          <w:b/>
          <w:bCs/>
          <w:noProof/>
        </w:rPr>
      </w:pPr>
    </w:p>
    <w:p w14:paraId="29956066" w14:textId="5E577930" w:rsidR="00D27248" w:rsidRDefault="00D27248" w:rsidP="00CC1808">
      <w:pPr>
        <w:suppressAutoHyphens w:val="0"/>
        <w:spacing w:after="160" w:line="278" w:lineRule="auto"/>
        <w:contextualSpacing w:val="0"/>
        <w:jc w:val="center"/>
        <w:rPr>
          <w:b/>
          <w:bCs/>
          <w:noProof/>
        </w:rPr>
      </w:pPr>
      <w:r w:rsidRPr="00D27248">
        <w:rPr>
          <w:b/>
          <w:bCs/>
          <w:noProof/>
        </w:rPr>
        <w:t xml:space="preserve">Figure </w:t>
      </w:r>
      <w:r w:rsidR="00F41FE8">
        <w:rPr>
          <w:b/>
          <w:bCs/>
          <w:noProof/>
        </w:rPr>
        <w:t>2</w:t>
      </w:r>
      <w:r w:rsidRPr="00D27248">
        <w:rPr>
          <w:b/>
          <w:bCs/>
          <w:noProof/>
        </w:rPr>
        <w:t>: Framework for Joint Model of Commute Distance and Work Arrangement</w:t>
      </w:r>
      <w:r>
        <w:rPr>
          <w:b/>
          <w:bCs/>
          <w:noProof/>
        </w:rPr>
        <w:t>s</w:t>
      </w:r>
    </w:p>
    <w:p w14:paraId="4C52EE53" w14:textId="77777777" w:rsidR="000F43D7" w:rsidRDefault="000F43D7">
      <w:pPr>
        <w:suppressAutoHyphens w:val="0"/>
        <w:spacing w:after="160" w:line="278" w:lineRule="auto"/>
        <w:contextualSpacing w:val="0"/>
        <w:jc w:val="left"/>
        <w:rPr>
          <w:b/>
          <w:bCs/>
          <w:noProof/>
        </w:rPr>
      </w:pPr>
    </w:p>
    <w:p w14:paraId="6FD14500" w14:textId="77777777" w:rsidR="000F43D7" w:rsidRDefault="000F43D7">
      <w:pPr>
        <w:suppressAutoHyphens w:val="0"/>
        <w:spacing w:after="160" w:line="278" w:lineRule="auto"/>
        <w:contextualSpacing w:val="0"/>
        <w:jc w:val="left"/>
        <w:rPr>
          <w:b/>
          <w:bCs/>
          <w:noProof/>
        </w:rPr>
      </w:pPr>
    </w:p>
    <w:p w14:paraId="24E3C90C" w14:textId="71BB0717" w:rsidR="000F43D7" w:rsidRPr="00D27248" w:rsidRDefault="000F43D7">
      <w:pPr>
        <w:suppressAutoHyphens w:val="0"/>
        <w:spacing w:after="160" w:line="278" w:lineRule="auto"/>
        <w:contextualSpacing w:val="0"/>
        <w:jc w:val="left"/>
        <w:rPr>
          <w:b/>
          <w:bCs/>
          <w:noProof/>
        </w:rPr>
      </w:pPr>
      <w:r>
        <w:rPr>
          <w:b/>
          <w:bCs/>
          <w:noProof/>
        </w:rPr>
        <w:drawing>
          <wp:inline distT="0" distB="0" distL="0" distR="0" wp14:anchorId="5D62D1BA" wp14:editId="1F8F3967">
            <wp:extent cx="6129646" cy="3342370"/>
            <wp:effectExtent l="0" t="0" r="5080" b="0"/>
            <wp:docPr id="12094696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69673" name="Picture 6"/>
                    <pic:cNvPicPr>
                      <a:picLocks noChangeAspect="1" noChangeArrowheads="1"/>
                    </pic:cNvPicPr>
                  </pic:nvPicPr>
                  <pic:blipFill>
                    <a:blip r:embed="rId259">
                      <a:extLst>
                        <a:ext uri="{96DAC541-7B7A-43D3-8B79-37D633B846F1}">
                          <asvg:svgBlip xmlns:asvg="http://schemas.microsoft.com/office/drawing/2016/SVG/main" r:embed="rId260"/>
                        </a:ext>
                      </a:extLst>
                    </a:blip>
                    <a:stretch>
                      <a:fillRect/>
                    </a:stretch>
                  </pic:blipFill>
                  <pic:spPr bwMode="auto">
                    <a:xfrm>
                      <a:off x="0" y="0"/>
                      <a:ext cx="6129646" cy="3342370"/>
                    </a:xfrm>
                    <a:prstGeom prst="rect">
                      <a:avLst/>
                    </a:prstGeom>
                  </pic:spPr>
                </pic:pic>
              </a:graphicData>
            </a:graphic>
          </wp:inline>
        </w:drawing>
      </w:r>
    </w:p>
    <w:p w14:paraId="48857BE8" w14:textId="592F9386" w:rsidR="00396F92" w:rsidRPr="008766CE" w:rsidRDefault="000759E6" w:rsidP="00CC1808">
      <w:pPr>
        <w:jc w:val="center"/>
        <w:rPr>
          <w:b/>
          <w:bCs/>
          <w:noProof/>
        </w:rPr>
      </w:pPr>
      <w:r w:rsidRPr="008766CE">
        <w:rPr>
          <w:b/>
          <w:bCs/>
          <w:noProof/>
        </w:rPr>
        <w:t xml:space="preserve">Figure </w:t>
      </w:r>
      <w:r w:rsidR="00F41FE8">
        <w:rPr>
          <w:b/>
          <w:bCs/>
          <w:noProof/>
        </w:rPr>
        <w:t>3</w:t>
      </w:r>
      <w:r w:rsidRPr="008766CE">
        <w:rPr>
          <w:b/>
          <w:bCs/>
          <w:noProof/>
        </w:rPr>
        <w:t xml:space="preserve">: </w:t>
      </w:r>
      <w:r w:rsidR="008766CE" w:rsidRPr="008766CE">
        <w:rPr>
          <w:b/>
          <w:bCs/>
          <w:noProof/>
        </w:rPr>
        <w:t>Conceptual Diagram of Effects of Threshold Shifters</w:t>
      </w:r>
    </w:p>
    <w:p w14:paraId="06F9FFB0" w14:textId="77777777" w:rsidR="00396F92" w:rsidRDefault="00396F92" w:rsidP="001D6510">
      <w:pPr>
        <w:rPr>
          <w:b/>
          <w:bCs/>
          <w:noProof/>
        </w:rPr>
      </w:pPr>
    </w:p>
    <w:p w14:paraId="1059A171" w14:textId="28FBBE3B" w:rsidR="00396F92" w:rsidRDefault="00D16587" w:rsidP="007403AC">
      <w:pPr>
        <w:jc w:val="center"/>
        <w:rPr>
          <w:b/>
          <w:bCs/>
          <w:noProof/>
        </w:rPr>
      </w:pPr>
      <w:r>
        <w:rPr>
          <w:b/>
          <w:bCs/>
          <w:noProof/>
        </w:rPr>
        <w:drawing>
          <wp:inline distT="0" distB="0" distL="0" distR="0" wp14:anchorId="1ABA045E" wp14:editId="306BFA3F">
            <wp:extent cx="6252426" cy="3367752"/>
            <wp:effectExtent l="0" t="0" r="0" b="4445"/>
            <wp:docPr id="466549790"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6549790" name="Picture 4"/>
                    <pic:cNvPicPr>
                      <a:picLocks noChangeAspect="1" noChangeArrowheads="1"/>
                    </pic:cNvPicPr>
                  </pic:nvPicPr>
                  <pic:blipFill>
                    <a:blip r:embed="rId261">
                      <a:extLst>
                        <a:ext uri="{28A0092B-C50C-407E-A947-70E740481C1C}">
                          <a14:useLocalDpi xmlns:a14="http://schemas.microsoft.com/office/drawing/2010/main" val="0"/>
                        </a:ext>
                      </a:extLst>
                    </a:blip>
                    <a:stretch>
                      <a:fillRect/>
                    </a:stretch>
                  </pic:blipFill>
                  <pic:spPr bwMode="auto">
                    <a:xfrm>
                      <a:off x="0" y="0"/>
                      <a:ext cx="6260232" cy="3371956"/>
                    </a:xfrm>
                    <a:prstGeom prst="rect">
                      <a:avLst/>
                    </a:prstGeom>
                    <a:noFill/>
                  </pic:spPr>
                </pic:pic>
              </a:graphicData>
            </a:graphic>
          </wp:inline>
        </w:drawing>
      </w:r>
    </w:p>
    <w:p w14:paraId="7FFEA3BE" w14:textId="2E776808" w:rsidR="00396F92" w:rsidRPr="00B42DAD" w:rsidRDefault="00396F92" w:rsidP="00B42DAD">
      <w:pPr>
        <w:jc w:val="center"/>
        <w:rPr>
          <w:b/>
          <w:bCs/>
          <w:noProof/>
        </w:rPr>
      </w:pPr>
      <w:r w:rsidRPr="00B42DAD">
        <w:rPr>
          <w:b/>
          <w:bCs/>
          <w:noProof/>
        </w:rPr>
        <w:t xml:space="preserve">Figure </w:t>
      </w:r>
      <w:r w:rsidR="00F41FE8">
        <w:rPr>
          <w:b/>
          <w:bCs/>
          <w:noProof/>
        </w:rPr>
        <w:t>4</w:t>
      </w:r>
      <w:r w:rsidRPr="00B42DAD">
        <w:rPr>
          <w:b/>
          <w:bCs/>
          <w:noProof/>
        </w:rPr>
        <w:t xml:space="preserve">: Predicted </w:t>
      </w:r>
      <w:r w:rsidR="00B42DAD" w:rsidRPr="00B42DAD">
        <w:rPr>
          <w:b/>
          <w:bCs/>
          <w:noProof/>
        </w:rPr>
        <w:t>One-Way Commute Distance Conditional on Work Arrangement Combination</w:t>
      </w:r>
    </w:p>
    <w:p w14:paraId="7043BB35" w14:textId="77777777" w:rsidR="00B42DAD" w:rsidRPr="00B42DAD" w:rsidRDefault="00B42DAD" w:rsidP="001D6510">
      <w:pPr>
        <w:rPr>
          <w:b/>
          <w:bCs/>
          <w:noProof/>
        </w:rPr>
      </w:pPr>
    </w:p>
    <w:p w14:paraId="38BCBA40" w14:textId="77777777" w:rsidR="00B42DAD" w:rsidRPr="00B42DAD" w:rsidRDefault="00B42DAD" w:rsidP="001D6510">
      <w:pPr>
        <w:rPr>
          <w:b/>
          <w:bCs/>
          <w:noProof/>
        </w:rPr>
      </w:pPr>
    </w:p>
    <w:p w14:paraId="6F7A4FA5" w14:textId="77777777" w:rsidR="00B42DAD" w:rsidRPr="00B42DAD" w:rsidRDefault="00B42DAD" w:rsidP="001D6510">
      <w:pPr>
        <w:rPr>
          <w:b/>
          <w:bCs/>
          <w:noProof/>
        </w:rPr>
      </w:pPr>
    </w:p>
    <w:p w14:paraId="5311D4F8" w14:textId="2DF91A93" w:rsidR="00B42DAD" w:rsidRPr="00B42DAD" w:rsidRDefault="001E52C9" w:rsidP="001D6510">
      <w:pPr>
        <w:rPr>
          <w:b/>
          <w:bCs/>
          <w:noProof/>
        </w:rPr>
      </w:pPr>
      <w:r>
        <w:rPr>
          <w:b/>
          <w:bCs/>
          <w:noProof/>
        </w:rPr>
        <w:lastRenderedPageBreak/>
        <w:drawing>
          <wp:inline distT="0" distB="0" distL="0" distR="0" wp14:anchorId="4FD46A0C" wp14:editId="49AFF663">
            <wp:extent cx="6048842" cy="3312543"/>
            <wp:effectExtent l="0" t="0" r="0" b="2540"/>
            <wp:docPr id="714930533"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4930533" name="Picture 6"/>
                    <pic:cNvPicPr>
                      <a:picLocks noChangeAspect="1" noChangeArrowheads="1"/>
                    </pic:cNvPicPr>
                  </pic:nvPicPr>
                  <pic:blipFill>
                    <a:blip r:embed="rId262">
                      <a:extLst>
                        <a:ext uri="{28A0092B-C50C-407E-A947-70E740481C1C}">
                          <a14:useLocalDpi xmlns:a14="http://schemas.microsoft.com/office/drawing/2010/main" val="0"/>
                        </a:ext>
                      </a:extLst>
                    </a:blip>
                    <a:stretch>
                      <a:fillRect/>
                    </a:stretch>
                  </pic:blipFill>
                  <pic:spPr bwMode="auto">
                    <a:xfrm>
                      <a:off x="0" y="0"/>
                      <a:ext cx="6055254" cy="3316054"/>
                    </a:xfrm>
                    <a:prstGeom prst="rect">
                      <a:avLst/>
                    </a:prstGeom>
                    <a:noFill/>
                  </pic:spPr>
                </pic:pic>
              </a:graphicData>
            </a:graphic>
          </wp:inline>
        </w:drawing>
      </w:r>
    </w:p>
    <w:p w14:paraId="75CD1EF4" w14:textId="3C4D4655" w:rsidR="00B42DAD" w:rsidRPr="00B42DAD" w:rsidRDefault="00B42DAD" w:rsidP="00B42DAD">
      <w:pPr>
        <w:jc w:val="center"/>
        <w:rPr>
          <w:b/>
          <w:bCs/>
        </w:rPr>
      </w:pPr>
      <w:r w:rsidRPr="00B42DAD">
        <w:rPr>
          <w:b/>
          <w:bCs/>
          <w:noProof/>
        </w:rPr>
        <w:t xml:space="preserve">Figure </w:t>
      </w:r>
      <w:r w:rsidR="00F41FE8">
        <w:rPr>
          <w:b/>
          <w:bCs/>
          <w:noProof/>
        </w:rPr>
        <w:t>5</w:t>
      </w:r>
      <w:r w:rsidRPr="00B42DAD">
        <w:rPr>
          <w:b/>
          <w:bCs/>
          <w:noProof/>
        </w:rPr>
        <w:t>: Predicted Weekly Two-Way Commute VMT Conditional on Work Arrangement Combination</w:t>
      </w:r>
    </w:p>
    <w:sectPr w:rsidR="00B42DAD" w:rsidRPr="00B42DAD" w:rsidSect="00C14A8B">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B249E" w14:textId="77777777" w:rsidR="00AF08B8" w:rsidRPr="00D50068" w:rsidRDefault="00AF08B8" w:rsidP="001D6510">
      <w:r w:rsidRPr="00D50068">
        <w:separator/>
      </w:r>
    </w:p>
  </w:endnote>
  <w:endnote w:type="continuationSeparator" w:id="0">
    <w:p w14:paraId="2523D932" w14:textId="77777777" w:rsidR="00AF08B8" w:rsidRPr="00D50068" w:rsidRDefault="00AF08B8" w:rsidP="001D6510">
      <w:r w:rsidRPr="00D500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785763"/>
      <w:docPartObj>
        <w:docPartGallery w:val="Page Numbers (Bottom of Page)"/>
        <w:docPartUnique/>
      </w:docPartObj>
    </w:sdtPr>
    <w:sdtEndPr/>
    <w:sdtContent>
      <w:p w14:paraId="0FB649EC" w14:textId="6C933B56" w:rsidR="003E7FE8" w:rsidRPr="00D50068" w:rsidRDefault="003E7FE8" w:rsidP="003F165C">
        <w:pPr>
          <w:pStyle w:val="Footer"/>
          <w:jc w:val="center"/>
        </w:pPr>
        <w:r w:rsidRPr="00D50068">
          <w:fldChar w:fldCharType="begin"/>
        </w:r>
        <w:r w:rsidRPr="00D50068">
          <w:instrText xml:space="preserve"> PAGE   \* MERGEFORMAT </w:instrText>
        </w:r>
        <w:r w:rsidRPr="00D50068">
          <w:fldChar w:fldCharType="separate"/>
        </w:r>
        <w:r w:rsidRPr="00D50068">
          <w:t>2</w:t>
        </w:r>
        <w:r w:rsidRPr="00D5006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4A2F4" w14:textId="77777777" w:rsidR="00AF08B8" w:rsidRPr="00D50068" w:rsidRDefault="00AF08B8" w:rsidP="001D6510">
      <w:r w:rsidRPr="00D50068">
        <w:separator/>
      </w:r>
    </w:p>
  </w:footnote>
  <w:footnote w:type="continuationSeparator" w:id="0">
    <w:p w14:paraId="08544D81" w14:textId="77777777" w:rsidR="00AF08B8" w:rsidRPr="00D50068" w:rsidRDefault="00AF08B8" w:rsidP="001D6510">
      <w:r w:rsidRPr="00D50068">
        <w:continuationSeparator/>
      </w:r>
    </w:p>
  </w:footnote>
  <w:footnote w:id="1">
    <w:p w14:paraId="678B595C" w14:textId="6A459685" w:rsidR="00040829" w:rsidRDefault="00040829">
      <w:pPr>
        <w:pStyle w:val="FootnoteText"/>
      </w:pPr>
      <w:r>
        <w:rPr>
          <w:rStyle w:val="FootnoteReference"/>
        </w:rPr>
        <w:footnoteRef/>
      </w:r>
      <w:r>
        <w:t>The reader is referred to pre-pandemic data studies such as Lach</w:t>
      </w:r>
      <w:r w:rsidR="009265F3">
        <w:t>a</w:t>
      </w:r>
      <w:r>
        <w:t xml:space="preserve">pelle et al. </w:t>
      </w:r>
      <w:r w:rsidR="009C2208">
        <w:fldChar w:fldCharType="begin"/>
      </w:r>
      <w:r w:rsidR="009C2208">
        <w:instrText xml:space="preserve"> ADDIN ZOTERO_ITEM CSL_CITATION {"citationID":"6cZm5YIE","properties":{"unsorted":false,"formattedCitation":"(2018)","plainCitation":"(2018)","noteIndex":1},"citationItems":[{"id":4373,"uris":["http://zotero.org/users/12832277/items/FZ8UJZG5","http://zotero.org/users/12832277/items/FXLEN8XR"],"itemData":{"id":4373,"type":"article-journal","abstract":"Existing research has concluded that shares of telecommuting are low but stable, increase with distance from the workplace and that telecommuting may reduce commuting-related travel. Its effect on work and non-work travel are subject to rebound effects and, thus, still debated. Additionally, telecommuting does not necessarily occur entirely at home. The paper studies telecommuting’s potential as a sustainable mobility tool in Canada to reduce overall travel time and peak hour travel, and to increase non-motorised travel. Do types of telecommuting arrangements have varying relationships with these studied travel patterns? Using time use data from the 2005 Canadian General Social Survey, studied outcomes are regressed on telecommuting arrangements (all day home working, part-day home working and a combination of other locations and home and/or workplace) and other personal characteristics. Depending on telecommuting arrangements and travel outcomes, results vary. Working from home is associated with decreases in overall travel time by 14 minutes and increases in odds of non-motorised travel by 77%. Other forms of telecommuting yield different results. Telecommuters may be more likely to avoid peak hours when they do take trips. Types of telecommuting arrangements have different impacts on sustainable travel outcomes that should be considered depending on policy priorities.","container-title":"Urban Studies","DOI":"10.1177/0042098017708985","ISSN":"0042-0980","issue":"10","language":"EN","page":"2226-2244","publisher":"SAGE Publications Ltd","source":"SAGE Journals","title":"Telecommuting and Sustainable Travel: Reduction of Overall Travel Time, Increases in Non-Motorised Travel and Congestion Relief?","volume":"55","author":[{"family":"Lachapelle","given":"Ugo"},{"family":"Tanguay","given":"Georges A"},{"family":"Neumark-Gaudet","given":"Léa"}],"issued":{"date-parts":[["2018",8,1]]}},"suppress-author":true}],"schema":"https://github.com/citation-style-language/schema/raw/master/csl-citation.json"} </w:instrText>
      </w:r>
      <w:r w:rsidR="009C2208">
        <w:fldChar w:fldCharType="separate"/>
      </w:r>
      <w:r w:rsidR="009C2208" w:rsidRPr="009C2208">
        <w:t>(2018)</w:t>
      </w:r>
      <w:r w:rsidR="009C2208">
        <w:fldChar w:fldCharType="end"/>
      </w:r>
      <w:r>
        <w:t xml:space="preserve">, Asgari and Jin </w:t>
      </w:r>
      <w:r w:rsidR="004366C1">
        <w:fldChar w:fldCharType="begin"/>
      </w:r>
      <w:r w:rsidR="004366C1">
        <w:instrText xml:space="preserve"> ADDIN ZOTERO_ITEM CSL_CITATION {"citationID":"GmniJnBH","properties":{"unsorted":false,"formattedCitation":"(2018)","plainCitation":"(2018)","noteIndex":1},"citationItems":[{"id":4371,"uris":["http://zotero.org/users/12832277/items/EWT8QCUK"],"itemData":{"id":4371,"type":"article-journal","abstract":"The primary objective of this research is to investigate the impacts of part-day telecommute arrangements on commute departure time. Part-day telecommuting occurs when the worker telecommutes while also travels to the workplace. In this case, telecommuting does not replace commute, but the workers may alter their commute departure times in order to avoid peak hour congestions. This paper intends to add empirical evidence on whether and to what extent telecommuting may lead to the temporal displacement of commute, and the actual outcomes on the network. With an interest on the departure time for commute trips, three different hazard models are developed, respectively for full-day commuters (no telecommuting episode), regular telecommuters (who telecommute on a regular basis), and non-regular telecommuters (who telecommute occasionally). Different socio-economic, demographic, and job-related attributes are used as independent variables in the model. Data were obtained from the 2010–2011 Regional Household travel Survey (RHTS) conducted in the New York Metropolitan region. This study adds to the literature by shedding light on the impacts of telecommuting on peak hour congestion relief and the underlying factors.","container-title":"Travel Behaviour and Society","DOI":"10.1016/j.tbs.2017.04.002","ISSN":"2214-367X","page":"84-92","source":"ScienceDirect","title":"An Evaluation of Part-Day Telecommute Impacts on Work Trip Departure Times","volume":"12","author":[{"family":"Asgari","given":"Hamidreza"},{"family":"Jin","given":"Xia"}],"issued":{"date-parts":[["2018",7,1]]}},"suppress-author":true}],"schema":"https://github.com/citation-style-language/schema/raw/master/csl-citation.json"} </w:instrText>
      </w:r>
      <w:r w:rsidR="004366C1">
        <w:fldChar w:fldCharType="separate"/>
      </w:r>
      <w:r w:rsidR="004366C1" w:rsidRPr="004366C1">
        <w:t>(2018)</w:t>
      </w:r>
      <w:r w:rsidR="004366C1">
        <w:fldChar w:fldCharType="end"/>
      </w:r>
      <w:r>
        <w:t xml:space="preserve">, </w:t>
      </w:r>
      <w:r w:rsidR="00BF4BF0" w:rsidRPr="00AA7459">
        <w:rPr>
          <w:kern w:val="0"/>
        </w:rPr>
        <w:t>Elldér</w:t>
      </w:r>
      <w:r w:rsidR="00BF4BF0">
        <w:rPr>
          <w:kern w:val="0"/>
        </w:rPr>
        <w:t xml:space="preserve"> </w:t>
      </w:r>
      <w:r w:rsidR="004366C1">
        <w:fldChar w:fldCharType="begin"/>
      </w:r>
      <w:r w:rsidR="004366C1">
        <w:instrText xml:space="preserve"> ADDIN ZOTERO_ITEM CSL_CITATION {"citationID":"7j7OzqWa","properties":{"unsorted":false,"formattedCitation":"(2020)","plainCitation":"(2020)","noteIndex":1},"citationItems":[{"id":836,"uris":["http://zotero.org/users/12832277/items/JAW2FQMM"],"itemData":{"id":836,"type":"article-journal","abstract":"Telework, long promoted as a way to reduce daily travel and address congestion problems, has been extensively studied in transport research. Empirical consensus has long held that telework reduces overall travel, but several updated studies now suggest the opposite. Meanwhile, telework has steadily increased in many countries, and few studies have examined contexts where regular teleworkers have grown to form an early majority. We study how telework influences daily travel in such a context, namely, Sweden from 2011 to 2016. Using representative micro-data from the Swedish National Travel Survey, this study also captures travel behaviour during the defined period when the telework was actually practiced, distinguishing different telework arrangements and analysing a range of travel behavioral outcomes. We conclude that telework leads to reduced travel demand, more use of active transport modes, and congestion relief. Important differences between full- and part-day teleworkers are also highlighted, stressing the importance of understanding telework as a diversified coping strategy for organizing the spatiotemporality of everyday life.","container-title":"Journal of Transport Geography","DOI":"10.1016/j.jtrangeo.2020.102777","ISSN":"0966-6923","language":"en","source":"ScienceDirect","title":"Telework and Daily Travel: New Evidence from Sweden","URL":"https://www.sciencedirect.com/science/article/pii/S0966692319311305","volume":"86","author":[{"family":"Elldér","given":"Erik"}],"accessed":{"date-parts":[["2023",7,5]]},"issued":{"date-parts":[["2020",6,1]]}},"suppress-author":true}],"schema":"https://github.com/citation-style-language/schema/raw/master/csl-citation.json"} </w:instrText>
      </w:r>
      <w:r w:rsidR="004366C1">
        <w:fldChar w:fldCharType="separate"/>
      </w:r>
      <w:r w:rsidR="004366C1" w:rsidRPr="004366C1">
        <w:t>(2020)</w:t>
      </w:r>
      <w:r w:rsidR="004366C1">
        <w:fldChar w:fldCharType="end"/>
      </w:r>
      <w:r>
        <w:t xml:space="preserve">, Stiles and Smart </w:t>
      </w:r>
      <w:r w:rsidR="00BF4BF0">
        <w:fldChar w:fldCharType="begin"/>
      </w:r>
      <w:r w:rsidR="00BF4BF0">
        <w:instrText xml:space="preserve"> ADDIN ZOTERO_ITEM CSL_CITATION {"citationID":"RQ3xWWOx","properties":{"unsorted":false,"formattedCitation":"(2021)","plainCitation":"(2021)","noteIndex":1},"citationItems":[{"id":4357,"uris":["http://zotero.org/users/12832277/items/XZRE8W2P","http://zotero.org/users/12832277/items/WV3B3926"],"itemData":{"id":4357,"type":"article-journal","abstract":"The mediation of work practices by information and communication technologies enables knowledge workers to telework from remote non-office locations such as their homes, or to work nomadically from multiple locations in a day. This paper uses data from the American Time Use Survey to explore the relationship between daily work locations and travel in the United States from 2003 to 2017. Outcome variables include travel duration and travel during peak periods. Home is by far the most common non-office work location, but working from other people’s homes, cafés/libraries, vehicles, and combinations of multiple locations are also measured. Findings show that working from home only on a day (full-day telework) decreases daily travel duration and increases the likelihood of avoiding peak hour travel for both work and non-work related travel. However, for homeworkers who also conduct work from their workplace on the same day (part-day telework), there is no reduction in daily travel time, and avoiding peak hour travel is limited to work-related travel. Working from other locations such as cafés/libraries or vehicles increases the likelihood of not traveling at peak hours. Findings also indicate that morning peak periods are more affected by work location decisions than evening peak periods. A survival analysis of daily departure times for both full-day and part-day homeworkers provides insight into this mechanism. We conclude on the basis of these findings that demand management policies and peak avoidance incentives would be more effective if they encourage both temporal and spatial flexibility for employees when partnering with regional employers.","container-title":"Transportation","DOI":"10.1007/s11116-020-10136-6","ISSN":"1572-9435","issue":"5","language":"en","page":"2461-2491","source":"Springer Link","title":"Working at Home and Elsewhere: Daily Work Location, Telework, and Travel Among United States Knowledge Workers","volume":"48","author":[{"family":"Stiles","given":"Jonathan"},{"family":"Smart","given":"Michael J."}],"issued":{"date-parts":[["2021",10,1]]}},"suppress-author":true}],"schema":"https://github.com/citation-style-language/schema/raw/master/csl-citation.json"} </w:instrText>
      </w:r>
      <w:r w:rsidR="00BF4BF0">
        <w:fldChar w:fldCharType="separate"/>
      </w:r>
      <w:r w:rsidR="00BF4BF0" w:rsidRPr="00BF4BF0">
        <w:t>(2021)</w:t>
      </w:r>
      <w:r w:rsidR="00BF4BF0">
        <w:fldChar w:fldCharType="end"/>
      </w:r>
      <w:r>
        <w:t xml:space="preserve">, and Abe et al. </w:t>
      </w:r>
      <w:r w:rsidR="00EC4912">
        <w:fldChar w:fldCharType="begin"/>
      </w:r>
      <w:r w:rsidR="00EC4912">
        <w:instrText xml:space="preserve"> ADDIN ZOTERO_ITEM CSL_CITATION {"citationID":"xvIwo6Jy","properties":{"unsorted":false,"formattedCitation":"(2023)","plainCitation":"(2023)","noteIndex":1},"citationItems":[{"id":4511,"uris":["http://zotero.org/users/12832277/items/XBKE6S8N"],"itemData":{"id":4511,"type":"article-journal","abstract":"This study empirically analyzes the impact of working from home (WFH) on travel behavior in the Tokyo metropolitan area. We use a large survey sample divided by the usual travel mode for commuting and quantify the impact of WFH on the number of rail, car, and walking and cycling trips made on a weekday. Two types of trip frequency models are examined: (1) a multivariate Poisson-lognormal (MVPLN) regression model that simultaneously explains the number of trips made by multiple modes and (2) a negative binomial regression (NBR) model. Explanatory variables comprise the place of work, the built environment of the place of residence, and individual and household attributes. The estimation results of the MVPLN model show that the error correlation between the number of trips made by a commuting mode and that by other/non-commuting modes is low for both rail and car commuters, which could justify the application of an NBR model. The estimation results of the NBR model show that the average effect of WFH for the full day (compared with working only outside the home) is a reduction of 1.9 rail trips per day for rail commuters and 1.6 car trips per day for car commuters, with car commuters who live in low-density areas tending to reduce car trips to a lesser extent. Meanwhile, few differences are observed in the reduction in rail trips for rail commuters by population density. Rail commuters tend to walk and cycle more if they work from home for the full day.","container-title":"Case Studies on Transport Policy","DOI":"10.1016/j.cstp.2022.100938","ISSN":"2213-624X","source":"ScienceDirect","title":"Impact of Working from Home on Travel Behavior of Rail and Car Commuters: A Case Study in the Tokyo Metropolitan Area","URL":"https://www.sciencedirect.com/science/article/pii/S2213624X22002383","volume":"11","author":[{"family":"Abe","given":"Ryosuke"},{"family":"Ikarashi","given":"Tatsuya"},{"family":"Takada","given":"Shin"},{"family":"Fukuda","given":"Daisuke"}],"accessed":{"date-parts":[["2025",5,13]]},"issued":{"date-parts":[["2023",3,1]]}},"suppress-author":true}],"schema":"https://github.com/citation-style-language/schema/raw/master/csl-citation.json"} </w:instrText>
      </w:r>
      <w:r w:rsidR="00EC4912">
        <w:fldChar w:fldCharType="separate"/>
      </w:r>
      <w:r w:rsidR="00EC4912" w:rsidRPr="00EC4912">
        <w:t>(2023)</w:t>
      </w:r>
      <w:r w:rsidR="00EC4912">
        <w:fldChar w:fldCharType="end"/>
      </w:r>
      <w:r>
        <w:t xml:space="preserve">, and post-pandemic studies such as Belloc et al. </w:t>
      </w:r>
      <w:r w:rsidR="00EC4912">
        <w:fldChar w:fldCharType="begin"/>
      </w:r>
      <w:r w:rsidR="00EC4912">
        <w:instrText xml:space="preserve"> ADDIN ZOTERO_ITEM CSL_CITATION {"citationID":"VsOkIEvg","properties":{"unsorted":false,"formattedCitation":"(2024)","plainCitation":"(2024)","noteIndex":1},"citationItems":[{"id":4502,"uris":["http://zotero.org/users/12832277/items/ATTNJUYY"],"itemData":{"id":4502,"type":"report","abstract":"Telework has gained increasing popularity in recent years, particularly following the COVID-19 pandemic, and is often considered a work practice that contributes to environmental sustainability by reducing commuting trips. However, the existing literature presents mixed findings regarding its potential effects on other types of travel, such as leisure and personal care trips. This paper examines the relationship between telework and daily travel time, utilizing data from the 2023 Extended Light Diary Digital Instrument (ELiDDI) survey, a nationally representative time use survey conducted in the UK in March 2023. Our findings indicate that teleworkers spend fewer minutes (e.g., 61 minutes) traveling per day compared to those working away from home, a result that remains robust even after excluding daily commuting time, suggesting that telework may lead to significant daily travel time savings. Further exploration reveals that telework is primarily related to reduced travel time for personal and housework-related activities, particularly among male teleworkers. These findings suggest that promoting telework policies could be an effective strategy not only for reducing commuting trips but also for achieving broader reductions in daily travel time, which may contribute to sustainability goals in the transportation sector and alleviate transportation-related environmental impacts.","collection-title":"IZA Discussion Papers","genre":"Working Paper","language":"eng","license":"https://www.econstor.eu/dspace/Nutzungsbedingungen","number":"17413","publisher":"Institute of Labor Economics, Bonn","source":"www.econstor.eu","title":"Teleworking and Travel Purposes: Uk Evidence After the COVID-19 Pandemic","URL":"https://www.econstor.eu/handle/10419/307237","author":[{"family":"Belloc","given":"Ignacio"},{"family":"Gimenez-Nadal","given":"José Ignacio"},{"family":"Molina","given":"José Alberto"}],"accessed":{"date-parts":[["2025",5,12]]},"issued":{"date-parts":[["2024"]]}},"suppress-author":true}],"schema":"https://github.com/citation-style-language/schema/raw/master/csl-citation.json"} </w:instrText>
      </w:r>
      <w:r w:rsidR="00EC4912">
        <w:fldChar w:fldCharType="separate"/>
      </w:r>
      <w:r w:rsidR="00EC4912" w:rsidRPr="00EC4912">
        <w:t>(2024)</w:t>
      </w:r>
      <w:r w:rsidR="00EC4912">
        <w:fldChar w:fldCharType="end"/>
      </w:r>
      <w:r>
        <w:t>, for research investigations that do not model telework per se, but do examine telework effects on travel behaviors</w:t>
      </w:r>
      <w:r w:rsidR="00286544">
        <w:t xml:space="preserve"> (see also the second paragraph of the introduction section)</w:t>
      </w:r>
      <w:r>
        <w:t>.</w:t>
      </w:r>
      <w:r w:rsidR="006D6103">
        <w:t xml:space="preserve"> </w:t>
      </w:r>
      <w:r>
        <w:t xml:space="preserve">Asmussen et al. </w:t>
      </w:r>
      <w:r w:rsidR="00EC4912">
        <w:fldChar w:fldCharType="begin"/>
      </w:r>
      <w:r w:rsidR="00EC4912">
        <w:instrText xml:space="preserve"> ADDIN ZOTERO_ITEM CSL_CITATION {"citationID":"6OlQ6I0U","properties":{"unsorted":false,"formattedCitation":"(2026)","plainCitation":"(2026)","noteIndex":1},"citationItems":[{"id":7387,"uris":["http://zotero.org/groups/6217546/items/Q3UZCLVZ"],"itemData":{"id":7387,"type":"article-journal","abstract":"This study explores the intricate interrelationship between teleworking and weekly participation in two types of nonwork activities – maintenance episodes and leisure episodes. We employ a latent segmentation model to categorize the population into two segments: (1) those for whom nonwork activity participation influences telework frequency (“players”), and (2) those for whom telework frequency impacts nonwork activity participation (“workers”). Within each segment, to reduce any spurious association effects, we model teleworking and nonwork stop-making as a package by accommodating correlations in unobserved factors across the outcomes. The data for this analysis is drawn from a 2021–2022 weekly travel survey of Minnesotan workers in the Twin City region. The results reveal significant heterogeneity in the causal directionality of effect, with nonwork activity participation influencing telework intensity levels for about two-thirds of individuals (the “player” or NT segment), and telework levels influencing nonwork activity participation for the rest (the “worker” or TN segment). This result is in contrast to earlier studies that have predominantly assumed that all individuals belong to the TN or “worker” segment, which according to our analysis, is actually the case only for a minority of the population. Our analysis also indicates that, rather than asking the typical question of “does telework increase or decrease stop-making?”, the more pertinent question is “how does the number of nonwork stops relate to the intensity of teleworking?”. Our findings reveal an inverted U-shaped curve, with the highest number of nonstops occurring when individuals telework a few days a month or about one day per week. This, combined with the finding from the Asmussen et al. (2024a) study, indicates that low levels of teleworking (a day per week or less) actually increases both commute vehicle miles traveled (VMT) and nonwork VMT. Therefore, to achieve VMT reduction through teleworking, promoting moderate to high levels of telework appears important.","container-title":"Transportation Research Part A: Policy and Practice","DOI":"10.1016/j.tra.2025.104857","ISSN":"0965-8564","journalAbbreviation":"Transportation Research Part A: Policy and Practice","page":"104857","source":"ScienceDirect","title":"Telework-to-Play or Play-to-Telework? Investigating the directional relationship between telework and nonwork travel","title-short":"Telework-to-Play or Play-to-Telework?","volume":"206","author":[{"family":"Asmussen","given":"Katherine E."},{"family":"Haddad","given":"Angela J."},{"family":"Bhat","given":"Chandra R."}],"issued":{"date-parts":[["2026",4,1]]}},"suppress-author":true}],"schema":"https://github.com/citation-style-language/schema/raw/master/csl-citation.json"} </w:instrText>
      </w:r>
      <w:r w:rsidR="00EC4912">
        <w:fldChar w:fldCharType="separate"/>
      </w:r>
      <w:r w:rsidR="00EC4912" w:rsidRPr="00EC4912">
        <w:t>(2026)</w:t>
      </w:r>
      <w:r w:rsidR="00EC4912">
        <w:fldChar w:fldCharType="end"/>
      </w:r>
      <w:r>
        <w:t xml:space="preserve"> provides a detailed review of </w:t>
      </w:r>
      <w:r w:rsidR="00313875">
        <w:t>earlier studies investigating telework effects on different types of travel behavior outcomes</w:t>
      </w:r>
      <w:r w:rsidR="00061899">
        <w:t xml:space="preserve">. </w:t>
      </w:r>
    </w:p>
  </w:footnote>
  <w:footnote w:id="2">
    <w:p w14:paraId="00CDFD7A" w14:textId="279630EC" w:rsidR="009949F0" w:rsidRPr="00E17A9D" w:rsidRDefault="009949F0" w:rsidP="001D6510">
      <w:pPr>
        <w:pStyle w:val="FootnoteText"/>
      </w:pPr>
      <w:r w:rsidRPr="00EC4391">
        <w:rPr>
          <w:rStyle w:val="FootnoteReference"/>
        </w:rPr>
        <w:footnoteRef/>
      </w:r>
      <w:r w:rsidR="005C61F2" w:rsidRPr="00E17A9D">
        <w:t>We should note that</w:t>
      </w:r>
      <w:r w:rsidR="005340C7">
        <w:t>, similar to Haddad et al. (2009),</w:t>
      </w:r>
      <w:r w:rsidR="005C61F2" w:rsidRPr="00E17A9D">
        <w:t xml:space="preserve"> we use this 30-minute cutoff</w:t>
      </w:r>
      <w:r w:rsidR="00C83DE8" w:rsidRPr="00E17A9D">
        <w:t xml:space="preserve"> </w:t>
      </w:r>
      <w:r w:rsidR="005C61F2" w:rsidRPr="00E17A9D">
        <w:t xml:space="preserve">to distinguish between </w:t>
      </w:r>
      <w:r w:rsidR="00DE2819" w:rsidRPr="00E17A9D">
        <w:t xml:space="preserve">substantive telework (where a significant portion of work is </w:t>
      </w:r>
      <w:r w:rsidR="002B41F9">
        <w:t>undertaken</w:t>
      </w:r>
      <w:r w:rsidR="00DE2819" w:rsidRPr="00E17A9D">
        <w:t xml:space="preserve"> remotely) and incidental or marginal telework (such as checking email or performing brief tasks outside of working hours). </w:t>
      </w:r>
      <w:r w:rsidR="00AF2FC3">
        <w:t xml:space="preserve">Although many of the existing studies examining telework adoption </w:t>
      </w:r>
      <w:r w:rsidR="00E14AAE">
        <w:t>do not</w:t>
      </w:r>
      <w:r w:rsidR="00AF2FC3">
        <w:t xml:space="preserve"> make this distinction, </w:t>
      </w:r>
      <w:r w:rsidR="00665D56">
        <w:t xml:space="preserve">there is evidence from literature in economics and organizational psychology that there are substantive differences in the motivations and </w:t>
      </w:r>
      <w:r w:rsidR="004E79AC">
        <w:t xml:space="preserve">behaviors of those undertaking </w:t>
      </w:r>
      <w:r w:rsidR="0028333E">
        <w:t>relatively long-duration</w:t>
      </w:r>
      <w:r w:rsidR="00114FD6">
        <w:t xml:space="preserve"> telework activities, compared with those supplementing their existing work routines with </w:t>
      </w:r>
      <w:r w:rsidR="00187E35">
        <w:t>short-duration</w:t>
      </w:r>
      <w:r w:rsidR="00114FD6">
        <w:t xml:space="preserve"> remote work activities </w:t>
      </w:r>
      <w:r w:rsidR="00325436">
        <w:fldChar w:fldCharType="begin"/>
      </w:r>
      <w:r w:rsidR="00820016">
        <w:instrText xml:space="preserve"> ADDIN ZOTERO_ITEM CSL_CITATION {"citationID":"CEiVt8jA","properties":{"formattedCitation":"(Garrett and Danziger, 2007; Thompson et al., 2022)","plainCitation":"(Garrett and Danziger, 2007; Thompson et al., 2022)","dontUpdate":true,"noteIndex":2},"citationItems":[{"id":5349,"uris":["http://zotero.org/users/12832277/items/GDFNQIGX"],"itemData":{"id":5349,"type":"article-journal","abstract":"Telework has been the subject of study for longer than a quarter century, yet its causes and consequences are poorly understood. A key reason for this shortcoming is that scholars define and use the concept in many different ways. This article presents a taxonomy of telework, distinguishing among three distinct forms: fixed-site telework, mobile telework, and flexiwork. It then offers a series of research questions about the associations among these three types of telework and a variety of other factors. Using data collected in a national telephone survey of more than 1,200 U.S. computer-using workers, the authors empirically demonstrate that the three types of teleworkers are unique along key dimensions regarding their individual characteristics, organizational and technological contexts, and the impacts on their work.","container-title":"Social Science Computer Review","DOI":"10.1177/0894439306293819","ISSN":"0894-4393","issue":"1","language":"EN","page":"27-47","publisher":"SAGE Publications Inc","source":"SAGE Journals","title":"Which Telework? Defining and Testing a Taxonomy of Technology-Mediated Work at a Distance","volume":"25","author":[{"family":"Garrett","given":"R. Kelly"},{"family":"Danziger","given":"James N."}],"issued":{"date-parts":[["2007",2,1]]}}},{"id":5346,"uris":["http://zotero.org/users/12832277/items/J6SNRAWF"],"itemData":{"id":5346,"type":"article-journal","abstract":"This qualitative research contributes to the telework research literature by identifying and categorizing employee motives for teleworking. Motives for telework contextualize teleworking behavior, represent proximal telework outcomes, and serve as potential boundary conditions for telework-outcome relationships. Role identity theory (Burke &amp; Tully Social Forces, 55(4), 881-897, ) and the uncertainty-reduction hypothesis (Hogg &amp; Terry Academy of Management Review, 25, 121-140, ) suggest that motives may be driven by role salience and the ability to meet work and nonwork demands. In this research, we sought to identify a comprehensive list of motives as well as reconcile the wide range of categories and labels given to telework motives in the literature. We asked two independent samples of workers comprised of two subsamples of teleworkers (n1 = 195; n2 = 97) and a subsample of nonteleworkers (n3 = 947) why they telework or would like to telework. A total of 2504 reasons were gathered across the three subsamples. Most respondents reported multiple reasons, especially when encouraged to list all of their reasons. After distinguishing preconditions from motives to telework, ten categories emerged from the qualitative data with “avoid commute” emerging as the most frequently reported motive. Other frequently reported motives included “tend to family demands” and “productivity.” Additional motives are discussed along with implications for telework research and policy development and implementation.","container-title":"Occupational Health Science","DOI":"10.1007/s41542-021-00094-5","ISSN":"2367-0134","issue":"2","page":"149-178","PMID":"34514089","PMCID":"PMC8415699","source":"PubMed Central","title":"A Taxonomy of Employee Motives for Telework","volume":"6","author":[{"family":"Thompson","given":"Rebecca J."},{"family":"Payne","given":"Stephanie C."},{"family":"Alexander","given":"Allison L."},{"family":"Gaskins","given":"Vanessa A."},{"family":"Henning","given":"Jaime B."}],"issued":{"date-parts":[["2022"]]}}}],"schema":"https://github.com/citation-style-language/schema/raw/master/csl-citation.json"} </w:instrText>
      </w:r>
      <w:r w:rsidR="00325436">
        <w:fldChar w:fldCharType="separate"/>
      </w:r>
      <w:r w:rsidR="00325436" w:rsidRPr="00325436">
        <w:t>(</w:t>
      </w:r>
      <w:r w:rsidR="00325436">
        <w:t xml:space="preserve">see </w:t>
      </w:r>
      <w:r w:rsidR="00325436" w:rsidRPr="00325436">
        <w:t>Garrett and Danziger, 2007; Thompson et al., 2022)</w:t>
      </w:r>
      <w:r w:rsidR="00325436">
        <w:fldChar w:fldCharType="end"/>
      </w:r>
      <w:r w:rsidR="00114FD6">
        <w:t xml:space="preserve">. </w:t>
      </w:r>
      <w:r w:rsidR="00C95555">
        <w:t xml:space="preserve">The </w:t>
      </w:r>
      <w:r w:rsidR="003B617D">
        <w:t xml:space="preserve">need to make such a distinction was also highlighted by the work of </w:t>
      </w:r>
      <w:r w:rsidR="00C95555">
        <w:t xml:space="preserve">Deng et al. </w:t>
      </w:r>
      <w:r w:rsidR="00C95555">
        <w:fldChar w:fldCharType="begin"/>
      </w:r>
      <w:r w:rsidR="00820016">
        <w:instrText xml:space="preserve"> ADDIN ZOTERO_ITEM CSL_CITATION {"citationID":"UHSqNFJf","properties":{"formattedCitation":"(2015)","plainCitation":"(2015)","noteIndex":2},"citationItems":[{"id":4478,"uris":["http://zotero.org/users/12832277/items/KXKJ93W4"],"itemData":{"id":4478,"type":"article-journal","abstract":"This paper investigates the impact of several factors on the adoption of telecommuting, using empirical data collected from 1,864 commuters in Northern California. We distinguish three types of telecommuting – full-day, part-day, and overtime – as they might affect travel behavior in very different ways. We develop binary logit models and a trivariate probit model of the adoption of each form of telecommuting, using non-centered factor scores to identify pro-high- vs. pro-low-density workers. We test the hypothesis that the impact of the built environment on the decision to adopt telecommuting differs between those two segments. The results support the hypothesis, with numerous variables significant to one of those segments but not the other; in the case of the binary logit model for overtime telecommuting, employment density in the home area even has opposite influences for pro-high-density (positive) compared to pro-low-density people (negative). Other groups of variables, including personal attitudes and demographic traits, also significantly affect individuals’ decisions on whether and how to telecommute, if at all. For example (consistent with other studies), education and household income are strong (positive) predictors of the decision to telecommute. Compared to the separate binary logit models, the trivariate probit model better predicts the joint probabilities of adopting the various forms of telecommuting, and better models the correlated adoption of the three types of telecommuting.","language":"en","source":"escholarship.org","title":"Modeling the Adoption of Full-day, Part-day and Overtime Telecommuting: An Investigation of Northern California Workers Using Non-Mean-Centered Factor Scores to Segment on Built Environment Attitudes","URL":"https://escholarship.org/uc/item/67q1r3bk","author":[{"family":"Deng","given":"Huijing"},{"family":"Mokhtarian","given":"Patricia"},{"family":"Circella","given":"Giovanni"}],"accessed":{"date-parts":[["2025",5,12]]},"issued":{"date-parts":[["2015"]]}},"suppress-author":true}],"schema":"https://github.com/citation-style-language/schema/raw/master/csl-citation.json"} </w:instrText>
      </w:r>
      <w:r w:rsidR="00C95555">
        <w:fldChar w:fldCharType="separate"/>
      </w:r>
      <w:r w:rsidR="001D7C5C" w:rsidRPr="001D7C5C">
        <w:t>(2015)</w:t>
      </w:r>
      <w:r w:rsidR="00C95555">
        <w:fldChar w:fldCharType="end"/>
      </w:r>
      <w:r w:rsidR="003B617D">
        <w:t xml:space="preserve"> who defined part-day teleworkers as those who </w:t>
      </w:r>
      <w:r w:rsidR="00077A3B" w:rsidRPr="00077A3B">
        <w:t>“</w:t>
      </w:r>
      <w:r w:rsidR="00077A3B">
        <w:t>w</w:t>
      </w:r>
      <w:r w:rsidR="00077A3B" w:rsidRPr="00077A3B">
        <w:t>ork at home and change the time you commute to or from work”</w:t>
      </w:r>
      <w:r w:rsidR="00077A3B">
        <w:t xml:space="preserve"> and overtime teleworkers as those who </w:t>
      </w:r>
      <w:r w:rsidR="00077A3B" w:rsidRPr="00077A3B">
        <w:t>“</w:t>
      </w:r>
      <w:r w:rsidR="00077A3B">
        <w:t>w</w:t>
      </w:r>
      <w:r w:rsidR="00077A3B" w:rsidRPr="00077A3B">
        <w:t>ork at home for part of the day without changing your normal commute</w:t>
      </w:r>
      <w:r w:rsidR="00077A3B">
        <w:t>.</w:t>
      </w:r>
      <w:r w:rsidR="00077A3B" w:rsidRPr="00077A3B">
        <w:t>”</w:t>
      </w:r>
      <w:r w:rsidR="00155D31">
        <w:t xml:space="preserve"> Thus, </w:t>
      </w:r>
      <w:r w:rsidR="00921EBB">
        <w:t>b</w:t>
      </w:r>
      <w:r w:rsidR="00921EBB" w:rsidRPr="00921EBB">
        <w:t>y applying a 30-minute cutoff, we aim to exclude incidental work that is unlikely to reflect a deliberate substitution of workplace presence</w:t>
      </w:r>
      <w:r w:rsidR="00246A8C">
        <w:t xml:space="preserve">. However, we recommend that future studies </w:t>
      </w:r>
      <w:r w:rsidR="00803DCD">
        <w:t xml:space="preserve">specifically </w:t>
      </w:r>
      <w:r w:rsidR="00451F3C">
        <w:t xml:space="preserve">collect information on, and </w:t>
      </w:r>
      <w:r w:rsidR="00803DCD">
        <w:t>examine the impacts of</w:t>
      </w:r>
      <w:r w:rsidR="00451F3C">
        <w:t>,</w:t>
      </w:r>
      <w:r w:rsidR="00246A8C">
        <w:t xml:space="preserve"> </w:t>
      </w:r>
      <w:r w:rsidR="00803DCD">
        <w:t xml:space="preserve">the types of activities undertaken while teleworking and the duration of in-person and remote work </w:t>
      </w:r>
      <w:r w:rsidR="006C3A1E">
        <w:t xml:space="preserve">on daily activity-travel patterns. </w:t>
      </w:r>
    </w:p>
  </w:footnote>
  <w:footnote w:id="3">
    <w:p w14:paraId="4B4A7E12" w14:textId="2C449501" w:rsidR="00AF1117" w:rsidRDefault="00AF1117">
      <w:pPr>
        <w:pStyle w:val="FootnoteText"/>
      </w:pPr>
      <w:r>
        <w:rPr>
          <w:rStyle w:val="FootnoteReference"/>
        </w:rPr>
        <w:footnoteRef/>
      </w:r>
      <w:r w:rsidR="00050EFE">
        <w:t>We should also note here that our decision to adopt an 80% confidence level threshold for including variables rest</w:t>
      </w:r>
      <w:r w:rsidR="00BA79B7">
        <w:t>s</w:t>
      </w:r>
      <w:r w:rsidR="00050EFE">
        <w:t xml:space="preserve"> on several important considerations. </w:t>
      </w:r>
      <w:r w:rsidR="003D26E6" w:rsidRPr="003D26E6">
        <w:t>Choosing a confidence threshold necessarily requires balancing competing risks</w:t>
      </w:r>
      <w:r w:rsidR="003D26E6">
        <w:t xml:space="preserve"> between the possibility of</w:t>
      </w:r>
      <w:r w:rsidR="002F058A">
        <w:t xml:space="preserve"> making</w:t>
      </w:r>
      <w:r w:rsidR="003D26E6" w:rsidRPr="003D26E6">
        <w:t xml:space="preserve"> Type I errors (incorrectly treating irrelevant variables as significant) </w:t>
      </w:r>
      <w:r w:rsidR="002F058A">
        <w:t>and making</w:t>
      </w:r>
      <w:r w:rsidR="003D26E6" w:rsidRPr="003D26E6">
        <w:t xml:space="preserve"> Type II errors (mistakenly discarding variables and missing genuine relationships)</w:t>
      </w:r>
      <w:r w:rsidR="002F058A">
        <w:t xml:space="preserve">. </w:t>
      </w:r>
      <w:r w:rsidR="002F058A" w:rsidRPr="002F058A">
        <w:t xml:space="preserve">The American Statistical Association (ASA) has stressed </w:t>
      </w:r>
      <w:r w:rsidR="002F058A">
        <w:fldChar w:fldCharType="begin"/>
      </w:r>
      <w:r w:rsidR="009C2208">
        <w:instrText xml:space="preserve"> ADDIN ZOTERO_ITEM CSL_CITATION {"citationID":"umu3RU8k","properties":{"unsorted":true,"formattedCitation":"(Wasserstein and Lazar, 2016; Wasserstein et al., 2019)","plainCitation":"(Wasserstein and Lazar, 2016; Wasserstein et al., 2019)","dontUpdate":true,"noteIndex":3},"citationItems":[{"id":4411,"uris":["http://zotero.org/users/12832277/items/L2MBY4UM"],"itemData":{"id":4411,"type":"article-journal","container-title":"The American Statistician","DOI":"10.1080/00031305.2016.1154108","ISSN":"0003-1305","issue":"2","note":"_eprint: https://doi.org/10.1080/00031305.2016.1154108","page":"129-133","publisher":"ASA Website","source":"Taylor and Francis+NEJM","title":"The ASA Statement on P-Values: Context, Process, and Purpose","volume":"70","author":[{"family":"Wasserstein","given":"Ronald L."},{"family":"Lazar","given":"Nicole A."}],"issued":{"date-parts":[["2016",4,2]]}}},{"id":4413,"uris":["http://zotero.org/users/12832277/items/LUYFYVPA"],"itemData":{"id":4413,"type":"article-journal","container-title":"The American Statistician","DOI":"10.1080/00031305.2019.1583913","ISSN":"0003-1305","issue":"sup1","note":"_eprint: https://doi.org/10.1080/00031305.2019.1583913","page":"1-19","publisher":"ASA Website","source":"Taylor and Francis+NEJM","title":"Moving to a World Beyond “p &lt; 0.05”","volume":"73","author":[{"family":"Wasserstein","given":"Ronald L."},{"family":"Schirm","given":"Allen L."},{"family":"Lazar","given":"Nicole A."}],"issued":{"date-parts":[["2019",3,29]]}}}],"schema":"https://github.com/citation-style-language/schema/raw/master/csl-citation.json"} </w:instrText>
      </w:r>
      <w:r w:rsidR="002F058A">
        <w:fldChar w:fldCharType="separate"/>
      </w:r>
      <w:r w:rsidR="002F058A" w:rsidRPr="002F058A">
        <w:t>(</w:t>
      </w:r>
      <w:r w:rsidR="001019E4">
        <w:t xml:space="preserve">see </w:t>
      </w:r>
      <w:r w:rsidR="002F058A" w:rsidRPr="002F058A">
        <w:t>Wasserstein and Lazar, 2016; Wasserstein et al., 2019)</w:t>
      </w:r>
      <w:r w:rsidR="002F058A">
        <w:fldChar w:fldCharType="end"/>
      </w:r>
      <w:r w:rsidR="002F058A" w:rsidRPr="002F058A">
        <w:t xml:space="preserve"> that researchers should apply judgment suited to their specific context when determining appropriate thresholds, rather than defaulting reflexively to the conventional 95% confidence level (</w:t>
      </w:r>
      <w:r w:rsidR="001019E4">
        <w:t>or any other arbitrary confidence level</w:t>
      </w:r>
      <w:r w:rsidR="002F058A" w:rsidRPr="002F058A">
        <w:t xml:space="preserve">). </w:t>
      </w:r>
      <w:r w:rsidR="00D046F6" w:rsidRPr="00D046F6">
        <w:t xml:space="preserve">Given our </w:t>
      </w:r>
      <w:r w:rsidR="003B19BD">
        <w:t xml:space="preserve">relatively small </w:t>
      </w:r>
      <w:r w:rsidR="00D046F6" w:rsidRPr="00D046F6">
        <w:t xml:space="preserve">sample of 699 individuals, </w:t>
      </w:r>
      <w:r w:rsidR="00806A42" w:rsidRPr="00806A42">
        <w:t>and the added complexity of jointly identifying the combined frequencies of full-day and part-day telework</w:t>
      </w:r>
      <w:r w:rsidR="00806A42">
        <w:t xml:space="preserve"> (while accounting for </w:t>
      </w:r>
      <w:r w:rsidR="003B19BD">
        <w:t xml:space="preserve">unobserved effects </w:t>
      </w:r>
      <w:r w:rsidR="001E2C57">
        <w:t>influencing</w:t>
      </w:r>
      <w:r w:rsidR="003B19BD">
        <w:t xml:space="preserve"> the </w:t>
      </w:r>
      <w:r w:rsidR="001E2C57">
        <w:t>propensities of each</w:t>
      </w:r>
      <w:r w:rsidR="003B19BD">
        <w:t xml:space="preserve"> and interdependencies between these two frequencies)</w:t>
      </w:r>
      <w:r w:rsidR="00D046F6" w:rsidRPr="00D046F6">
        <w:t>, we chose to place greater weight on minimizing Type II errors than a standard 0.05 significance level would allow. This approach lets us flag variables that appear meaningfully related to telework adoption and frequency within our present data and can guide future model specifications drawing on larger samples of workers, even though it comes at the cost of a somewhat elevated risk of Type I error</w:t>
      </w:r>
      <w:r w:rsidR="00475F9F">
        <w:t>s</w:t>
      </w:r>
      <w:r w:rsidR="00D046F6" w:rsidRPr="00D046F6">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15D72"/>
    <w:multiLevelType w:val="hybridMultilevel"/>
    <w:tmpl w:val="541065D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F34787A"/>
    <w:multiLevelType w:val="hybridMultilevel"/>
    <w:tmpl w:val="7086241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03327D5"/>
    <w:multiLevelType w:val="hybridMultilevel"/>
    <w:tmpl w:val="AF2476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157797E"/>
    <w:multiLevelType w:val="hybridMultilevel"/>
    <w:tmpl w:val="6C08DC3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B246ECD"/>
    <w:multiLevelType w:val="hybridMultilevel"/>
    <w:tmpl w:val="ED5C7F0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BE14322"/>
    <w:multiLevelType w:val="hybridMultilevel"/>
    <w:tmpl w:val="46C8CE1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EC526B9"/>
    <w:multiLevelType w:val="hybridMultilevel"/>
    <w:tmpl w:val="853026A0"/>
    <w:lvl w:ilvl="0" w:tplc="DD8AB274">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723F8"/>
    <w:multiLevelType w:val="hybridMultilevel"/>
    <w:tmpl w:val="42D203D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C7423F9"/>
    <w:multiLevelType w:val="hybridMultilevel"/>
    <w:tmpl w:val="8BCEF74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3B26F47"/>
    <w:multiLevelType w:val="hybridMultilevel"/>
    <w:tmpl w:val="A30447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3FD24E6"/>
    <w:multiLevelType w:val="hybridMultilevel"/>
    <w:tmpl w:val="09542D00"/>
    <w:lvl w:ilvl="0" w:tplc="E592D08C">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8744A1"/>
    <w:multiLevelType w:val="hybridMultilevel"/>
    <w:tmpl w:val="09B4BF6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AE2229D"/>
    <w:multiLevelType w:val="hybridMultilevel"/>
    <w:tmpl w:val="43B02D3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2F52848"/>
    <w:multiLevelType w:val="hybridMultilevel"/>
    <w:tmpl w:val="F81E1D00"/>
    <w:lvl w:ilvl="0" w:tplc="A0B23BB4">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64196F"/>
    <w:multiLevelType w:val="multilevel"/>
    <w:tmpl w:val="F22E5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793FEC"/>
    <w:multiLevelType w:val="hybridMultilevel"/>
    <w:tmpl w:val="15A018A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E461CB4"/>
    <w:multiLevelType w:val="hybridMultilevel"/>
    <w:tmpl w:val="B6E0506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F5A61CC"/>
    <w:multiLevelType w:val="hybridMultilevel"/>
    <w:tmpl w:val="EF6832EE"/>
    <w:lvl w:ilvl="0" w:tplc="41E8EEE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E26817"/>
    <w:multiLevelType w:val="hybridMultilevel"/>
    <w:tmpl w:val="32E00AB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17"/>
  </w:num>
  <w:num w:numId="4">
    <w:abstractNumId w:val="0"/>
  </w:num>
  <w:num w:numId="5">
    <w:abstractNumId w:val="4"/>
  </w:num>
  <w:num w:numId="6">
    <w:abstractNumId w:val="3"/>
  </w:num>
  <w:num w:numId="7">
    <w:abstractNumId w:val="7"/>
  </w:num>
  <w:num w:numId="8">
    <w:abstractNumId w:val="1"/>
  </w:num>
  <w:num w:numId="9">
    <w:abstractNumId w:val="12"/>
  </w:num>
  <w:num w:numId="10">
    <w:abstractNumId w:val="16"/>
  </w:num>
  <w:num w:numId="11">
    <w:abstractNumId w:val="2"/>
  </w:num>
  <w:num w:numId="12">
    <w:abstractNumId w:val="5"/>
  </w:num>
  <w:num w:numId="13">
    <w:abstractNumId w:val="11"/>
  </w:num>
  <w:num w:numId="14">
    <w:abstractNumId w:val="8"/>
  </w:num>
  <w:num w:numId="15">
    <w:abstractNumId w:val="18"/>
  </w:num>
  <w:num w:numId="16">
    <w:abstractNumId w:val="15"/>
  </w:num>
  <w:num w:numId="17">
    <w:abstractNumId w:val="9"/>
  </w:num>
  <w:num w:numId="18">
    <w:abstractNumId w:val="1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17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983"/>
    <w:rsid w:val="00001171"/>
    <w:rsid w:val="00001268"/>
    <w:rsid w:val="000013C3"/>
    <w:rsid w:val="00002011"/>
    <w:rsid w:val="00002227"/>
    <w:rsid w:val="00002A99"/>
    <w:rsid w:val="00003406"/>
    <w:rsid w:val="00003523"/>
    <w:rsid w:val="00003D5F"/>
    <w:rsid w:val="0000496D"/>
    <w:rsid w:val="00004BCD"/>
    <w:rsid w:val="000056C6"/>
    <w:rsid w:val="000062A9"/>
    <w:rsid w:val="00006B95"/>
    <w:rsid w:val="00007985"/>
    <w:rsid w:val="00007AB0"/>
    <w:rsid w:val="000103AE"/>
    <w:rsid w:val="00010F79"/>
    <w:rsid w:val="00011781"/>
    <w:rsid w:val="000118D7"/>
    <w:rsid w:val="000127A5"/>
    <w:rsid w:val="0001299D"/>
    <w:rsid w:val="00012F23"/>
    <w:rsid w:val="00014BD1"/>
    <w:rsid w:val="00015891"/>
    <w:rsid w:val="00015F1F"/>
    <w:rsid w:val="0001748D"/>
    <w:rsid w:val="0002023F"/>
    <w:rsid w:val="000202BC"/>
    <w:rsid w:val="000207BB"/>
    <w:rsid w:val="000223A3"/>
    <w:rsid w:val="000228EC"/>
    <w:rsid w:val="000234F5"/>
    <w:rsid w:val="00024353"/>
    <w:rsid w:val="00025B0F"/>
    <w:rsid w:val="00026AFE"/>
    <w:rsid w:val="00027446"/>
    <w:rsid w:val="00027711"/>
    <w:rsid w:val="000303DA"/>
    <w:rsid w:val="00032581"/>
    <w:rsid w:val="00032B5E"/>
    <w:rsid w:val="00032C49"/>
    <w:rsid w:val="00032D8D"/>
    <w:rsid w:val="00035DAD"/>
    <w:rsid w:val="00036832"/>
    <w:rsid w:val="00036EEA"/>
    <w:rsid w:val="00037BF2"/>
    <w:rsid w:val="00037F11"/>
    <w:rsid w:val="000400D5"/>
    <w:rsid w:val="00040829"/>
    <w:rsid w:val="0004120E"/>
    <w:rsid w:val="00042ED7"/>
    <w:rsid w:val="00043123"/>
    <w:rsid w:val="00044B81"/>
    <w:rsid w:val="00044E67"/>
    <w:rsid w:val="00045944"/>
    <w:rsid w:val="00046722"/>
    <w:rsid w:val="00047C90"/>
    <w:rsid w:val="00050C0D"/>
    <w:rsid w:val="00050EFE"/>
    <w:rsid w:val="0005402D"/>
    <w:rsid w:val="000543C5"/>
    <w:rsid w:val="000544E3"/>
    <w:rsid w:val="00054F8B"/>
    <w:rsid w:val="00055A04"/>
    <w:rsid w:val="000604DD"/>
    <w:rsid w:val="00061498"/>
    <w:rsid w:val="00061899"/>
    <w:rsid w:val="000619D8"/>
    <w:rsid w:val="00065D2A"/>
    <w:rsid w:val="00067612"/>
    <w:rsid w:val="000678EB"/>
    <w:rsid w:val="00067C89"/>
    <w:rsid w:val="00070E6F"/>
    <w:rsid w:val="00071784"/>
    <w:rsid w:val="00071C2E"/>
    <w:rsid w:val="00072963"/>
    <w:rsid w:val="000747AF"/>
    <w:rsid w:val="000752E8"/>
    <w:rsid w:val="000753C1"/>
    <w:rsid w:val="000759E6"/>
    <w:rsid w:val="00075D26"/>
    <w:rsid w:val="00076FD8"/>
    <w:rsid w:val="00077A3B"/>
    <w:rsid w:val="00077D91"/>
    <w:rsid w:val="00080872"/>
    <w:rsid w:val="00080A3F"/>
    <w:rsid w:val="00081B2F"/>
    <w:rsid w:val="00081D39"/>
    <w:rsid w:val="00082C18"/>
    <w:rsid w:val="00082C8E"/>
    <w:rsid w:val="0008507B"/>
    <w:rsid w:val="000864FA"/>
    <w:rsid w:val="0008786D"/>
    <w:rsid w:val="00087F55"/>
    <w:rsid w:val="00090F12"/>
    <w:rsid w:val="000922D7"/>
    <w:rsid w:val="000924E0"/>
    <w:rsid w:val="00092583"/>
    <w:rsid w:val="0009288A"/>
    <w:rsid w:val="00092F46"/>
    <w:rsid w:val="0009366F"/>
    <w:rsid w:val="00094FBC"/>
    <w:rsid w:val="000954EE"/>
    <w:rsid w:val="00095771"/>
    <w:rsid w:val="000958A5"/>
    <w:rsid w:val="0009763E"/>
    <w:rsid w:val="00097D27"/>
    <w:rsid w:val="000A07E8"/>
    <w:rsid w:val="000A0A06"/>
    <w:rsid w:val="000A0FDB"/>
    <w:rsid w:val="000A1A2A"/>
    <w:rsid w:val="000A33B5"/>
    <w:rsid w:val="000A3A33"/>
    <w:rsid w:val="000A423E"/>
    <w:rsid w:val="000A64F2"/>
    <w:rsid w:val="000A7A80"/>
    <w:rsid w:val="000A7D38"/>
    <w:rsid w:val="000B1B33"/>
    <w:rsid w:val="000B1BEC"/>
    <w:rsid w:val="000B1C4C"/>
    <w:rsid w:val="000B2AB0"/>
    <w:rsid w:val="000B41F6"/>
    <w:rsid w:val="000B4480"/>
    <w:rsid w:val="000B46A5"/>
    <w:rsid w:val="000B4E6A"/>
    <w:rsid w:val="000B6779"/>
    <w:rsid w:val="000B6CFD"/>
    <w:rsid w:val="000C2066"/>
    <w:rsid w:val="000C2AA9"/>
    <w:rsid w:val="000C358C"/>
    <w:rsid w:val="000C3913"/>
    <w:rsid w:val="000C3D6A"/>
    <w:rsid w:val="000C460E"/>
    <w:rsid w:val="000C6FA4"/>
    <w:rsid w:val="000C775A"/>
    <w:rsid w:val="000C786F"/>
    <w:rsid w:val="000D05B1"/>
    <w:rsid w:val="000D2120"/>
    <w:rsid w:val="000D3F9E"/>
    <w:rsid w:val="000D45FB"/>
    <w:rsid w:val="000D51DE"/>
    <w:rsid w:val="000D5EDA"/>
    <w:rsid w:val="000D74A3"/>
    <w:rsid w:val="000D7CBE"/>
    <w:rsid w:val="000E051D"/>
    <w:rsid w:val="000E1033"/>
    <w:rsid w:val="000E2F3F"/>
    <w:rsid w:val="000E3631"/>
    <w:rsid w:val="000E3799"/>
    <w:rsid w:val="000E4380"/>
    <w:rsid w:val="000E4541"/>
    <w:rsid w:val="000E50EB"/>
    <w:rsid w:val="000E563C"/>
    <w:rsid w:val="000E5753"/>
    <w:rsid w:val="000E5FB3"/>
    <w:rsid w:val="000E62CC"/>
    <w:rsid w:val="000F007F"/>
    <w:rsid w:val="000F1ED4"/>
    <w:rsid w:val="000F26EE"/>
    <w:rsid w:val="000F2DC0"/>
    <w:rsid w:val="000F3A9F"/>
    <w:rsid w:val="000F43D7"/>
    <w:rsid w:val="000F5065"/>
    <w:rsid w:val="000F576C"/>
    <w:rsid w:val="000F66EA"/>
    <w:rsid w:val="000F6EA3"/>
    <w:rsid w:val="000F75D3"/>
    <w:rsid w:val="00100307"/>
    <w:rsid w:val="001015B1"/>
    <w:rsid w:val="0010195B"/>
    <w:rsid w:val="001019E4"/>
    <w:rsid w:val="00102DCD"/>
    <w:rsid w:val="0010312E"/>
    <w:rsid w:val="0010449F"/>
    <w:rsid w:val="00104510"/>
    <w:rsid w:val="00105181"/>
    <w:rsid w:val="0010590B"/>
    <w:rsid w:val="00105EC0"/>
    <w:rsid w:val="00106EBC"/>
    <w:rsid w:val="00106F1A"/>
    <w:rsid w:val="001072C9"/>
    <w:rsid w:val="0010767E"/>
    <w:rsid w:val="001104F6"/>
    <w:rsid w:val="0011290F"/>
    <w:rsid w:val="00112F88"/>
    <w:rsid w:val="00114FD6"/>
    <w:rsid w:val="00115372"/>
    <w:rsid w:val="00115B5E"/>
    <w:rsid w:val="001161FB"/>
    <w:rsid w:val="0011680F"/>
    <w:rsid w:val="0011741E"/>
    <w:rsid w:val="001179C8"/>
    <w:rsid w:val="00117AA6"/>
    <w:rsid w:val="0012076D"/>
    <w:rsid w:val="00120B69"/>
    <w:rsid w:val="00120C66"/>
    <w:rsid w:val="0012108C"/>
    <w:rsid w:val="001211DF"/>
    <w:rsid w:val="001218D1"/>
    <w:rsid w:val="00121963"/>
    <w:rsid w:val="00121D57"/>
    <w:rsid w:val="0012349D"/>
    <w:rsid w:val="00123640"/>
    <w:rsid w:val="00124B6F"/>
    <w:rsid w:val="00124F3C"/>
    <w:rsid w:val="0012559C"/>
    <w:rsid w:val="001267F1"/>
    <w:rsid w:val="00126A2E"/>
    <w:rsid w:val="00126C2E"/>
    <w:rsid w:val="00127BDD"/>
    <w:rsid w:val="00127DCE"/>
    <w:rsid w:val="00127F89"/>
    <w:rsid w:val="001308BA"/>
    <w:rsid w:val="0013234D"/>
    <w:rsid w:val="00132A52"/>
    <w:rsid w:val="001342D1"/>
    <w:rsid w:val="0013666D"/>
    <w:rsid w:val="00140164"/>
    <w:rsid w:val="00141103"/>
    <w:rsid w:val="00141BE3"/>
    <w:rsid w:val="00141BF0"/>
    <w:rsid w:val="00144C24"/>
    <w:rsid w:val="00144F3C"/>
    <w:rsid w:val="00145906"/>
    <w:rsid w:val="00146196"/>
    <w:rsid w:val="001461D1"/>
    <w:rsid w:val="001467B6"/>
    <w:rsid w:val="00146C30"/>
    <w:rsid w:val="0014786A"/>
    <w:rsid w:val="001506B3"/>
    <w:rsid w:val="00150D48"/>
    <w:rsid w:val="001513FC"/>
    <w:rsid w:val="00151699"/>
    <w:rsid w:val="0015172C"/>
    <w:rsid w:val="001517C8"/>
    <w:rsid w:val="00152A5E"/>
    <w:rsid w:val="00155242"/>
    <w:rsid w:val="001557E1"/>
    <w:rsid w:val="00155C4B"/>
    <w:rsid w:val="00155D31"/>
    <w:rsid w:val="00155DFC"/>
    <w:rsid w:val="00155FCD"/>
    <w:rsid w:val="001609EF"/>
    <w:rsid w:val="00161149"/>
    <w:rsid w:val="00162264"/>
    <w:rsid w:val="00162FDD"/>
    <w:rsid w:val="00163519"/>
    <w:rsid w:val="00163666"/>
    <w:rsid w:val="00164975"/>
    <w:rsid w:val="00164C0A"/>
    <w:rsid w:val="00165348"/>
    <w:rsid w:val="00165E76"/>
    <w:rsid w:val="0016631B"/>
    <w:rsid w:val="00166879"/>
    <w:rsid w:val="00166890"/>
    <w:rsid w:val="00166C3A"/>
    <w:rsid w:val="00167A76"/>
    <w:rsid w:val="001708E7"/>
    <w:rsid w:val="00170B86"/>
    <w:rsid w:val="001717D0"/>
    <w:rsid w:val="00171B04"/>
    <w:rsid w:val="00172E5B"/>
    <w:rsid w:val="0017312D"/>
    <w:rsid w:val="00173229"/>
    <w:rsid w:val="00174A81"/>
    <w:rsid w:val="00174D73"/>
    <w:rsid w:val="00176678"/>
    <w:rsid w:val="00176B99"/>
    <w:rsid w:val="001777E3"/>
    <w:rsid w:val="00180BE2"/>
    <w:rsid w:val="00180F8E"/>
    <w:rsid w:val="00181547"/>
    <w:rsid w:val="00183957"/>
    <w:rsid w:val="001839B1"/>
    <w:rsid w:val="001849EE"/>
    <w:rsid w:val="001851A1"/>
    <w:rsid w:val="0018520B"/>
    <w:rsid w:val="0018549D"/>
    <w:rsid w:val="001870C4"/>
    <w:rsid w:val="00187E35"/>
    <w:rsid w:val="00187F17"/>
    <w:rsid w:val="00187F6B"/>
    <w:rsid w:val="001904ED"/>
    <w:rsid w:val="00190BB0"/>
    <w:rsid w:val="00191B9F"/>
    <w:rsid w:val="00194F15"/>
    <w:rsid w:val="00195328"/>
    <w:rsid w:val="001966B0"/>
    <w:rsid w:val="00196B6F"/>
    <w:rsid w:val="00196B81"/>
    <w:rsid w:val="001A0506"/>
    <w:rsid w:val="001A05BE"/>
    <w:rsid w:val="001A1409"/>
    <w:rsid w:val="001A16D1"/>
    <w:rsid w:val="001A1E42"/>
    <w:rsid w:val="001A21BA"/>
    <w:rsid w:val="001A25E1"/>
    <w:rsid w:val="001A2DAB"/>
    <w:rsid w:val="001A3AFD"/>
    <w:rsid w:val="001A419A"/>
    <w:rsid w:val="001A42D4"/>
    <w:rsid w:val="001A42E8"/>
    <w:rsid w:val="001A4CC0"/>
    <w:rsid w:val="001A4FF4"/>
    <w:rsid w:val="001A54B5"/>
    <w:rsid w:val="001A58C8"/>
    <w:rsid w:val="001A5A85"/>
    <w:rsid w:val="001A5EEB"/>
    <w:rsid w:val="001A602A"/>
    <w:rsid w:val="001A688C"/>
    <w:rsid w:val="001A79E3"/>
    <w:rsid w:val="001B13D8"/>
    <w:rsid w:val="001B152A"/>
    <w:rsid w:val="001B170D"/>
    <w:rsid w:val="001B1ACD"/>
    <w:rsid w:val="001B2AA7"/>
    <w:rsid w:val="001B3186"/>
    <w:rsid w:val="001B3805"/>
    <w:rsid w:val="001B4C1F"/>
    <w:rsid w:val="001B5B60"/>
    <w:rsid w:val="001B5C09"/>
    <w:rsid w:val="001B6DD9"/>
    <w:rsid w:val="001B7232"/>
    <w:rsid w:val="001B786E"/>
    <w:rsid w:val="001B79C7"/>
    <w:rsid w:val="001C0E44"/>
    <w:rsid w:val="001C116B"/>
    <w:rsid w:val="001C1604"/>
    <w:rsid w:val="001C2324"/>
    <w:rsid w:val="001C2682"/>
    <w:rsid w:val="001C26B6"/>
    <w:rsid w:val="001C32DF"/>
    <w:rsid w:val="001C574F"/>
    <w:rsid w:val="001C599E"/>
    <w:rsid w:val="001C702C"/>
    <w:rsid w:val="001C77A8"/>
    <w:rsid w:val="001C7F53"/>
    <w:rsid w:val="001D15D6"/>
    <w:rsid w:val="001D2B46"/>
    <w:rsid w:val="001D33A2"/>
    <w:rsid w:val="001D3F88"/>
    <w:rsid w:val="001D4F40"/>
    <w:rsid w:val="001D5836"/>
    <w:rsid w:val="001D6510"/>
    <w:rsid w:val="001D6AA5"/>
    <w:rsid w:val="001D6FF8"/>
    <w:rsid w:val="001D711D"/>
    <w:rsid w:val="001D7399"/>
    <w:rsid w:val="001D7708"/>
    <w:rsid w:val="001D7BBF"/>
    <w:rsid w:val="001D7C5C"/>
    <w:rsid w:val="001E037B"/>
    <w:rsid w:val="001E04D3"/>
    <w:rsid w:val="001E061B"/>
    <w:rsid w:val="001E16B6"/>
    <w:rsid w:val="001E1706"/>
    <w:rsid w:val="001E176C"/>
    <w:rsid w:val="001E17D7"/>
    <w:rsid w:val="001E1A64"/>
    <w:rsid w:val="001E2518"/>
    <w:rsid w:val="001E26D4"/>
    <w:rsid w:val="001E2C57"/>
    <w:rsid w:val="001E463E"/>
    <w:rsid w:val="001E50AF"/>
    <w:rsid w:val="001E52C9"/>
    <w:rsid w:val="001E5309"/>
    <w:rsid w:val="001E6042"/>
    <w:rsid w:val="001E6897"/>
    <w:rsid w:val="001E74A0"/>
    <w:rsid w:val="001F0433"/>
    <w:rsid w:val="001F075B"/>
    <w:rsid w:val="001F0C3E"/>
    <w:rsid w:val="001F0EB8"/>
    <w:rsid w:val="001F259A"/>
    <w:rsid w:val="001F2879"/>
    <w:rsid w:val="001F2B97"/>
    <w:rsid w:val="001F2C51"/>
    <w:rsid w:val="001F3046"/>
    <w:rsid w:val="001F385A"/>
    <w:rsid w:val="001F3C63"/>
    <w:rsid w:val="001F3D66"/>
    <w:rsid w:val="001F4318"/>
    <w:rsid w:val="001F5730"/>
    <w:rsid w:val="001F5A59"/>
    <w:rsid w:val="001F613B"/>
    <w:rsid w:val="001F61DC"/>
    <w:rsid w:val="001F6419"/>
    <w:rsid w:val="001F7495"/>
    <w:rsid w:val="00202E00"/>
    <w:rsid w:val="0020303D"/>
    <w:rsid w:val="002033DA"/>
    <w:rsid w:val="002036AA"/>
    <w:rsid w:val="00203FD1"/>
    <w:rsid w:val="002071AA"/>
    <w:rsid w:val="00210057"/>
    <w:rsid w:val="0021099C"/>
    <w:rsid w:val="0021352A"/>
    <w:rsid w:val="00213A67"/>
    <w:rsid w:val="00214363"/>
    <w:rsid w:val="00214394"/>
    <w:rsid w:val="0021590A"/>
    <w:rsid w:val="00216740"/>
    <w:rsid w:val="00220703"/>
    <w:rsid w:val="00220ED6"/>
    <w:rsid w:val="00221604"/>
    <w:rsid w:val="00221F47"/>
    <w:rsid w:val="002229F1"/>
    <w:rsid w:val="0022338B"/>
    <w:rsid w:val="00225A74"/>
    <w:rsid w:val="00225E98"/>
    <w:rsid w:val="00225EFA"/>
    <w:rsid w:val="00226B7E"/>
    <w:rsid w:val="002275A1"/>
    <w:rsid w:val="002275F4"/>
    <w:rsid w:val="002303C3"/>
    <w:rsid w:val="002308DC"/>
    <w:rsid w:val="0023124E"/>
    <w:rsid w:val="00231C50"/>
    <w:rsid w:val="0023640F"/>
    <w:rsid w:val="00237114"/>
    <w:rsid w:val="00237B5F"/>
    <w:rsid w:val="00237E06"/>
    <w:rsid w:val="002401D7"/>
    <w:rsid w:val="002402E9"/>
    <w:rsid w:val="00240560"/>
    <w:rsid w:val="00241683"/>
    <w:rsid w:val="0024189C"/>
    <w:rsid w:val="00241D12"/>
    <w:rsid w:val="00242744"/>
    <w:rsid w:val="0024308C"/>
    <w:rsid w:val="00243E1D"/>
    <w:rsid w:val="002454CE"/>
    <w:rsid w:val="0024674A"/>
    <w:rsid w:val="00246A8C"/>
    <w:rsid w:val="0024775C"/>
    <w:rsid w:val="00247854"/>
    <w:rsid w:val="00247F1C"/>
    <w:rsid w:val="00250E19"/>
    <w:rsid w:val="00250F86"/>
    <w:rsid w:val="002512B2"/>
    <w:rsid w:val="0025181E"/>
    <w:rsid w:val="0025190A"/>
    <w:rsid w:val="00251D77"/>
    <w:rsid w:val="00252577"/>
    <w:rsid w:val="002545A5"/>
    <w:rsid w:val="00255715"/>
    <w:rsid w:val="00255847"/>
    <w:rsid w:val="00260A15"/>
    <w:rsid w:val="00261478"/>
    <w:rsid w:val="00261984"/>
    <w:rsid w:val="00261DAD"/>
    <w:rsid w:val="00261EC7"/>
    <w:rsid w:val="002635F9"/>
    <w:rsid w:val="002653EA"/>
    <w:rsid w:val="00266026"/>
    <w:rsid w:val="002667E3"/>
    <w:rsid w:val="002673C1"/>
    <w:rsid w:val="00267415"/>
    <w:rsid w:val="002701BD"/>
    <w:rsid w:val="00270401"/>
    <w:rsid w:val="00270AA7"/>
    <w:rsid w:val="00270B0D"/>
    <w:rsid w:val="00271F16"/>
    <w:rsid w:val="002724AA"/>
    <w:rsid w:val="002726D5"/>
    <w:rsid w:val="00273007"/>
    <w:rsid w:val="00274FE6"/>
    <w:rsid w:val="00277050"/>
    <w:rsid w:val="002771F5"/>
    <w:rsid w:val="002772A6"/>
    <w:rsid w:val="00277720"/>
    <w:rsid w:val="002779A2"/>
    <w:rsid w:val="00277A3B"/>
    <w:rsid w:val="00280661"/>
    <w:rsid w:val="00280D0E"/>
    <w:rsid w:val="00281AB9"/>
    <w:rsid w:val="00281B62"/>
    <w:rsid w:val="002825B3"/>
    <w:rsid w:val="002829A7"/>
    <w:rsid w:val="0028333E"/>
    <w:rsid w:val="0028385A"/>
    <w:rsid w:val="00283CD6"/>
    <w:rsid w:val="002853CD"/>
    <w:rsid w:val="0028541C"/>
    <w:rsid w:val="00286544"/>
    <w:rsid w:val="00286A1B"/>
    <w:rsid w:val="00287069"/>
    <w:rsid w:val="00287C75"/>
    <w:rsid w:val="002901DA"/>
    <w:rsid w:val="002925CF"/>
    <w:rsid w:val="002926D8"/>
    <w:rsid w:val="002931CD"/>
    <w:rsid w:val="00294479"/>
    <w:rsid w:val="00295713"/>
    <w:rsid w:val="002960D6"/>
    <w:rsid w:val="00296137"/>
    <w:rsid w:val="002A0AF3"/>
    <w:rsid w:val="002A1EC2"/>
    <w:rsid w:val="002A259F"/>
    <w:rsid w:val="002A316D"/>
    <w:rsid w:val="002A3C72"/>
    <w:rsid w:val="002A412F"/>
    <w:rsid w:val="002A4786"/>
    <w:rsid w:val="002A5CCF"/>
    <w:rsid w:val="002A6C54"/>
    <w:rsid w:val="002A7341"/>
    <w:rsid w:val="002A7C5D"/>
    <w:rsid w:val="002B017C"/>
    <w:rsid w:val="002B0DC2"/>
    <w:rsid w:val="002B13E4"/>
    <w:rsid w:val="002B1B03"/>
    <w:rsid w:val="002B1D68"/>
    <w:rsid w:val="002B1E7F"/>
    <w:rsid w:val="002B254F"/>
    <w:rsid w:val="002B2A18"/>
    <w:rsid w:val="002B3290"/>
    <w:rsid w:val="002B356D"/>
    <w:rsid w:val="002B4019"/>
    <w:rsid w:val="002B41F9"/>
    <w:rsid w:val="002B4C2C"/>
    <w:rsid w:val="002B4D11"/>
    <w:rsid w:val="002B53DB"/>
    <w:rsid w:val="002B6B69"/>
    <w:rsid w:val="002B6C24"/>
    <w:rsid w:val="002B786D"/>
    <w:rsid w:val="002B7A2F"/>
    <w:rsid w:val="002B7DFF"/>
    <w:rsid w:val="002B7EAF"/>
    <w:rsid w:val="002C0B70"/>
    <w:rsid w:val="002C1ABC"/>
    <w:rsid w:val="002C2532"/>
    <w:rsid w:val="002C3BBF"/>
    <w:rsid w:val="002C3D72"/>
    <w:rsid w:val="002C4BD0"/>
    <w:rsid w:val="002C6BCB"/>
    <w:rsid w:val="002D081C"/>
    <w:rsid w:val="002D1E68"/>
    <w:rsid w:val="002D2056"/>
    <w:rsid w:val="002D2217"/>
    <w:rsid w:val="002D26E4"/>
    <w:rsid w:val="002D2A21"/>
    <w:rsid w:val="002D2E31"/>
    <w:rsid w:val="002D4076"/>
    <w:rsid w:val="002D633B"/>
    <w:rsid w:val="002E158E"/>
    <w:rsid w:val="002E170C"/>
    <w:rsid w:val="002E2958"/>
    <w:rsid w:val="002E2CA8"/>
    <w:rsid w:val="002E3140"/>
    <w:rsid w:val="002E4BE6"/>
    <w:rsid w:val="002E543D"/>
    <w:rsid w:val="002E5A7F"/>
    <w:rsid w:val="002E7777"/>
    <w:rsid w:val="002E7A0A"/>
    <w:rsid w:val="002E7D4D"/>
    <w:rsid w:val="002E7DA7"/>
    <w:rsid w:val="002F0138"/>
    <w:rsid w:val="002F01AB"/>
    <w:rsid w:val="002F058A"/>
    <w:rsid w:val="002F0D48"/>
    <w:rsid w:val="002F1188"/>
    <w:rsid w:val="002F25AE"/>
    <w:rsid w:val="002F2727"/>
    <w:rsid w:val="002F2A66"/>
    <w:rsid w:val="002F5B11"/>
    <w:rsid w:val="002F6131"/>
    <w:rsid w:val="002F7082"/>
    <w:rsid w:val="002F7830"/>
    <w:rsid w:val="002F7EBB"/>
    <w:rsid w:val="003003BA"/>
    <w:rsid w:val="003009B6"/>
    <w:rsid w:val="00300E55"/>
    <w:rsid w:val="00301F50"/>
    <w:rsid w:val="00303E4B"/>
    <w:rsid w:val="00304E12"/>
    <w:rsid w:val="003051EA"/>
    <w:rsid w:val="0030567D"/>
    <w:rsid w:val="00307301"/>
    <w:rsid w:val="003075E3"/>
    <w:rsid w:val="00307DC5"/>
    <w:rsid w:val="003102C6"/>
    <w:rsid w:val="003102CB"/>
    <w:rsid w:val="003109C9"/>
    <w:rsid w:val="00310CD5"/>
    <w:rsid w:val="0031239F"/>
    <w:rsid w:val="00313875"/>
    <w:rsid w:val="00315FB8"/>
    <w:rsid w:val="00316487"/>
    <w:rsid w:val="0031650C"/>
    <w:rsid w:val="0031724E"/>
    <w:rsid w:val="00317526"/>
    <w:rsid w:val="00317813"/>
    <w:rsid w:val="00317FE5"/>
    <w:rsid w:val="003210B7"/>
    <w:rsid w:val="00323C86"/>
    <w:rsid w:val="00325436"/>
    <w:rsid w:val="00326861"/>
    <w:rsid w:val="003276F7"/>
    <w:rsid w:val="0033024D"/>
    <w:rsid w:val="0033024E"/>
    <w:rsid w:val="00331597"/>
    <w:rsid w:val="00331ED7"/>
    <w:rsid w:val="00332655"/>
    <w:rsid w:val="00334743"/>
    <w:rsid w:val="003354FA"/>
    <w:rsid w:val="00335603"/>
    <w:rsid w:val="00335786"/>
    <w:rsid w:val="00335C02"/>
    <w:rsid w:val="00335C99"/>
    <w:rsid w:val="00335D40"/>
    <w:rsid w:val="003361E7"/>
    <w:rsid w:val="0033680E"/>
    <w:rsid w:val="00337E71"/>
    <w:rsid w:val="00337EE3"/>
    <w:rsid w:val="00342CD1"/>
    <w:rsid w:val="003437E6"/>
    <w:rsid w:val="00343B7D"/>
    <w:rsid w:val="003443F7"/>
    <w:rsid w:val="003464E6"/>
    <w:rsid w:val="0034669D"/>
    <w:rsid w:val="00347970"/>
    <w:rsid w:val="00350EED"/>
    <w:rsid w:val="003517FF"/>
    <w:rsid w:val="003519C4"/>
    <w:rsid w:val="003525F6"/>
    <w:rsid w:val="0035277C"/>
    <w:rsid w:val="003534A7"/>
    <w:rsid w:val="00354F73"/>
    <w:rsid w:val="0035515F"/>
    <w:rsid w:val="003551CD"/>
    <w:rsid w:val="0035647D"/>
    <w:rsid w:val="00356805"/>
    <w:rsid w:val="00357358"/>
    <w:rsid w:val="00360315"/>
    <w:rsid w:val="00361BB0"/>
    <w:rsid w:val="00362083"/>
    <w:rsid w:val="0036251E"/>
    <w:rsid w:val="003627A3"/>
    <w:rsid w:val="00362D3C"/>
    <w:rsid w:val="0036479F"/>
    <w:rsid w:val="0036507B"/>
    <w:rsid w:val="00365CF2"/>
    <w:rsid w:val="00365F76"/>
    <w:rsid w:val="0036703F"/>
    <w:rsid w:val="00367797"/>
    <w:rsid w:val="00367A31"/>
    <w:rsid w:val="00370821"/>
    <w:rsid w:val="00371342"/>
    <w:rsid w:val="0037161E"/>
    <w:rsid w:val="00372219"/>
    <w:rsid w:val="0037271A"/>
    <w:rsid w:val="00372DC4"/>
    <w:rsid w:val="00372EC7"/>
    <w:rsid w:val="00373DA0"/>
    <w:rsid w:val="003741B7"/>
    <w:rsid w:val="00374A6F"/>
    <w:rsid w:val="00377FF9"/>
    <w:rsid w:val="00380351"/>
    <w:rsid w:val="00380A8A"/>
    <w:rsid w:val="00382309"/>
    <w:rsid w:val="003838A3"/>
    <w:rsid w:val="00383AC8"/>
    <w:rsid w:val="00385333"/>
    <w:rsid w:val="003867F7"/>
    <w:rsid w:val="00386BE6"/>
    <w:rsid w:val="00386C53"/>
    <w:rsid w:val="0038747D"/>
    <w:rsid w:val="003874F2"/>
    <w:rsid w:val="003876B3"/>
    <w:rsid w:val="00390F1C"/>
    <w:rsid w:val="003911D6"/>
    <w:rsid w:val="003925ED"/>
    <w:rsid w:val="003927B7"/>
    <w:rsid w:val="003929E1"/>
    <w:rsid w:val="003937ED"/>
    <w:rsid w:val="003943B7"/>
    <w:rsid w:val="003955A3"/>
    <w:rsid w:val="00396F92"/>
    <w:rsid w:val="003A113F"/>
    <w:rsid w:val="003A128B"/>
    <w:rsid w:val="003A276B"/>
    <w:rsid w:val="003A3DE8"/>
    <w:rsid w:val="003A3F45"/>
    <w:rsid w:val="003A409B"/>
    <w:rsid w:val="003A4961"/>
    <w:rsid w:val="003A4E81"/>
    <w:rsid w:val="003A5321"/>
    <w:rsid w:val="003A7572"/>
    <w:rsid w:val="003B069F"/>
    <w:rsid w:val="003B08D9"/>
    <w:rsid w:val="003B0F9B"/>
    <w:rsid w:val="003B10C0"/>
    <w:rsid w:val="003B19BD"/>
    <w:rsid w:val="003B44A0"/>
    <w:rsid w:val="003B4D43"/>
    <w:rsid w:val="003B53FC"/>
    <w:rsid w:val="003B59C5"/>
    <w:rsid w:val="003B5F5D"/>
    <w:rsid w:val="003B617D"/>
    <w:rsid w:val="003B65E1"/>
    <w:rsid w:val="003B71B7"/>
    <w:rsid w:val="003C0C88"/>
    <w:rsid w:val="003C1C46"/>
    <w:rsid w:val="003C1C7C"/>
    <w:rsid w:val="003C1E62"/>
    <w:rsid w:val="003C246F"/>
    <w:rsid w:val="003C2499"/>
    <w:rsid w:val="003C37FC"/>
    <w:rsid w:val="003C4525"/>
    <w:rsid w:val="003C598B"/>
    <w:rsid w:val="003C6061"/>
    <w:rsid w:val="003C71AA"/>
    <w:rsid w:val="003D06D0"/>
    <w:rsid w:val="003D26E6"/>
    <w:rsid w:val="003D3652"/>
    <w:rsid w:val="003D3834"/>
    <w:rsid w:val="003D3E07"/>
    <w:rsid w:val="003D472A"/>
    <w:rsid w:val="003D527A"/>
    <w:rsid w:val="003D6021"/>
    <w:rsid w:val="003D67BC"/>
    <w:rsid w:val="003D781E"/>
    <w:rsid w:val="003E06CB"/>
    <w:rsid w:val="003E146C"/>
    <w:rsid w:val="003E161F"/>
    <w:rsid w:val="003E2511"/>
    <w:rsid w:val="003E2D67"/>
    <w:rsid w:val="003E304B"/>
    <w:rsid w:val="003E4400"/>
    <w:rsid w:val="003E46B2"/>
    <w:rsid w:val="003E509C"/>
    <w:rsid w:val="003E58E7"/>
    <w:rsid w:val="003E5D98"/>
    <w:rsid w:val="003E6441"/>
    <w:rsid w:val="003E6E50"/>
    <w:rsid w:val="003E7415"/>
    <w:rsid w:val="003E7714"/>
    <w:rsid w:val="003E7BCD"/>
    <w:rsid w:val="003E7C14"/>
    <w:rsid w:val="003E7FE8"/>
    <w:rsid w:val="003F0135"/>
    <w:rsid w:val="003F0168"/>
    <w:rsid w:val="003F017C"/>
    <w:rsid w:val="003F03EA"/>
    <w:rsid w:val="003F165C"/>
    <w:rsid w:val="003F1DB8"/>
    <w:rsid w:val="003F352B"/>
    <w:rsid w:val="003F5EAF"/>
    <w:rsid w:val="003F62F0"/>
    <w:rsid w:val="003F6629"/>
    <w:rsid w:val="003F666C"/>
    <w:rsid w:val="003F6DB8"/>
    <w:rsid w:val="004016D6"/>
    <w:rsid w:val="00401A46"/>
    <w:rsid w:val="00401B52"/>
    <w:rsid w:val="00401FA8"/>
    <w:rsid w:val="0040364F"/>
    <w:rsid w:val="00404289"/>
    <w:rsid w:val="00407041"/>
    <w:rsid w:val="00407219"/>
    <w:rsid w:val="0041008D"/>
    <w:rsid w:val="00411210"/>
    <w:rsid w:val="0041145D"/>
    <w:rsid w:val="00411D9D"/>
    <w:rsid w:val="00412012"/>
    <w:rsid w:val="00412475"/>
    <w:rsid w:val="00412BF0"/>
    <w:rsid w:val="00413A52"/>
    <w:rsid w:val="00416581"/>
    <w:rsid w:val="00417476"/>
    <w:rsid w:val="00420694"/>
    <w:rsid w:val="00420E6F"/>
    <w:rsid w:val="004219D3"/>
    <w:rsid w:val="004224EA"/>
    <w:rsid w:val="00422661"/>
    <w:rsid w:val="00422A14"/>
    <w:rsid w:val="004231E6"/>
    <w:rsid w:val="00423A75"/>
    <w:rsid w:val="004240C8"/>
    <w:rsid w:val="004244E7"/>
    <w:rsid w:val="00425749"/>
    <w:rsid w:val="00425922"/>
    <w:rsid w:val="00426579"/>
    <w:rsid w:val="00426BC3"/>
    <w:rsid w:val="004276AD"/>
    <w:rsid w:val="00430164"/>
    <w:rsid w:val="00430700"/>
    <w:rsid w:val="00430B94"/>
    <w:rsid w:val="0043138A"/>
    <w:rsid w:val="00432C66"/>
    <w:rsid w:val="00433A76"/>
    <w:rsid w:val="00433D09"/>
    <w:rsid w:val="00434267"/>
    <w:rsid w:val="00434729"/>
    <w:rsid w:val="004353A3"/>
    <w:rsid w:val="0043552B"/>
    <w:rsid w:val="004356D9"/>
    <w:rsid w:val="00435873"/>
    <w:rsid w:val="0043595B"/>
    <w:rsid w:val="0043608D"/>
    <w:rsid w:val="00436197"/>
    <w:rsid w:val="004366C1"/>
    <w:rsid w:val="00436C1F"/>
    <w:rsid w:val="00437B76"/>
    <w:rsid w:val="00437F8A"/>
    <w:rsid w:val="00440431"/>
    <w:rsid w:val="00440A93"/>
    <w:rsid w:val="004418CF"/>
    <w:rsid w:val="00441E9D"/>
    <w:rsid w:val="00442AC2"/>
    <w:rsid w:val="00442CD3"/>
    <w:rsid w:val="00443200"/>
    <w:rsid w:val="0044320C"/>
    <w:rsid w:val="004432A2"/>
    <w:rsid w:val="00444605"/>
    <w:rsid w:val="0044539C"/>
    <w:rsid w:val="00446F15"/>
    <w:rsid w:val="00446F63"/>
    <w:rsid w:val="00447C6F"/>
    <w:rsid w:val="00450F3E"/>
    <w:rsid w:val="00451F3C"/>
    <w:rsid w:val="00452C84"/>
    <w:rsid w:val="004533AD"/>
    <w:rsid w:val="0045372E"/>
    <w:rsid w:val="00455334"/>
    <w:rsid w:val="00455C70"/>
    <w:rsid w:val="0045690D"/>
    <w:rsid w:val="004573EC"/>
    <w:rsid w:val="00457400"/>
    <w:rsid w:val="00457A16"/>
    <w:rsid w:val="00460BED"/>
    <w:rsid w:val="0046131C"/>
    <w:rsid w:val="00461E11"/>
    <w:rsid w:val="00461F75"/>
    <w:rsid w:val="00462148"/>
    <w:rsid w:val="0046259A"/>
    <w:rsid w:val="00463502"/>
    <w:rsid w:val="00465195"/>
    <w:rsid w:val="0046620F"/>
    <w:rsid w:val="00466A20"/>
    <w:rsid w:val="00466D73"/>
    <w:rsid w:val="00466E18"/>
    <w:rsid w:val="00467A58"/>
    <w:rsid w:val="00467B83"/>
    <w:rsid w:val="00467F07"/>
    <w:rsid w:val="004706AF"/>
    <w:rsid w:val="00470B1B"/>
    <w:rsid w:val="004718DC"/>
    <w:rsid w:val="00471FD6"/>
    <w:rsid w:val="00472494"/>
    <w:rsid w:val="00472955"/>
    <w:rsid w:val="00473360"/>
    <w:rsid w:val="00473362"/>
    <w:rsid w:val="00473452"/>
    <w:rsid w:val="00474048"/>
    <w:rsid w:val="00475644"/>
    <w:rsid w:val="00475B93"/>
    <w:rsid w:val="00475F9F"/>
    <w:rsid w:val="004765C9"/>
    <w:rsid w:val="004803F5"/>
    <w:rsid w:val="0048049C"/>
    <w:rsid w:val="0048120A"/>
    <w:rsid w:val="004820D1"/>
    <w:rsid w:val="00482578"/>
    <w:rsid w:val="00483F32"/>
    <w:rsid w:val="0048489C"/>
    <w:rsid w:val="00484D3D"/>
    <w:rsid w:val="00485103"/>
    <w:rsid w:val="0048573D"/>
    <w:rsid w:val="004861E9"/>
    <w:rsid w:val="00487454"/>
    <w:rsid w:val="00490381"/>
    <w:rsid w:val="0049045C"/>
    <w:rsid w:val="004911BB"/>
    <w:rsid w:val="00492B30"/>
    <w:rsid w:val="0049452B"/>
    <w:rsid w:val="0049470F"/>
    <w:rsid w:val="00495327"/>
    <w:rsid w:val="00497D81"/>
    <w:rsid w:val="004A00DF"/>
    <w:rsid w:val="004A0760"/>
    <w:rsid w:val="004A12D4"/>
    <w:rsid w:val="004A1429"/>
    <w:rsid w:val="004A1865"/>
    <w:rsid w:val="004A2025"/>
    <w:rsid w:val="004A2495"/>
    <w:rsid w:val="004A327A"/>
    <w:rsid w:val="004A4661"/>
    <w:rsid w:val="004A51BB"/>
    <w:rsid w:val="004A589F"/>
    <w:rsid w:val="004A5D99"/>
    <w:rsid w:val="004A6961"/>
    <w:rsid w:val="004A7054"/>
    <w:rsid w:val="004B0047"/>
    <w:rsid w:val="004B0652"/>
    <w:rsid w:val="004B10D7"/>
    <w:rsid w:val="004B12EA"/>
    <w:rsid w:val="004B183C"/>
    <w:rsid w:val="004B1943"/>
    <w:rsid w:val="004B2659"/>
    <w:rsid w:val="004B4F44"/>
    <w:rsid w:val="004B50C4"/>
    <w:rsid w:val="004B50CE"/>
    <w:rsid w:val="004B613C"/>
    <w:rsid w:val="004B70BB"/>
    <w:rsid w:val="004B714D"/>
    <w:rsid w:val="004B7313"/>
    <w:rsid w:val="004B7DA7"/>
    <w:rsid w:val="004C080D"/>
    <w:rsid w:val="004C0ADF"/>
    <w:rsid w:val="004C2F55"/>
    <w:rsid w:val="004C523C"/>
    <w:rsid w:val="004C529C"/>
    <w:rsid w:val="004C6661"/>
    <w:rsid w:val="004C71A9"/>
    <w:rsid w:val="004C7756"/>
    <w:rsid w:val="004D0C36"/>
    <w:rsid w:val="004D2131"/>
    <w:rsid w:val="004D221A"/>
    <w:rsid w:val="004D22BC"/>
    <w:rsid w:val="004D24CC"/>
    <w:rsid w:val="004D25E5"/>
    <w:rsid w:val="004D2758"/>
    <w:rsid w:val="004D3379"/>
    <w:rsid w:val="004D44BA"/>
    <w:rsid w:val="004D4524"/>
    <w:rsid w:val="004D49D8"/>
    <w:rsid w:val="004D5773"/>
    <w:rsid w:val="004D5C1B"/>
    <w:rsid w:val="004D5FA0"/>
    <w:rsid w:val="004D6179"/>
    <w:rsid w:val="004D6569"/>
    <w:rsid w:val="004D6723"/>
    <w:rsid w:val="004D7FA1"/>
    <w:rsid w:val="004E0420"/>
    <w:rsid w:val="004E05DF"/>
    <w:rsid w:val="004E065F"/>
    <w:rsid w:val="004E28FD"/>
    <w:rsid w:val="004E29C4"/>
    <w:rsid w:val="004E368D"/>
    <w:rsid w:val="004E3C82"/>
    <w:rsid w:val="004E42D7"/>
    <w:rsid w:val="004E4927"/>
    <w:rsid w:val="004E4FD8"/>
    <w:rsid w:val="004E59FC"/>
    <w:rsid w:val="004E66A9"/>
    <w:rsid w:val="004E79AC"/>
    <w:rsid w:val="004F1FE4"/>
    <w:rsid w:val="004F5366"/>
    <w:rsid w:val="004F6BE8"/>
    <w:rsid w:val="004F6CB0"/>
    <w:rsid w:val="0050075A"/>
    <w:rsid w:val="005010A5"/>
    <w:rsid w:val="005017E4"/>
    <w:rsid w:val="00501A7A"/>
    <w:rsid w:val="005022DA"/>
    <w:rsid w:val="00502FCA"/>
    <w:rsid w:val="00503069"/>
    <w:rsid w:val="00503386"/>
    <w:rsid w:val="00503578"/>
    <w:rsid w:val="00503C43"/>
    <w:rsid w:val="0050422F"/>
    <w:rsid w:val="00504B1C"/>
    <w:rsid w:val="00506284"/>
    <w:rsid w:val="00507426"/>
    <w:rsid w:val="0051070F"/>
    <w:rsid w:val="00510CBB"/>
    <w:rsid w:val="005117B9"/>
    <w:rsid w:val="00511C9E"/>
    <w:rsid w:val="00512341"/>
    <w:rsid w:val="005125E6"/>
    <w:rsid w:val="00513BF2"/>
    <w:rsid w:val="005145F8"/>
    <w:rsid w:val="0052022D"/>
    <w:rsid w:val="00520B95"/>
    <w:rsid w:val="00521401"/>
    <w:rsid w:val="00522EFD"/>
    <w:rsid w:val="00523935"/>
    <w:rsid w:val="005244BD"/>
    <w:rsid w:val="0052593F"/>
    <w:rsid w:val="00525AB0"/>
    <w:rsid w:val="00525DA4"/>
    <w:rsid w:val="00525FA2"/>
    <w:rsid w:val="00527668"/>
    <w:rsid w:val="005277AC"/>
    <w:rsid w:val="00527A6F"/>
    <w:rsid w:val="00527A77"/>
    <w:rsid w:val="00527B09"/>
    <w:rsid w:val="005301B1"/>
    <w:rsid w:val="005307AB"/>
    <w:rsid w:val="00530936"/>
    <w:rsid w:val="00530BAD"/>
    <w:rsid w:val="0053113E"/>
    <w:rsid w:val="00532F4B"/>
    <w:rsid w:val="00533275"/>
    <w:rsid w:val="005340C7"/>
    <w:rsid w:val="00534A7D"/>
    <w:rsid w:val="00535034"/>
    <w:rsid w:val="005351B1"/>
    <w:rsid w:val="0053520A"/>
    <w:rsid w:val="0053529C"/>
    <w:rsid w:val="005363CC"/>
    <w:rsid w:val="00537C96"/>
    <w:rsid w:val="00537DFA"/>
    <w:rsid w:val="005402C8"/>
    <w:rsid w:val="00540793"/>
    <w:rsid w:val="0054416C"/>
    <w:rsid w:val="0054422B"/>
    <w:rsid w:val="00544B67"/>
    <w:rsid w:val="00545429"/>
    <w:rsid w:val="00546BAC"/>
    <w:rsid w:val="005474F0"/>
    <w:rsid w:val="00547921"/>
    <w:rsid w:val="005506A8"/>
    <w:rsid w:val="00550AF2"/>
    <w:rsid w:val="00551AB8"/>
    <w:rsid w:val="00551AC4"/>
    <w:rsid w:val="00552725"/>
    <w:rsid w:val="00553BD4"/>
    <w:rsid w:val="0055534E"/>
    <w:rsid w:val="005553E5"/>
    <w:rsid w:val="00555D10"/>
    <w:rsid w:val="00557438"/>
    <w:rsid w:val="00557636"/>
    <w:rsid w:val="005605A7"/>
    <w:rsid w:val="005628CB"/>
    <w:rsid w:val="00563305"/>
    <w:rsid w:val="00563322"/>
    <w:rsid w:val="00563598"/>
    <w:rsid w:val="0056397A"/>
    <w:rsid w:val="00563B09"/>
    <w:rsid w:val="00563D14"/>
    <w:rsid w:val="005650E6"/>
    <w:rsid w:val="00565918"/>
    <w:rsid w:val="00565CF9"/>
    <w:rsid w:val="00565E66"/>
    <w:rsid w:val="0056641A"/>
    <w:rsid w:val="005667A2"/>
    <w:rsid w:val="00566C83"/>
    <w:rsid w:val="00567159"/>
    <w:rsid w:val="00567BB6"/>
    <w:rsid w:val="00567F4C"/>
    <w:rsid w:val="00570141"/>
    <w:rsid w:val="00570648"/>
    <w:rsid w:val="00570C5A"/>
    <w:rsid w:val="00571999"/>
    <w:rsid w:val="0057246E"/>
    <w:rsid w:val="00572CFC"/>
    <w:rsid w:val="00573147"/>
    <w:rsid w:val="0057345F"/>
    <w:rsid w:val="005738D8"/>
    <w:rsid w:val="0058161B"/>
    <w:rsid w:val="00582064"/>
    <w:rsid w:val="005828C0"/>
    <w:rsid w:val="00582907"/>
    <w:rsid w:val="00583BEC"/>
    <w:rsid w:val="00583C65"/>
    <w:rsid w:val="0058622A"/>
    <w:rsid w:val="0058653F"/>
    <w:rsid w:val="005869F5"/>
    <w:rsid w:val="00587006"/>
    <w:rsid w:val="00587465"/>
    <w:rsid w:val="005903F6"/>
    <w:rsid w:val="00590EC9"/>
    <w:rsid w:val="00591237"/>
    <w:rsid w:val="005918EE"/>
    <w:rsid w:val="00591C42"/>
    <w:rsid w:val="00591D5D"/>
    <w:rsid w:val="0059231E"/>
    <w:rsid w:val="00592CBF"/>
    <w:rsid w:val="0059342B"/>
    <w:rsid w:val="00593459"/>
    <w:rsid w:val="00593F05"/>
    <w:rsid w:val="00593F33"/>
    <w:rsid w:val="00594531"/>
    <w:rsid w:val="005956B4"/>
    <w:rsid w:val="005957DB"/>
    <w:rsid w:val="0059707D"/>
    <w:rsid w:val="005A0E26"/>
    <w:rsid w:val="005A0E99"/>
    <w:rsid w:val="005A1DEF"/>
    <w:rsid w:val="005A1FCF"/>
    <w:rsid w:val="005A2703"/>
    <w:rsid w:val="005A2859"/>
    <w:rsid w:val="005A2981"/>
    <w:rsid w:val="005A29DD"/>
    <w:rsid w:val="005A2ABC"/>
    <w:rsid w:val="005A2D04"/>
    <w:rsid w:val="005A33BF"/>
    <w:rsid w:val="005A371B"/>
    <w:rsid w:val="005A4121"/>
    <w:rsid w:val="005A4DF4"/>
    <w:rsid w:val="005A667C"/>
    <w:rsid w:val="005B0799"/>
    <w:rsid w:val="005B153D"/>
    <w:rsid w:val="005B1C30"/>
    <w:rsid w:val="005B25F7"/>
    <w:rsid w:val="005B2E20"/>
    <w:rsid w:val="005B34F5"/>
    <w:rsid w:val="005B3515"/>
    <w:rsid w:val="005B4F8F"/>
    <w:rsid w:val="005B5C86"/>
    <w:rsid w:val="005B68AA"/>
    <w:rsid w:val="005B6DC1"/>
    <w:rsid w:val="005B7281"/>
    <w:rsid w:val="005C047E"/>
    <w:rsid w:val="005C074D"/>
    <w:rsid w:val="005C08E6"/>
    <w:rsid w:val="005C0BBB"/>
    <w:rsid w:val="005C0DA4"/>
    <w:rsid w:val="005C1454"/>
    <w:rsid w:val="005C1691"/>
    <w:rsid w:val="005C2DEB"/>
    <w:rsid w:val="005C3307"/>
    <w:rsid w:val="005C3385"/>
    <w:rsid w:val="005C42B7"/>
    <w:rsid w:val="005C4591"/>
    <w:rsid w:val="005C5F34"/>
    <w:rsid w:val="005C61F2"/>
    <w:rsid w:val="005D03D0"/>
    <w:rsid w:val="005D08BC"/>
    <w:rsid w:val="005D2E7C"/>
    <w:rsid w:val="005D2F03"/>
    <w:rsid w:val="005D4B08"/>
    <w:rsid w:val="005D54BC"/>
    <w:rsid w:val="005D5792"/>
    <w:rsid w:val="005D615E"/>
    <w:rsid w:val="005D6635"/>
    <w:rsid w:val="005D718B"/>
    <w:rsid w:val="005D73AD"/>
    <w:rsid w:val="005D7BAB"/>
    <w:rsid w:val="005D7FAD"/>
    <w:rsid w:val="005E05EF"/>
    <w:rsid w:val="005E0ED6"/>
    <w:rsid w:val="005E13D3"/>
    <w:rsid w:val="005E1EB8"/>
    <w:rsid w:val="005E20EC"/>
    <w:rsid w:val="005E2232"/>
    <w:rsid w:val="005E290C"/>
    <w:rsid w:val="005E5B81"/>
    <w:rsid w:val="005E6328"/>
    <w:rsid w:val="005E63EF"/>
    <w:rsid w:val="005E75AF"/>
    <w:rsid w:val="005F0341"/>
    <w:rsid w:val="005F0ADB"/>
    <w:rsid w:val="005F1AFD"/>
    <w:rsid w:val="005F253F"/>
    <w:rsid w:val="005F2913"/>
    <w:rsid w:val="005F2FEF"/>
    <w:rsid w:val="005F3A60"/>
    <w:rsid w:val="005F3C23"/>
    <w:rsid w:val="005F3FBF"/>
    <w:rsid w:val="005F3FCE"/>
    <w:rsid w:val="0060034F"/>
    <w:rsid w:val="00600FCD"/>
    <w:rsid w:val="006013BA"/>
    <w:rsid w:val="0060141E"/>
    <w:rsid w:val="0060284C"/>
    <w:rsid w:val="00603C57"/>
    <w:rsid w:val="00603CE0"/>
    <w:rsid w:val="00604EB5"/>
    <w:rsid w:val="00605345"/>
    <w:rsid w:val="00607A07"/>
    <w:rsid w:val="00610098"/>
    <w:rsid w:val="00610A27"/>
    <w:rsid w:val="00611432"/>
    <w:rsid w:val="0061174B"/>
    <w:rsid w:val="00611F08"/>
    <w:rsid w:val="006147D3"/>
    <w:rsid w:val="006160DF"/>
    <w:rsid w:val="00616F5E"/>
    <w:rsid w:val="006171F9"/>
    <w:rsid w:val="00620862"/>
    <w:rsid w:val="00621351"/>
    <w:rsid w:val="00621990"/>
    <w:rsid w:val="00622A1B"/>
    <w:rsid w:val="00623860"/>
    <w:rsid w:val="00623DE0"/>
    <w:rsid w:val="00624C03"/>
    <w:rsid w:val="0062522A"/>
    <w:rsid w:val="0062614B"/>
    <w:rsid w:val="0062784D"/>
    <w:rsid w:val="00630477"/>
    <w:rsid w:val="006304F9"/>
    <w:rsid w:val="0063104F"/>
    <w:rsid w:val="00631DF5"/>
    <w:rsid w:val="00632E31"/>
    <w:rsid w:val="00634D43"/>
    <w:rsid w:val="00635C28"/>
    <w:rsid w:val="0063656A"/>
    <w:rsid w:val="00636779"/>
    <w:rsid w:val="00637B05"/>
    <w:rsid w:val="006404F4"/>
    <w:rsid w:val="006415E9"/>
    <w:rsid w:val="0064214D"/>
    <w:rsid w:val="00642298"/>
    <w:rsid w:val="00642676"/>
    <w:rsid w:val="00642F16"/>
    <w:rsid w:val="00643569"/>
    <w:rsid w:val="00645410"/>
    <w:rsid w:val="006461E4"/>
    <w:rsid w:val="006465F3"/>
    <w:rsid w:val="00646BC9"/>
    <w:rsid w:val="00646E8D"/>
    <w:rsid w:val="0064728D"/>
    <w:rsid w:val="0064748F"/>
    <w:rsid w:val="006509D2"/>
    <w:rsid w:val="00653457"/>
    <w:rsid w:val="006538B8"/>
    <w:rsid w:val="00653920"/>
    <w:rsid w:val="00653A3F"/>
    <w:rsid w:val="00653A6E"/>
    <w:rsid w:val="006559E5"/>
    <w:rsid w:val="006573B4"/>
    <w:rsid w:val="0066003C"/>
    <w:rsid w:val="006601D2"/>
    <w:rsid w:val="00660AB2"/>
    <w:rsid w:val="00662251"/>
    <w:rsid w:val="0066247C"/>
    <w:rsid w:val="00662EBC"/>
    <w:rsid w:val="00663D48"/>
    <w:rsid w:val="00664B18"/>
    <w:rsid w:val="00664CA0"/>
    <w:rsid w:val="00665133"/>
    <w:rsid w:val="00665D56"/>
    <w:rsid w:val="006661CD"/>
    <w:rsid w:val="0066683C"/>
    <w:rsid w:val="00667310"/>
    <w:rsid w:val="00667652"/>
    <w:rsid w:val="006676DE"/>
    <w:rsid w:val="00670038"/>
    <w:rsid w:val="00672384"/>
    <w:rsid w:val="0067251B"/>
    <w:rsid w:val="00672DB4"/>
    <w:rsid w:val="00673AB1"/>
    <w:rsid w:val="00673BCE"/>
    <w:rsid w:val="0067558C"/>
    <w:rsid w:val="00676CF0"/>
    <w:rsid w:val="00677896"/>
    <w:rsid w:val="00680484"/>
    <w:rsid w:val="006805AC"/>
    <w:rsid w:val="006806A9"/>
    <w:rsid w:val="00680E7D"/>
    <w:rsid w:val="00680F54"/>
    <w:rsid w:val="006815EB"/>
    <w:rsid w:val="006825D6"/>
    <w:rsid w:val="00682EBF"/>
    <w:rsid w:val="006845E6"/>
    <w:rsid w:val="00684819"/>
    <w:rsid w:val="0068537B"/>
    <w:rsid w:val="00686A85"/>
    <w:rsid w:val="00687540"/>
    <w:rsid w:val="00690C47"/>
    <w:rsid w:val="00691F13"/>
    <w:rsid w:val="00693964"/>
    <w:rsid w:val="00694714"/>
    <w:rsid w:val="006952C1"/>
    <w:rsid w:val="006979BB"/>
    <w:rsid w:val="00697D21"/>
    <w:rsid w:val="006A3603"/>
    <w:rsid w:val="006A39D2"/>
    <w:rsid w:val="006A4511"/>
    <w:rsid w:val="006A547E"/>
    <w:rsid w:val="006A5AFC"/>
    <w:rsid w:val="006A7BA4"/>
    <w:rsid w:val="006B0830"/>
    <w:rsid w:val="006B1795"/>
    <w:rsid w:val="006B17AA"/>
    <w:rsid w:val="006B1F60"/>
    <w:rsid w:val="006B2DE8"/>
    <w:rsid w:val="006B304B"/>
    <w:rsid w:val="006B3C6E"/>
    <w:rsid w:val="006B3E12"/>
    <w:rsid w:val="006B49AB"/>
    <w:rsid w:val="006B5B6F"/>
    <w:rsid w:val="006B5C63"/>
    <w:rsid w:val="006B6925"/>
    <w:rsid w:val="006B7731"/>
    <w:rsid w:val="006B7A11"/>
    <w:rsid w:val="006B7B08"/>
    <w:rsid w:val="006C029C"/>
    <w:rsid w:val="006C0526"/>
    <w:rsid w:val="006C0AFF"/>
    <w:rsid w:val="006C2394"/>
    <w:rsid w:val="006C2BB9"/>
    <w:rsid w:val="006C3A1E"/>
    <w:rsid w:val="006C420C"/>
    <w:rsid w:val="006C438E"/>
    <w:rsid w:val="006C4533"/>
    <w:rsid w:val="006C4973"/>
    <w:rsid w:val="006C4ADE"/>
    <w:rsid w:val="006C5087"/>
    <w:rsid w:val="006C56D3"/>
    <w:rsid w:val="006C58D5"/>
    <w:rsid w:val="006C72A4"/>
    <w:rsid w:val="006D01B5"/>
    <w:rsid w:val="006D0FDE"/>
    <w:rsid w:val="006D22E6"/>
    <w:rsid w:val="006D235C"/>
    <w:rsid w:val="006D28B9"/>
    <w:rsid w:val="006D3235"/>
    <w:rsid w:val="006D3C5C"/>
    <w:rsid w:val="006D3C98"/>
    <w:rsid w:val="006D3E25"/>
    <w:rsid w:val="006D3FBB"/>
    <w:rsid w:val="006D43CF"/>
    <w:rsid w:val="006D463B"/>
    <w:rsid w:val="006D470A"/>
    <w:rsid w:val="006D4BAF"/>
    <w:rsid w:val="006D51AA"/>
    <w:rsid w:val="006D6103"/>
    <w:rsid w:val="006D634E"/>
    <w:rsid w:val="006D7138"/>
    <w:rsid w:val="006D727F"/>
    <w:rsid w:val="006D7E0E"/>
    <w:rsid w:val="006E1528"/>
    <w:rsid w:val="006E21EC"/>
    <w:rsid w:val="006E37FC"/>
    <w:rsid w:val="006E4754"/>
    <w:rsid w:val="006E4A21"/>
    <w:rsid w:val="006E5436"/>
    <w:rsid w:val="006E677F"/>
    <w:rsid w:val="006E6D23"/>
    <w:rsid w:val="006F2D61"/>
    <w:rsid w:val="006F37BC"/>
    <w:rsid w:val="006F39BF"/>
    <w:rsid w:val="006F4F8B"/>
    <w:rsid w:val="006F52AA"/>
    <w:rsid w:val="006F5EBC"/>
    <w:rsid w:val="006F6084"/>
    <w:rsid w:val="006F6288"/>
    <w:rsid w:val="006F696B"/>
    <w:rsid w:val="006F786D"/>
    <w:rsid w:val="006F7EFC"/>
    <w:rsid w:val="00701227"/>
    <w:rsid w:val="007014C2"/>
    <w:rsid w:val="00701712"/>
    <w:rsid w:val="0070369D"/>
    <w:rsid w:val="00703C03"/>
    <w:rsid w:val="0070430E"/>
    <w:rsid w:val="00705237"/>
    <w:rsid w:val="00705C2F"/>
    <w:rsid w:val="00705C62"/>
    <w:rsid w:val="00705C85"/>
    <w:rsid w:val="00707019"/>
    <w:rsid w:val="00707607"/>
    <w:rsid w:val="00707823"/>
    <w:rsid w:val="00707FD4"/>
    <w:rsid w:val="0071058F"/>
    <w:rsid w:val="0071350A"/>
    <w:rsid w:val="0071361E"/>
    <w:rsid w:val="00713BF0"/>
    <w:rsid w:val="0071415B"/>
    <w:rsid w:val="007146C3"/>
    <w:rsid w:val="00715333"/>
    <w:rsid w:val="00716170"/>
    <w:rsid w:val="007166B3"/>
    <w:rsid w:val="00716C8A"/>
    <w:rsid w:val="00720123"/>
    <w:rsid w:val="00720184"/>
    <w:rsid w:val="007203DE"/>
    <w:rsid w:val="00720897"/>
    <w:rsid w:val="00720963"/>
    <w:rsid w:val="00721053"/>
    <w:rsid w:val="00721220"/>
    <w:rsid w:val="0072184A"/>
    <w:rsid w:val="0072284C"/>
    <w:rsid w:val="00722B16"/>
    <w:rsid w:val="007232B4"/>
    <w:rsid w:val="00723618"/>
    <w:rsid w:val="00723948"/>
    <w:rsid w:val="0072443B"/>
    <w:rsid w:val="0072524F"/>
    <w:rsid w:val="00727A39"/>
    <w:rsid w:val="00727C2B"/>
    <w:rsid w:val="007301F3"/>
    <w:rsid w:val="007318CF"/>
    <w:rsid w:val="00731AD1"/>
    <w:rsid w:val="00731ED4"/>
    <w:rsid w:val="0073272B"/>
    <w:rsid w:val="00732AEF"/>
    <w:rsid w:val="0073338D"/>
    <w:rsid w:val="00735CCA"/>
    <w:rsid w:val="007363E8"/>
    <w:rsid w:val="007403AC"/>
    <w:rsid w:val="00740C3E"/>
    <w:rsid w:val="0074100D"/>
    <w:rsid w:val="00741708"/>
    <w:rsid w:val="007428DD"/>
    <w:rsid w:val="00743355"/>
    <w:rsid w:val="007437ED"/>
    <w:rsid w:val="00743AFA"/>
    <w:rsid w:val="00743CBE"/>
    <w:rsid w:val="00743D89"/>
    <w:rsid w:val="007447EA"/>
    <w:rsid w:val="00745193"/>
    <w:rsid w:val="00745344"/>
    <w:rsid w:val="00745631"/>
    <w:rsid w:val="00746CD6"/>
    <w:rsid w:val="007511EB"/>
    <w:rsid w:val="007515A4"/>
    <w:rsid w:val="00751AB1"/>
    <w:rsid w:val="00752B07"/>
    <w:rsid w:val="00752F01"/>
    <w:rsid w:val="007530D5"/>
    <w:rsid w:val="00753BF5"/>
    <w:rsid w:val="0075489B"/>
    <w:rsid w:val="007549DF"/>
    <w:rsid w:val="00754E0B"/>
    <w:rsid w:val="00755A0C"/>
    <w:rsid w:val="00755AD4"/>
    <w:rsid w:val="00756858"/>
    <w:rsid w:val="00756A86"/>
    <w:rsid w:val="00756D11"/>
    <w:rsid w:val="00756FAC"/>
    <w:rsid w:val="007605D3"/>
    <w:rsid w:val="00760E95"/>
    <w:rsid w:val="007611BF"/>
    <w:rsid w:val="007616A1"/>
    <w:rsid w:val="0076292C"/>
    <w:rsid w:val="00764BC0"/>
    <w:rsid w:val="00765333"/>
    <w:rsid w:val="007654CA"/>
    <w:rsid w:val="00765B4B"/>
    <w:rsid w:val="00765E51"/>
    <w:rsid w:val="0076633E"/>
    <w:rsid w:val="00767802"/>
    <w:rsid w:val="00767D83"/>
    <w:rsid w:val="00772E79"/>
    <w:rsid w:val="00774152"/>
    <w:rsid w:val="007747F9"/>
    <w:rsid w:val="00776C27"/>
    <w:rsid w:val="00781027"/>
    <w:rsid w:val="00781343"/>
    <w:rsid w:val="0078150C"/>
    <w:rsid w:val="007815EC"/>
    <w:rsid w:val="007821F3"/>
    <w:rsid w:val="00782AD4"/>
    <w:rsid w:val="00784618"/>
    <w:rsid w:val="00784941"/>
    <w:rsid w:val="0078516F"/>
    <w:rsid w:val="00785337"/>
    <w:rsid w:val="0078631C"/>
    <w:rsid w:val="00786792"/>
    <w:rsid w:val="00787B3D"/>
    <w:rsid w:val="00787DC6"/>
    <w:rsid w:val="00790197"/>
    <w:rsid w:val="0079020F"/>
    <w:rsid w:val="00792BA9"/>
    <w:rsid w:val="00793268"/>
    <w:rsid w:val="0079364E"/>
    <w:rsid w:val="00793D43"/>
    <w:rsid w:val="00796673"/>
    <w:rsid w:val="007A0BC0"/>
    <w:rsid w:val="007A1D16"/>
    <w:rsid w:val="007A24A0"/>
    <w:rsid w:val="007A3C5B"/>
    <w:rsid w:val="007A4343"/>
    <w:rsid w:val="007A599B"/>
    <w:rsid w:val="007A59C3"/>
    <w:rsid w:val="007A6388"/>
    <w:rsid w:val="007A79EE"/>
    <w:rsid w:val="007B1E94"/>
    <w:rsid w:val="007B35C6"/>
    <w:rsid w:val="007B4CEA"/>
    <w:rsid w:val="007B5A88"/>
    <w:rsid w:val="007B5EE7"/>
    <w:rsid w:val="007B6210"/>
    <w:rsid w:val="007B7349"/>
    <w:rsid w:val="007C0387"/>
    <w:rsid w:val="007C0D6B"/>
    <w:rsid w:val="007C157A"/>
    <w:rsid w:val="007C2407"/>
    <w:rsid w:val="007C246D"/>
    <w:rsid w:val="007C249C"/>
    <w:rsid w:val="007C28D6"/>
    <w:rsid w:val="007C382A"/>
    <w:rsid w:val="007C4F88"/>
    <w:rsid w:val="007C5703"/>
    <w:rsid w:val="007C5928"/>
    <w:rsid w:val="007C6D59"/>
    <w:rsid w:val="007C771D"/>
    <w:rsid w:val="007C7CF6"/>
    <w:rsid w:val="007D21E8"/>
    <w:rsid w:val="007D236E"/>
    <w:rsid w:val="007D2C8F"/>
    <w:rsid w:val="007D4197"/>
    <w:rsid w:val="007D57D5"/>
    <w:rsid w:val="007D5C30"/>
    <w:rsid w:val="007D7F40"/>
    <w:rsid w:val="007E26A2"/>
    <w:rsid w:val="007E2E22"/>
    <w:rsid w:val="007E3112"/>
    <w:rsid w:val="007E3B0F"/>
    <w:rsid w:val="007E3B8F"/>
    <w:rsid w:val="007E4271"/>
    <w:rsid w:val="007E524F"/>
    <w:rsid w:val="007E5EC8"/>
    <w:rsid w:val="007E6B2D"/>
    <w:rsid w:val="007E6BCE"/>
    <w:rsid w:val="007E7026"/>
    <w:rsid w:val="007E78FD"/>
    <w:rsid w:val="007E7BBB"/>
    <w:rsid w:val="007E7C93"/>
    <w:rsid w:val="007F0629"/>
    <w:rsid w:val="007F256D"/>
    <w:rsid w:val="007F3026"/>
    <w:rsid w:val="007F3129"/>
    <w:rsid w:val="007F40E5"/>
    <w:rsid w:val="007F5405"/>
    <w:rsid w:val="007F61D5"/>
    <w:rsid w:val="007F6843"/>
    <w:rsid w:val="007F6B1E"/>
    <w:rsid w:val="007F7387"/>
    <w:rsid w:val="007F7A82"/>
    <w:rsid w:val="0080023A"/>
    <w:rsid w:val="00800A7B"/>
    <w:rsid w:val="00800B1D"/>
    <w:rsid w:val="00801887"/>
    <w:rsid w:val="00801F25"/>
    <w:rsid w:val="00802213"/>
    <w:rsid w:val="0080374F"/>
    <w:rsid w:val="00803802"/>
    <w:rsid w:val="00803DCD"/>
    <w:rsid w:val="00803EDD"/>
    <w:rsid w:val="008048F5"/>
    <w:rsid w:val="00804A78"/>
    <w:rsid w:val="00805BC7"/>
    <w:rsid w:val="00806034"/>
    <w:rsid w:val="00806A42"/>
    <w:rsid w:val="008074E2"/>
    <w:rsid w:val="008075FE"/>
    <w:rsid w:val="00807B8F"/>
    <w:rsid w:val="00810AF4"/>
    <w:rsid w:val="00810BF3"/>
    <w:rsid w:val="008123B1"/>
    <w:rsid w:val="0081296A"/>
    <w:rsid w:val="008130C2"/>
    <w:rsid w:val="0081486F"/>
    <w:rsid w:val="008156E1"/>
    <w:rsid w:val="00816AB7"/>
    <w:rsid w:val="008170D4"/>
    <w:rsid w:val="00820016"/>
    <w:rsid w:val="0082321E"/>
    <w:rsid w:val="00823330"/>
    <w:rsid w:val="00824644"/>
    <w:rsid w:val="00824BFA"/>
    <w:rsid w:val="00825254"/>
    <w:rsid w:val="00825876"/>
    <w:rsid w:val="008265AC"/>
    <w:rsid w:val="00826E74"/>
    <w:rsid w:val="00830038"/>
    <w:rsid w:val="008305AF"/>
    <w:rsid w:val="00830C5E"/>
    <w:rsid w:val="00831CB4"/>
    <w:rsid w:val="008321E5"/>
    <w:rsid w:val="008326B6"/>
    <w:rsid w:val="00832834"/>
    <w:rsid w:val="008342ED"/>
    <w:rsid w:val="008345CB"/>
    <w:rsid w:val="00834E30"/>
    <w:rsid w:val="00835120"/>
    <w:rsid w:val="00836E75"/>
    <w:rsid w:val="0084036B"/>
    <w:rsid w:val="00840985"/>
    <w:rsid w:val="00841D89"/>
    <w:rsid w:val="008436D5"/>
    <w:rsid w:val="00843E0F"/>
    <w:rsid w:val="008448F5"/>
    <w:rsid w:val="00844C59"/>
    <w:rsid w:val="008455D1"/>
    <w:rsid w:val="00845625"/>
    <w:rsid w:val="008456C3"/>
    <w:rsid w:val="008460D2"/>
    <w:rsid w:val="00846B30"/>
    <w:rsid w:val="00846FC1"/>
    <w:rsid w:val="00850579"/>
    <w:rsid w:val="0085257E"/>
    <w:rsid w:val="00854442"/>
    <w:rsid w:val="00854F84"/>
    <w:rsid w:val="0085717E"/>
    <w:rsid w:val="008575D6"/>
    <w:rsid w:val="0085771A"/>
    <w:rsid w:val="00857BA5"/>
    <w:rsid w:val="008612B9"/>
    <w:rsid w:val="00861CB8"/>
    <w:rsid w:val="008630B1"/>
    <w:rsid w:val="00864029"/>
    <w:rsid w:val="00870F57"/>
    <w:rsid w:val="0087202D"/>
    <w:rsid w:val="008724C4"/>
    <w:rsid w:val="00872B28"/>
    <w:rsid w:val="008738E1"/>
    <w:rsid w:val="00874451"/>
    <w:rsid w:val="008745AC"/>
    <w:rsid w:val="00875185"/>
    <w:rsid w:val="008751A2"/>
    <w:rsid w:val="00875BF2"/>
    <w:rsid w:val="00875C18"/>
    <w:rsid w:val="00875DE7"/>
    <w:rsid w:val="008766CE"/>
    <w:rsid w:val="00877649"/>
    <w:rsid w:val="0087775D"/>
    <w:rsid w:val="0087787B"/>
    <w:rsid w:val="00880CAD"/>
    <w:rsid w:val="00881070"/>
    <w:rsid w:val="00881F8C"/>
    <w:rsid w:val="008838C4"/>
    <w:rsid w:val="00883F5C"/>
    <w:rsid w:val="008846EC"/>
    <w:rsid w:val="00884BC8"/>
    <w:rsid w:val="00886DCF"/>
    <w:rsid w:val="00886E0D"/>
    <w:rsid w:val="008901DF"/>
    <w:rsid w:val="0089025D"/>
    <w:rsid w:val="008918D3"/>
    <w:rsid w:val="00891B34"/>
    <w:rsid w:val="00891FF0"/>
    <w:rsid w:val="00892F55"/>
    <w:rsid w:val="00893311"/>
    <w:rsid w:val="00893877"/>
    <w:rsid w:val="00894B25"/>
    <w:rsid w:val="00894B65"/>
    <w:rsid w:val="008950F6"/>
    <w:rsid w:val="0089532B"/>
    <w:rsid w:val="00895877"/>
    <w:rsid w:val="00895A30"/>
    <w:rsid w:val="00895F14"/>
    <w:rsid w:val="008962D2"/>
    <w:rsid w:val="00896348"/>
    <w:rsid w:val="008969F3"/>
    <w:rsid w:val="00896D63"/>
    <w:rsid w:val="00897BBF"/>
    <w:rsid w:val="008A09AE"/>
    <w:rsid w:val="008A0ADB"/>
    <w:rsid w:val="008A0DAC"/>
    <w:rsid w:val="008A4389"/>
    <w:rsid w:val="008A534A"/>
    <w:rsid w:val="008A66DB"/>
    <w:rsid w:val="008A6AA9"/>
    <w:rsid w:val="008A6C7F"/>
    <w:rsid w:val="008A763B"/>
    <w:rsid w:val="008A76BF"/>
    <w:rsid w:val="008B0FC2"/>
    <w:rsid w:val="008B1A60"/>
    <w:rsid w:val="008B23F9"/>
    <w:rsid w:val="008B27ED"/>
    <w:rsid w:val="008B2D73"/>
    <w:rsid w:val="008B3A4B"/>
    <w:rsid w:val="008B675D"/>
    <w:rsid w:val="008B72C2"/>
    <w:rsid w:val="008B7425"/>
    <w:rsid w:val="008B755E"/>
    <w:rsid w:val="008C003C"/>
    <w:rsid w:val="008C1B82"/>
    <w:rsid w:val="008C2D72"/>
    <w:rsid w:val="008C301E"/>
    <w:rsid w:val="008C3121"/>
    <w:rsid w:val="008C3373"/>
    <w:rsid w:val="008C366D"/>
    <w:rsid w:val="008C4638"/>
    <w:rsid w:val="008C48D2"/>
    <w:rsid w:val="008C6307"/>
    <w:rsid w:val="008C7020"/>
    <w:rsid w:val="008C79F6"/>
    <w:rsid w:val="008D0377"/>
    <w:rsid w:val="008D0C8D"/>
    <w:rsid w:val="008D2CFD"/>
    <w:rsid w:val="008D37FD"/>
    <w:rsid w:val="008D3E0A"/>
    <w:rsid w:val="008D4870"/>
    <w:rsid w:val="008D4893"/>
    <w:rsid w:val="008D4A83"/>
    <w:rsid w:val="008D4BDE"/>
    <w:rsid w:val="008D5071"/>
    <w:rsid w:val="008D5BDC"/>
    <w:rsid w:val="008D6FEA"/>
    <w:rsid w:val="008E01D5"/>
    <w:rsid w:val="008E03FB"/>
    <w:rsid w:val="008E0AE8"/>
    <w:rsid w:val="008E141A"/>
    <w:rsid w:val="008E14C7"/>
    <w:rsid w:val="008E2CE8"/>
    <w:rsid w:val="008E3BFE"/>
    <w:rsid w:val="008E5934"/>
    <w:rsid w:val="008E64CD"/>
    <w:rsid w:val="008E6582"/>
    <w:rsid w:val="008E7305"/>
    <w:rsid w:val="008E7A9D"/>
    <w:rsid w:val="008F021D"/>
    <w:rsid w:val="008F0BB7"/>
    <w:rsid w:val="008F0EAC"/>
    <w:rsid w:val="008F19BD"/>
    <w:rsid w:val="008F1CBC"/>
    <w:rsid w:val="008F1DED"/>
    <w:rsid w:val="008F205D"/>
    <w:rsid w:val="008F26B6"/>
    <w:rsid w:val="008F34A1"/>
    <w:rsid w:val="008F3640"/>
    <w:rsid w:val="008F389E"/>
    <w:rsid w:val="008F41B6"/>
    <w:rsid w:val="008F5340"/>
    <w:rsid w:val="008F55C1"/>
    <w:rsid w:val="008F5B6E"/>
    <w:rsid w:val="008F6224"/>
    <w:rsid w:val="008F62AE"/>
    <w:rsid w:val="008F6566"/>
    <w:rsid w:val="008F68BE"/>
    <w:rsid w:val="008F7F84"/>
    <w:rsid w:val="0090044C"/>
    <w:rsid w:val="009009C4"/>
    <w:rsid w:val="00900E2E"/>
    <w:rsid w:val="00901886"/>
    <w:rsid w:val="00901B0D"/>
    <w:rsid w:val="00901D5D"/>
    <w:rsid w:val="009024CE"/>
    <w:rsid w:val="009037ED"/>
    <w:rsid w:val="009045D9"/>
    <w:rsid w:val="00904983"/>
    <w:rsid w:val="00905AC3"/>
    <w:rsid w:val="00905AF4"/>
    <w:rsid w:val="00905C1C"/>
    <w:rsid w:val="00907422"/>
    <w:rsid w:val="00910184"/>
    <w:rsid w:val="0091118A"/>
    <w:rsid w:val="009111D2"/>
    <w:rsid w:val="00913583"/>
    <w:rsid w:val="00913720"/>
    <w:rsid w:val="00913DBF"/>
    <w:rsid w:val="009140F2"/>
    <w:rsid w:val="00914C13"/>
    <w:rsid w:val="00914C48"/>
    <w:rsid w:val="00914D4D"/>
    <w:rsid w:val="00916AD4"/>
    <w:rsid w:val="00917545"/>
    <w:rsid w:val="009175B9"/>
    <w:rsid w:val="00917B29"/>
    <w:rsid w:val="00920C35"/>
    <w:rsid w:val="00920F98"/>
    <w:rsid w:val="00921344"/>
    <w:rsid w:val="00921EBB"/>
    <w:rsid w:val="00923338"/>
    <w:rsid w:val="009239FF"/>
    <w:rsid w:val="00923CCF"/>
    <w:rsid w:val="00924250"/>
    <w:rsid w:val="009244E4"/>
    <w:rsid w:val="0092603C"/>
    <w:rsid w:val="00926316"/>
    <w:rsid w:val="009265F3"/>
    <w:rsid w:val="00927C27"/>
    <w:rsid w:val="00932A99"/>
    <w:rsid w:val="0093767A"/>
    <w:rsid w:val="00937E2C"/>
    <w:rsid w:val="009401E5"/>
    <w:rsid w:val="00940E59"/>
    <w:rsid w:val="00941BC8"/>
    <w:rsid w:val="00942735"/>
    <w:rsid w:val="00942E52"/>
    <w:rsid w:val="00943575"/>
    <w:rsid w:val="00943867"/>
    <w:rsid w:val="00945762"/>
    <w:rsid w:val="00945D30"/>
    <w:rsid w:val="00946391"/>
    <w:rsid w:val="00950BAA"/>
    <w:rsid w:val="00952341"/>
    <w:rsid w:val="00952E02"/>
    <w:rsid w:val="00953050"/>
    <w:rsid w:val="009547A1"/>
    <w:rsid w:val="00955B7F"/>
    <w:rsid w:val="00955DFD"/>
    <w:rsid w:val="0095622E"/>
    <w:rsid w:val="00956CD3"/>
    <w:rsid w:val="00956FC2"/>
    <w:rsid w:val="00957EFE"/>
    <w:rsid w:val="00961876"/>
    <w:rsid w:val="00962111"/>
    <w:rsid w:val="009622C9"/>
    <w:rsid w:val="009627A2"/>
    <w:rsid w:val="00962F76"/>
    <w:rsid w:val="00963924"/>
    <w:rsid w:val="0096411D"/>
    <w:rsid w:val="009645A3"/>
    <w:rsid w:val="00965C6E"/>
    <w:rsid w:val="00966C27"/>
    <w:rsid w:val="0096720E"/>
    <w:rsid w:val="00967F43"/>
    <w:rsid w:val="00970EEE"/>
    <w:rsid w:val="009716F0"/>
    <w:rsid w:val="00971CDB"/>
    <w:rsid w:val="00972444"/>
    <w:rsid w:val="00972E56"/>
    <w:rsid w:val="009734C9"/>
    <w:rsid w:val="00974EDC"/>
    <w:rsid w:val="009750AE"/>
    <w:rsid w:val="0097552C"/>
    <w:rsid w:val="00976B6F"/>
    <w:rsid w:val="00976F73"/>
    <w:rsid w:val="009808DA"/>
    <w:rsid w:val="00982728"/>
    <w:rsid w:val="00982FCD"/>
    <w:rsid w:val="009830E1"/>
    <w:rsid w:val="00984ED1"/>
    <w:rsid w:val="009852AB"/>
    <w:rsid w:val="00985AA1"/>
    <w:rsid w:val="0098652E"/>
    <w:rsid w:val="009866F0"/>
    <w:rsid w:val="00986E68"/>
    <w:rsid w:val="00990503"/>
    <w:rsid w:val="0099075C"/>
    <w:rsid w:val="009913A3"/>
    <w:rsid w:val="009914D3"/>
    <w:rsid w:val="00992BE5"/>
    <w:rsid w:val="00993B8A"/>
    <w:rsid w:val="0099406C"/>
    <w:rsid w:val="009946DF"/>
    <w:rsid w:val="009949F0"/>
    <w:rsid w:val="00994E6D"/>
    <w:rsid w:val="00995391"/>
    <w:rsid w:val="00995ABB"/>
    <w:rsid w:val="00996836"/>
    <w:rsid w:val="00996E04"/>
    <w:rsid w:val="00996F2E"/>
    <w:rsid w:val="0099749C"/>
    <w:rsid w:val="009A06A2"/>
    <w:rsid w:val="009A19FA"/>
    <w:rsid w:val="009A21E7"/>
    <w:rsid w:val="009A25B1"/>
    <w:rsid w:val="009A3C6C"/>
    <w:rsid w:val="009A5774"/>
    <w:rsid w:val="009A6B06"/>
    <w:rsid w:val="009B0B3E"/>
    <w:rsid w:val="009B1265"/>
    <w:rsid w:val="009B1394"/>
    <w:rsid w:val="009B2347"/>
    <w:rsid w:val="009B34B9"/>
    <w:rsid w:val="009B3CD4"/>
    <w:rsid w:val="009B598F"/>
    <w:rsid w:val="009B5B42"/>
    <w:rsid w:val="009B6384"/>
    <w:rsid w:val="009B653A"/>
    <w:rsid w:val="009B6EC3"/>
    <w:rsid w:val="009C054E"/>
    <w:rsid w:val="009C2208"/>
    <w:rsid w:val="009C25D6"/>
    <w:rsid w:val="009C2CDD"/>
    <w:rsid w:val="009C3091"/>
    <w:rsid w:val="009C3E83"/>
    <w:rsid w:val="009C613D"/>
    <w:rsid w:val="009C6CE5"/>
    <w:rsid w:val="009C775C"/>
    <w:rsid w:val="009D1582"/>
    <w:rsid w:val="009D1824"/>
    <w:rsid w:val="009D19ED"/>
    <w:rsid w:val="009D1B92"/>
    <w:rsid w:val="009D1DC9"/>
    <w:rsid w:val="009D232F"/>
    <w:rsid w:val="009D5DC4"/>
    <w:rsid w:val="009D6625"/>
    <w:rsid w:val="009D6873"/>
    <w:rsid w:val="009E0CCF"/>
    <w:rsid w:val="009E2183"/>
    <w:rsid w:val="009E223F"/>
    <w:rsid w:val="009E28D6"/>
    <w:rsid w:val="009E3186"/>
    <w:rsid w:val="009E46DA"/>
    <w:rsid w:val="009E68CD"/>
    <w:rsid w:val="009E7E86"/>
    <w:rsid w:val="009F001E"/>
    <w:rsid w:val="009F0976"/>
    <w:rsid w:val="009F0C7D"/>
    <w:rsid w:val="009F0E0A"/>
    <w:rsid w:val="009F0FBE"/>
    <w:rsid w:val="009F1D2D"/>
    <w:rsid w:val="009F27BF"/>
    <w:rsid w:val="009F3877"/>
    <w:rsid w:val="009F4FEC"/>
    <w:rsid w:val="009F5195"/>
    <w:rsid w:val="009F7CC0"/>
    <w:rsid w:val="00A00764"/>
    <w:rsid w:val="00A01A7E"/>
    <w:rsid w:val="00A02391"/>
    <w:rsid w:val="00A0329F"/>
    <w:rsid w:val="00A03A23"/>
    <w:rsid w:val="00A04386"/>
    <w:rsid w:val="00A04AA2"/>
    <w:rsid w:val="00A04B17"/>
    <w:rsid w:val="00A04E2C"/>
    <w:rsid w:val="00A064E9"/>
    <w:rsid w:val="00A07D8D"/>
    <w:rsid w:val="00A10218"/>
    <w:rsid w:val="00A110E7"/>
    <w:rsid w:val="00A118DE"/>
    <w:rsid w:val="00A134DF"/>
    <w:rsid w:val="00A13736"/>
    <w:rsid w:val="00A156C9"/>
    <w:rsid w:val="00A15DF5"/>
    <w:rsid w:val="00A17089"/>
    <w:rsid w:val="00A22B42"/>
    <w:rsid w:val="00A24333"/>
    <w:rsid w:val="00A2653B"/>
    <w:rsid w:val="00A27351"/>
    <w:rsid w:val="00A27D7D"/>
    <w:rsid w:val="00A30D46"/>
    <w:rsid w:val="00A30FCF"/>
    <w:rsid w:val="00A311E7"/>
    <w:rsid w:val="00A32D17"/>
    <w:rsid w:val="00A32FAE"/>
    <w:rsid w:val="00A33AD8"/>
    <w:rsid w:val="00A33E58"/>
    <w:rsid w:val="00A34260"/>
    <w:rsid w:val="00A4089E"/>
    <w:rsid w:val="00A4102A"/>
    <w:rsid w:val="00A4130C"/>
    <w:rsid w:val="00A41F41"/>
    <w:rsid w:val="00A42FD8"/>
    <w:rsid w:val="00A44D63"/>
    <w:rsid w:val="00A44F40"/>
    <w:rsid w:val="00A451E3"/>
    <w:rsid w:val="00A45418"/>
    <w:rsid w:val="00A45A8C"/>
    <w:rsid w:val="00A4630A"/>
    <w:rsid w:val="00A46885"/>
    <w:rsid w:val="00A473F9"/>
    <w:rsid w:val="00A50723"/>
    <w:rsid w:val="00A51D41"/>
    <w:rsid w:val="00A523E2"/>
    <w:rsid w:val="00A523F3"/>
    <w:rsid w:val="00A5259E"/>
    <w:rsid w:val="00A52629"/>
    <w:rsid w:val="00A52CB9"/>
    <w:rsid w:val="00A5315B"/>
    <w:rsid w:val="00A5363A"/>
    <w:rsid w:val="00A54566"/>
    <w:rsid w:val="00A54FCC"/>
    <w:rsid w:val="00A563F5"/>
    <w:rsid w:val="00A56622"/>
    <w:rsid w:val="00A56D26"/>
    <w:rsid w:val="00A571C7"/>
    <w:rsid w:val="00A57579"/>
    <w:rsid w:val="00A57D87"/>
    <w:rsid w:val="00A60545"/>
    <w:rsid w:val="00A6056D"/>
    <w:rsid w:val="00A60886"/>
    <w:rsid w:val="00A60DF7"/>
    <w:rsid w:val="00A62591"/>
    <w:rsid w:val="00A627CC"/>
    <w:rsid w:val="00A62A57"/>
    <w:rsid w:val="00A6300C"/>
    <w:rsid w:val="00A6335F"/>
    <w:rsid w:val="00A6481F"/>
    <w:rsid w:val="00A649DC"/>
    <w:rsid w:val="00A64F11"/>
    <w:rsid w:val="00A6706B"/>
    <w:rsid w:val="00A678B3"/>
    <w:rsid w:val="00A70724"/>
    <w:rsid w:val="00A70FCC"/>
    <w:rsid w:val="00A72BF8"/>
    <w:rsid w:val="00A72CA1"/>
    <w:rsid w:val="00A72FBA"/>
    <w:rsid w:val="00A73116"/>
    <w:rsid w:val="00A73453"/>
    <w:rsid w:val="00A737A3"/>
    <w:rsid w:val="00A76A14"/>
    <w:rsid w:val="00A76B96"/>
    <w:rsid w:val="00A77464"/>
    <w:rsid w:val="00A8133E"/>
    <w:rsid w:val="00A8134D"/>
    <w:rsid w:val="00A8214C"/>
    <w:rsid w:val="00A82B8B"/>
    <w:rsid w:val="00A82F17"/>
    <w:rsid w:val="00A841C3"/>
    <w:rsid w:val="00A84AF5"/>
    <w:rsid w:val="00A8687E"/>
    <w:rsid w:val="00A86EF1"/>
    <w:rsid w:val="00A875E2"/>
    <w:rsid w:val="00A87B3F"/>
    <w:rsid w:val="00A901B6"/>
    <w:rsid w:val="00A907C1"/>
    <w:rsid w:val="00A90DCA"/>
    <w:rsid w:val="00A93002"/>
    <w:rsid w:val="00A933D2"/>
    <w:rsid w:val="00A9427C"/>
    <w:rsid w:val="00A94473"/>
    <w:rsid w:val="00A9455E"/>
    <w:rsid w:val="00A94614"/>
    <w:rsid w:val="00A9485A"/>
    <w:rsid w:val="00A9546A"/>
    <w:rsid w:val="00A9560F"/>
    <w:rsid w:val="00A9620A"/>
    <w:rsid w:val="00A9638A"/>
    <w:rsid w:val="00A963D6"/>
    <w:rsid w:val="00A96558"/>
    <w:rsid w:val="00A96BED"/>
    <w:rsid w:val="00A96CFE"/>
    <w:rsid w:val="00AA014B"/>
    <w:rsid w:val="00AA0CBD"/>
    <w:rsid w:val="00AA0E07"/>
    <w:rsid w:val="00AA13CF"/>
    <w:rsid w:val="00AA1E1D"/>
    <w:rsid w:val="00AA2205"/>
    <w:rsid w:val="00AA2778"/>
    <w:rsid w:val="00AA3091"/>
    <w:rsid w:val="00AA30B3"/>
    <w:rsid w:val="00AA326B"/>
    <w:rsid w:val="00AA3A9E"/>
    <w:rsid w:val="00AA47E6"/>
    <w:rsid w:val="00AA4831"/>
    <w:rsid w:val="00AA500B"/>
    <w:rsid w:val="00AA5177"/>
    <w:rsid w:val="00AA5D13"/>
    <w:rsid w:val="00AA606C"/>
    <w:rsid w:val="00AA7459"/>
    <w:rsid w:val="00AA788F"/>
    <w:rsid w:val="00AA7C11"/>
    <w:rsid w:val="00AA7F1D"/>
    <w:rsid w:val="00AB2F6B"/>
    <w:rsid w:val="00AB3CCF"/>
    <w:rsid w:val="00AB4669"/>
    <w:rsid w:val="00AB52B6"/>
    <w:rsid w:val="00AB56FE"/>
    <w:rsid w:val="00AB6531"/>
    <w:rsid w:val="00AB6BE6"/>
    <w:rsid w:val="00AB6CBE"/>
    <w:rsid w:val="00AB6D5B"/>
    <w:rsid w:val="00AB6E7C"/>
    <w:rsid w:val="00AB6F57"/>
    <w:rsid w:val="00AB7646"/>
    <w:rsid w:val="00AB77D0"/>
    <w:rsid w:val="00AC130A"/>
    <w:rsid w:val="00AC1FED"/>
    <w:rsid w:val="00AC2842"/>
    <w:rsid w:val="00AC29CC"/>
    <w:rsid w:val="00AC30FE"/>
    <w:rsid w:val="00AC3C6F"/>
    <w:rsid w:val="00AC4647"/>
    <w:rsid w:val="00AC591E"/>
    <w:rsid w:val="00AC61C3"/>
    <w:rsid w:val="00AC6B8D"/>
    <w:rsid w:val="00AC6C6B"/>
    <w:rsid w:val="00AD031D"/>
    <w:rsid w:val="00AD0D5A"/>
    <w:rsid w:val="00AD0F0D"/>
    <w:rsid w:val="00AD1540"/>
    <w:rsid w:val="00AD183E"/>
    <w:rsid w:val="00AD281D"/>
    <w:rsid w:val="00AD2908"/>
    <w:rsid w:val="00AD2A4B"/>
    <w:rsid w:val="00AD2D58"/>
    <w:rsid w:val="00AD3448"/>
    <w:rsid w:val="00AD34C7"/>
    <w:rsid w:val="00AD42F7"/>
    <w:rsid w:val="00AD4C08"/>
    <w:rsid w:val="00AD4CD9"/>
    <w:rsid w:val="00AD574A"/>
    <w:rsid w:val="00AD5881"/>
    <w:rsid w:val="00AD673E"/>
    <w:rsid w:val="00AD6867"/>
    <w:rsid w:val="00AD6BA7"/>
    <w:rsid w:val="00AD6C49"/>
    <w:rsid w:val="00AD6CCB"/>
    <w:rsid w:val="00AD6E84"/>
    <w:rsid w:val="00AD73CD"/>
    <w:rsid w:val="00AE0D28"/>
    <w:rsid w:val="00AE184D"/>
    <w:rsid w:val="00AE1CD7"/>
    <w:rsid w:val="00AE2794"/>
    <w:rsid w:val="00AE2FD8"/>
    <w:rsid w:val="00AE3795"/>
    <w:rsid w:val="00AE42C1"/>
    <w:rsid w:val="00AE4E11"/>
    <w:rsid w:val="00AE51F4"/>
    <w:rsid w:val="00AE6CB3"/>
    <w:rsid w:val="00AE707F"/>
    <w:rsid w:val="00AF08B8"/>
    <w:rsid w:val="00AF1117"/>
    <w:rsid w:val="00AF280C"/>
    <w:rsid w:val="00AF2FA7"/>
    <w:rsid w:val="00AF2FC3"/>
    <w:rsid w:val="00AF3190"/>
    <w:rsid w:val="00AF3A2E"/>
    <w:rsid w:val="00AF3E6B"/>
    <w:rsid w:val="00AF402C"/>
    <w:rsid w:val="00AF6EDD"/>
    <w:rsid w:val="00AF7641"/>
    <w:rsid w:val="00B00800"/>
    <w:rsid w:val="00B00868"/>
    <w:rsid w:val="00B009A2"/>
    <w:rsid w:val="00B0217E"/>
    <w:rsid w:val="00B03E9E"/>
    <w:rsid w:val="00B04A9A"/>
    <w:rsid w:val="00B05353"/>
    <w:rsid w:val="00B05666"/>
    <w:rsid w:val="00B060D4"/>
    <w:rsid w:val="00B107D4"/>
    <w:rsid w:val="00B116BA"/>
    <w:rsid w:val="00B12006"/>
    <w:rsid w:val="00B14AB9"/>
    <w:rsid w:val="00B14B4F"/>
    <w:rsid w:val="00B150D4"/>
    <w:rsid w:val="00B1525B"/>
    <w:rsid w:val="00B15AF5"/>
    <w:rsid w:val="00B15C13"/>
    <w:rsid w:val="00B17235"/>
    <w:rsid w:val="00B17446"/>
    <w:rsid w:val="00B17AE6"/>
    <w:rsid w:val="00B204D6"/>
    <w:rsid w:val="00B20A8B"/>
    <w:rsid w:val="00B20C69"/>
    <w:rsid w:val="00B20EF0"/>
    <w:rsid w:val="00B214AA"/>
    <w:rsid w:val="00B21602"/>
    <w:rsid w:val="00B21808"/>
    <w:rsid w:val="00B21E70"/>
    <w:rsid w:val="00B22AD3"/>
    <w:rsid w:val="00B2322F"/>
    <w:rsid w:val="00B251C1"/>
    <w:rsid w:val="00B26176"/>
    <w:rsid w:val="00B264A8"/>
    <w:rsid w:val="00B26717"/>
    <w:rsid w:val="00B26B44"/>
    <w:rsid w:val="00B27833"/>
    <w:rsid w:val="00B313AE"/>
    <w:rsid w:val="00B316E9"/>
    <w:rsid w:val="00B32AE5"/>
    <w:rsid w:val="00B32F5C"/>
    <w:rsid w:val="00B3406C"/>
    <w:rsid w:val="00B341F9"/>
    <w:rsid w:val="00B3470C"/>
    <w:rsid w:val="00B355CC"/>
    <w:rsid w:val="00B3571A"/>
    <w:rsid w:val="00B35DFA"/>
    <w:rsid w:val="00B36005"/>
    <w:rsid w:val="00B36084"/>
    <w:rsid w:val="00B36E4A"/>
    <w:rsid w:val="00B37ECD"/>
    <w:rsid w:val="00B4162C"/>
    <w:rsid w:val="00B41774"/>
    <w:rsid w:val="00B41B68"/>
    <w:rsid w:val="00B4211E"/>
    <w:rsid w:val="00B42DAD"/>
    <w:rsid w:val="00B4371D"/>
    <w:rsid w:val="00B4481C"/>
    <w:rsid w:val="00B46271"/>
    <w:rsid w:val="00B46ED4"/>
    <w:rsid w:val="00B46FE6"/>
    <w:rsid w:val="00B52BC0"/>
    <w:rsid w:val="00B53384"/>
    <w:rsid w:val="00B538A5"/>
    <w:rsid w:val="00B538DC"/>
    <w:rsid w:val="00B53AC9"/>
    <w:rsid w:val="00B53C21"/>
    <w:rsid w:val="00B53CBB"/>
    <w:rsid w:val="00B54C7D"/>
    <w:rsid w:val="00B54D67"/>
    <w:rsid w:val="00B55AFB"/>
    <w:rsid w:val="00B561A0"/>
    <w:rsid w:val="00B56FDD"/>
    <w:rsid w:val="00B57655"/>
    <w:rsid w:val="00B57E57"/>
    <w:rsid w:val="00B57E9D"/>
    <w:rsid w:val="00B61F13"/>
    <w:rsid w:val="00B623FE"/>
    <w:rsid w:val="00B62A88"/>
    <w:rsid w:val="00B62BCF"/>
    <w:rsid w:val="00B631C3"/>
    <w:rsid w:val="00B63FE9"/>
    <w:rsid w:val="00B64D61"/>
    <w:rsid w:val="00B6518B"/>
    <w:rsid w:val="00B65C9D"/>
    <w:rsid w:val="00B6603B"/>
    <w:rsid w:val="00B66291"/>
    <w:rsid w:val="00B7094E"/>
    <w:rsid w:val="00B71937"/>
    <w:rsid w:val="00B72893"/>
    <w:rsid w:val="00B73DA7"/>
    <w:rsid w:val="00B752B3"/>
    <w:rsid w:val="00B75DA4"/>
    <w:rsid w:val="00B77283"/>
    <w:rsid w:val="00B77DCC"/>
    <w:rsid w:val="00B77F31"/>
    <w:rsid w:val="00B801B1"/>
    <w:rsid w:val="00B80535"/>
    <w:rsid w:val="00B81280"/>
    <w:rsid w:val="00B816DB"/>
    <w:rsid w:val="00B81CC9"/>
    <w:rsid w:val="00B81D8A"/>
    <w:rsid w:val="00B8433F"/>
    <w:rsid w:val="00B8464E"/>
    <w:rsid w:val="00B84DFE"/>
    <w:rsid w:val="00B853A9"/>
    <w:rsid w:val="00B85E77"/>
    <w:rsid w:val="00B86825"/>
    <w:rsid w:val="00B871F8"/>
    <w:rsid w:val="00B87278"/>
    <w:rsid w:val="00B87976"/>
    <w:rsid w:val="00B87E8B"/>
    <w:rsid w:val="00B90C89"/>
    <w:rsid w:val="00B91DF1"/>
    <w:rsid w:val="00B926DF"/>
    <w:rsid w:val="00B92F86"/>
    <w:rsid w:val="00B935EA"/>
    <w:rsid w:val="00B938FC"/>
    <w:rsid w:val="00B93F87"/>
    <w:rsid w:val="00B968B8"/>
    <w:rsid w:val="00B96BBB"/>
    <w:rsid w:val="00B96FB2"/>
    <w:rsid w:val="00B97980"/>
    <w:rsid w:val="00BA0319"/>
    <w:rsid w:val="00BA044C"/>
    <w:rsid w:val="00BA0939"/>
    <w:rsid w:val="00BA27E1"/>
    <w:rsid w:val="00BA3481"/>
    <w:rsid w:val="00BA56B1"/>
    <w:rsid w:val="00BA56BB"/>
    <w:rsid w:val="00BA79B7"/>
    <w:rsid w:val="00BA7AE4"/>
    <w:rsid w:val="00BA7FF8"/>
    <w:rsid w:val="00BB03FE"/>
    <w:rsid w:val="00BB08B3"/>
    <w:rsid w:val="00BB2242"/>
    <w:rsid w:val="00BB31CF"/>
    <w:rsid w:val="00BB36CD"/>
    <w:rsid w:val="00BB3725"/>
    <w:rsid w:val="00BB4315"/>
    <w:rsid w:val="00BB65FD"/>
    <w:rsid w:val="00BB69F0"/>
    <w:rsid w:val="00BB6B5B"/>
    <w:rsid w:val="00BB6D74"/>
    <w:rsid w:val="00BB6D78"/>
    <w:rsid w:val="00BB7130"/>
    <w:rsid w:val="00BB75CC"/>
    <w:rsid w:val="00BC023F"/>
    <w:rsid w:val="00BC04F1"/>
    <w:rsid w:val="00BC062B"/>
    <w:rsid w:val="00BC06A4"/>
    <w:rsid w:val="00BC074D"/>
    <w:rsid w:val="00BC07CB"/>
    <w:rsid w:val="00BC0B81"/>
    <w:rsid w:val="00BC0C20"/>
    <w:rsid w:val="00BC197F"/>
    <w:rsid w:val="00BC320C"/>
    <w:rsid w:val="00BC48EA"/>
    <w:rsid w:val="00BC49B3"/>
    <w:rsid w:val="00BC4CAC"/>
    <w:rsid w:val="00BC7FBE"/>
    <w:rsid w:val="00BD0ABF"/>
    <w:rsid w:val="00BD1B23"/>
    <w:rsid w:val="00BD1BD5"/>
    <w:rsid w:val="00BD2774"/>
    <w:rsid w:val="00BD4520"/>
    <w:rsid w:val="00BD4759"/>
    <w:rsid w:val="00BD4A90"/>
    <w:rsid w:val="00BD66BB"/>
    <w:rsid w:val="00BD696E"/>
    <w:rsid w:val="00BE109B"/>
    <w:rsid w:val="00BE17DE"/>
    <w:rsid w:val="00BE259C"/>
    <w:rsid w:val="00BE2A74"/>
    <w:rsid w:val="00BE2D63"/>
    <w:rsid w:val="00BE36C5"/>
    <w:rsid w:val="00BE37E7"/>
    <w:rsid w:val="00BE574A"/>
    <w:rsid w:val="00BE5ADD"/>
    <w:rsid w:val="00BE6609"/>
    <w:rsid w:val="00BF085D"/>
    <w:rsid w:val="00BF19F2"/>
    <w:rsid w:val="00BF1FEF"/>
    <w:rsid w:val="00BF264F"/>
    <w:rsid w:val="00BF383D"/>
    <w:rsid w:val="00BF4BF0"/>
    <w:rsid w:val="00BF6776"/>
    <w:rsid w:val="00C00E81"/>
    <w:rsid w:val="00C01EC9"/>
    <w:rsid w:val="00C02207"/>
    <w:rsid w:val="00C024EE"/>
    <w:rsid w:val="00C0299F"/>
    <w:rsid w:val="00C0362D"/>
    <w:rsid w:val="00C03ED8"/>
    <w:rsid w:val="00C051D7"/>
    <w:rsid w:val="00C05B62"/>
    <w:rsid w:val="00C05D11"/>
    <w:rsid w:val="00C05DAB"/>
    <w:rsid w:val="00C0692F"/>
    <w:rsid w:val="00C0736F"/>
    <w:rsid w:val="00C10254"/>
    <w:rsid w:val="00C10DAB"/>
    <w:rsid w:val="00C11157"/>
    <w:rsid w:val="00C118B5"/>
    <w:rsid w:val="00C11FFB"/>
    <w:rsid w:val="00C12720"/>
    <w:rsid w:val="00C1378D"/>
    <w:rsid w:val="00C13D0F"/>
    <w:rsid w:val="00C1475B"/>
    <w:rsid w:val="00C147DC"/>
    <w:rsid w:val="00C14A8B"/>
    <w:rsid w:val="00C14B18"/>
    <w:rsid w:val="00C14C1A"/>
    <w:rsid w:val="00C14D05"/>
    <w:rsid w:val="00C159FC"/>
    <w:rsid w:val="00C16E7D"/>
    <w:rsid w:val="00C20740"/>
    <w:rsid w:val="00C2123C"/>
    <w:rsid w:val="00C213B5"/>
    <w:rsid w:val="00C220DD"/>
    <w:rsid w:val="00C2249C"/>
    <w:rsid w:val="00C23163"/>
    <w:rsid w:val="00C24C1F"/>
    <w:rsid w:val="00C251FE"/>
    <w:rsid w:val="00C25BB3"/>
    <w:rsid w:val="00C26616"/>
    <w:rsid w:val="00C26777"/>
    <w:rsid w:val="00C26BFC"/>
    <w:rsid w:val="00C26EFD"/>
    <w:rsid w:val="00C27BB8"/>
    <w:rsid w:val="00C32FC6"/>
    <w:rsid w:val="00C334C9"/>
    <w:rsid w:val="00C339E7"/>
    <w:rsid w:val="00C34ED8"/>
    <w:rsid w:val="00C36462"/>
    <w:rsid w:val="00C3727D"/>
    <w:rsid w:val="00C419E1"/>
    <w:rsid w:val="00C428BA"/>
    <w:rsid w:val="00C43C87"/>
    <w:rsid w:val="00C44F6A"/>
    <w:rsid w:val="00C45939"/>
    <w:rsid w:val="00C470E8"/>
    <w:rsid w:val="00C474B7"/>
    <w:rsid w:val="00C500A7"/>
    <w:rsid w:val="00C50730"/>
    <w:rsid w:val="00C523B7"/>
    <w:rsid w:val="00C52E2C"/>
    <w:rsid w:val="00C55373"/>
    <w:rsid w:val="00C56693"/>
    <w:rsid w:val="00C56E53"/>
    <w:rsid w:val="00C579A0"/>
    <w:rsid w:val="00C57D77"/>
    <w:rsid w:val="00C60866"/>
    <w:rsid w:val="00C62EB0"/>
    <w:rsid w:val="00C6437D"/>
    <w:rsid w:val="00C64BE1"/>
    <w:rsid w:val="00C651A2"/>
    <w:rsid w:val="00C65C4A"/>
    <w:rsid w:val="00C703E9"/>
    <w:rsid w:val="00C70CB1"/>
    <w:rsid w:val="00C70ECD"/>
    <w:rsid w:val="00C72D82"/>
    <w:rsid w:val="00C73519"/>
    <w:rsid w:val="00C73590"/>
    <w:rsid w:val="00C7381C"/>
    <w:rsid w:val="00C754B2"/>
    <w:rsid w:val="00C757A4"/>
    <w:rsid w:val="00C759FF"/>
    <w:rsid w:val="00C76159"/>
    <w:rsid w:val="00C762ED"/>
    <w:rsid w:val="00C76389"/>
    <w:rsid w:val="00C764C9"/>
    <w:rsid w:val="00C768E4"/>
    <w:rsid w:val="00C76C6A"/>
    <w:rsid w:val="00C76F74"/>
    <w:rsid w:val="00C77516"/>
    <w:rsid w:val="00C802F1"/>
    <w:rsid w:val="00C80747"/>
    <w:rsid w:val="00C8117F"/>
    <w:rsid w:val="00C8217C"/>
    <w:rsid w:val="00C8256E"/>
    <w:rsid w:val="00C83246"/>
    <w:rsid w:val="00C837CA"/>
    <w:rsid w:val="00C83921"/>
    <w:rsid w:val="00C83ABA"/>
    <w:rsid w:val="00C83DE8"/>
    <w:rsid w:val="00C8485E"/>
    <w:rsid w:val="00C850D1"/>
    <w:rsid w:val="00C8595B"/>
    <w:rsid w:val="00C8650A"/>
    <w:rsid w:val="00C8682D"/>
    <w:rsid w:val="00C86AC9"/>
    <w:rsid w:val="00C86D7A"/>
    <w:rsid w:val="00C87349"/>
    <w:rsid w:val="00C87FB9"/>
    <w:rsid w:val="00C900AA"/>
    <w:rsid w:val="00C9034C"/>
    <w:rsid w:val="00C90354"/>
    <w:rsid w:val="00C9094E"/>
    <w:rsid w:val="00C91BD8"/>
    <w:rsid w:val="00C91FF0"/>
    <w:rsid w:val="00C931C8"/>
    <w:rsid w:val="00C933A4"/>
    <w:rsid w:val="00C934FB"/>
    <w:rsid w:val="00C93D0A"/>
    <w:rsid w:val="00C94F3B"/>
    <w:rsid w:val="00C950B6"/>
    <w:rsid w:val="00C95555"/>
    <w:rsid w:val="00C95C2A"/>
    <w:rsid w:val="00C9625F"/>
    <w:rsid w:val="00C96370"/>
    <w:rsid w:val="00C97426"/>
    <w:rsid w:val="00C975AE"/>
    <w:rsid w:val="00C97765"/>
    <w:rsid w:val="00C97B80"/>
    <w:rsid w:val="00CA0DB4"/>
    <w:rsid w:val="00CA0F7A"/>
    <w:rsid w:val="00CA2058"/>
    <w:rsid w:val="00CA27DD"/>
    <w:rsid w:val="00CA2B4D"/>
    <w:rsid w:val="00CA348E"/>
    <w:rsid w:val="00CA3EFB"/>
    <w:rsid w:val="00CA4461"/>
    <w:rsid w:val="00CA640F"/>
    <w:rsid w:val="00CA642F"/>
    <w:rsid w:val="00CA718A"/>
    <w:rsid w:val="00CA7364"/>
    <w:rsid w:val="00CB002C"/>
    <w:rsid w:val="00CB01E6"/>
    <w:rsid w:val="00CB029D"/>
    <w:rsid w:val="00CB0C83"/>
    <w:rsid w:val="00CB1D3A"/>
    <w:rsid w:val="00CB2F06"/>
    <w:rsid w:val="00CB496F"/>
    <w:rsid w:val="00CB622C"/>
    <w:rsid w:val="00CB656B"/>
    <w:rsid w:val="00CB6B73"/>
    <w:rsid w:val="00CB7CFF"/>
    <w:rsid w:val="00CB7E38"/>
    <w:rsid w:val="00CB7F53"/>
    <w:rsid w:val="00CC168B"/>
    <w:rsid w:val="00CC1808"/>
    <w:rsid w:val="00CC2033"/>
    <w:rsid w:val="00CC2620"/>
    <w:rsid w:val="00CC3B20"/>
    <w:rsid w:val="00CC3C33"/>
    <w:rsid w:val="00CC3DEA"/>
    <w:rsid w:val="00CC3EF7"/>
    <w:rsid w:val="00CC5B4C"/>
    <w:rsid w:val="00CC7232"/>
    <w:rsid w:val="00CD0643"/>
    <w:rsid w:val="00CD1832"/>
    <w:rsid w:val="00CD1978"/>
    <w:rsid w:val="00CD1E17"/>
    <w:rsid w:val="00CD21E4"/>
    <w:rsid w:val="00CD2E94"/>
    <w:rsid w:val="00CD3237"/>
    <w:rsid w:val="00CD574E"/>
    <w:rsid w:val="00CD5DCC"/>
    <w:rsid w:val="00CD6E21"/>
    <w:rsid w:val="00CD70F1"/>
    <w:rsid w:val="00CD7E42"/>
    <w:rsid w:val="00CE01A4"/>
    <w:rsid w:val="00CE0471"/>
    <w:rsid w:val="00CE1C2D"/>
    <w:rsid w:val="00CE2591"/>
    <w:rsid w:val="00CE4513"/>
    <w:rsid w:val="00CE5011"/>
    <w:rsid w:val="00CE5423"/>
    <w:rsid w:val="00CE5D33"/>
    <w:rsid w:val="00CE6970"/>
    <w:rsid w:val="00CE77C3"/>
    <w:rsid w:val="00CF00A2"/>
    <w:rsid w:val="00CF1D75"/>
    <w:rsid w:val="00CF2611"/>
    <w:rsid w:val="00CF32A1"/>
    <w:rsid w:val="00CF42BC"/>
    <w:rsid w:val="00CF537B"/>
    <w:rsid w:val="00CF5AAF"/>
    <w:rsid w:val="00CF6161"/>
    <w:rsid w:val="00CF7A16"/>
    <w:rsid w:val="00D003F9"/>
    <w:rsid w:val="00D0061E"/>
    <w:rsid w:val="00D00F2E"/>
    <w:rsid w:val="00D0140A"/>
    <w:rsid w:val="00D02ED3"/>
    <w:rsid w:val="00D0366F"/>
    <w:rsid w:val="00D03DCE"/>
    <w:rsid w:val="00D040E4"/>
    <w:rsid w:val="00D04128"/>
    <w:rsid w:val="00D046F6"/>
    <w:rsid w:val="00D06926"/>
    <w:rsid w:val="00D06C7B"/>
    <w:rsid w:val="00D07C51"/>
    <w:rsid w:val="00D107C1"/>
    <w:rsid w:val="00D10DB9"/>
    <w:rsid w:val="00D10F56"/>
    <w:rsid w:val="00D112CF"/>
    <w:rsid w:val="00D11746"/>
    <w:rsid w:val="00D136D0"/>
    <w:rsid w:val="00D13E22"/>
    <w:rsid w:val="00D143EF"/>
    <w:rsid w:val="00D14E5F"/>
    <w:rsid w:val="00D1512F"/>
    <w:rsid w:val="00D154E3"/>
    <w:rsid w:val="00D1590B"/>
    <w:rsid w:val="00D15C52"/>
    <w:rsid w:val="00D16587"/>
    <w:rsid w:val="00D16C9C"/>
    <w:rsid w:val="00D16E16"/>
    <w:rsid w:val="00D16EC2"/>
    <w:rsid w:val="00D1715C"/>
    <w:rsid w:val="00D1770B"/>
    <w:rsid w:val="00D22B6F"/>
    <w:rsid w:val="00D23323"/>
    <w:rsid w:val="00D23EF3"/>
    <w:rsid w:val="00D242AF"/>
    <w:rsid w:val="00D246A7"/>
    <w:rsid w:val="00D25020"/>
    <w:rsid w:val="00D264E1"/>
    <w:rsid w:val="00D27178"/>
    <w:rsid w:val="00D27248"/>
    <w:rsid w:val="00D273F9"/>
    <w:rsid w:val="00D27D28"/>
    <w:rsid w:val="00D317A8"/>
    <w:rsid w:val="00D327E2"/>
    <w:rsid w:val="00D32E4D"/>
    <w:rsid w:val="00D334D8"/>
    <w:rsid w:val="00D347EC"/>
    <w:rsid w:val="00D349A4"/>
    <w:rsid w:val="00D35A58"/>
    <w:rsid w:val="00D364A6"/>
    <w:rsid w:val="00D37CF7"/>
    <w:rsid w:val="00D4045A"/>
    <w:rsid w:val="00D40CC5"/>
    <w:rsid w:val="00D411F5"/>
    <w:rsid w:val="00D41281"/>
    <w:rsid w:val="00D417C3"/>
    <w:rsid w:val="00D430A7"/>
    <w:rsid w:val="00D436C6"/>
    <w:rsid w:val="00D43F35"/>
    <w:rsid w:val="00D43FC8"/>
    <w:rsid w:val="00D44221"/>
    <w:rsid w:val="00D445CA"/>
    <w:rsid w:val="00D45275"/>
    <w:rsid w:val="00D45772"/>
    <w:rsid w:val="00D458C6"/>
    <w:rsid w:val="00D4611B"/>
    <w:rsid w:val="00D47408"/>
    <w:rsid w:val="00D47A69"/>
    <w:rsid w:val="00D50068"/>
    <w:rsid w:val="00D506A4"/>
    <w:rsid w:val="00D50C86"/>
    <w:rsid w:val="00D53068"/>
    <w:rsid w:val="00D54E3D"/>
    <w:rsid w:val="00D55C07"/>
    <w:rsid w:val="00D56F38"/>
    <w:rsid w:val="00D57913"/>
    <w:rsid w:val="00D60794"/>
    <w:rsid w:val="00D6157E"/>
    <w:rsid w:val="00D61EA7"/>
    <w:rsid w:val="00D622DA"/>
    <w:rsid w:val="00D62656"/>
    <w:rsid w:val="00D62707"/>
    <w:rsid w:val="00D62FB8"/>
    <w:rsid w:val="00D63091"/>
    <w:rsid w:val="00D6363A"/>
    <w:rsid w:val="00D636A8"/>
    <w:rsid w:val="00D63931"/>
    <w:rsid w:val="00D63E12"/>
    <w:rsid w:val="00D6435C"/>
    <w:rsid w:val="00D665E2"/>
    <w:rsid w:val="00D66C3D"/>
    <w:rsid w:val="00D67044"/>
    <w:rsid w:val="00D708A0"/>
    <w:rsid w:val="00D71134"/>
    <w:rsid w:val="00D74159"/>
    <w:rsid w:val="00D74660"/>
    <w:rsid w:val="00D7655E"/>
    <w:rsid w:val="00D770E9"/>
    <w:rsid w:val="00D77160"/>
    <w:rsid w:val="00D77495"/>
    <w:rsid w:val="00D77638"/>
    <w:rsid w:val="00D8003A"/>
    <w:rsid w:val="00D812CC"/>
    <w:rsid w:val="00D81DCD"/>
    <w:rsid w:val="00D82C7F"/>
    <w:rsid w:val="00D83237"/>
    <w:rsid w:val="00D843B1"/>
    <w:rsid w:val="00D8494B"/>
    <w:rsid w:val="00D8575B"/>
    <w:rsid w:val="00D9054C"/>
    <w:rsid w:val="00D90CDD"/>
    <w:rsid w:val="00D90D39"/>
    <w:rsid w:val="00D91117"/>
    <w:rsid w:val="00D91F74"/>
    <w:rsid w:val="00D94417"/>
    <w:rsid w:val="00D9544D"/>
    <w:rsid w:val="00D97509"/>
    <w:rsid w:val="00DA009D"/>
    <w:rsid w:val="00DA01A7"/>
    <w:rsid w:val="00DA0234"/>
    <w:rsid w:val="00DA07DF"/>
    <w:rsid w:val="00DA0A63"/>
    <w:rsid w:val="00DA1458"/>
    <w:rsid w:val="00DA2AFC"/>
    <w:rsid w:val="00DA2C5E"/>
    <w:rsid w:val="00DA35F6"/>
    <w:rsid w:val="00DA4064"/>
    <w:rsid w:val="00DA749D"/>
    <w:rsid w:val="00DA74BD"/>
    <w:rsid w:val="00DA79F3"/>
    <w:rsid w:val="00DB156B"/>
    <w:rsid w:val="00DB1676"/>
    <w:rsid w:val="00DB21C1"/>
    <w:rsid w:val="00DB531F"/>
    <w:rsid w:val="00DB53E6"/>
    <w:rsid w:val="00DB57D2"/>
    <w:rsid w:val="00DB5F6C"/>
    <w:rsid w:val="00DC1309"/>
    <w:rsid w:val="00DC1638"/>
    <w:rsid w:val="00DC1C21"/>
    <w:rsid w:val="00DC3C82"/>
    <w:rsid w:val="00DC3F3E"/>
    <w:rsid w:val="00DC5355"/>
    <w:rsid w:val="00DC6BF0"/>
    <w:rsid w:val="00DC785E"/>
    <w:rsid w:val="00DC7BCE"/>
    <w:rsid w:val="00DC7E45"/>
    <w:rsid w:val="00DD0434"/>
    <w:rsid w:val="00DD0514"/>
    <w:rsid w:val="00DD18C4"/>
    <w:rsid w:val="00DD4642"/>
    <w:rsid w:val="00DD5365"/>
    <w:rsid w:val="00DD604A"/>
    <w:rsid w:val="00DD606F"/>
    <w:rsid w:val="00DD6150"/>
    <w:rsid w:val="00DD6669"/>
    <w:rsid w:val="00DD7746"/>
    <w:rsid w:val="00DE066E"/>
    <w:rsid w:val="00DE0769"/>
    <w:rsid w:val="00DE0A5B"/>
    <w:rsid w:val="00DE0FC0"/>
    <w:rsid w:val="00DE1694"/>
    <w:rsid w:val="00DE2735"/>
    <w:rsid w:val="00DE2819"/>
    <w:rsid w:val="00DE479C"/>
    <w:rsid w:val="00DE4977"/>
    <w:rsid w:val="00DE56CB"/>
    <w:rsid w:val="00DE7C31"/>
    <w:rsid w:val="00DF0AF7"/>
    <w:rsid w:val="00DF247E"/>
    <w:rsid w:val="00DF325D"/>
    <w:rsid w:val="00DF34F3"/>
    <w:rsid w:val="00DF37E5"/>
    <w:rsid w:val="00DF38F0"/>
    <w:rsid w:val="00DF39A3"/>
    <w:rsid w:val="00DF3C91"/>
    <w:rsid w:val="00DF3E32"/>
    <w:rsid w:val="00DF3EEA"/>
    <w:rsid w:val="00DF497C"/>
    <w:rsid w:val="00DF65F6"/>
    <w:rsid w:val="00DF6989"/>
    <w:rsid w:val="00DF701B"/>
    <w:rsid w:val="00E012F8"/>
    <w:rsid w:val="00E0177A"/>
    <w:rsid w:val="00E020F6"/>
    <w:rsid w:val="00E022FC"/>
    <w:rsid w:val="00E02C86"/>
    <w:rsid w:val="00E02F9D"/>
    <w:rsid w:val="00E03923"/>
    <w:rsid w:val="00E04D77"/>
    <w:rsid w:val="00E05AF4"/>
    <w:rsid w:val="00E07BA4"/>
    <w:rsid w:val="00E110C6"/>
    <w:rsid w:val="00E117AC"/>
    <w:rsid w:val="00E1274E"/>
    <w:rsid w:val="00E1373B"/>
    <w:rsid w:val="00E143EA"/>
    <w:rsid w:val="00E14A33"/>
    <w:rsid w:val="00E14AAE"/>
    <w:rsid w:val="00E15237"/>
    <w:rsid w:val="00E15995"/>
    <w:rsid w:val="00E16FA5"/>
    <w:rsid w:val="00E1759D"/>
    <w:rsid w:val="00E17A9D"/>
    <w:rsid w:val="00E20412"/>
    <w:rsid w:val="00E20E11"/>
    <w:rsid w:val="00E21547"/>
    <w:rsid w:val="00E21903"/>
    <w:rsid w:val="00E21CC9"/>
    <w:rsid w:val="00E21D09"/>
    <w:rsid w:val="00E2213D"/>
    <w:rsid w:val="00E2290F"/>
    <w:rsid w:val="00E22DC4"/>
    <w:rsid w:val="00E22F82"/>
    <w:rsid w:val="00E2305A"/>
    <w:rsid w:val="00E233F2"/>
    <w:rsid w:val="00E2344D"/>
    <w:rsid w:val="00E24BAD"/>
    <w:rsid w:val="00E259D4"/>
    <w:rsid w:val="00E25CDD"/>
    <w:rsid w:val="00E2656A"/>
    <w:rsid w:val="00E26A8B"/>
    <w:rsid w:val="00E26D58"/>
    <w:rsid w:val="00E26F7F"/>
    <w:rsid w:val="00E27187"/>
    <w:rsid w:val="00E27C9C"/>
    <w:rsid w:val="00E31035"/>
    <w:rsid w:val="00E31443"/>
    <w:rsid w:val="00E321BC"/>
    <w:rsid w:val="00E32CA6"/>
    <w:rsid w:val="00E347DD"/>
    <w:rsid w:val="00E349F1"/>
    <w:rsid w:val="00E361C5"/>
    <w:rsid w:val="00E36536"/>
    <w:rsid w:val="00E36D95"/>
    <w:rsid w:val="00E3739D"/>
    <w:rsid w:val="00E42AAC"/>
    <w:rsid w:val="00E43961"/>
    <w:rsid w:val="00E457CD"/>
    <w:rsid w:val="00E45CAA"/>
    <w:rsid w:val="00E477B9"/>
    <w:rsid w:val="00E510EA"/>
    <w:rsid w:val="00E5356F"/>
    <w:rsid w:val="00E53B66"/>
    <w:rsid w:val="00E53F91"/>
    <w:rsid w:val="00E540C4"/>
    <w:rsid w:val="00E54BB1"/>
    <w:rsid w:val="00E55B36"/>
    <w:rsid w:val="00E55C62"/>
    <w:rsid w:val="00E5642C"/>
    <w:rsid w:val="00E56D68"/>
    <w:rsid w:val="00E56E67"/>
    <w:rsid w:val="00E5710B"/>
    <w:rsid w:val="00E5747D"/>
    <w:rsid w:val="00E6048E"/>
    <w:rsid w:val="00E60BE0"/>
    <w:rsid w:val="00E61232"/>
    <w:rsid w:val="00E61691"/>
    <w:rsid w:val="00E617A8"/>
    <w:rsid w:val="00E62661"/>
    <w:rsid w:val="00E635F3"/>
    <w:rsid w:val="00E65816"/>
    <w:rsid w:val="00E66F2E"/>
    <w:rsid w:val="00E67046"/>
    <w:rsid w:val="00E67869"/>
    <w:rsid w:val="00E700CB"/>
    <w:rsid w:val="00E718AB"/>
    <w:rsid w:val="00E71EA9"/>
    <w:rsid w:val="00E72130"/>
    <w:rsid w:val="00E7343A"/>
    <w:rsid w:val="00E74C39"/>
    <w:rsid w:val="00E76F27"/>
    <w:rsid w:val="00E7717D"/>
    <w:rsid w:val="00E81092"/>
    <w:rsid w:val="00E81F4A"/>
    <w:rsid w:val="00E823F0"/>
    <w:rsid w:val="00E82675"/>
    <w:rsid w:val="00E83E0E"/>
    <w:rsid w:val="00E8420A"/>
    <w:rsid w:val="00E843B6"/>
    <w:rsid w:val="00E84D14"/>
    <w:rsid w:val="00E87355"/>
    <w:rsid w:val="00E879F6"/>
    <w:rsid w:val="00E87CA7"/>
    <w:rsid w:val="00E90743"/>
    <w:rsid w:val="00E909CD"/>
    <w:rsid w:val="00E91113"/>
    <w:rsid w:val="00E9207F"/>
    <w:rsid w:val="00E92A3A"/>
    <w:rsid w:val="00E92CAA"/>
    <w:rsid w:val="00E938B4"/>
    <w:rsid w:val="00E94520"/>
    <w:rsid w:val="00E95481"/>
    <w:rsid w:val="00E95C12"/>
    <w:rsid w:val="00E963F9"/>
    <w:rsid w:val="00E9772E"/>
    <w:rsid w:val="00E978A1"/>
    <w:rsid w:val="00EA0078"/>
    <w:rsid w:val="00EA05CE"/>
    <w:rsid w:val="00EA0659"/>
    <w:rsid w:val="00EA0E05"/>
    <w:rsid w:val="00EA139C"/>
    <w:rsid w:val="00EA1564"/>
    <w:rsid w:val="00EA2745"/>
    <w:rsid w:val="00EA2DB4"/>
    <w:rsid w:val="00EA3507"/>
    <w:rsid w:val="00EA4077"/>
    <w:rsid w:val="00EA42BD"/>
    <w:rsid w:val="00EA7A26"/>
    <w:rsid w:val="00EA7E33"/>
    <w:rsid w:val="00EB09BD"/>
    <w:rsid w:val="00EB0EEC"/>
    <w:rsid w:val="00EB20A1"/>
    <w:rsid w:val="00EB3EC4"/>
    <w:rsid w:val="00EB57FC"/>
    <w:rsid w:val="00EB66F6"/>
    <w:rsid w:val="00EC051A"/>
    <w:rsid w:val="00EC0567"/>
    <w:rsid w:val="00EC2115"/>
    <w:rsid w:val="00EC298A"/>
    <w:rsid w:val="00EC2B43"/>
    <w:rsid w:val="00EC3640"/>
    <w:rsid w:val="00EC39E7"/>
    <w:rsid w:val="00EC40FF"/>
    <w:rsid w:val="00EC4391"/>
    <w:rsid w:val="00EC4823"/>
    <w:rsid w:val="00EC4912"/>
    <w:rsid w:val="00EC4C9E"/>
    <w:rsid w:val="00EC5FB6"/>
    <w:rsid w:val="00EC6D01"/>
    <w:rsid w:val="00ED0B54"/>
    <w:rsid w:val="00ED116D"/>
    <w:rsid w:val="00ED197A"/>
    <w:rsid w:val="00ED310F"/>
    <w:rsid w:val="00ED3403"/>
    <w:rsid w:val="00ED34F9"/>
    <w:rsid w:val="00ED3933"/>
    <w:rsid w:val="00ED4791"/>
    <w:rsid w:val="00ED4799"/>
    <w:rsid w:val="00ED628A"/>
    <w:rsid w:val="00ED72B4"/>
    <w:rsid w:val="00ED7C98"/>
    <w:rsid w:val="00ED7DE0"/>
    <w:rsid w:val="00EE3129"/>
    <w:rsid w:val="00EE414E"/>
    <w:rsid w:val="00EE451C"/>
    <w:rsid w:val="00EE45AA"/>
    <w:rsid w:val="00EE4E3B"/>
    <w:rsid w:val="00EE5050"/>
    <w:rsid w:val="00EE6779"/>
    <w:rsid w:val="00EE6F54"/>
    <w:rsid w:val="00EE7ACC"/>
    <w:rsid w:val="00EE7C4A"/>
    <w:rsid w:val="00EF04D2"/>
    <w:rsid w:val="00EF06CC"/>
    <w:rsid w:val="00EF3F00"/>
    <w:rsid w:val="00EF4C38"/>
    <w:rsid w:val="00EF4DD2"/>
    <w:rsid w:val="00EF58EF"/>
    <w:rsid w:val="00EF6A91"/>
    <w:rsid w:val="00EF7CDF"/>
    <w:rsid w:val="00F00C08"/>
    <w:rsid w:val="00F0190D"/>
    <w:rsid w:val="00F027DF"/>
    <w:rsid w:val="00F02B93"/>
    <w:rsid w:val="00F03D99"/>
    <w:rsid w:val="00F04583"/>
    <w:rsid w:val="00F05A33"/>
    <w:rsid w:val="00F063C7"/>
    <w:rsid w:val="00F07CAD"/>
    <w:rsid w:val="00F111CB"/>
    <w:rsid w:val="00F1148B"/>
    <w:rsid w:val="00F115D7"/>
    <w:rsid w:val="00F11B54"/>
    <w:rsid w:val="00F1232E"/>
    <w:rsid w:val="00F129EE"/>
    <w:rsid w:val="00F14D6D"/>
    <w:rsid w:val="00F150BC"/>
    <w:rsid w:val="00F158C3"/>
    <w:rsid w:val="00F16572"/>
    <w:rsid w:val="00F17C6E"/>
    <w:rsid w:val="00F2034F"/>
    <w:rsid w:val="00F203BF"/>
    <w:rsid w:val="00F20ABC"/>
    <w:rsid w:val="00F215D1"/>
    <w:rsid w:val="00F22C26"/>
    <w:rsid w:val="00F23666"/>
    <w:rsid w:val="00F23856"/>
    <w:rsid w:val="00F23C6B"/>
    <w:rsid w:val="00F24358"/>
    <w:rsid w:val="00F24ACF"/>
    <w:rsid w:val="00F24AE2"/>
    <w:rsid w:val="00F25848"/>
    <w:rsid w:val="00F260EC"/>
    <w:rsid w:val="00F26F9D"/>
    <w:rsid w:val="00F27FFE"/>
    <w:rsid w:val="00F316C2"/>
    <w:rsid w:val="00F3177A"/>
    <w:rsid w:val="00F319F1"/>
    <w:rsid w:val="00F35A88"/>
    <w:rsid w:val="00F36E87"/>
    <w:rsid w:val="00F36FD7"/>
    <w:rsid w:val="00F37064"/>
    <w:rsid w:val="00F37F41"/>
    <w:rsid w:val="00F41F64"/>
    <w:rsid w:val="00F41FE8"/>
    <w:rsid w:val="00F4219D"/>
    <w:rsid w:val="00F4249C"/>
    <w:rsid w:val="00F4467D"/>
    <w:rsid w:val="00F44940"/>
    <w:rsid w:val="00F4518C"/>
    <w:rsid w:val="00F459DC"/>
    <w:rsid w:val="00F460BC"/>
    <w:rsid w:val="00F477B8"/>
    <w:rsid w:val="00F5020D"/>
    <w:rsid w:val="00F5143D"/>
    <w:rsid w:val="00F51E77"/>
    <w:rsid w:val="00F520A1"/>
    <w:rsid w:val="00F53072"/>
    <w:rsid w:val="00F5394E"/>
    <w:rsid w:val="00F5479C"/>
    <w:rsid w:val="00F54EDF"/>
    <w:rsid w:val="00F5598C"/>
    <w:rsid w:val="00F57ABE"/>
    <w:rsid w:val="00F616D3"/>
    <w:rsid w:val="00F61DDD"/>
    <w:rsid w:val="00F621FA"/>
    <w:rsid w:val="00F62505"/>
    <w:rsid w:val="00F62F8D"/>
    <w:rsid w:val="00F62FD5"/>
    <w:rsid w:val="00F6369F"/>
    <w:rsid w:val="00F6388E"/>
    <w:rsid w:val="00F64D18"/>
    <w:rsid w:val="00F64EE8"/>
    <w:rsid w:val="00F652E3"/>
    <w:rsid w:val="00F66155"/>
    <w:rsid w:val="00F66577"/>
    <w:rsid w:val="00F6798D"/>
    <w:rsid w:val="00F67E84"/>
    <w:rsid w:val="00F708B9"/>
    <w:rsid w:val="00F7104B"/>
    <w:rsid w:val="00F71150"/>
    <w:rsid w:val="00F71AC7"/>
    <w:rsid w:val="00F72F8D"/>
    <w:rsid w:val="00F75D30"/>
    <w:rsid w:val="00F76E61"/>
    <w:rsid w:val="00F77214"/>
    <w:rsid w:val="00F806CA"/>
    <w:rsid w:val="00F82238"/>
    <w:rsid w:val="00F828F6"/>
    <w:rsid w:val="00F839ED"/>
    <w:rsid w:val="00F845E4"/>
    <w:rsid w:val="00F85026"/>
    <w:rsid w:val="00F8602C"/>
    <w:rsid w:val="00F86AB1"/>
    <w:rsid w:val="00F9068F"/>
    <w:rsid w:val="00F90EFE"/>
    <w:rsid w:val="00F91AFF"/>
    <w:rsid w:val="00F91E44"/>
    <w:rsid w:val="00F92162"/>
    <w:rsid w:val="00F92474"/>
    <w:rsid w:val="00F92843"/>
    <w:rsid w:val="00F945AD"/>
    <w:rsid w:val="00F96121"/>
    <w:rsid w:val="00F963BD"/>
    <w:rsid w:val="00F967AB"/>
    <w:rsid w:val="00F96ABF"/>
    <w:rsid w:val="00FA079A"/>
    <w:rsid w:val="00FA07A1"/>
    <w:rsid w:val="00FA07FF"/>
    <w:rsid w:val="00FA18A7"/>
    <w:rsid w:val="00FA1AD1"/>
    <w:rsid w:val="00FA1DBA"/>
    <w:rsid w:val="00FA3532"/>
    <w:rsid w:val="00FA38DA"/>
    <w:rsid w:val="00FA3AFC"/>
    <w:rsid w:val="00FA40D6"/>
    <w:rsid w:val="00FA429E"/>
    <w:rsid w:val="00FA5445"/>
    <w:rsid w:val="00FA5493"/>
    <w:rsid w:val="00FA5890"/>
    <w:rsid w:val="00FA6AAA"/>
    <w:rsid w:val="00FA7A4B"/>
    <w:rsid w:val="00FA7BB2"/>
    <w:rsid w:val="00FB0911"/>
    <w:rsid w:val="00FB169F"/>
    <w:rsid w:val="00FB195B"/>
    <w:rsid w:val="00FB1D06"/>
    <w:rsid w:val="00FB1DAE"/>
    <w:rsid w:val="00FB2346"/>
    <w:rsid w:val="00FB4361"/>
    <w:rsid w:val="00FB57D8"/>
    <w:rsid w:val="00FB5971"/>
    <w:rsid w:val="00FB6D72"/>
    <w:rsid w:val="00FB78E6"/>
    <w:rsid w:val="00FC0285"/>
    <w:rsid w:val="00FC16B5"/>
    <w:rsid w:val="00FC1A6E"/>
    <w:rsid w:val="00FC1AC4"/>
    <w:rsid w:val="00FC2C09"/>
    <w:rsid w:val="00FC358C"/>
    <w:rsid w:val="00FC3971"/>
    <w:rsid w:val="00FC406F"/>
    <w:rsid w:val="00FC6213"/>
    <w:rsid w:val="00FC670F"/>
    <w:rsid w:val="00FC69E6"/>
    <w:rsid w:val="00FC6EB7"/>
    <w:rsid w:val="00FD06B1"/>
    <w:rsid w:val="00FD0E62"/>
    <w:rsid w:val="00FD36E5"/>
    <w:rsid w:val="00FD3CAF"/>
    <w:rsid w:val="00FD3DFD"/>
    <w:rsid w:val="00FD4275"/>
    <w:rsid w:val="00FD65F9"/>
    <w:rsid w:val="00FD66A8"/>
    <w:rsid w:val="00FD6B51"/>
    <w:rsid w:val="00FD7150"/>
    <w:rsid w:val="00FE08DF"/>
    <w:rsid w:val="00FE0992"/>
    <w:rsid w:val="00FE1715"/>
    <w:rsid w:val="00FE1D54"/>
    <w:rsid w:val="00FE26DE"/>
    <w:rsid w:val="00FE3B66"/>
    <w:rsid w:val="00FE4575"/>
    <w:rsid w:val="00FE4799"/>
    <w:rsid w:val="00FE4EAE"/>
    <w:rsid w:val="00FE5746"/>
    <w:rsid w:val="00FE61C6"/>
    <w:rsid w:val="00FE7055"/>
    <w:rsid w:val="00FF0650"/>
    <w:rsid w:val="00FF0C83"/>
    <w:rsid w:val="00FF23BD"/>
    <w:rsid w:val="00FF2850"/>
    <w:rsid w:val="00FF2891"/>
    <w:rsid w:val="00FF2911"/>
    <w:rsid w:val="00FF3A84"/>
    <w:rsid w:val="00FF3B81"/>
    <w:rsid w:val="00FF40D3"/>
    <w:rsid w:val="00FF53D3"/>
    <w:rsid w:val="00FF57F1"/>
    <w:rsid w:val="00FF5C11"/>
    <w:rsid w:val="00FF692D"/>
    <w:rsid w:val="00FF7261"/>
    <w:rsid w:val="00FF77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78"/>
    <o:shapelayout v:ext="edit">
      <o:idmap v:ext="edit" data="2"/>
    </o:shapelayout>
  </w:shapeDefaults>
  <w:decimalSymbol w:val="."/>
  <w:listSeparator w:val=","/>
  <w14:docId w14:val="05410D91"/>
  <w15:chartTrackingRefBased/>
  <w15:docId w15:val="{71B43AFA-45E6-49FA-98FE-9AF7AE2C8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973"/>
    <w:pPr>
      <w:suppressAutoHyphens/>
      <w:spacing w:after="0" w:line="240" w:lineRule="auto"/>
      <w:contextualSpacing/>
      <w:jc w:val="both"/>
    </w:pPr>
    <w:rPr>
      <w:rFonts w:ascii="Times New Roman" w:hAnsi="Times New Roman" w:cs="Times New Roman"/>
    </w:rPr>
  </w:style>
  <w:style w:type="paragraph" w:styleId="Heading1">
    <w:name w:val="heading 1"/>
    <w:basedOn w:val="Normal"/>
    <w:next w:val="Normal"/>
    <w:link w:val="Heading1Char"/>
    <w:uiPriority w:val="9"/>
    <w:qFormat/>
    <w:rsid w:val="00904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4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98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98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98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98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4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983"/>
    <w:rPr>
      <w:rFonts w:eastAsiaTheme="majorEastAsia" w:cstheme="majorBidi"/>
      <w:color w:val="272727" w:themeColor="text1" w:themeTint="D8"/>
    </w:rPr>
  </w:style>
  <w:style w:type="paragraph" w:styleId="Title">
    <w:name w:val="Title"/>
    <w:basedOn w:val="Normal"/>
    <w:next w:val="Normal"/>
    <w:link w:val="TitleChar"/>
    <w:uiPriority w:val="10"/>
    <w:qFormat/>
    <w:rsid w:val="00904983"/>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983"/>
    <w:pPr>
      <w:spacing w:before="160"/>
      <w:jc w:val="center"/>
    </w:pPr>
    <w:rPr>
      <w:i/>
      <w:iCs/>
      <w:color w:val="404040" w:themeColor="text1" w:themeTint="BF"/>
    </w:rPr>
  </w:style>
  <w:style w:type="character" w:customStyle="1" w:styleId="QuoteChar">
    <w:name w:val="Quote Char"/>
    <w:basedOn w:val="DefaultParagraphFont"/>
    <w:link w:val="Quote"/>
    <w:uiPriority w:val="29"/>
    <w:rsid w:val="00904983"/>
    <w:rPr>
      <w:i/>
      <w:iCs/>
      <w:color w:val="404040" w:themeColor="text1" w:themeTint="BF"/>
    </w:rPr>
  </w:style>
  <w:style w:type="paragraph" w:styleId="ListParagraph">
    <w:name w:val="List Paragraph"/>
    <w:basedOn w:val="Normal"/>
    <w:uiPriority w:val="34"/>
    <w:qFormat/>
    <w:rsid w:val="00904983"/>
    <w:pPr>
      <w:ind w:left="720"/>
    </w:pPr>
  </w:style>
  <w:style w:type="character" w:styleId="IntenseEmphasis">
    <w:name w:val="Intense Emphasis"/>
    <w:basedOn w:val="DefaultParagraphFont"/>
    <w:uiPriority w:val="21"/>
    <w:qFormat/>
    <w:rsid w:val="00904983"/>
    <w:rPr>
      <w:i/>
      <w:iCs/>
      <w:color w:val="0F4761" w:themeColor="accent1" w:themeShade="BF"/>
    </w:rPr>
  </w:style>
  <w:style w:type="paragraph" w:styleId="IntenseQuote">
    <w:name w:val="Intense Quote"/>
    <w:basedOn w:val="Normal"/>
    <w:next w:val="Normal"/>
    <w:link w:val="IntenseQuoteChar"/>
    <w:uiPriority w:val="30"/>
    <w:qFormat/>
    <w:rsid w:val="00904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983"/>
    <w:rPr>
      <w:i/>
      <w:iCs/>
      <w:color w:val="0F4761" w:themeColor="accent1" w:themeShade="BF"/>
    </w:rPr>
  </w:style>
  <w:style w:type="character" w:styleId="IntenseReference">
    <w:name w:val="Intense Reference"/>
    <w:basedOn w:val="DefaultParagraphFont"/>
    <w:uiPriority w:val="32"/>
    <w:qFormat/>
    <w:rsid w:val="00904983"/>
    <w:rPr>
      <w:b/>
      <w:bCs/>
      <w:smallCaps/>
      <w:color w:val="0F4761" w:themeColor="accent1" w:themeShade="BF"/>
      <w:spacing w:val="5"/>
    </w:rPr>
  </w:style>
  <w:style w:type="paragraph" w:styleId="EndnoteText">
    <w:name w:val="endnote text"/>
    <w:basedOn w:val="Normal"/>
    <w:link w:val="EndnoteTextChar"/>
    <w:uiPriority w:val="99"/>
    <w:semiHidden/>
    <w:unhideWhenUsed/>
    <w:rsid w:val="009244E4"/>
    <w:rPr>
      <w:sz w:val="20"/>
      <w:szCs w:val="20"/>
    </w:rPr>
  </w:style>
  <w:style w:type="character" w:customStyle="1" w:styleId="EndnoteTextChar">
    <w:name w:val="Endnote Text Char"/>
    <w:basedOn w:val="DefaultParagraphFont"/>
    <w:link w:val="EndnoteText"/>
    <w:uiPriority w:val="99"/>
    <w:semiHidden/>
    <w:rsid w:val="009244E4"/>
    <w:rPr>
      <w:sz w:val="20"/>
      <w:szCs w:val="20"/>
    </w:rPr>
  </w:style>
  <w:style w:type="character" w:styleId="EndnoteReference">
    <w:name w:val="endnote reference"/>
    <w:basedOn w:val="DefaultParagraphFont"/>
    <w:uiPriority w:val="99"/>
    <w:semiHidden/>
    <w:unhideWhenUsed/>
    <w:rsid w:val="009244E4"/>
    <w:rPr>
      <w:vertAlign w:val="superscript"/>
    </w:rPr>
  </w:style>
  <w:style w:type="paragraph" w:styleId="FootnoteText">
    <w:name w:val="footnote text"/>
    <w:basedOn w:val="Normal"/>
    <w:link w:val="FootnoteTextChar"/>
    <w:uiPriority w:val="99"/>
    <w:unhideWhenUsed/>
    <w:rsid w:val="009244E4"/>
    <w:rPr>
      <w:sz w:val="20"/>
      <w:szCs w:val="20"/>
    </w:rPr>
  </w:style>
  <w:style w:type="character" w:customStyle="1" w:styleId="FootnoteTextChar">
    <w:name w:val="Footnote Text Char"/>
    <w:basedOn w:val="DefaultParagraphFont"/>
    <w:link w:val="FootnoteText"/>
    <w:uiPriority w:val="99"/>
    <w:rsid w:val="009244E4"/>
    <w:rPr>
      <w:sz w:val="20"/>
      <w:szCs w:val="20"/>
    </w:rPr>
  </w:style>
  <w:style w:type="character" w:styleId="FootnoteReference">
    <w:name w:val="footnote reference"/>
    <w:basedOn w:val="DefaultParagraphFont"/>
    <w:uiPriority w:val="99"/>
    <w:semiHidden/>
    <w:unhideWhenUsed/>
    <w:rsid w:val="009244E4"/>
    <w:rPr>
      <w:vertAlign w:val="superscript"/>
    </w:rPr>
  </w:style>
  <w:style w:type="character" w:customStyle="1" w:styleId="MTEquationSection">
    <w:name w:val="MTEquationSection"/>
    <w:basedOn w:val="DefaultParagraphFont"/>
    <w:rsid w:val="003B0F9B"/>
    <w:rPr>
      <w:rFonts w:ascii="Times New Roman" w:hAnsi="Times New Roman" w:cs="Times New Roman"/>
      <w:vanish/>
      <w:color w:val="FF0000"/>
    </w:rPr>
  </w:style>
  <w:style w:type="paragraph" w:customStyle="1" w:styleId="MTDisplayEquation">
    <w:name w:val="MTDisplayEquation"/>
    <w:basedOn w:val="Normal"/>
    <w:next w:val="Normal"/>
    <w:link w:val="MTDisplayEquationChar"/>
    <w:rsid w:val="003B0F9B"/>
    <w:pPr>
      <w:tabs>
        <w:tab w:val="center" w:pos="4680"/>
        <w:tab w:val="right" w:pos="9360"/>
      </w:tabs>
    </w:pPr>
  </w:style>
  <w:style w:type="character" w:customStyle="1" w:styleId="MTDisplayEquationChar">
    <w:name w:val="MTDisplayEquation Char"/>
    <w:basedOn w:val="DefaultParagraphFont"/>
    <w:link w:val="MTDisplayEquation"/>
    <w:rsid w:val="003B0F9B"/>
    <w:rPr>
      <w:rFonts w:ascii="Times New Roman" w:hAnsi="Times New Roman" w:cs="Times New Roman"/>
    </w:rPr>
  </w:style>
  <w:style w:type="paragraph" w:styleId="Bibliography">
    <w:name w:val="Bibliography"/>
    <w:basedOn w:val="Normal"/>
    <w:next w:val="Normal"/>
    <w:uiPriority w:val="37"/>
    <w:unhideWhenUsed/>
    <w:rsid w:val="0057345F"/>
    <w:pPr>
      <w:ind w:left="720" w:hanging="720"/>
    </w:pPr>
  </w:style>
  <w:style w:type="character" w:styleId="CommentReference">
    <w:name w:val="annotation reference"/>
    <w:basedOn w:val="DefaultParagraphFont"/>
    <w:uiPriority w:val="99"/>
    <w:semiHidden/>
    <w:unhideWhenUsed/>
    <w:rsid w:val="0070430E"/>
    <w:rPr>
      <w:sz w:val="16"/>
      <w:szCs w:val="16"/>
    </w:rPr>
  </w:style>
  <w:style w:type="paragraph" w:styleId="CommentText">
    <w:name w:val="annotation text"/>
    <w:basedOn w:val="Normal"/>
    <w:link w:val="CommentTextChar"/>
    <w:uiPriority w:val="99"/>
    <w:unhideWhenUsed/>
    <w:rsid w:val="0070430E"/>
    <w:rPr>
      <w:sz w:val="20"/>
      <w:szCs w:val="20"/>
    </w:rPr>
  </w:style>
  <w:style w:type="character" w:customStyle="1" w:styleId="CommentTextChar">
    <w:name w:val="Comment Text Char"/>
    <w:basedOn w:val="DefaultParagraphFont"/>
    <w:link w:val="CommentText"/>
    <w:uiPriority w:val="99"/>
    <w:rsid w:val="0070430E"/>
    <w:rPr>
      <w:sz w:val="20"/>
      <w:szCs w:val="20"/>
    </w:rPr>
  </w:style>
  <w:style w:type="character" w:styleId="Hyperlink">
    <w:name w:val="Hyperlink"/>
    <w:basedOn w:val="DefaultParagraphFont"/>
    <w:uiPriority w:val="99"/>
    <w:unhideWhenUsed/>
    <w:rsid w:val="00104510"/>
    <w:rPr>
      <w:color w:val="467886" w:themeColor="hyperlink"/>
      <w:u w:val="single"/>
    </w:rPr>
  </w:style>
  <w:style w:type="character" w:styleId="UnresolvedMention">
    <w:name w:val="Unresolved Mention"/>
    <w:basedOn w:val="DefaultParagraphFont"/>
    <w:uiPriority w:val="99"/>
    <w:semiHidden/>
    <w:unhideWhenUsed/>
    <w:rsid w:val="00104510"/>
    <w:rPr>
      <w:color w:val="605E5C"/>
      <w:shd w:val="clear" w:color="auto" w:fill="E1DFDD"/>
    </w:rPr>
  </w:style>
  <w:style w:type="character" w:styleId="FollowedHyperlink">
    <w:name w:val="FollowedHyperlink"/>
    <w:basedOn w:val="DefaultParagraphFont"/>
    <w:uiPriority w:val="99"/>
    <w:semiHidden/>
    <w:unhideWhenUsed/>
    <w:rsid w:val="006B7B08"/>
    <w:rPr>
      <w:color w:val="96607D" w:themeColor="followedHyperlink"/>
      <w:u w:val="single"/>
    </w:rPr>
  </w:style>
  <w:style w:type="paragraph" w:styleId="Header">
    <w:name w:val="header"/>
    <w:basedOn w:val="Normal"/>
    <w:link w:val="HeaderChar"/>
    <w:uiPriority w:val="99"/>
    <w:unhideWhenUsed/>
    <w:rsid w:val="003E7FE8"/>
    <w:pPr>
      <w:tabs>
        <w:tab w:val="center" w:pos="4680"/>
        <w:tab w:val="right" w:pos="9360"/>
      </w:tabs>
    </w:pPr>
  </w:style>
  <w:style w:type="character" w:customStyle="1" w:styleId="HeaderChar">
    <w:name w:val="Header Char"/>
    <w:basedOn w:val="DefaultParagraphFont"/>
    <w:link w:val="Header"/>
    <w:uiPriority w:val="99"/>
    <w:rsid w:val="003E7FE8"/>
  </w:style>
  <w:style w:type="paragraph" w:styleId="Footer">
    <w:name w:val="footer"/>
    <w:basedOn w:val="Normal"/>
    <w:link w:val="FooterChar"/>
    <w:uiPriority w:val="99"/>
    <w:unhideWhenUsed/>
    <w:rsid w:val="003E7FE8"/>
    <w:pPr>
      <w:tabs>
        <w:tab w:val="center" w:pos="4680"/>
        <w:tab w:val="right" w:pos="9360"/>
      </w:tabs>
    </w:pPr>
  </w:style>
  <w:style w:type="character" w:customStyle="1" w:styleId="FooterChar">
    <w:name w:val="Footer Char"/>
    <w:basedOn w:val="DefaultParagraphFont"/>
    <w:link w:val="Footer"/>
    <w:uiPriority w:val="99"/>
    <w:rsid w:val="003E7FE8"/>
  </w:style>
  <w:style w:type="paragraph" w:styleId="CommentSubject">
    <w:name w:val="annotation subject"/>
    <w:basedOn w:val="CommentText"/>
    <w:next w:val="CommentText"/>
    <w:link w:val="CommentSubjectChar"/>
    <w:uiPriority w:val="99"/>
    <w:semiHidden/>
    <w:unhideWhenUsed/>
    <w:rsid w:val="004706AF"/>
    <w:rPr>
      <w:b/>
      <w:bCs/>
    </w:rPr>
  </w:style>
  <w:style w:type="character" w:customStyle="1" w:styleId="CommentSubjectChar">
    <w:name w:val="Comment Subject Char"/>
    <w:basedOn w:val="CommentTextChar"/>
    <w:link w:val="CommentSubject"/>
    <w:uiPriority w:val="99"/>
    <w:semiHidden/>
    <w:rsid w:val="004706AF"/>
    <w:rPr>
      <w:b/>
      <w:bCs/>
      <w:sz w:val="20"/>
      <w:szCs w:val="20"/>
    </w:rPr>
  </w:style>
  <w:style w:type="paragraph" w:customStyle="1" w:styleId="selection">
    <w:name w:val="selection"/>
    <w:basedOn w:val="Normal"/>
    <w:rsid w:val="00D74159"/>
    <w:pPr>
      <w:suppressAutoHyphens w:val="0"/>
      <w:spacing w:before="100" w:beforeAutospacing="1" w:after="100" w:afterAutospacing="1"/>
      <w:contextualSpacing w:val="0"/>
      <w:jc w:val="left"/>
    </w:pPr>
    <w:rPr>
      <w:rFonts w:eastAsia="Times New Roman"/>
      <w:kern w:val="0"/>
      <w14:ligatures w14:val="none"/>
    </w:rPr>
  </w:style>
  <w:style w:type="paragraph" w:styleId="Revision">
    <w:name w:val="Revision"/>
    <w:hidden/>
    <w:uiPriority w:val="99"/>
    <w:semiHidden/>
    <w:rsid w:val="00F00C08"/>
    <w:pPr>
      <w:spacing w:after="0" w:line="240" w:lineRule="auto"/>
    </w:pPr>
    <w:rPr>
      <w:rFonts w:ascii="Times New Roman" w:hAnsi="Times New Roman" w:cs="Times New Roman"/>
    </w:rPr>
  </w:style>
  <w:style w:type="paragraph" w:customStyle="1" w:styleId="pdq2pgselectionanchorcontainer">
    <w:name w:val="pdq2pg_selectionanchorcontainer"/>
    <w:basedOn w:val="Normal"/>
    <w:rsid w:val="001F0C3E"/>
    <w:pPr>
      <w:suppressAutoHyphens w:val="0"/>
      <w:spacing w:before="100" w:beforeAutospacing="1" w:after="100" w:afterAutospacing="1"/>
      <w:contextualSpacing w:val="0"/>
      <w:jc w:val="left"/>
    </w:pPr>
    <w:rPr>
      <w:rFonts w:eastAsia="Times New Roman"/>
      <w:kern w:val="0"/>
      <w14:ligatures w14:val="none"/>
    </w:rPr>
  </w:style>
  <w:style w:type="character" w:styleId="Strong">
    <w:name w:val="Strong"/>
    <w:basedOn w:val="DefaultParagraphFont"/>
    <w:uiPriority w:val="22"/>
    <w:qFormat/>
    <w:rsid w:val="001F0C3E"/>
    <w:rPr>
      <w:b/>
      <w:bCs/>
    </w:rPr>
  </w:style>
  <w:style w:type="paragraph" w:styleId="NormalWeb">
    <w:name w:val="Normal (Web)"/>
    <w:basedOn w:val="Normal"/>
    <w:uiPriority w:val="99"/>
    <w:unhideWhenUsed/>
    <w:rsid w:val="001F0C3E"/>
    <w:pPr>
      <w:suppressAutoHyphens w:val="0"/>
      <w:spacing w:before="100" w:beforeAutospacing="1" w:after="100" w:afterAutospacing="1"/>
      <w:contextualSpacing w:val="0"/>
      <w:jc w:val="left"/>
    </w:pPr>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960520">
      <w:bodyDiv w:val="1"/>
      <w:marLeft w:val="0"/>
      <w:marRight w:val="0"/>
      <w:marTop w:val="0"/>
      <w:marBottom w:val="0"/>
      <w:divBdr>
        <w:top w:val="none" w:sz="0" w:space="0" w:color="auto"/>
        <w:left w:val="none" w:sz="0" w:space="0" w:color="auto"/>
        <w:bottom w:val="none" w:sz="0" w:space="0" w:color="auto"/>
        <w:right w:val="none" w:sz="0" w:space="0" w:color="auto"/>
      </w:divBdr>
    </w:div>
    <w:div w:id="689840434">
      <w:bodyDiv w:val="1"/>
      <w:marLeft w:val="0"/>
      <w:marRight w:val="0"/>
      <w:marTop w:val="0"/>
      <w:marBottom w:val="0"/>
      <w:divBdr>
        <w:top w:val="none" w:sz="0" w:space="0" w:color="auto"/>
        <w:left w:val="none" w:sz="0" w:space="0" w:color="auto"/>
        <w:bottom w:val="none" w:sz="0" w:space="0" w:color="auto"/>
        <w:right w:val="none" w:sz="0" w:space="0" w:color="auto"/>
      </w:divBdr>
    </w:div>
    <w:div w:id="696588275">
      <w:bodyDiv w:val="1"/>
      <w:marLeft w:val="0"/>
      <w:marRight w:val="0"/>
      <w:marTop w:val="0"/>
      <w:marBottom w:val="0"/>
      <w:divBdr>
        <w:top w:val="none" w:sz="0" w:space="0" w:color="auto"/>
        <w:left w:val="none" w:sz="0" w:space="0" w:color="auto"/>
        <w:bottom w:val="none" w:sz="0" w:space="0" w:color="auto"/>
        <w:right w:val="none" w:sz="0" w:space="0" w:color="auto"/>
      </w:divBdr>
    </w:div>
    <w:div w:id="1459103447">
      <w:marLeft w:val="0"/>
      <w:marRight w:val="0"/>
      <w:marTop w:val="0"/>
      <w:marBottom w:val="0"/>
      <w:divBdr>
        <w:top w:val="none" w:sz="0" w:space="0" w:color="auto"/>
        <w:left w:val="none" w:sz="0" w:space="0" w:color="auto"/>
        <w:bottom w:val="none" w:sz="0" w:space="0" w:color="auto"/>
        <w:right w:val="none" w:sz="0" w:space="0" w:color="auto"/>
      </w:divBdr>
    </w:div>
    <w:div w:id="1533034377">
      <w:bodyDiv w:val="1"/>
      <w:marLeft w:val="0"/>
      <w:marRight w:val="0"/>
      <w:marTop w:val="0"/>
      <w:marBottom w:val="0"/>
      <w:divBdr>
        <w:top w:val="none" w:sz="0" w:space="0" w:color="auto"/>
        <w:left w:val="none" w:sz="0" w:space="0" w:color="auto"/>
        <w:bottom w:val="none" w:sz="0" w:space="0" w:color="auto"/>
        <w:right w:val="none" w:sz="0" w:space="0" w:color="auto"/>
      </w:divBdr>
    </w:div>
    <w:div w:id="1954482230">
      <w:bodyDiv w:val="1"/>
      <w:marLeft w:val="0"/>
      <w:marRight w:val="0"/>
      <w:marTop w:val="0"/>
      <w:marBottom w:val="0"/>
      <w:divBdr>
        <w:top w:val="none" w:sz="0" w:space="0" w:color="auto"/>
        <w:left w:val="none" w:sz="0" w:space="0" w:color="auto"/>
        <w:bottom w:val="none" w:sz="0" w:space="0" w:color="auto"/>
        <w:right w:val="none" w:sz="0" w:space="0" w:color="auto"/>
      </w:divBdr>
    </w:div>
    <w:div w:id="2141608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7.bin"/><Relationship Id="rId63" Type="http://schemas.openxmlformats.org/officeDocument/2006/relationships/image" Target="media/image28.wmf"/><Relationship Id="rId159" Type="http://schemas.openxmlformats.org/officeDocument/2006/relationships/oleObject" Target="embeddings/oleObject79.bin"/><Relationship Id="rId170" Type="http://schemas.openxmlformats.org/officeDocument/2006/relationships/image" Target="media/image79.wmf"/><Relationship Id="rId191" Type="http://schemas.openxmlformats.org/officeDocument/2006/relationships/oleObject" Target="embeddings/oleObject95.bin"/><Relationship Id="rId205" Type="http://schemas.openxmlformats.org/officeDocument/2006/relationships/oleObject" Target="embeddings/oleObject103.bin"/><Relationship Id="rId226" Type="http://schemas.openxmlformats.org/officeDocument/2006/relationships/oleObject" Target="embeddings/oleObject114.bin"/><Relationship Id="rId247" Type="http://schemas.openxmlformats.org/officeDocument/2006/relationships/image" Target="media/image116.wmf"/><Relationship Id="rId107" Type="http://schemas.openxmlformats.org/officeDocument/2006/relationships/oleObject" Target="embeddings/oleObject51.bin"/><Relationship Id="rId11" Type="http://schemas.openxmlformats.org/officeDocument/2006/relationships/oleObject" Target="embeddings/oleObject2.bin"/><Relationship Id="rId32" Type="http://schemas.openxmlformats.org/officeDocument/2006/relationships/image" Target="media/image12.wmf"/><Relationship Id="rId53" Type="http://schemas.openxmlformats.org/officeDocument/2006/relationships/image" Target="media/image23.wmf"/><Relationship Id="rId74" Type="http://schemas.openxmlformats.org/officeDocument/2006/relationships/oleObject" Target="embeddings/oleObject34.bin"/><Relationship Id="rId128" Type="http://schemas.openxmlformats.org/officeDocument/2006/relationships/oleObject" Target="embeddings/oleObject63.bin"/><Relationship Id="rId149" Type="http://schemas.openxmlformats.org/officeDocument/2006/relationships/oleObject" Target="embeddings/oleObject74.bin"/><Relationship Id="rId5" Type="http://schemas.openxmlformats.org/officeDocument/2006/relationships/webSettings" Target="webSettings.xml"/><Relationship Id="rId95" Type="http://schemas.openxmlformats.org/officeDocument/2006/relationships/image" Target="media/image44.wmf"/><Relationship Id="rId160" Type="http://schemas.openxmlformats.org/officeDocument/2006/relationships/image" Target="media/image74.wmf"/><Relationship Id="rId181" Type="http://schemas.openxmlformats.org/officeDocument/2006/relationships/oleObject" Target="embeddings/oleObject90.bin"/><Relationship Id="rId216" Type="http://schemas.openxmlformats.org/officeDocument/2006/relationships/oleObject" Target="embeddings/oleObject109.bin"/><Relationship Id="rId237" Type="http://schemas.openxmlformats.org/officeDocument/2006/relationships/image" Target="media/image111.wmf"/><Relationship Id="rId258" Type="http://schemas.openxmlformats.org/officeDocument/2006/relationships/image" Target="media/image122.png"/><Relationship Id="rId22" Type="http://schemas.openxmlformats.org/officeDocument/2006/relationships/image" Target="media/image8.wmf"/><Relationship Id="rId43" Type="http://schemas.openxmlformats.org/officeDocument/2006/relationships/image" Target="media/image18.wmf"/><Relationship Id="rId64" Type="http://schemas.openxmlformats.org/officeDocument/2006/relationships/oleObject" Target="embeddings/oleObject29.bin"/><Relationship Id="rId118" Type="http://schemas.openxmlformats.org/officeDocument/2006/relationships/oleObject" Target="embeddings/oleObject57.bin"/><Relationship Id="rId139" Type="http://schemas.openxmlformats.org/officeDocument/2006/relationships/oleObject" Target="embeddings/oleObject69.bin"/><Relationship Id="rId85" Type="http://schemas.openxmlformats.org/officeDocument/2006/relationships/image" Target="media/image39.wmf"/><Relationship Id="rId150" Type="http://schemas.openxmlformats.org/officeDocument/2006/relationships/image" Target="media/image69.wmf"/><Relationship Id="rId171" Type="http://schemas.openxmlformats.org/officeDocument/2006/relationships/oleObject" Target="embeddings/oleObject85.bin"/><Relationship Id="rId192" Type="http://schemas.openxmlformats.org/officeDocument/2006/relationships/image" Target="media/image90.wmf"/><Relationship Id="rId206" Type="http://schemas.openxmlformats.org/officeDocument/2006/relationships/image" Target="media/image96.wmf"/><Relationship Id="rId227" Type="http://schemas.openxmlformats.org/officeDocument/2006/relationships/image" Target="media/image106.wmf"/><Relationship Id="rId248" Type="http://schemas.openxmlformats.org/officeDocument/2006/relationships/oleObject" Target="embeddings/oleObject125.bin"/><Relationship Id="rId12" Type="http://schemas.openxmlformats.org/officeDocument/2006/relationships/image" Target="media/image3.wmf"/><Relationship Id="rId33" Type="http://schemas.openxmlformats.org/officeDocument/2006/relationships/oleObject" Target="embeddings/oleObject14.bin"/><Relationship Id="rId108" Type="http://schemas.openxmlformats.org/officeDocument/2006/relationships/image" Target="media/image50.wmf"/><Relationship Id="rId129" Type="http://schemas.openxmlformats.org/officeDocument/2006/relationships/oleObject" Target="embeddings/oleObject64.bin"/><Relationship Id="rId54" Type="http://schemas.openxmlformats.org/officeDocument/2006/relationships/oleObject" Target="embeddings/oleObject24.bin"/><Relationship Id="rId75" Type="http://schemas.openxmlformats.org/officeDocument/2006/relationships/image" Target="media/image34.wmf"/><Relationship Id="rId96" Type="http://schemas.openxmlformats.org/officeDocument/2006/relationships/oleObject" Target="embeddings/oleObject45.bin"/><Relationship Id="rId140" Type="http://schemas.openxmlformats.org/officeDocument/2006/relationships/image" Target="media/image64.wmf"/><Relationship Id="rId161" Type="http://schemas.openxmlformats.org/officeDocument/2006/relationships/oleObject" Target="embeddings/oleObject80.bin"/><Relationship Id="rId182" Type="http://schemas.openxmlformats.org/officeDocument/2006/relationships/image" Target="media/image85.wmf"/><Relationship Id="rId217" Type="http://schemas.openxmlformats.org/officeDocument/2006/relationships/image" Target="media/image101.wmf"/><Relationship Id="rId6" Type="http://schemas.openxmlformats.org/officeDocument/2006/relationships/footnotes" Target="footnotes.xml"/><Relationship Id="rId238" Type="http://schemas.openxmlformats.org/officeDocument/2006/relationships/oleObject" Target="embeddings/oleObject120.bin"/><Relationship Id="rId259" Type="http://schemas.openxmlformats.org/officeDocument/2006/relationships/image" Target="media/image123.png"/><Relationship Id="rId23" Type="http://schemas.openxmlformats.org/officeDocument/2006/relationships/oleObject" Target="embeddings/oleObject8.bin"/><Relationship Id="rId119" Type="http://schemas.openxmlformats.org/officeDocument/2006/relationships/image" Target="media/image55.wmf"/><Relationship Id="rId44" Type="http://schemas.openxmlformats.org/officeDocument/2006/relationships/oleObject" Target="embeddings/oleObject19.bin"/><Relationship Id="rId65" Type="http://schemas.openxmlformats.org/officeDocument/2006/relationships/image" Target="media/image29.wmf"/><Relationship Id="rId86" Type="http://schemas.openxmlformats.org/officeDocument/2006/relationships/oleObject" Target="embeddings/oleObject40.bin"/><Relationship Id="rId130" Type="http://schemas.openxmlformats.org/officeDocument/2006/relationships/image" Target="media/image59.wmf"/><Relationship Id="rId151" Type="http://schemas.openxmlformats.org/officeDocument/2006/relationships/oleObject" Target="embeddings/oleObject75.bin"/><Relationship Id="rId172" Type="http://schemas.openxmlformats.org/officeDocument/2006/relationships/image" Target="media/image80.wmf"/><Relationship Id="rId193" Type="http://schemas.openxmlformats.org/officeDocument/2006/relationships/oleObject" Target="embeddings/oleObject96.bin"/><Relationship Id="rId207" Type="http://schemas.openxmlformats.org/officeDocument/2006/relationships/oleObject" Target="embeddings/oleObject104.bin"/><Relationship Id="rId228" Type="http://schemas.openxmlformats.org/officeDocument/2006/relationships/oleObject" Target="embeddings/oleObject115.bin"/><Relationship Id="rId249" Type="http://schemas.openxmlformats.org/officeDocument/2006/relationships/image" Target="media/image117.wmf"/><Relationship Id="rId13" Type="http://schemas.openxmlformats.org/officeDocument/2006/relationships/oleObject" Target="embeddings/oleObject3.bin"/><Relationship Id="rId109" Type="http://schemas.openxmlformats.org/officeDocument/2006/relationships/oleObject" Target="embeddings/oleObject52.bin"/><Relationship Id="rId260" Type="http://schemas.openxmlformats.org/officeDocument/2006/relationships/image" Target="media/image124.svg"/><Relationship Id="rId34" Type="http://schemas.openxmlformats.org/officeDocument/2006/relationships/image" Target="media/image13.wmf"/><Relationship Id="rId55" Type="http://schemas.openxmlformats.org/officeDocument/2006/relationships/image" Target="media/image24.wmf"/><Relationship Id="rId76" Type="http://schemas.openxmlformats.org/officeDocument/2006/relationships/oleObject" Target="embeddings/oleObject35.bin"/><Relationship Id="rId97" Type="http://schemas.openxmlformats.org/officeDocument/2006/relationships/image" Target="media/image45.wmf"/><Relationship Id="rId120" Type="http://schemas.openxmlformats.org/officeDocument/2006/relationships/oleObject" Target="embeddings/oleObject58.bin"/><Relationship Id="rId141" Type="http://schemas.openxmlformats.org/officeDocument/2006/relationships/oleObject" Target="embeddings/oleObject70.bin"/><Relationship Id="rId7" Type="http://schemas.openxmlformats.org/officeDocument/2006/relationships/endnotes" Target="endnotes.xml"/><Relationship Id="rId162" Type="http://schemas.openxmlformats.org/officeDocument/2006/relationships/image" Target="media/image75.wmf"/><Relationship Id="rId183" Type="http://schemas.openxmlformats.org/officeDocument/2006/relationships/oleObject" Target="embeddings/oleObject91.bin"/><Relationship Id="rId218" Type="http://schemas.openxmlformats.org/officeDocument/2006/relationships/oleObject" Target="embeddings/oleObject110.bin"/><Relationship Id="rId239" Type="http://schemas.openxmlformats.org/officeDocument/2006/relationships/image" Target="media/image112.wmf"/><Relationship Id="rId250" Type="http://schemas.openxmlformats.org/officeDocument/2006/relationships/oleObject" Target="embeddings/oleObject126.bin"/><Relationship Id="rId24" Type="http://schemas.openxmlformats.org/officeDocument/2006/relationships/image" Target="media/image9.wmf"/><Relationship Id="rId45" Type="http://schemas.openxmlformats.org/officeDocument/2006/relationships/image" Target="media/image19.wmf"/><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image" Target="media/image51.wmf"/><Relationship Id="rId131" Type="http://schemas.openxmlformats.org/officeDocument/2006/relationships/oleObject" Target="embeddings/oleObject65.bin"/><Relationship Id="rId152" Type="http://schemas.openxmlformats.org/officeDocument/2006/relationships/image" Target="media/image70.wmf"/><Relationship Id="rId173" Type="http://schemas.openxmlformats.org/officeDocument/2006/relationships/oleObject" Target="embeddings/oleObject86.bin"/><Relationship Id="rId194" Type="http://schemas.openxmlformats.org/officeDocument/2006/relationships/image" Target="media/image91.wmf"/><Relationship Id="rId208" Type="http://schemas.openxmlformats.org/officeDocument/2006/relationships/image" Target="media/image97.wmf"/><Relationship Id="rId229" Type="http://schemas.openxmlformats.org/officeDocument/2006/relationships/image" Target="media/image107.wmf"/><Relationship Id="rId240" Type="http://schemas.openxmlformats.org/officeDocument/2006/relationships/oleObject" Target="embeddings/oleObject121.bin"/><Relationship Id="rId261" Type="http://schemas.openxmlformats.org/officeDocument/2006/relationships/image" Target="media/image125.png"/><Relationship Id="rId14" Type="http://schemas.openxmlformats.org/officeDocument/2006/relationships/image" Target="media/image4.wmf"/><Relationship Id="rId35" Type="http://schemas.openxmlformats.org/officeDocument/2006/relationships/oleObject" Target="embeddings/oleObject15.bin"/><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oleObject" Target="embeddings/oleObject47.bin"/><Relationship Id="rId8" Type="http://schemas.openxmlformats.org/officeDocument/2006/relationships/image" Target="media/image1.wmf"/><Relationship Id="rId98" Type="http://schemas.openxmlformats.org/officeDocument/2006/relationships/oleObject" Target="embeddings/oleObject46.bin"/><Relationship Id="rId121" Type="http://schemas.openxmlformats.org/officeDocument/2006/relationships/oleObject" Target="embeddings/oleObject59.bin"/><Relationship Id="rId142" Type="http://schemas.openxmlformats.org/officeDocument/2006/relationships/image" Target="media/image65.wmf"/><Relationship Id="rId163" Type="http://schemas.openxmlformats.org/officeDocument/2006/relationships/oleObject" Target="embeddings/oleObject81.bin"/><Relationship Id="rId184" Type="http://schemas.openxmlformats.org/officeDocument/2006/relationships/image" Target="media/image86.wmf"/><Relationship Id="rId219" Type="http://schemas.openxmlformats.org/officeDocument/2006/relationships/image" Target="media/image102.wmf"/><Relationship Id="rId230" Type="http://schemas.openxmlformats.org/officeDocument/2006/relationships/oleObject" Target="embeddings/oleObject116.bin"/><Relationship Id="rId251" Type="http://schemas.openxmlformats.org/officeDocument/2006/relationships/image" Target="media/image118.wmf"/><Relationship Id="rId25" Type="http://schemas.openxmlformats.org/officeDocument/2006/relationships/oleObject" Target="embeddings/oleObject9.bin"/><Relationship Id="rId46" Type="http://schemas.openxmlformats.org/officeDocument/2006/relationships/oleObject" Target="embeddings/oleObject20.bin"/><Relationship Id="rId67" Type="http://schemas.openxmlformats.org/officeDocument/2006/relationships/image" Target="media/image30.wmf"/><Relationship Id="rId88" Type="http://schemas.openxmlformats.org/officeDocument/2006/relationships/oleObject" Target="embeddings/oleObject41.bin"/><Relationship Id="rId111" Type="http://schemas.openxmlformats.org/officeDocument/2006/relationships/oleObject" Target="embeddings/oleObject53.bin"/><Relationship Id="rId132" Type="http://schemas.openxmlformats.org/officeDocument/2006/relationships/image" Target="media/image60.wmf"/><Relationship Id="rId153" Type="http://schemas.openxmlformats.org/officeDocument/2006/relationships/oleObject" Target="embeddings/oleObject76.bin"/><Relationship Id="rId174" Type="http://schemas.openxmlformats.org/officeDocument/2006/relationships/image" Target="media/image81.wmf"/><Relationship Id="rId195" Type="http://schemas.openxmlformats.org/officeDocument/2006/relationships/oleObject" Target="embeddings/oleObject97.bin"/><Relationship Id="rId209" Type="http://schemas.openxmlformats.org/officeDocument/2006/relationships/oleObject" Target="embeddings/oleObject105.bin"/><Relationship Id="rId220" Type="http://schemas.openxmlformats.org/officeDocument/2006/relationships/oleObject" Target="embeddings/oleObject111.bin"/><Relationship Id="rId241" Type="http://schemas.openxmlformats.org/officeDocument/2006/relationships/image" Target="media/image113.wmf"/><Relationship Id="rId15" Type="http://schemas.openxmlformats.org/officeDocument/2006/relationships/oleObject" Target="embeddings/oleObject4.bin"/><Relationship Id="rId36" Type="http://schemas.openxmlformats.org/officeDocument/2006/relationships/image" Target="media/image14.wmf"/><Relationship Id="rId57" Type="http://schemas.openxmlformats.org/officeDocument/2006/relationships/image" Target="media/image25.wmf"/><Relationship Id="rId262" Type="http://schemas.openxmlformats.org/officeDocument/2006/relationships/image" Target="media/image126.png"/><Relationship Id="rId78" Type="http://schemas.openxmlformats.org/officeDocument/2006/relationships/oleObject" Target="embeddings/oleObject36.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oleObject" Target="embeddings/oleObject60.bin"/><Relationship Id="rId143" Type="http://schemas.openxmlformats.org/officeDocument/2006/relationships/oleObject" Target="embeddings/oleObject71.bin"/><Relationship Id="rId164" Type="http://schemas.openxmlformats.org/officeDocument/2006/relationships/image" Target="media/image76.wmf"/><Relationship Id="rId185" Type="http://schemas.openxmlformats.org/officeDocument/2006/relationships/oleObject" Target="embeddings/oleObject92.bin"/><Relationship Id="rId9" Type="http://schemas.openxmlformats.org/officeDocument/2006/relationships/oleObject" Target="embeddings/oleObject1.bin"/><Relationship Id="rId210" Type="http://schemas.openxmlformats.org/officeDocument/2006/relationships/image" Target="media/image98.wmf"/><Relationship Id="rId26" Type="http://schemas.openxmlformats.org/officeDocument/2006/relationships/image" Target="media/image10.wmf"/><Relationship Id="rId231" Type="http://schemas.openxmlformats.org/officeDocument/2006/relationships/image" Target="media/image108.wmf"/><Relationship Id="rId252" Type="http://schemas.openxmlformats.org/officeDocument/2006/relationships/oleObject" Target="embeddings/oleObject127.bin"/><Relationship Id="rId47" Type="http://schemas.openxmlformats.org/officeDocument/2006/relationships/image" Target="media/image20.wmf"/><Relationship Id="rId68" Type="http://schemas.openxmlformats.org/officeDocument/2006/relationships/oleObject" Target="embeddings/oleObject31.bin"/><Relationship Id="rId89" Type="http://schemas.openxmlformats.org/officeDocument/2006/relationships/image" Target="media/image41.wmf"/><Relationship Id="rId112" Type="http://schemas.openxmlformats.org/officeDocument/2006/relationships/image" Target="media/image52.wmf"/><Relationship Id="rId133" Type="http://schemas.openxmlformats.org/officeDocument/2006/relationships/oleObject" Target="embeddings/oleObject66.bin"/><Relationship Id="rId154" Type="http://schemas.openxmlformats.org/officeDocument/2006/relationships/image" Target="media/image71.wmf"/><Relationship Id="rId175" Type="http://schemas.openxmlformats.org/officeDocument/2006/relationships/oleObject" Target="embeddings/oleObject87.bin"/><Relationship Id="rId196" Type="http://schemas.openxmlformats.org/officeDocument/2006/relationships/image" Target="media/image92.wmf"/><Relationship Id="rId200" Type="http://schemas.openxmlformats.org/officeDocument/2006/relationships/oleObject" Target="embeddings/oleObject100.bin"/><Relationship Id="rId16" Type="http://schemas.openxmlformats.org/officeDocument/2006/relationships/image" Target="media/image5.wmf"/><Relationship Id="rId221" Type="http://schemas.openxmlformats.org/officeDocument/2006/relationships/image" Target="media/image103.wmf"/><Relationship Id="rId242" Type="http://schemas.openxmlformats.org/officeDocument/2006/relationships/oleObject" Target="embeddings/oleObject122.bin"/><Relationship Id="rId263" Type="http://schemas.openxmlformats.org/officeDocument/2006/relationships/fontTable" Target="fontTable.xml"/><Relationship Id="rId37" Type="http://schemas.openxmlformats.org/officeDocument/2006/relationships/oleObject" Target="embeddings/oleObject16.bin"/><Relationship Id="rId58" Type="http://schemas.openxmlformats.org/officeDocument/2006/relationships/oleObject" Target="embeddings/oleObject26.bin"/><Relationship Id="rId79" Type="http://schemas.openxmlformats.org/officeDocument/2006/relationships/image" Target="media/image36.wmf"/><Relationship Id="rId102" Type="http://schemas.openxmlformats.org/officeDocument/2006/relationships/oleObject" Target="embeddings/oleObject48.bin"/><Relationship Id="rId123" Type="http://schemas.openxmlformats.org/officeDocument/2006/relationships/image" Target="media/image56.wmf"/><Relationship Id="rId144" Type="http://schemas.openxmlformats.org/officeDocument/2006/relationships/image" Target="media/image66.wmf"/><Relationship Id="rId90" Type="http://schemas.openxmlformats.org/officeDocument/2006/relationships/oleObject" Target="embeddings/oleObject42.bin"/><Relationship Id="rId165" Type="http://schemas.openxmlformats.org/officeDocument/2006/relationships/oleObject" Target="embeddings/oleObject82.bin"/><Relationship Id="rId186" Type="http://schemas.openxmlformats.org/officeDocument/2006/relationships/image" Target="media/image87.wmf"/><Relationship Id="rId211" Type="http://schemas.openxmlformats.org/officeDocument/2006/relationships/oleObject" Target="embeddings/oleObject106.bin"/><Relationship Id="rId232" Type="http://schemas.openxmlformats.org/officeDocument/2006/relationships/oleObject" Target="embeddings/oleObject117.bin"/><Relationship Id="rId253" Type="http://schemas.openxmlformats.org/officeDocument/2006/relationships/footer" Target="footer1.xml"/><Relationship Id="rId27" Type="http://schemas.openxmlformats.org/officeDocument/2006/relationships/oleObject" Target="embeddings/oleObject10.bin"/><Relationship Id="rId48" Type="http://schemas.openxmlformats.org/officeDocument/2006/relationships/oleObject" Target="embeddings/oleObject21.bin"/><Relationship Id="rId69" Type="http://schemas.openxmlformats.org/officeDocument/2006/relationships/image" Target="media/image31.wmf"/><Relationship Id="rId113" Type="http://schemas.openxmlformats.org/officeDocument/2006/relationships/oleObject" Target="embeddings/oleObject54.bin"/><Relationship Id="rId134" Type="http://schemas.openxmlformats.org/officeDocument/2006/relationships/image" Target="media/image61.wmf"/><Relationship Id="rId80" Type="http://schemas.openxmlformats.org/officeDocument/2006/relationships/oleObject" Target="embeddings/oleObject37.bin"/><Relationship Id="rId155" Type="http://schemas.openxmlformats.org/officeDocument/2006/relationships/oleObject" Target="embeddings/oleObject77.bin"/><Relationship Id="rId176" Type="http://schemas.openxmlformats.org/officeDocument/2006/relationships/image" Target="media/image82.wmf"/><Relationship Id="rId197" Type="http://schemas.openxmlformats.org/officeDocument/2006/relationships/oleObject" Target="embeddings/oleObject98.bin"/><Relationship Id="rId201" Type="http://schemas.openxmlformats.org/officeDocument/2006/relationships/image" Target="media/image94.wmf"/><Relationship Id="rId222" Type="http://schemas.openxmlformats.org/officeDocument/2006/relationships/oleObject" Target="embeddings/oleObject112.bin"/><Relationship Id="rId243" Type="http://schemas.openxmlformats.org/officeDocument/2006/relationships/image" Target="media/image114.wmf"/><Relationship Id="rId264" Type="http://schemas.openxmlformats.org/officeDocument/2006/relationships/theme" Target="theme/theme1.xml"/><Relationship Id="rId17" Type="http://schemas.openxmlformats.org/officeDocument/2006/relationships/oleObject" Target="embeddings/oleObject5.bin"/><Relationship Id="rId38" Type="http://schemas.openxmlformats.org/officeDocument/2006/relationships/image" Target="media/image15.png"/><Relationship Id="rId59" Type="http://schemas.openxmlformats.org/officeDocument/2006/relationships/image" Target="media/image26.wmf"/><Relationship Id="rId103" Type="http://schemas.openxmlformats.org/officeDocument/2006/relationships/oleObject" Target="embeddings/oleObject49.bin"/><Relationship Id="rId124" Type="http://schemas.openxmlformats.org/officeDocument/2006/relationships/oleObject" Target="embeddings/oleObject61.bin"/><Relationship Id="rId70" Type="http://schemas.openxmlformats.org/officeDocument/2006/relationships/oleObject" Target="embeddings/oleObject32.bin"/><Relationship Id="rId91" Type="http://schemas.openxmlformats.org/officeDocument/2006/relationships/image" Target="media/image42.wmf"/><Relationship Id="rId145" Type="http://schemas.openxmlformats.org/officeDocument/2006/relationships/oleObject" Target="embeddings/oleObject72.bin"/><Relationship Id="rId166" Type="http://schemas.openxmlformats.org/officeDocument/2006/relationships/image" Target="media/image77.wmf"/><Relationship Id="rId187" Type="http://schemas.openxmlformats.org/officeDocument/2006/relationships/oleObject" Target="embeddings/oleObject93.bin"/><Relationship Id="rId1" Type="http://schemas.openxmlformats.org/officeDocument/2006/relationships/customXml" Target="../customXml/item1.xml"/><Relationship Id="rId212" Type="http://schemas.openxmlformats.org/officeDocument/2006/relationships/image" Target="media/image99.wmf"/><Relationship Id="rId233" Type="http://schemas.openxmlformats.org/officeDocument/2006/relationships/image" Target="media/image109.wmf"/><Relationship Id="rId254" Type="http://schemas.openxmlformats.org/officeDocument/2006/relationships/image" Target="media/image119.wmf"/><Relationship Id="rId28" Type="http://schemas.openxmlformats.org/officeDocument/2006/relationships/oleObject" Target="embeddings/oleObject11.bin"/><Relationship Id="rId49" Type="http://schemas.openxmlformats.org/officeDocument/2006/relationships/image" Target="media/image21.wmf"/><Relationship Id="rId114" Type="http://schemas.openxmlformats.org/officeDocument/2006/relationships/image" Target="media/image53.wmf"/><Relationship Id="rId60" Type="http://schemas.openxmlformats.org/officeDocument/2006/relationships/oleObject" Target="embeddings/oleObject27.bin"/><Relationship Id="rId81" Type="http://schemas.openxmlformats.org/officeDocument/2006/relationships/image" Target="media/image37.wmf"/><Relationship Id="rId135" Type="http://schemas.openxmlformats.org/officeDocument/2006/relationships/oleObject" Target="embeddings/oleObject67.bin"/><Relationship Id="rId156" Type="http://schemas.openxmlformats.org/officeDocument/2006/relationships/image" Target="media/image72.wmf"/><Relationship Id="rId177" Type="http://schemas.openxmlformats.org/officeDocument/2006/relationships/oleObject" Target="embeddings/oleObject88.bin"/><Relationship Id="rId198" Type="http://schemas.openxmlformats.org/officeDocument/2006/relationships/image" Target="media/image93.wmf"/><Relationship Id="rId202" Type="http://schemas.openxmlformats.org/officeDocument/2006/relationships/oleObject" Target="embeddings/oleObject101.bin"/><Relationship Id="rId223" Type="http://schemas.openxmlformats.org/officeDocument/2006/relationships/image" Target="media/image104.wmf"/><Relationship Id="rId244" Type="http://schemas.openxmlformats.org/officeDocument/2006/relationships/oleObject" Target="embeddings/oleObject123.bin"/><Relationship Id="rId18" Type="http://schemas.openxmlformats.org/officeDocument/2006/relationships/image" Target="media/image6.wmf"/><Relationship Id="rId39" Type="http://schemas.openxmlformats.org/officeDocument/2006/relationships/image" Target="media/image16.wmf"/><Relationship Id="rId50" Type="http://schemas.openxmlformats.org/officeDocument/2006/relationships/oleObject" Target="embeddings/oleObject22.bin"/><Relationship Id="rId104" Type="http://schemas.openxmlformats.org/officeDocument/2006/relationships/image" Target="media/image48.wmf"/><Relationship Id="rId125" Type="http://schemas.openxmlformats.org/officeDocument/2006/relationships/image" Target="media/image57.wmf"/><Relationship Id="rId146" Type="http://schemas.openxmlformats.org/officeDocument/2006/relationships/image" Target="media/image67.wmf"/><Relationship Id="rId167" Type="http://schemas.openxmlformats.org/officeDocument/2006/relationships/oleObject" Target="embeddings/oleObject83.bin"/><Relationship Id="rId188" Type="http://schemas.openxmlformats.org/officeDocument/2006/relationships/image" Target="media/image88.wmf"/><Relationship Id="rId71" Type="http://schemas.openxmlformats.org/officeDocument/2006/relationships/image" Target="media/image32.wmf"/><Relationship Id="rId92" Type="http://schemas.openxmlformats.org/officeDocument/2006/relationships/oleObject" Target="embeddings/oleObject43.bin"/><Relationship Id="rId213" Type="http://schemas.openxmlformats.org/officeDocument/2006/relationships/oleObject" Target="embeddings/oleObject107.bin"/><Relationship Id="rId234" Type="http://schemas.openxmlformats.org/officeDocument/2006/relationships/oleObject" Target="embeddings/oleObject118.bin"/><Relationship Id="rId2" Type="http://schemas.openxmlformats.org/officeDocument/2006/relationships/numbering" Target="numbering.xml"/><Relationship Id="rId29" Type="http://schemas.openxmlformats.org/officeDocument/2006/relationships/oleObject" Target="embeddings/oleObject12.bin"/><Relationship Id="rId255" Type="http://schemas.openxmlformats.org/officeDocument/2006/relationships/oleObject" Target="embeddings/oleObject128.bin"/><Relationship Id="rId40" Type="http://schemas.openxmlformats.org/officeDocument/2006/relationships/oleObject" Target="embeddings/oleObject17.bin"/><Relationship Id="rId115" Type="http://schemas.openxmlformats.org/officeDocument/2006/relationships/oleObject" Target="embeddings/oleObject55.bin"/><Relationship Id="rId136" Type="http://schemas.openxmlformats.org/officeDocument/2006/relationships/image" Target="media/image62.wmf"/><Relationship Id="rId157" Type="http://schemas.openxmlformats.org/officeDocument/2006/relationships/oleObject" Target="embeddings/oleObject78.bin"/><Relationship Id="rId178" Type="http://schemas.openxmlformats.org/officeDocument/2006/relationships/image" Target="media/image83.wmf"/><Relationship Id="rId61" Type="http://schemas.openxmlformats.org/officeDocument/2006/relationships/image" Target="media/image27.wmf"/><Relationship Id="rId82" Type="http://schemas.openxmlformats.org/officeDocument/2006/relationships/oleObject" Target="embeddings/oleObject38.bin"/><Relationship Id="rId199" Type="http://schemas.openxmlformats.org/officeDocument/2006/relationships/oleObject" Target="embeddings/oleObject99.bin"/><Relationship Id="rId203" Type="http://schemas.openxmlformats.org/officeDocument/2006/relationships/image" Target="media/image95.wmf"/><Relationship Id="rId19" Type="http://schemas.openxmlformats.org/officeDocument/2006/relationships/oleObject" Target="embeddings/oleObject6.bin"/><Relationship Id="rId224" Type="http://schemas.openxmlformats.org/officeDocument/2006/relationships/oleObject" Target="embeddings/oleObject113.bin"/><Relationship Id="rId245" Type="http://schemas.openxmlformats.org/officeDocument/2006/relationships/image" Target="media/image115.wmf"/><Relationship Id="rId30" Type="http://schemas.openxmlformats.org/officeDocument/2006/relationships/image" Target="media/image11.wmf"/><Relationship Id="rId105" Type="http://schemas.openxmlformats.org/officeDocument/2006/relationships/oleObject" Target="embeddings/oleObject50.bin"/><Relationship Id="rId126" Type="http://schemas.openxmlformats.org/officeDocument/2006/relationships/oleObject" Target="embeddings/oleObject62.bin"/><Relationship Id="rId147" Type="http://schemas.openxmlformats.org/officeDocument/2006/relationships/oleObject" Target="embeddings/oleObject73.bin"/><Relationship Id="rId168" Type="http://schemas.openxmlformats.org/officeDocument/2006/relationships/image" Target="media/image78.wmf"/><Relationship Id="rId51" Type="http://schemas.openxmlformats.org/officeDocument/2006/relationships/image" Target="media/image22.wmf"/><Relationship Id="rId72" Type="http://schemas.openxmlformats.org/officeDocument/2006/relationships/oleObject" Target="embeddings/oleObject33.bin"/><Relationship Id="rId93" Type="http://schemas.openxmlformats.org/officeDocument/2006/relationships/image" Target="media/image43.wmf"/><Relationship Id="rId189" Type="http://schemas.openxmlformats.org/officeDocument/2006/relationships/oleObject" Target="embeddings/oleObject94.bin"/><Relationship Id="rId3" Type="http://schemas.openxmlformats.org/officeDocument/2006/relationships/styles" Target="styles.xml"/><Relationship Id="rId214" Type="http://schemas.openxmlformats.org/officeDocument/2006/relationships/image" Target="media/image100.wmf"/><Relationship Id="rId235" Type="http://schemas.openxmlformats.org/officeDocument/2006/relationships/image" Target="media/image110.wmf"/><Relationship Id="rId256" Type="http://schemas.openxmlformats.org/officeDocument/2006/relationships/image" Target="media/image120.png"/><Relationship Id="rId116" Type="http://schemas.openxmlformats.org/officeDocument/2006/relationships/image" Target="media/image54.wmf"/><Relationship Id="rId137" Type="http://schemas.openxmlformats.org/officeDocument/2006/relationships/oleObject" Target="embeddings/oleObject68.bin"/><Relationship Id="rId158" Type="http://schemas.openxmlformats.org/officeDocument/2006/relationships/image" Target="media/image73.wmf"/><Relationship Id="rId20" Type="http://schemas.openxmlformats.org/officeDocument/2006/relationships/image" Target="media/image7.wmf"/><Relationship Id="rId41" Type="http://schemas.openxmlformats.org/officeDocument/2006/relationships/image" Target="media/image17.wmf"/><Relationship Id="rId62" Type="http://schemas.openxmlformats.org/officeDocument/2006/relationships/oleObject" Target="embeddings/oleObject28.bin"/><Relationship Id="rId83" Type="http://schemas.openxmlformats.org/officeDocument/2006/relationships/image" Target="media/image38.wmf"/><Relationship Id="rId179" Type="http://schemas.openxmlformats.org/officeDocument/2006/relationships/oleObject" Target="embeddings/oleObject89.bin"/><Relationship Id="rId190" Type="http://schemas.openxmlformats.org/officeDocument/2006/relationships/image" Target="media/image89.wmf"/><Relationship Id="rId204" Type="http://schemas.openxmlformats.org/officeDocument/2006/relationships/oleObject" Target="embeddings/oleObject102.bin"/><Relationship Id="rId225" Type="http://schemas.openxmlformats.org/officeDocument/2006/relationships/image" Target="media/image105.wmf"/><Relationship Id="rId246" Type="http://schemas.openxmlformats.org/officeDocument/2006/relationships/oleObject" Target="embeddings/oleObject124.bin"/><Relationship Id="rId106" Type="http://schemas.openxmlformats.org/officeDocument/2006/relationships/image" Target="media/image49.wmf"/><Relationship Id="rId127" Type="http://schemas.openxmlformats.org/officeDocument/2006/relationships/image" Target="media/image58.wmf"/><Relationship Id="rId10" Type="http://schemas.openxmlformats.org/officeDocument/2006/relationships/image" Target="media/image2.wmf"/><Relationship Id="rId31" Type="http://schemas.openxmlformats.org/officeDocument/2006/relationships/oleObject" Target="embeddings/oleObject13.bin"/><Relationship Id="rId52" Type="http://schemas.openxmlformats.org/officeDocument/2006/relationships/oleObject" Target="embeddings/oleObject23.bin"/><Relationship Id="rId73" Type="http://schemas.openxmlformats.org/officeDocument/2006/relationships/image" Target="media/image33.wmf"/><Relationship Id="rId94" Type="http://schemas.openxmlformats.org/officeDocument/2006/relationships/oleObject" Target="embeddings/oleObject44.bin"/><Relationship Id="rId148" Type="http://schemas.openxmlformats.org/officeDocument/2006/relationships/image" Target="media/image68.wmf"/><Relationship Id="rId169" Type="http://schemas.openxmlformats.org/officeDocument/2006/relationships/oleObject" Target="embeddings/oleObject84.bin"/><Relationship Id="rId4" Type="http://schemas.openxmlformats.org/officeDocument/2006/relationships/settings" Target="settings.xml"/><Relationship Id="rId180" Type="http://schemas.openxmlformats.org/officeDocument/2006/relationships/image" Target="media/image84.wmf"/><Relationship Id="rId215" Type="http://schemas.openxmlformats.org/officeDocument/2006/relationships/oleObject" Target="embeddings/oleObject108.bin"/><Relationship Id="rId236" Type="http://schemas.openxmlformats.org/officeDocument/2006/relationships/oleObject" Target="embeddings/oleObject119.bin"/><Relationship Id="rId257" Type="http://schemas.openxmlformats.org/officeDocument/2006/relationships/image" Target="media/image121.svg"/><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image" Target="media/image6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9EBA3-9207-4F1D-A5D8-66BE0BAA2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45</Pages>
  <Words>48169</Words>
  <Characters>274564</Characters>
  <Application>Microsoft Office Word</Application>
  <DocSecurity>0</DocSecurity>
  <Lines>2288</Lines>
  <Paragraphs>644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Robbennolt</dc:creator>
  <cp:keywords/>
  <dc:description/>
  <cp:lastModifiedBy>Macias, Lisa J</cp:lastModifiedBy>
  <cp:revision>2</cp:revision>
  <cp:lastPrinted>2026-07-18T06:44:00Z</cp:lastPrinted>
  <dcterms:created xsi:type="dcterms:W3CDTF">2026-07-24T18:57:00Z</dcterms:created>
  <dcterms:modified xsi:type="dcterms:W3CDTF">2026-07-24T18:57:00Z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id="PfebGbxu"/&gt;&lt;style id="http://www.zotero.org/styles/transportation-research-part-b" hasBibliography="1" bibliographyStyleHasBeenSet="1"/&gt;&lt;prefs&gt;&lt;pref name="fieldType" value="Field"/&gt;&lt;/prefs&gt;&lt;/data&gt;</vt:lpwstr>
  </property>
  <property fmtid="{D5CDD505-2E9C-101B-9397-08002B2CF9AE}" pid="3" name="MTEquationNumber2">
    <vt:lpwstr>(#E1)</vt:lpwstr>
  </property>
  <property fmtid="{D5CDD505-2E9C-101B-9397-08002B2CF9AE}" pid="4" name="MTEquationSection">
    <vt:lpwstr>1</vt:lpwstr>
  </property>
  <property fmtid="{D5CDD505-2E9C-101B-9397-08002B2CF9AE}" pid="5" name="MTWinEqns">
    <vt:bool>true</vt:bool>
  </property>
</Properties>
</file>