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9E6C" w14:textId="432B910E" w:rsidR="00DC7402" w:rsidRPr="000D3090" w:rsidRDefault="009C0217" w:rsidP="00DC7402">
      <w:pPr>
        <w:spacing w:after="0" w:line="240" w:lineRule="auto"/>
        <w:jc w:val="both"/>
        <w:rPr>
          <w:b/>
        </w:rPr>
      </w:pPr>
      <w:r w:rsidRPr="000D3090">
        <w:rPr>
          <w:b/>
        </w:rPr>
        <w:fldChar w:fldCharType="begin"/>
      </w:r>
      <w:r w:rsidRPr="000D3090">
        <w:rPr>
          <w:b/>
        </w:rPr>
        <w:instrText xml:space="preserve"> MACROBUTTON MTEditEquationSection2 </w:instrText>
      </w:r>
      <w:r w:rsidRPr="000D3090">
        <w:rPr>
          <w:rStyle w:val="MTEquationSection"/>
        </w:rPr>
        <w:instrText>Equation Chapter 1 Section 1</w:instrText>
      </w:r>
      <w:r w:rsidRPr="000D3090">
        <w:rPr>
          <w:b/>
        </w:rPr>
        <w:fldChar w:fldCharType="begin"/>
      </w:r>
      <w:r w:rsidRPr="000D3090">
        <w:rPr>
          <w:b/>
        </w:rPr>
        <w:instrText xml:space="preserve"> SEQ MTEqn \r \h \* MERGEFORMAT </w:instrText>
      </w:r>
      <w:r w:rsidRPr="000D3090">
        <w:rPr>
          <w:b/>
        </w:rPr>
        <w:fldChar w:fldCharType="end"/>
      </w:r>
      <w:r w:rsidRPr="000D3090">
        <w:rPr>
          <w:b/>
        </w:rPr>
        <w:fldChar w:fldCharType="begin"/>
      </w:r>
      <w:r w:rsidRPr="000D3090">
        <w:rPr>
          <w:b/>
        </w:rPr>
        <w:instrText xml:space="preserve"> SEQ MTSec \r 1 \h \* MERGEFORMAT </w:instrText>
      </w:r>
      <w:r w:rsidRPr="000D3090">
        <w:rPr>
          <w:b/>
        </w:rPr>
        <w:fldChar w:fldCharType="end"/>
      </w:r>
      <w:r w:rsidRPr="000D3090">
        <w:rPr>
          <w:b/>
        </w:rPr>
        <w:fldChar w:fldCharType="begin"/>
      </w:r>
      <w:r w:rsidRPr="000D3090">
        <w:rPr>
          <w:b/>
        </w:rPr>
        <w:instrText xml:space="preserve"> SEQ MTChap \r 1 \h \* MERGEFORMAT </w:instrText>
      </w:r>
      <w:r w:rsidRPr="000D3090">
        <w:rPr>
          <w:b/>
        </w:rPr>
        <w:fldChar w:fldCharType="end"/>
      </w:r>
      <w:r w:rsidRPr="000D3090">
        <w:rPr>
          <w:b/>
        </w:rPr>
        <w:fldChar w:fldCharType="end"/>
      </w:r>
    </w:p>
    <w:p w14:paraId="5A1137F4" w14:textId="77777777" w:rsidR="00DC7402" w:rsidRPr="000D3090" w:rsidRDefault="00DC7402" w:rsidP="00DC7402">
      <w:pPr>
        <w:spacing w:after="0" w:line="240" w:lineRule="auto"/>
        <w:jc w:val="both"/>
        <w:rPr>
          <w:b/>
        </w:rPr>
      </w:pPr>
    </w:p>
    <w:p w14:paraId="2FA383E8" w14:textId="77777777" w:rsidR="00DC7402" w:rsidRPr="000D3090" w:rsidRDefault="00DC7402" w:rsidP="00DC7402">
      <w:pPr>
        <w:spacing w:after="0" w:line="240" w:lineRule="auto"/>
        <w:jc w:val="both"/>
        <w:rPr>
          <w:b/>
        </w:rPr>
      </w:pPr>
    </w:p>
    <w:p w14:paraId="2F08199F" w14:textId="0EE807AC" w:rsidR="00DC7402" w:rsidRPr="000D3090" w:rsidRDefault="00394EA4" w:rsidP="004B45F2">
      <w:pPr>
        <w:spacing w:after="0" w:line="240" w:lineRule="auto"/>
        <w:jc w:val="center"/>
        <w:rPr>
          <w:b/>
        </w:rPr>
      </w:pPr>
      <w:r w:rsidRPr="000D3090">
        <w:rPr>
          <w:b/>
        </w:rPr>
        <w:t>An Investigation of</w:t>
      </w:r>
      <w:r w:rsidR="006202E4" w:rsidRPr="000D3090">
        <w:rPr>
          <w:b/>
        </w:rPr>
        <w:t xml:space="preserve"> Physical Participation </w:t>
      </w:r>
      <w:r w:rsidRPr="000D3090">
        <w:rPr>
          <w:b/>
        </w:rPr>
        <w:t>Dissonance</w:t>
      </w:r>
      <w:r w:rsidR="00A3757E" w:rsidRPr="000D3090">
        <w:rPr>
          <w:b/>
        </w:rPr>
        <w:t xml:space="preserve"> </w:t>
      </w:r>
      <w:bookmarkStart w:id="0" w:name="_Hlk166831087"/>
      <w:r w:rsidR="00A3757E" w:rsidRPr="000D3090">
        <w:rPr>
          <w:b/>
        </w:rPr>
        <w:t>and Virtual Activity Participation</w:t>
      </w:r>
      <w:r w:rsidR="001E5A6F" w:rsidRPr="000D3090">
        <w:rPr>
          <w:b/>
        </w:rPr>
        <w:t xml:space="preserve"> in the United States</w:t>
      </w:r>
    </w:p>
    <w:bookmarkEnd w:id="0"/>
    <w:p w14:paraId="64CBC765" w14:textId="77777777" w:rsidR="00DC7402" w:rsidRPr="000D3090" w:rsidRDefault="00DC7402" w:rsidP="00DC7402">
      <w:pPr>
        <w:spacing w:after="0" w:line="240" w:lineRule="auto"/>
        <w:jc w:val="both"/>
        <w:rPr>
          <w:bCs/>
        </w:rPr>
      </w:pPr>
    </w:p>
    <w:p w14:paraId="78AD5756" w14:textId="7E713826" w:rsidR="00DC7402" w:rsidRPr="000D3090" w:rsidRDefault="00DC7402" w:rsidP="00DC7402">
      <w:pPr>
        <w:spacing w:after="0"/>
        <w:rPr>
          <w:b/>
        </w:rPr>
      </w:pPr>
    </w:p>
    <w:p w14:paraId="588415FF" w14:textId="5E4CABC8" w:rsidR="001F7B9D" w:rsidRPr="000D3090" w:rsidRDefault="001F7B9D" w:rsidP="00DC7402">
      <w:pPr>
        <w:spacing w:after="0"/>
        <w:rPr>
          <w:b/>
        </w:rPr>
      </w:pPr>
    </w:p>
    <w:p w14:paraId="3E66F0D2" w14:textId="0E3187FA" w:rsidR="001F7B9D" w:rsidRPr="000D3090" w:rsidRDefault="001F7B9D" w:rsidP="00DC7402">
      <w:pPr>
        <w:spacing w:after="0"/>
        <w:rPr>
          <w:b/>
        </w:rPr>
      </w:pPr>
    </w:p>
    <w:p w14:paraId="1D3A3393" w14:textId="5CD95941" w:rsidR="001F7B9D" w:rsidRPr="000D3090" w:rsidRDefault="001F7B9D" w:rsidP="00DC7402">
      <w:pPr>
        <w:spacing w:after="0"/>
        <w:rPr>
          <w:b/>
        </w:rPr>
      </w:pPr>
    </w:p>
    <w:p w14:paraId="1941FE10" w14:textId="77777777" w:rsidR="001F7B9D" w:rsidRPr="000D3090" w:rsidRDefault="001F7B9D" w:rsidP="00DC7402">
      <w:pPr>
        <w:spacing w:after="0"/>
        <w:rPr>
          <w:b/>
        </w:rPr>
      </w:pPr>
    </w:p>
    <w:p w14:paraId="2CFC82CB" w14:textId="77777777" w:rsidR="00DC7402" w:rsidRPr="000D3090" w:rsidRDefault="00DC7402" w:rsidP="00DC7402">
      <w:pPr>
        <w:spacing w:after="0"/>
        <w:rPr>
          <w:b/>
        </w:rPr>
      </w:pPr>
      <w:r w:rsidRPr="000D3090">
        <w:rPr>
          <w:b/>
        </w:rPr>
        <w:t xml:space="preserve">Dale Robbennolt </w:t>
      </w:r>
    </w:p>
    <w:p w14:paraId="6E3265A8" w14:textId="77777777" w:rsidR="00DC7402" w:rsidRPr="000D3090" w:rsidRDefault="00DC7402" w:rsidP="00DC7402">
      <w:pPr>
        <w:spacing w:after="0"/>
        <w:rPr>
          <w:bCs/>
        </w:rPr>
      </w:pPr>
      <w:r w:rsidRPr="000D3090">
        <w:rPr>
          <w:bCs/>
        </w:rPr>
        <w:t xml:space="preserve">The University of Texas at Austin </w:t>
      </w:r>
    </w:p>
    <w:p w14:paraId="1E72DBEA" w14:textId="77777777" w:rsidR="00DC7402" w:rsidRPr="000D3090" w:rsidRDefault="00DC7402" w:rsidP="00DC7402">
      <w:pPr>
        <w:spacing w:after="0"/>
        <w:rPr>
          <w:bCs/>
        </w:rPr>
      </w:pPr>
      <w:r w:rsidRPr="000D3090">
        <w:rPr>
          <w:bCs/>
        </w:rPr>
        <w:t xml:space="preserve">Department of Civil, Architectural and Environmental Engineering </w:t>
      </w:r>
    </w:p>
    <w:p w14:paraId="376B597B" w14:textId="77777777" w:rsidR="00DC7402" w:rsidRPr="000D3090" w:rsidRDefault="00DC7402" w:rsidP="00DC7402">
      <w:pPr>
        <w:spacing w:after="0"/>
        <w:rPr>
          <w:bCs/>
        </w:rPr>
      </w:pPr>
      <w:r w:rsidRPr="000D3090">
        <w:rPr>
          <w:bCs/>
        </w:rPr>
        <w:t xml:space="preserve">301 E. Dean Keeton St. Stop C1761, Austin TX 78712, USA </w:t>
      </w:r>
    </w:p>
    <w:p w14:paraId="2C548360" w14:textId="77777777" w:rsidR="00DC7402" w:rsidRPr="000D3090" w:rsidRDefault="00DC7402" w:rsidP="00DC7402">
      <w:pPr>
        <w:spacing w:after="0"/>
        <w:rPr>
          <w:bCs/>
        </w:rPr>
      </w:pPr>
      <w:r w:rsidRPr="000D3090">
        <w:rPr>
          <w:bCs/>
        </w:rPr>
        <w:t xml:space="preserve">Email: dar4836@utexas.edu </w:t>
      </w:r>
    </w:p>
    <w:p w14:paraId="046C11D7" w14:textId="77777777" w:rsidR="00B3211D" w:rsidRPr="000D3090" w:rsidRDefault="00B3211D" w:rsidP="00DC7402">
      <w:pPr>
        <w:spacing w:after="0"/>
        <w:rPr>
          <w:bCs/>
        </w:rPr>
      </w:pPr>
    </w:p>
    <w:p w14:paraId="035B11DE" w14:textId="15DD16DD" w:rsidR="00B3211D" w:rsidRPr="000D3090" w:rsidRDefault="00B3211D" w:rsidP="00B3211D">
      <w:pPr>
        <w:spacing w:after="0"/>
        <w:rPr>
          <w:b/>
        </w:rPr>
      </w:pPr>
      <w:r w:rsidRPr="000D3090">
        <w:rPr>
          <w:b/>
        </w:rPr>
        <w:t>Anna Beliveau</w:t>
      </w:r>
    </w:p>
    <w:p w14:paraId="57C928CB" w14:textId="77777777" w:rsidR="00B3211D" w:rsidRPr="000D3090" w:rsidRDefault="00B3211D" w:rsidP="00B3211D">
      <w:pPr>
        <w:spacing w:after="0"/>
        <w:rPr>
          <w:bCs/>
        </w:rPr>
      </w:pPr>
      <w:r w:rsidRPr="000D3090">
        <w:rPr>
          <w:bCs/>
        </w:rPr>
        <w:t xml:space="preserve">The University of Texas at Austin </w:t>
      </w:r>
    </w:p>
    <w:p w14:paraId="5B2EE7F5" w14:textId="77777777" w:rsidR="00B3211D" w:rsidRPr="000D3090" w:rsidRDefault="00B3211D" w:rsidP="00B3211D">
      <w:pPr>
        <w:spacing w:after="0"/>
        <w:rPr>
          <w:bCs/>
        </w:rPr>
      </w:pPr>
      <w:r w:rsidRPr="000D3090">
        <w:rPr>
          <w:bCs/>
        </w:rPr>
        <w:t xml:space="preserve">Department of Civil, Architectural and Environmental Engineering </w:t>
      </w:r>
    </w:p>
    <w:p w14:paraId="318597A4" w14:textId="77777777" w:rsidR="00B3211D" w:rsidRPr="000D3090" w:rsidRDefault="00B3211D" w:rsidP="00B3211D">
      <w:pPr>
        <w:spacing w:after="0"/>
        <w:rPr>
          <w:bCs/>
        </w:rPr>
      </w:pPr>
      <w:r w:rsidRPr="000D3090">
        <w:rPr>
          <w:bCs/>
        </w:rPr>
        <w:t xml:space="preserve">301 E. Dean Keeton St. Stop C1761, Austin TX 78712, USA </w:t>
      </w:r>
    </w:p>
    <w:p w14:paraId="15AB9E94" w14:textId="1ADF3A6A" w:rsidR="00B3211D" w:rsidRPr="000D3090" w:rsidRDefault="00B3211D" w:rsidP="00DC7402">
      <w:pPr>
        <w:spacing w:after="0"/>
        <w:rPr>
          <w:bCs/>
        </w:rPr>
      </w:pPr>
      <w:r w:rsidRPr="000D3090">
        <w:rPr>
          <w:bCs/>
        </w:rPr>
        <w:t xml:space="preserve">Email: </w:t>
      </w:r>
      <w:r w:rsidR="0086050B" w:rsidRPr="000D3090">
        <w:rPr>
          <w:bCs/>
        </w:rPr>
        <w:t>annabeliveau</w:t>
      </w:r>
      <w:r w:rsidRPr="000D3090">
        <w:rPr>
          <w:bCs/>
        </w:rPr>
        <w:t xml:space="preserve">@utexas.edu </w:t>
      </w:r>
    </w:p>
    <w:p w14:paraId="6FB16F7A" w14:textId="77777777" w:rsidR="00DC7402" w:rsidRPr="000D3090" w:rsidRDefault="00DC7402" w:rsidP="00DC7402">
      <w:pPr>
        <w:spacing w:after="0"/>
        <w:rPr>
          <w:b/>
        </w:rPr>
      </w:pPr>
    </w:p>
    <w:p w14:paraId="050E8593" w14:textId="77777777" w:rsidR="00DC7402" w:rsidRPr="000D3090" w:rsidRDefault="00DC7402" w:rsidP="00DC7402">
      <w:pPr>
        <w:spacing w:after="0"/>
        <w:rPr>
          <w:b/>
        </w:rPr>
      </w:pPr>
      <w:r w:rsidRPr="000D3090">
        <w:rPr>
          <w:b/>
        </w:rPr>
        <w:t xml:space="preserve">Chandra R. Bhat (corresponding author) </w:t>
      </w:r>
    </w:p>
    <w:p w14:paraId="19271253" w14:textId="77777777" w:rsidR="00DC7402" w:rsidRPr="000D3090" w:rsidRDefault="00DC7402" w:rsidP="00DC7402">
      <w:pPr>
        <w:spacing w:after="0"/>
        <w:rPr>
          <w:bCs/>
        </w:rPr>
      </w:pPr>
      <w:r w:rsidRPr="000D3090">
        <w:rPr>
          <w:bCs/>
        </w:rPr>
        <w:t xml:space="preserve">The University of Texas at Austin </w:t>
      </w:r>
    </w:p>
    <w:p w14:paraId="0AF6BD4B" w14:textId="77777777" w:rsidR="00DC7402" w:rsidRPr="000D3090" w:rsidRDefault="00DC7402" w:rsidP="00DC7402">
      <w:pPr>
        <w:spacing w:after="0"/>
        <w:rPr>
          <w:bCs/>
        </w:rPr>
      </w:pPr>
      <w:r w:rsidRPr="000D3090">
        <w:rPr>
          <w:bCs/>
        </w:rPr>
        <w:t xml:space="preserve">Department of Civil, Architectural and Environmental Engineering </w:t>
      </w:r>
    </w:p>
    <w:p w14:paraId="36C89022" w14:textId="77777777" w:rsidR="00DC7402" w:rsidRPr="000D3090" w:rsidRDefault="00DC7402" w:rsidP="00DC7402">
      <w:pPr>
        <w:spacing w:after="0"/>
        <w:rPr>
          <w:bCs/>
        </w:rPr>
      </w:pPr>
      <w:r w:rsidRPr="000D3090">
        <w:rPr>
          <w:bCs/>
        </w:rPr>
        <w:t xml:space="preserve">301 E. Dean Keeton St. Stop C1761, Austin TX 78712, USA </w:t>
      </w:r>
    </w:p>
    <w:p w14:paraId="474E306F" w14:textId="77777777" w:rsidR="00DC7402" w:rsidRPr="000D3090" w:rsidRDefault="00DC7402" w:rsidP="00DC7402">
      <w:pPr>
        <w:spacing w:after="0"/>
        <w:rPr>
          <w:bCs/>
        </w:rPr>
      </w:pPr>
      <w:r w:rsidRPr="000D3090">
        <w:rPr>
          <w:bCs/>
        </w:rPr>
        <w:t>Tel: +1-512-471-4535; Email: bhat@mail.utexas.edu</w:t>
      </w:r>
    </w:p>
    <w:p w14:paraId="5B802A0A" w14:textId="4DD9C9B8" w:rsidR="00F60E57" w:rsidRPr="000D3090" w:rsidRDefault="00F60E57">
      <w:pPr>
        <w:rPr>
          <w:b/>
        </w:rPr>
      </w:pPr>
      <w:r w:rsidRPr="000D3090">
        <w:rPr>
          <w:b/>
        </w:rPr>
        <w:br w:type="page"/>
      </w:r>
    </w:p>
    <w:p w14:paraId="6F8FB342" w14:textId="77777777" w:rsidR="00F60E57" w:rsidRPr="000D3090" w:rsidRDefault="00F60E57" w:rsidP="00DE4E50">
      <w:pPr>
        <w:spacing w:after="0" w:line="240" w:lineRule="auto"/>
        <w:jc w:val="both"/>
        <w:rPr>
          <w:b/>
        </w:rPr>
      </w:pPr>
      <w:r w:rsidRPr="000D3090">
        <w:rPr>
          <w:b/>
        </w:rPr>
        <w:lastRenderedPageBreak/>
        <w:t>ABSTRACT</w:t>
      </w:r>
    </w:p>
    <w:p w14:paraId="292C9842" w14:textId="4AAED36B" w:rsidR="00F60E57" w:rsidRPr="000D3090" w:rsidRDefault="00D24539" w:rsidP="001D5007">
      <w:pPr>
        <w:spacing w:after="0" w:line="240" w:lineRule="auto"/>
        <w:jc w:val="both"/>
        <w:rPr>
          <w:bCs/>
        </w:rPr>
      </w:pPr>
      <w:r w:rsidRPr="000D3090">
        <w:t>P</w:t>
      </w:r>
      <w:r w:rsidR="0030362F" w:rsidRPr="000D3090">
        <w:t xml:space="preserve">hysical </w:t>
      </w:r>
      <w:r w:rsidR="00387D0B" w:rsidRPr="000D3090">
        <w:t xml:space="preserve">out-of-home (OH) activity </w:t>
      </w:r>
      <w:r w:rsidR="0030362F" w:rsidRPr="000D3090">
        <w:t>accessibility has been studied extensively in the transportation sector</w:t>
      </w:r>
      <w:r w:rsidR="00367982" w:rsidRPr="000D3090">
        <w:t>,</w:t>
      </w:r>
      <w:r w:rsidR="00322B1B" w:rsidRPr="000D3090">
        <w:t xml:space="preserve"> </w:t>
      </w:r>
      <w:r w:rsidRPr="000D3090">
        <w:t xml:space="preserve">but </w:t>
      </w:r>
      <w:r w:rsidR="00322B1B" w:rsidRPr="000D3090">
        <w:t>the</w:t>
      </w:r>
      <w:r w:rsidR="00367982" w:rsidRPr="000D3090">
        <w:t xml:space="preserve"> recent growth in virtual</w:t>
      </w:r>
      <w:r w:rsidR="00387D0B" w:rsidRPr="000D3090">
        <w:t xml:space="preserve"> online</w:t>
      </w:r>
      <w:r w:rsidR="00367982" w:rsidRPr="000D3090">
        <w:t xml:space="preserve"> activit</w:t>
      </w:r>
      <w:r w:rsidR="007A5BCF" w:rsidRPr="000D3090">
        <w:t>ies</w:t>
      </w:r>
      <w:r w:rsidR="00367982" w:rsidRPr="000D3090">
        <w:t xml:space="preserve"> </w:t>
      </w:r>
      <w:r w:rsidR="00A6733C" w:rsidRPr="000D3090">
        <w:t xml:space="preserve">highlights the need to consider the </w:t>
      </w:r>
      <w:r w:rsidR="001C507D" w:rsidRPr="000D3090">
        <w:t>rich interplay</w:t>
      </w:r>
      <w:r w:rsidR="00A6733C" w:rsidRPr="000D3090">
        <w:t xml:space="preserve"> between physical and virtual </w:t>
      </w:r>
      <w:r w:rsidR="001C507D" w:rsidRPr="000D3090">
        <w:t>activity participation</w:t>
      </w:r>
      <w:r w:rsidR="00A6733C" w:rsidRPr="000D3090">
        <w:t xml:space="preserve">. </w:t>
      </w:r>
      <w:r w:rsidR="001C507D" w:rsidRPr="000D3090">
        <w:t>In particular, t</w:t>
      </w:r>
      <w:r w:rsidR="00FF5AFA" w:rsidRPr="000D3090">
        <w:t>elework</w:t>
      </w:r>
      <w:r w:rsidR="00A6733C" w:rsidRPr="000D3090">
        <w:t xml:space="preserve"> and delivery services </w:t>
      </w:r>
      <w:r w:rsidR="00367982" w:rsidRPr="000D3090">
        <w:t>present</w:t>
      </w:r>
      <w:r w:rsidR="00A6733C" w:rsidRPr="000D3090">
        <w:t xml:space="preserve"> </w:t>
      </w:r>
      <w:r w:rsidR="001722B3" w:rsidRPr="000D3090">
        <w:t xml:space="preserve">opportunities </w:t>
      </w:r>
      <w:r w:rsidR="007A5BCF" w:rsidRPr="000D3090">
        <w:t xml:space="preserve">for new modalities of </w:t>
      </w:r>
      <w:r w:rsidR="001C507D" w:rsidRPr="000D3090">
        <w:t xml:space="preserve">activity </w:t>
      </w:r>
      <w:r w:rsidR="00A6733C" w:rsidRPr="000D3090">
        <w:t>access</w:t>
      </w:r>
      <w:r w:rsidR="007A5BCF" w:rsidRPr="000D3090">
        <w:t xml:space="preserve">, </w:t>
      </w:r>
      <w:r w:rsidR="004C355B" w:rsidRPr="000D3090">
        <w:t xml:space="preserve">potentially </w:t>
      </w:r>
      <w:r w:rsidR="007A5BCF" w:rsidRPr="000D3090">
        <w:t xml:space="preserve">expanding </w:t>
      </w:r>
      <w:r w:rsidR="001C507D" w:rsidRPr="000D3090">
        <w:t xml:space="preserve">activity </w:t>
      </w:r>
      <w:r w:rsidR="004C355B" w:rsidRPr="000D3090">
        <w:t>opportunities</w:t>
      </w:r>
      <w:r w:rsidR="007A5BCF" w:rsidRPr="000D3090">
        <w:t xml:space="preserve"> for those with limited physical accessibility. </w:t>
      </w:r>
      <w:r w:rsidR="001C507D" w:rsidRPr="000D3090">
        <w:t>In this paper</w:t>
      </w:r>
      <w:r w:rsidR="001722B3" w:rsidRPr="000D3090">
        <w:t>, using data from the 2022 National Household Travel Survey</w:t>
      </w:r>
      <w:r w:rsidR="00581E66" w:rsidRPr="000D3090">
        <w:t xml:space="preserve"> in the United States</w:t>
      </w:r>
      <w:r w:rsidR="001722B3" w:rsidRPr="000D3090">
        <w:t xml:space="preserve">, we investigate </w:t>
      </w:r>
      <w:r w:rsidR="00387D0B" w:rsidRPr="000D3090">
        <w:t>(a) the intensity (and heterogeneity across individuals in this intensity) of discord between how much individuals would like to partake in physical OH participation and how much they actually are able to (we refer to this discord as physical participation dissonance or PPD), (b) the subjective reasons for PPD (c) the intensity of, and heterogeneity across individuals in virtual participation (measured by the intensity of teleworking and home deliveries), and (d) whether or not virtual participation reduces or increases PPD</w:t>
      </w:r>
      <w:r w:rsidR="00B71551" w:rsidRPr="000D3090">
        <w:t>, and by how much</w:t>
      </w:r>
      <w:r w:rsidR="00387D0B" w:rsidRPr="000D3090">
        <w:t xml:space="preserve">. </w:t>
      </w:r>
      <w:r w:rsidR="001722B3" w:rsidRPr="000D3090">
        <w:t xml:space="preserve">Our results reveal that </w:t>
      </w:r>
      <w:r w:rsidR="00B71551" w:rsidRPr="000D3090">
        <w:t xml:space="preserve">individuals from </w:t>
      </w:r>
      <w:r w:rsidR="00316201" w:rsidRPr="000D3090">
        <w:t xml:space="preserve">zero-worker </w:t>
      </w:r>
      <w:r w:rsidR="00B71551" w:rsidRPr="000D3090">
        <w:t>households</w:t>
      </w:r>
      <w:r w:rsidR="00316201" w:rsidRPr="000D3090">
        <w:t xml:space="preserve">, </w:t>
      </w:r>
      <w:r w:rsidR="00522A5F" w:rsidRPr="000D3090">
        <w:t xml:space="preserve">households with </w:t>
      </w:r>
      <w:r w:rsidR="00B71551" w:rsidRPr="000D3090">
        <w:t xml:space="preserve">fewer vehicles than drivers, </w:t>
      </w:r>
      <w:r w:rsidR="001722B3" w:rsidRPr="000D3090">
        <w:t xml:space="preserve">low-income </w:t>
      </w:r>
      <w:r w:rsidR="00B71551" w:rsidRPr="000D3090">
        <w:t>households</w:t>
      </w:r>
      <w:r w:rsidR="001722B3" w:rsidRPr="000D3090">
        <w:t xml:space="preserve">, </w:t>
      </w:r>
      <w:r w:rsidR="00B71551" w:rsidRPr="000D3090">
        <w:t>rent</w:t>
      </w:r>
      <w:r w:rsidR="00316201" w:rsidRPr="000D3090">
        <w:t>ing households</w:t>
      </w:r>
      <w:r w:rsidR="00B71551" w:rsidRPr="000D3090">
        <w:t xml:space="preserve">, and </w:t>
      </w:r>
      <w:r w:rsidR="00522A5F" w:rsidRPr="000D3090">
        <w:t xml:space="preserve">households </w:t>
      </w:r>
      <w:r w:rsidR="00B71551" w:rsidRPr="000D3090">
        <w:t xml:space="preserve">residing in rural areas all manifest a higher PPD, as do older individuals, </w:t>
      </w:r>
      <w:r w:rsidR="001722B3" w:rsidRPr="000D3090">
        <w:t xml:space="preserve">racial minorities, </w:t>
      </w:r>
      <w:r w:rsidR="00B71551" w:rsidRPr="000D3090">
        <w:t xml:space="preserve">non-drivers, </w:t>
      </w:r>
      <w:r w:rsidR="001722B3" w:rsidRPr="000D3090">
        <w:t xml:space="preserve">and individuals with medical conditions. We find significant heterogeneity in the reasons for experiencing </w:t>
      </w:r>
      <w:r w:rsidR="004A7B2D" w:rsidRPr="000D3090">
        <w:t>PPD</w:t>
      </w:r>
      <w:r w:rsidR="00522A5F" w:rsidRPr="000D3090">
        <w:t xml:space="preserve"> and in virtual participation</w:t>
      </w:r>
      <w:r w:rsidR="001722B3" w:rsidRPr="000D3090">
        <w:t xml:space="preserve">. Finally, </w:t>
      </w:r>
      <w:r w:rsidR="004A7B2D" w:rsidRPr="000D3090">
        <w:t>virtual</w:t>
      </w:r>
      <w:r w:rsidR="001722B3" w:rsidRPr="000D3090">
        <w:t xml:space="preserve"> </w:t>
      </w:r>
      <w:r w:rsidR="004A7B2D" w:rsidRPr="000D3090">
        <w:t>participation</w:t>
      </w:r>
      <w:r w:rsidR="008565C1" w:rsidRPr="000D3090">
        <w:t xml:space="preserve"> </w:t>
      </w:r>
      <w:r w:rsidR="001722B3" w:rsidRPr="000D3090">
        <w:t>do</w:t>
      </w:r>
      <w:r w:rsidR="004A7B2D" w:rsidRPr="000D3090">
        <w:t>es</w:t>
      </w:r>
      <w:r w:rsidR="001722B3" w:rsidRPr="000D3090">
        <w:t xml:space="preserve"> seem to help reduce </w:t>
      </w:r>
      <w:r w:rsidR="004A7B2D" w:rsidRPr="000D3090">
        <w:t xml:space="preserve">PPD </w:t>
      </w:r>
      <w:r w:rsidR="001722B3" w:rsidRPr="000D3090">
        <w:t xml:space="preserve">for those </w:t>
      </w:r>
      <w:r w:rsidR="004A7B2D" w:rsidRPr="000D3090">
        <w:t xml:space="preserve">in households with fewer vehicles than drivers, women, older adults, and individuals </w:t>
      </w:r>
      <w:r w:rsidR="001722B3" w:rsidRPr="000D3090">
        <w:t>with medical conditions</w:t>
      </w:r>
      <w:r w:rsidR="004A7B2D" w:rsidRPr="000D3090">
        <w:t>,</w:t>
      </w:r>
      <w:r w:rsidR="001722B3" w:rsidRPr="000D3090">
        <w:t xml:space="preserve"> but </w:t>
      </w:r>
      <w:r w:rsidR="004A7B2D" w:rsidRPr="000D3090">
        <w:t>is not effective</w:t>
      </w:r>
      <w:r w:rsidR="00522A5F" w:rsidRPr="000D3090">
        <w:t xml:space="preserve"> in</w:t>
      </w:r>
      <w:r w:rsidR="004A7B2D" w:rsidRPr="000D3090">
        <w:t xml:space="preserve"> reduc</w:t>
      </w:r>
      <w:r w:rsidR="00522A5F" w:rsidRPr="000D3090">
        <w:t>ing</w:t>
      </w:r>
      <w:r w:rsidR="004A7B2D" w:rsidRPr="000D3090">
        <w:t xml:space="preserve"> PPD</w:t>
      </w:r>
      <w:r w:rsidR="001722B3" w:rsidRPr="000D3090">
        <w:t xml:space="preserve"> for those </w:t>
      </w:r>
      <w:r w:rsidR="00316201" w:rsidRPr="000D3090">
        <w:t xml:space="preserve">in low-income, renting, and rural-residing households, as well as for </w:t>
      </w:r>
      <w:r w:rsidR="001722B3" w:rsidRPr="000D3090">
        <w:t>racial minorities</w:t>
      </w:r>
      <w:r w:rsidR="00316201" w:rsidRPr="000D3090">
        <w:t xml:space="preserve"> and non-drivers</w:t>
      </w:r>
      <w:r w:rsidR="001722B3" w:rsidRPr="000D3090">
        <w:t xml:space="preserve">. </w:t>
      </w:r>
      <w:r w:rsidR="00F703B7" w:rsidRPr="000D3090">
        <w:t xml:space="preserve">These </w:t>
      </w:r>
      <w:r w:rsidR="008565C1" w:rsidRPr="000D3090">
        <w:t xml:space="preserve">findings </w:t>
      </w:r>
      <w:r w:rsidR="00BF4233" w:rsidRPr="000D3090">
        <w:t xml:space="preserve">suggest a growing need to consider the relationship between physical and virtual </w:t>
      </w:r>
      <w:r w:rsidR="00221E1C" w:rsidRPr="000D3090">
        <w:t>participation</w:t>
      </w:r>
      <w:r w:rsidRPr="000D3090">
        <w:t>,</w:t>
      </w:r>
      <w:r w:rsidR="00221E1C" w:rsidRPr="000D3090">
        <w:t xml:space="preserve"> and</w:t>
      </w:r>
      <w:r w:rsidR="001D5007" w:rsidRPr="000D3090">
        <w:t xml:space="preserve"> provi</w:t>
      </w:r>
      <w:r w:rsidR="00316201" w:rsidRPr="000D3090">
        <w:t>de</w:t>
      </w:r>
      <w:r w:rsidR="001D5007" w:rsidRPr="000D3090">
        <w:t xml:space="preserve"> insights </w:t>
      </w:r>
      <w:r w:rsidR="00316201" w:rsidRPr="000D3090">
        <w:t xml:space="preserve">for policymakers and transportation planners </w:t>
      </w:r>
      <w:r w:rsidR="001D5007" w:rsidRPr="000D3090">
        <w:t xml:space="preserve">to </w:t>
      </w:r>
      <w:r w:rsidR="00316201" w:rsidRPr="000D3090">
        <w:t xml:space="preserve">improve overall activity accessibility (including </w:t>
      </w:r>
      <w:r w:rsidR="001D5007" w:rsidRPr="000D3090">
        <w:t>expand</w:t>
      </w:r>
      <w:r w:rsidR="00316201" w:rsidRPr="000D3090">
        <w:t>ing</w:t>
      </w:r>
      <w:r w:rsidR="001D5007" w:rsidRPr="000D3090">
        <w:t xml:space="preserve"> access to virtual opportunities</w:t>
      </w:r>
      <w:r w:rsidR="00316201" w:rsidRPr="000D3090">
        <w:t>)</w:t>
      </w:r>
      <w:r w:rsidR="001D5007" w:rsidRPr="000D3090">
        <w:t xml:space="preserve"> for disadvantaged populations. </w:t>
      </w:r>
    </w:p>
    <w:p w14:paraId="1E14EC43" w14:textId="77777777" w:rsidR="00F60E57" w:rsidRPr="000D3090" w:rsidRDefault="00F60E57" w:rsidP="00DE4E50">
      <w:pPr>
        <w:spacing w:after="0" w:line="240" w:lineRule="auto"/>
        <w:jc w:val="both"/>
        <w:rPr>
          <w:bCs/>
        </w:rPr>
      </w:pPr>
    </w:p>
    <w:p w14:paraId="6EAE83A6" w14:textId="1550EDBD" w:rsidR="00F60E57" w:rsidRPr="000D3090" w:rsidRDefault="00DE48AE" w:rsidP="00DE4E50">
      <w:pPr>
        <w:spacing w:after="0" w:line="240" w:lineRule="auto"/>
        <w:jc w:val="both"/>
        <w:rPr>
          <w:bCs/>
        </w:rPr>
      </w:pPr>
      <w:r w:rsidRPr="000D3090">
        <w:rPr>
          <w:b/>
        </w:rPr>
        <w:t>Keywords</w:t>
      </w:r>
      <w:r w:rsidR="00FF5AFA" w:rsidRPr="000D3090">
        <w:rPr>
          <w:b/>
        </w:rPr>
        <w:t xml:space="preserve">: </w:t>
      </w:r>
      <w:r w:rsidR="000E3859" w:rsidRPr="000D3090">
        <w:rPr>
          <w:bCs/>
        </w:rPr>
        <w:t xml:space="preserve">Perceived Accessibility, </w:t>
      </w:r>
      <w:r w:rsidR="00FF4DE5" w:rsidRPr="000D3090">
        <w:rPr>
          <w:bCs/>
        </w:rPr>
        <w:t xml:space="preserve">Physical and </w:t>
      </w:r>
      <w:r w:rsidR="000E3859" w:rsidRPr="000D3090">
        <w:rPr>
          <w:bCs/>
        </w:rPr>
        <w:t xml:space="preserve">Virtual </w:t>
      </w:r>
      <w:r w:rsidR="00451BD5" w:rsidRPr="000D3090">
        <w:rPr>
          <w:bCs/>
        </w:rPr>
        <w:t xml:space="preserve">Activities, </w:t>
      </w:r>
      <w:r w:rsidR="005A5C46" w:rsidRPr="000D3090">
        <w:rPr>
          <w:bCs/>
        </w:rPr>
        <w:t xml:space="preserve">Dissonance, </w:t>
      </w:r>
      <w:r w:rsidR="005D3443" w:rsidRPr="000D3090">
        <w:rPr>
          <w:bCs/>
        </w:rPr>
        <w:t>T</w:t>
      </w:r>
      <w:r w:rsidR="00D05FE0" w:rsidRPr="000D3090">
        <w:rPr>
          <w:bCs/>
        </w:rPr>
        <w:t xml:space="preserve">ransportation </w:t>
      </w:r>
      <w:r w:rsidR="00DA29B9" w:rsidRPr="000D3090">
        <w:rPr>
          <w:bCs/>
        </w:rPr>
        <w:t>Needs</w:t>
      </w:r>
      <w:r w:rsidR="00D05FE0" w:rsidRPr="000D3090">
        <w:rPr>
          <w:bCs/>
        </w:rPr>
        <w:t xml:space="preserve">, </w:t>
      </w:r>
      <w:r w:rsidR="00451BD5" w:rsidRPr="000D3090">
        <w:rPr>
          <w:bCs/>
        </w:rPr>
        <w:t>Social Exclusion</w:t>
      </w:r>
    </w:p>
    <w:p w14:paraId="6E5855A0" w14:textId="5B3BEC33" w:rsidR="00FF5AFA" w:rsidRPr="000D3090" w:rsidRDefault="00FF5AFA" w:rsidP="00DE4E50">
      <w:pPr>
        <w:spacing w:after="0" w:line="240" w:lineRule="auto"/>
        <w:jc w:val="both"/>
        <w:rPr>
          <w:bCs/>
        </w:rPr>
        <w:sectPr w:rsidR="00FF5AFA" w:rsidRPr="000D3090" w:rsidSect="00651843">
          <w:pgSz w:w="12240" w:h="15840"/>
          <w:pgMar w:top="1440" w:right="1440" w:bottom="1440" w:left="1440" w:header="720" w:footer="720" w:gutter="0"/>
          <w:cols w:space="720"/>
          <w:docGrid w:linePitch="360"/>
        </w:sectPr>
      </w:pPr>
    </w:p>
    <w:p w14:paraId="392D1D9A" w14:textId="0616AC07" w:rsidR="00071A0C" w:rsidRPr="000D3090" w:rsidRDefault="00034DB1" w:rsidP="00DE4E50">
      <w:pPr>
        <w:spacing w:after="0" w:line="240" w:lineRule="auto"/>
        <w:jc w:val="both"/>
      </w:pPr>
      <w:r w:rsidRPr="000D3090">
        <w:rPr>
          <w:b/>
        </w:rPr>
        <w:lastRenderedPageBreak/>
        <w:t xml:space="preserve">1. </w:t>
      </w:r>
      <w:r w:rsidR="00DC7402" w:rsidRPr="000D3090">
        <w:rPr>
          <w:b/>
        </w:rPr>
        <w:t>INTRODUCTION</w:t>
      </w:r>
      <w:r w:rsidR="00C40EF7" w:rsidRPr="000D3090">
        <w:rPr>
          <w:b/>
        </w:rPr>
        <w:t xml:space="preserve"> </w:t>
      </w:r>
    </w:p>
    <w:p w14:paraId="673E1F5B" w14:textId="424A4D3D" w:rsidR="004E007B" w:rsidRPr="000D3090" w:rsidRDefault="00F337C1" w:rsidP="00DA29B9">
      <w:pPr>
        <w:spacing w:after="0" w:line="240" w:lineRule="auto"/>
        <w:jc w:val="both"/>
      </w:pPr>
      <w:bookmarkStart w:id="1" w:name="_Hlk195534587"/>
      <w:r w:rsidRPr="000D3090">
        <w:t>Transportation a</w:t>
      </w:r>
      <w:r w:rsidR="009B1F2B" w:rsidRPr="000D3090">
        <w:t>ccessibility</w:t>
      </w:r>
      <w:r w:rsidRPr="000D3090">
        <w:t xml:space="preserve"> plays a</w:t>
      </w:r>
      <w:r w:rsidR="00522A5F" w:rsidRPr="000D3090">
        <w:t>n important</w:t>
      </w:r>
      <w:r w:rsidRPr="000D3090">
        <w:t xml:space="preserve"> role in </w:t>
      </w:r>
      <w:r w:rsidR="0039587B" w:rsidRPr="000D3090">
        <w:t xml:space="preserve">an individual’s ability to consume goods and services, as well as partake in out-of-home </w:t>
      </w:r>
      <w:r w:rsidR="006D30AE" w:rsidRPr="000D3090">
        <w:t xml:space="preserve">(OH) </w:t>
      </w:r>
      <w:r w:rsidR="0039587B" w:rsidRPr="000D3090">
        <w:t>activities</w:t>
      </w:r>
      <w:r w:rsidR="00DA29B9" w:rsidRPr="000D3090">
        <w:t>. In the early literature starting in the 1950s, it</w:t>
      </w:r>
      <w:bookmarkEnd w:id="1"/>
      <w:r w:rsidR="00A63BD1" w:rsidRPr="000D3090">
        <w:t xml:space="preserve"> </w:t>
      </w:r>
      <w:r w:rsidR="00EB5D1F" w:rsidRPr="000D3090">
        <w:t xml:space="preserve">has been captured through objective measures, primarily in the form of </w:t>
      </w:r>
      <w:r w:rsidR="003C6FED" w:rsidRPr="000D3090">
        <w:t xml:space="preserve">highway </w:t>
      </w:r>
      <w:r w:rsidR="002C506E" w:rsidRPr="000D3090">
        <w:t xml:space="preserve">travel time costs of reaching </w:t>
      </w:r>
      <w:r w:rsidR="00EB5D1F" w:rsidRPr="000D3090">
        <w:t xml:space="preserve">activity locations </w:t>
      </w:r>
      <w:r w:rsidR="002C506E" w:rsidRPr="000D3090">
        <w:t xml:space="preserve">and the relative attractiveness of those </w:t>
      </w:r>
      <w:r w:rsidR="00EB5D1F" w:rsidRPr="000D3090">
        <w:t>locations</w:t>
      </w:r>
      <w:r w:rsidR="002C506E" w:rsidRPr="000D3090">
        <w:t xml:space="preserve"> </w:t>
      </w:r>
      <w:r w:rsidR="002C506E" w:rsidRPr="000D3090">
        <w:fldChar w:fldCharType="begin"/>
      </w:r>
      <w:r w:rsidR="00DC69B3" w:rsidRPr="000D3090">
        <w:instrText xml:space="preserve"> ADDIN ZOTERO_ITEM CSL_CITATION {"citationID":"1BYv4bsm","properties":{"formattedCitation":"(Hansen, 1959)","plainCitation":"(Hansen, 1959)","noteIndex":0},"citationItems":[{"id":1884,"uris":["http://zotero.org/users/12832277/items/M2BMXNN7"],"itemData":{"id":1884,"type":"article-journal","abstract":"An empirical examination of the residential development patterns illustrates that accessibility and the availability of vacant developable land can be used as the basis of a residential land use model. The author presents an operational definition and suggests a method for determining accessibility patterns within metropolitan areas. This is a process of distributing forecasted metropolitan population to small areas within the metropolitan region. Although the model presented is not yet sufficiently well refined for estimating purposes, the concept and the approach may be potentially useful tools for metropolitan planning purposes.","container-title":"Journal of the American Institute of Planners","DOI":"10.1080/01944365908978307","ISSN":"0002-8991","issue":"2","note":"publisher: Routledge\n_eprint: https://doi.org/10.1080/01944365908978307","page":"73-76","source":"Taylor and Francis+NEJM","title":"How Accessibility Shapes Land Use","volume":"25","author":[{"family":"Hansen","given":"Walter G."}],"issued":{"date-parts":[["1959",5,1]]}}}],"schema":"https://github.com/citation-style-language/schema/raw/master/csl-citation.json"} </w:instrText>
      </w:r>
      <w:r w:rsidR="002C506E" w:rsidRPr="000D3090">
        <w:fldChar w:fldCharType="separate"/>
      </w:r>
      <w:r w:rsidR="00DC69B3" w:rsidRPr="000D3090">
        <w:t>(Hansen, 1959)</w:t>
      </w:r>
      <w:r w:rsidR="002C506E" w:rsidRPr="000D3090">
        <w:fldChar w:fldCharType="end"/>
      </w:r>
      <w:r w:rsidR="002C506E" w:rsidRPr="000D3090">
        <w:t>. More r</w:t>
      </w:r>
      <w:r w:rsidR="003D5193" w:rsidRPr="000D3090">
        <w:t xml:space="preserve">ecently, </w:t>
      </w:r>
      <w:r w:rsidR="00DA29B9" w:rsidRPr="000D3090">
        <w:t xml:space="preserve">transportation accessibility </w:t>
      </w:r>
      <w:r w:rsidR="002C506E" w:rsidRPr="000D3090">
        <w:t xml:space="preserve">has grown into the concept of </w:t>
      </w:r>
      <w:r w:rsidR="003C6FED" w:rsidRPr="000D3090">
        <w:t xml:space="preserve">multi-modal </w:t>
      </w:r>
      <w:r w:rsidR="002C506E" w:rsidRPr="000D3090">
        <w:t>perceived</w:t>
      </w:r>
      <w:r w:rsidR="003C6FED" w:rsidRPr="000D3090">
        <w:t xml:space="preserve"> </w:t>
      </w:r>
      <w:r w:rsidR="002C506E" w:rsidRPr="000D3090">
        <w:t>accessibility</w:t>
      </w:r>
      <w:r w:rsidR="003C6FED" w:rsidRPr="000D3090">
        <w:t xml:space="preserve"> (MPA)</w:t>
      </w:r>
      <w:r w:rsidR="002C506E" w:rsidRPr="000D3090">
        <w:t xml:space="preserve">, a broader multidimensional concept based </w:t>
      </w:r>
      <w:r w:rsidR="003C6FED" w:rsidRPr="000D3090">
        <w:t>not simply on objective measures</w:t>
      </w:r>
      <w:r w:rsidR="00BE5520" w:rsidRPr="000D3090">
        <w:t xml:space="preserve"> of reach to OH activities</w:t>
      </w:r>
      <w:r w:rsidR="002C506E" w:rsidRPr="000D3090">
        <w:t xml:space="preserve">, </w:t>
      </w:r>
      <w:r w:rsidR="003C6FED" w:rsidRPr="000D3090">
        <w:t xml:space="preserve">but expanding to the consideration of </w:t>
      </w:r>
      <w:r w:rsidR="002C506E" w:rsidRPr="000D3090">
        <w:t>the availability</w:t>
      </w:r>
      <w:r w:rsidR="003C6FED" w:rsidRPr="000D3090">
        <w:t>/</w:t>
      </w:r>
      <w:r w:rsidR="002C506E" w:rsidRPr="000D3090">
        <w:t xml:space="preserve">quality of </w:t>
      </w:r>
      <w:r w:rsidR="003C6FED" w:rsidRPr="000D3090">
        <w:t>alternative</w:t>
      </w:r>
      <w:r w:rsidR="002C506E" w:rsidRPr="000D3090">
        <w:t xml:space="preserve"> transportation modes and </w:t>
      </w:r>
      <w:r w:rsidR="009648C6" w:rsidRPr="000D3090">
        <w:t xml:space="preserve">individual </w:t>
      </w:r>
      <w:r w:rsidR="00DD3E3D" w:rsidRPr="000D3090">
        <w:t xml:space="preserve">perceptions of the </w:t>
      </w:r>
      <w:r w:rsidR="002C506E" w:rsidRPr="000D3090">
        <w:t>transportation system</w:t>
      </w:r>
      <w:r w:rsidR="00A90438" w:rsidRPr="000D3090">
        <w:t xml:space="preserve"> </w:t>
      </w:r>
      <w:r w:rsidR="00A90438" w:rsidRPr="000D3090">
        <w:fldChar w:fldCharType="begin"/>
      </w:r>
      <w:r w:rsidR="001D1BB9" w:rsidRPr="000D3090">
        <w:instrText xml:space="preserve"> ADDIN ZOTERO_ITEM CSL_CITATION {"citationID":"QzXj7dEz","properties":{"unsorted":true,"formattedCitation":"(Handy, 2020; Siddiq and Taylor, 2021)","plainCitation":"(Handy, 2020; Siddiq and Taylor, 2021)","dontUpdate":true,"noteIndex":0},"citationItems":[{"id":1900,"uris":["http://zotero.org/users/12832277/items/THGIRM87"],"itemData":{"id":1900,"type":"article-journal","abstract":"The idea that accessibility is the true goal for transportation planning goes back many decades, starting with notable writings in the 1950s, followed by a flurry of writings in the 1970s. Since then considerable academic work has gone into the development of accessibility measures, but their use in transportation planning is not yet pervasive. In this essay, I reflect on why progress toward the wholesale adoption of an accessibility-oriented approach in planning practice has been slow, review some of the promising efforts in recent years that suggest that transportation planning may be on the cusp of an accessibility era, and offer thoughts about the power of the accessibility concept as a framework for thinking about the urban environment.","container-title":"Transportation Research Part D: Transport and Environment","DOI":"10.1016/j.trd.2020.102319","ISSN":"1361-9209","source":"ScienceDirect","title":"Is Accessibility an Idea Whose Time Has Finally Come?","URL":"https://www.sciencedirect.com/science/article/pii/S1361920919315925","volume":"83","author":[{"family":"Handy","given":"Susan"}],"accessed":{"date-parts":[["2024",1,15]]},"issued":{"date-parts":[["2020",6,1]]}}},{"id":1905,"uris":["http://zotero.org/users/12832277/items/ESLMA3S6"],"itemData":{"id":1905,"type":"article-journal","container-title":"Journal of the American Planning Association","DOI":"10.1080/01944363.2021.1899036","ISSN":"0194-4363","issue":"4","note":"publisher: Routledge\n_eprint: https://doi.org/10.1080/01944363.2021.1899036","page":"497-511","source":"Taylor and Francis+NEJM","title":"Tools of the Trade?","volume":"87","author":[{"family":"Siddiq","given":"Fariba"},{"family":"Taylor","given":"Brian D."}],"issued":{"date-parts":[["2021",10,2]]}}}],"schema":"https://github.com/citation-style-language/schema/raw/master/csl-citation.json"} </w:instrText>
      </w:r>
      <w:r w:rsidR="00A90438" w:rsidRPr="000D3090">
        <w:fldChar w:fldCharType="separate"/>
      </w:r>
      <w:r w:rsidR="00DA29B9" w:rsidRPr="000D3090">
        <w:t>(see Handy, 2020; Siddiq and Taylor, 2021)</w:t>
      </w:r>
      <w:r w:rsidR="00A90438" w:rsidRPr="000D3090">
        <w:fldChar w:fldCharType="end"/>
      </w:r>
      <w:r w:rsidR="00C732FE" w:rsidRPr="000D3090">
        <w:t xml:space="preserve">. </w:t>
      </w:r>
      <w:r w:rsidR="002C506E" w:rsidRPr="000D3090">
        <w:t>In particular, this broader notion of</w:t>
      </w:r>
      <w:r w:rsidR="00750201" w:rsidRPr="000D3090">
        <w:t xml:space="preserve"> </w:t>
      </w:r>
      <w:r w:rsidR="003C6FED" w:rsidRPr="000D3090">
        <w:t xml:space="preserve">MPA </w:t>
      </w:r>
      <w:r w:rsidR="002C506E" w:rsidRPr="000D3090">
        <w:t xml:space="preserve">includes subjective factors </w:t>
      </w:r>
      <w:r w:rsidR="00430741" w:rsidRPr="000D3090">
        <w:t>that</w:t>
      </w:r>
      <w:r w:rsidR="002C506E" w:rsidRPr="000D3090">
        <w:t xml:space="preserve"> account for</w:t>
      </w:r>
      <w:r w:rsidR="00430741" w:rsidRPr="000D3090">
        <w:t xml:space="preserve"> </w:t>
      </w:r>
      <w:r w:rsidR="007C68F2" w:rsidRPr="000D3090">
        <w:t xml:space="preserve">an </w:t>
      </w:r>
      <w:r w:rsidR="00C340AA" w:rsidRPr="000D3090">
        <w:t>individual</w:t>
      </w:r>
      <w:r w:rsidR="007C68F2" w:rsidRPr="000D3090">
        <w:t>’s</w:t>
      </w:r>
      <w:r w:rsidR="00C340AA" w:rsidRPr="000D3090">
        <w:t xml:space="preserve"> abilities, personal experiences, travel attitudes,</w:t>
      </w:r>
      <w:r w:rsidR="007C68F2" w:rsidRPr="000D3090">
        <w:t xml:space="preserve"> and perceptions of travel options </w:t>
      </w:r>
      <w:r w:rsidR="00E206BE" w:rsidRPr="000D3090">
        <w:fldChar w:fldCharType="begin"/>
      </w:r>
      <w:r w:rsidR="00DA29B9" w:rsidRPr="000D3090">
        <w:instrText xml:space="preserve"> ADDIN ZOTERO_ITEM CSL_CITATION {"citationID":"kvDScBBv","properties":{"unsorted":true,"formattedCitation":"(Tiznado-Aitken et al., 2020; De Vos et al., 2023)","plainCitation":"(Tiznado-Aitken et al., 2020; De Vos et al., 2023)","noteIndex":0},"citationItems":[{"id":1912,"uris":["http://zotero.org/users/12832277/items/BVEVMPY2"],"itemData":{"id":1912,"type":"article-journal","abstract":"The quantitative measurement of accessibility through public transport has become more complex and accurate over time. However, it lacks many of the deeper nuances of how people actually experience their travel environments. Our previous works have highlighted the importance of incorporating the lived travel experiences of passengers within accessibility indicators, considering the quality of the walking environment and different attributes of the public transport services. Building on these works, this mixed-method research seeks to further improve the characterization of accessibility according to users' travel experiences, as described by those attributes that inhibit or enhance access to opportunities within the city. We use content analysis of focus groups, data gathered in a brief survey and sociodemographic and public transport data for our analyses. Our main contributions are (i) to develop a conceptual framework to analyze qualitative data on how people relate and discuss their public transport accessibility experiences and (ii) to develop accessibility indicators differentiating user perceptions. We apply this novel conceptual framework and methods to the unique urban morphology of two municipalities of Santiago de Chile. We identified different ‘socially constructed’ narratives for buses and metro. The participants focused on barriers to accessibility, showing an important relationship between them, as well as substantial differences in their overarching positive perception of metro and negative for buses. However, when disaggregating the analysis by primary transport mode and location, we found ‘hidden’ values for buses, recognizing its capillarity and underlying connectivity with the metro system. Furthermore, we found a dissimilar perception of transport environments when disaggregating the analysis by gender, age and location, which translated into different accessibility profiles for the various public transport users. From these experiential qualitative perspectives, it was thus possible to determine some attributes that had been previously overlooked in more quantitative studies but which are important when analyzing public transport accessibility for different population groups.","container-title":"Journal of Transport Geography","DOI":"10.1016/j.jtrangeo.2020.102857","ISSN":"0966-6923","source":"ScienceDirect","title":"Understanding Accessibility Through Public Transport Users' Experiences: A Mixed Methods Approach","URL":"https://www.sciencedirect.com/science/article/pii/S0966692319306040","volume":"88","author":[{"family":"Tiznado-Aitken","given":"Ignacio"},{"family":"Lucas","given":"Karen"},{"family":"Muñoz","given":"Juan Carlos"},{"family":"Hurtubia","given":"Ricardo"}],"accessed":{"date-parts":[["2024",1,15]]},"issued":{"date-parts":[["2020",10,1]]}}},{"id":1908,"uris":["http://zotero.org/users/12832277/items/EUPYB3ZT"],"itemData":{"id":1908,"type":"article-journal","abstract":"For decades, accessibility – i.e. the ease of reaching destinations – has been an important concept in transport planning, resulting in many studies trying to measure it and put it into practice. Also walkability, a mode-specific type of accessibility referring to how easy it is to walk (to destinations) received increased attention in the last two decades. In recent years, a new focus has been on how people perceive their accessibility as this may be a stronger predictor of travel behaviour than objective elements of accessibility (such as built environment characteristics). Perceived walkability, i.e. how walk-friendly people experience a certain area, however, has only been explored by a limited number of studies. In this review paper, we give an overview of existing studies analysing perceived walkability, which mostly have focused on its effects on walking frequency/duration, physical activity and various aspects of mental well-being. Based on this literature review, a conceptual model is created, emphasising the determinants and effects of perceived walkability and how it is related to objective walkability. We end this paper by providing avenues for further research, including the introduction of a Short Perceived Walkability Scale (SPWS) and recommendations for data collection and analysis. Doing so can create new insights into perceived walkability and links with related elements, and therefore can contribute to stimulating walking trips and improving the experience of these trips.","container-title":"Transport Reviews","DOI":"10.1080/01441647.2022.2101072","ISSN":"0144-1647","issue":"2","note":"publisher: Routledge\n_eprint: https://doi.org/10.1080/01441647.2022.2101072","page":"303-324","source":"Taylor and Francis+NEJM","title":"Determinants and Effects of Perceived Walkability: A Literature Review, Conceptual Model and Research Agenda","volume":"43","author":[{"family":"De Vos","given":"Jonas"},{"family":"Lättman","given":"Katrin"},{"family":"Vlugt","given":"Anna-Lena","non-dropping-particle":"van der"},{"family":"Welsch","given":"Janina"},{"family":"Otsuka","given":"Noriko"}],"issued":{"date-parts":[["2023",3,4]]}}}],"schema":"https://github.com/citation-style-language/schema/raw/master/csl-citation.json"} </w:instrText>
      </w:r>
      <w:r w:rsidR="00E206BE" w:rsidRPr="000D3090">
        <w:fldChar w:fldCharType="separate"/>
      </w:r>
      <w:r w:rsidR="00DA29B9" w:rsidRPr="000D3090">
        <w:t>(Tiznado-Aitken et al., 2020; De Vos et al., 2023)</w:t>
      </w:r>
      <w:r w:rsidR="00E206BE" w:rsidRPr="000D3090">
        <w:fldChar w:fldCharType="end"/>
      </w:r>
      <w:r w:rsidR="00CC3889" w:rsidRPr="000D3090">
        <w:t xml:space="preserve">. </w:t>
      </w:r>
      <w:r w:rsidR="003C6FED" w:rsidRPr="000D3090">
        <w:t>Examples include how an individual perceives safety from crashes, safety from crime, and cleanliness of different modal alternatives</w:t>
      </w:r>
      <w:r w:rsidR="00BE5520" w:rsidRPr="000D3090">
        <w:t>, based on the individual’s own health/disability conditions and personal prior experiences</w:t>
      </w:r>
      <w:r w:rsidR="008610CD" w:rsidRPr="000D3090">
        <w:t xml:space="preserve"> </w:t>
      </w:r>
      <w:r w:rsidR="008610CD" w:rsidRPr="000D3090">
        <w:fldChar w:fldCharType="begin"/>
      </w:r>
      <w:r w:rsidR="00DC69B3" w:rsidRPr="000D3090">
        <w:instrText xml:space="preserve"> ADDIN ZOTERO_ITEM CSL_CITATION {"citationID":"GNRgrfXC","properties":{"unsorted":true,"formattedCitation":"(Martens, 2016; Allen and Farber, 2020)","plainCitation":"(Martens, 2016; Allen and Farber, 2020)","noteIndex":0},"citationItems":[{"id":1926,"uris":["http://zotero.org/users/12832277/items/4FSA6BCK"],"itemData":{"id":1926,"type":"book","abstract":"Transport Justice develops a new paradigm for transportation planning based on principles of justice. Author Karel Martens starts from the observation that for the last fifty years the focus of transportation planning and policy has been on the performance of the transport system and ways to improve it, without much attention being paid to the persons actually using – or failing to use – that transport system. There are far-reaching consequences of this approach, with some enjoying the fruits of the improvements in the transport system, while others have experienced a substantial deterioration in their situation. The growing body of academic evidence on the resulting disparities in mobility and accessibility, have been paralleled by increasingly vocal calls for policy changes to address the inequities that have developed over time. Drawing on philosophies of social justice, Transport Justice argues that governments have the fundamental duty of providing virtually every person with adequate transportation and thus of mitigating the social disparities that have been created over the past decades.  Critical reading for transport planners and students of transportation planning, this book develops a new approach to transportation planning that takes people as its starting point, and justice as its end.","ISBN":"978-1-317-59958-6","language":"en","note":"Google-Books-ID: m0yTDAAAQBAJ","number-of-pages":"257","publisher":"Routledge","source":"Google Books","title":"Transport Justice: Designing Fair Transportation Systems","author":[{"family":"Martens","given":"Karel"}],"issued":{"date-parts":[["2016",7,1]]}}},{"id":1743,"uris":["http://zotero.org/users/12832277/items/UNPBDNB7"],"itemData":{"id":1743,"type":"article-journal","abstract":"Social equity is increasingly becoming an important objective in transport planning and project evaluation. This paper provides a framework and an empirical investigation in the Greater Toronto and Hamilton Area (GTHA) examining the links between public transit accessibility and the risks of social exclusion, simply understood as the suppressed ability to conduct daily activities at normal levels. Specifically, we use a large-sample travel survey to present a new transport-geography concept termed participation deserts, neighbourhood-level clusters of lower than expected activity participation. We then use multivariate models to estimate where, and for whom, improvements in transit accessibility will effectively increase activity participation and reduce risks of transport-related social exclusion. Our results show that neighbourhoods with high concentrations of low-income and zero-car households located outside of major transit corridors are the most sensitive to having improvements in accessibility increase daily activity participation rates. We contend that transit investments providing better connections to these neighbourhoods would have the greatest benefit in terms of alleviating existing inequalities and reducing the risks of social exclusion. The ability for transport investments to liberate suppressed activity participation is not currently being predicted or valued in existing transport evaluation methodologies, but there is great potential in doing so in order to capture the social equity benefits associated with increasing transit accessibility.","container-title":"Transportation Research Part D: Transport and Environment","DOI":"10.1016/j.trd.2019.102212","ISSN":"1361-9209","source":"ScienceDirect","title":"Planning Transport for Social Inclusion: An Accessibility-Activity Participation Approach","URL":"https://www.sciencedirect.com/science/article/pii/S1361920919308788","volume":"78","author":[{"family":"Allen","given":"Jeff"},{"family":"Farber","given":"Steven"}],"accessed":{"date-parts":[["2023",12,9]]},"issued":{"date-parts":[["2020",1,1]]}}}],"schema":"https://github.com/citation-style-language/schema/raw/master/csl-citation.json"} </w:instrText>
      </w:r>
      <w:r w:rsidR="008610CD" w:rsidRPr="000D3090">
        <w:fldChar w:fldCharType="separate"/>
      </w:r>
      <w:r w:rsidR="00DC69B3" w:rsidRPr="000D3090">
        <w:t>(Martens, 2016; Allen and Farber, 2020)</w:t>
      </w:r>
      <w:r w:rsidR="008610CD" w:rsidRPr="000D3090">
        <w:fldChar w:fldCharType="end"/>
      </w:r>
      <w:r w:rsidR="00AD2D44" w:rsidRPr="000D3090">
        <w:t>.</w:t>
      </w:r>
      <w:r w:rsidR="00942753" w:rsidRPr="000D3090">
        <w:t xml:space="preserve"> </w:t>
      </w:r>
      <w:r w:rsidR="000F508D" w:rsidRPr="000D3090">
        <w:t>From a</w:t>
      </w:r>
      <w:r w:rsidR="00DA29B9" w:rsidRPr="000D3090">
        <w:t xml:space="preserve"> fairness</w:t>
      </w:r>
      <w:r w:rsidR="000F508D" w:rsidRPr="000D3090">
        <w:t xml:space="preserve"> perspective, it is important that these subjective factors </w:t>
      </w:r>
      <w:r w:rsidR="00BE5520" w:rsidRPr="000D3090">
        <w:t>be</w:t>
      </w:r>
      <w:r w:rsidR="000F508D" w:rsidRPr="000D3090">
        <w:t xml:space="preserve"> considered alongside </w:t>
      </w:r>
      <w:r w:rsidR="00BE5520" w:rsidRPr="000D3090">
        <w:t xml:space="preserve">objective </w:t>
      </w:r>
      <w:r w:rsidR="000F508D" w:rsidRPr="000D3090">
        <w:t>measures of accessibility</w:t>
      </w:r>
      <w:r w:rsidR="00BE5520" w:rsidRPr="000D3090">
        <w:t>,</w:t>
      </w:r>
      <w:r w:rsidR="000F508D" w:rsidRPr="000D3090">
        <w:t xml:space="preserve"> since they can play a significant role in traveler behavior, travel constraints, and potential social exclusion </w:t>
      </w:r>
      <w:r w:rsidR="000F508D" w:rsidRPr="000D3090">
        <w:fldChar w:fldCharType="begin"/>
      </w:r>
      <w:r w:rsidR="008D69D1" w:rsidRPr="000D3090">
        <w:instrText xml:space="preserve"> ADDIN ZOTERO_ITEM CSL_CITATION {"citationID":"BGgqvXqt","properties":{"unsorted":true,"formattedCitation":"(Lavieri et al., 2018; Pot et al., 2021)","plainCitation":"(Lavieri et al., 2018; Pot et al., 2021)","noteIndex":0},"citationItems":[{"id":2142,"uris":["http://zotero.org/users/12832277/items/XYAJ5E5M"],"itemData":{"id":2142,"type":"article-journal","abstract":"In this study, we propose a conceptual and analytic framework anchored on the concepts of physical and virtual accessibility (the “ease” with which opportunities or activities can be reached in the physical and in the virtual space, respectively) to investigate the rich interplay between virtual and physical activity engagements in multiple activity purposes, while controlling for information and communication technology (ICT) use measures, physical accessibility measures, and demographics. Our framework considers that activity-travel choices are consequences of individual, household, and work characteristics that are mediated by virtual accessibility and physical accessibility. As part of our analysis, we also analyze activity chaining characteristics during travel to study any fragmentation impacts caused by ICT use on activity engagement and scheduling. We use data from the 2011 and 2012 National Travel Survey in Great Britain and apply Bhat’s (2015) generalized heterogeneous data model (GHDM) to jointly model multiple activity and travel outcomes. Our results provide important insights for social welfare, work-life balance, and equity policies, and suggest that decisions regarding virtual activity participations and in-person out-of-home activity participations are determined as a package. Ignoring this package nature of choices can lead to misleading inferences about the effects of virtual activity participations on in-person out-of-home activity participations.","container-title":"Transportation Research Part A: Policy and Practice","DOI":"10.1016/j.tra.2018.08.042","ISSN":"0965-8564","page":"527-544","source":"ScienceDirect","title":"Using Virtual Accessibility and Physical Accessibility as Joint Predictors of Activity-Travel Behavior","volume":"118","author":[{"family":"Lavieri","given":"Patrícia S."},{"family":"Dai","given":"Qichun"},{"family":"Bhat","given":"Chandra R."}],"issued":{"date-parts":[["2018",12,1]]}}},{"id":1950,"uris":["http://zotero.org/users/12832277/items/F9E8DCUL"],"itemData":{"id":1950,"type":"article-journal","abstract":"Accessibility is usually evaluated using indicators calculated from spatial data. However, perceived accessibility, defined as the perceived potential to participate in spatially dispersed opportunities, is often poorly reflected by these calculated measures. This paper sets out to explain the mechanisms that lead to these mismatches. A conceptual model is constructed to establish what factors shape perceived accessibility. A schematic framework shows that mismatches between a calculated indicator and perceptions can stem from inaccuracies in awareness as well as from inaccuracies in the measure if the measure fails to take account of the subjective evaluations of accessibility components. When evaluating the performance of land-use and transport system configurations, calculated measures based on spatial and transport data only serve as proxies for how accessibility is actually experienced. This paper argues that bringing perceived accessibility to the fore of accessibility-based planning, by acknowledging and evaluating potential mismatches with calculated accessibility indicators, will advance the evolution from mobility-based to accessibility-based planning.","container-title":"Journal of Transport Geography","DOI":"10.1016/j.jtrangeo.2021.103090","ISSN":"0966-6923","source":"ScienceDirect","title":"Perceived Accessibility: What It Is and Why It Differs from Calculated Accessibility Measures Based on Spatial Data","URL":"https://www.sciencedirect.com/science/article/pii/S0966692321001435","volume":"94","author":[{"family":"Pot","given":"Felix Johan"},{"family":"Wee","given":"Bert","non-dropping-particle":"van"},{"family":"Tillema","given":"Taede"}],"accessed":{"date-parts":[["2024",1,17]]},"issued":{"date-parts":[["2021",6,1]]}}}],"schema":"https://github.com/citation-style-language/schema/raw/master/csl-citation.json"} </w:instrText>
      </w:r>
      <w:r w:rsidR="000F508D" w:rsidRPr="000D3090">
        <w:fldChar w:fldCharType="separate"/>
      </w:r>
      <w:r w:rsidR="008D69D1" w:rsidRPr="000D3090">
        <w:t>(Lavieri et al., 2018; Pot et al., 2021)</w:t>
      </w:r>
      <w:r w:rsidR="000F508D" w:rsidRPr="000D3090">
        <w:fldChar w:fldCharType="end"/>
      </w:r>
      <w:r w:rsidR="000F508D" w:rsidRPr="000D3090">
        <w:t>.</w:t>
      </w:r>
      <w:r w:rsidR="00B85827" w:rsidRPr="000D3090">
        <w:t xml:space="preserve"> </w:t>
      </w:r>
    </w:p>
    <w:p w14:paraId="01BFB661" w14:textId="16ABC130" w:rsidR="000348F6" w:rsidRPr="000D3090" w:rsidRDefault="009B1F2B" w:rsidP="0067380D">
      <w:pPr>
        <w:spacing w:after="0" w:line="240" w:lineRule="auto"/>
        <w:jc w:val="both"/>
      </w:pPr>
      <w:r w:rsidRPr="000D3090">
        <w:tab/>
      </w:r>
      <w:r w:rsidR="00BE5520" w:rsidRPr="000D3090">
        <w:t xml:space="preserve">In recent years, another important </w:t>
      </w:r>
      <w:r w:rsidR="00DD3E3D" w:rsidRPr="000D3090">
        <w:t xml:space="preserve">activity accessibility </w:t>
      </w:r>
      <w:r w:rsidR="00BE5520" w:rsidRPr="000D3090">
        <w:t xml:space="preserve">factor </w:t>
      </w:r>
      <w:r w:rsidR="009648C6" w:rsidRPr="000D3090">
        <w:t xml:space="preserve">relates to virtual </w:t>
      </w:r>
      <w:r w:rsidRPr="000D3090">
        <w:t>activity participation</w:t>
      </w:r>
      <w:r w:rsidR="00BE5520" w:rsidRPr="000D3090">
        <w:t xml:space="preserve">. </w:t>
      </w:r>
      <w:r w:rsidR="006402E9" w:rsidRPr="000D3090">
        <w:t xml:space="preserve">The interplay between physical in-person </w:t>
      </w:r>
      <w:r w:rsidR="00172FBB" w:rsidRPr="000D3090">
        <w:t xml:space="preserve">OH activity </w:t>
      </w:r>
      <w:r w:rsidR="006402E9" w:rsidRPr="000D3090">
        <w:t xml:space="preserve">participation </w:t>
      </w:r>
      <w:r w:rsidR="00172FBB" w:rsidRPr="000D3090">
        <w:t xml:space="preserve">(for ease, referred to simply as “physical participation” in the rest of this paper) </w:t>
      </w:r>
      <w:r w:rsidR="006402E9" w:rsidRPr="000D3090">
        <w:t>and online virtual participation</w:t>
      </w:r>
      <w:r w:rsidR="00172FBB" w:rsidRPr="000D3090">
        <w:t xml:space="preserve"> (for ease, referred to simply as “virtual participation” in the rest of this paper)</w:t>
      </w:r>
      <w:r w:rsidR="00DD3E3D" w:rsidRPr="000D3090">
        <w:t xml:space="preserve"> </w:t>
      </w:r>
      <w:r w:rsidR="00522A5F" w:rsidRPr="000D3090">
        <w:t>did</w:t>
      </w:r>
      <w:r w:rsidR="00DD3E3D" w:rsidRPr="000D3090">
        <w:t xml:space="preserve"> receive </w:t>
      </w:r>
      <w:r w:rsidR="006402E9" w:rsidRPr="000D3090">
        <w:t>attention even before the onset of the pandemic</w:t>
      </w:r>
      <w:r w:rsidR="00DC69B3" w:rsidRPr="000D3090">
        <w:t xml:space="preserve"> </w:t>
      </w:r>
      <w:r w:rsidR="00DC69B3" w:rsidRPr="000D3090">
        <w:fldChar w:fldCharType="begin"/>
      </w:r>
      <w:r w:rsidR="00374A3B" w:rsidRPr="000D3090">
        <w:instrText xml:space="preserve"> ADDIN ZOTERO_ITEM CSL_CITATION {"citationID":"t5cWGK4r","properties":{"unsorted":true,"formattedCitation":"(Lyons et al., 2008; Lavieri et al., 2018)","plainCitation":"(Lyons et al., 2008; Lavieri et al., 2018)","dontUpdate":true,"noteIndex":0},"citationItems":[{"id":3101,"uris":["http://zotero.org/users/12832277/items/GP8WJMBL"],"itemData":{"id":3101,"type":"chapter","abstract":"This chapter begins with a broad consideration of the issues associated with travel, communications and the relationships between them and thus possibilities","container-title":"The Implementation and Effectiveness of Transport Demand Management Measures","ISBN":"978-1-315-55679-6","note":"number-of-pages: 22","publisher":"Routledge","title":"The Substitution of Communications for Travel?","author":[{"family":"Lyons","given":"Glenn"},{"family":"Farag","given":"Sendy"},{"family":"Haddad","given":"Hebba"}],"issued":{"date-parts":[["2008"]]}}},{"id":2142,"uris":["http://zotero.org/users/12832277/items/XYAJ5E5M"],"itemData":{"id":2142,"type":"article-journal","abstract":"In this study, we propose a conceptual and analytic framework anchored on the concepts of physical and virtual accessibility (the “ease” with which opportunities or activities can be reached in the physical and in the virtual space, respectively) to investigate the rich interplay between virtual and physical activity engagements in multiple activity purposes, while controlling for information and communication technology (ICT) use measures, physical accessibility measures, and demographics. Our framework considers that activity-travel choices are consequences of individual, household, and work characteristics that are mediated by virtual accessibility and physical accessibility. As part of our analysis, we also analyze activity chaining characteristics during travel to study any fragmentation impacts caused by ICT use on activity engagement and scheduling. We use data from the 2011 and 2012 National Travel Survey in Great Britain and apply Bhat’s (2015) generalized heterogeneous data model (GHDM) to jointly model multiple activity and travel outcomes. Our results provide important insights for social welfare, work-life balance, and equity policies, and suggest that decisions regarding virtual activity participations and in-person out-of-home activity participations are determined as a package. Ignoring this package nature of choices can lead to misleading inferences about the effects of virtual activity participations on in-person out-of-home activity participations.","container-title":"Transportation Research Part A: Policy and Practice","DOI":"10.1016/j.tra.2018.08.042","ISSN":"0965-8564","page":"527-544","source":"ScienceDirect","title":"Using Virtual Accessibility and Physical Accessibility as Joint Predictors of Activity-Travel Behavior","volume":"118","author":[{"family":"Lavieri","given":"Patrícia S."},{"family":"Dai","given":"Qichun"},{"family":"Bhat","given":"Chandra R."}],"issued":{"date-parts":[["2018",12,1]]}}}],"schema":"https://github.com/citation-style-language/schema/raw/master/csl-citation.json"} </w:instrText>
      </w:r>
      <w:r w:rsidR="00DC69B3" w:rsidRPr="000D3090">
        <w:fldChar w:fldCharType="separate"/>
      </w:r>
      <w:r w:rsidR="00DC69B3" w:rsidRPr="000D3090">
        <w:t>(see, for example, Lyons et al., 2008; Lavieri et al., 2018)</w:t>
      </w:r>
      <w:r w:rsidR="00DC69B3" w:rsidRPr="000D3090">
        <w:fldChar w:fldCharType="end"/>
      </w:r>
      <w:r w:rsidR="009648C6" w:rsidRPr="000D3090">
        <w:t xml:space="preserve">. But this interplay </w:t>
      </w:r>
      <w:r w:rsidR="006402E9" w:rsidRPr="000D3090">
        <w:t>has taken on new significance in the aftermath of the pandemic</w:t>
      </w:r>
      <w:r w:rsidR="00522A5F" w:rsidRPr="000D3090">
        <w:t>, because, d</w:t>
      </w:r>
      <w:r w:rsidR="00560B35" w:rsidRPr="000D3090">
        <w:t>uring the pandemic,</w:t>
      </w:r>
      <w:r w:rsidR="00522A5F" w:rsidRPr="000D3090">
        <w:t xml:space="preserve"> </w:t>
      </w:r>
      <w:r w:rsidR="00560B35" w:rsidRPr="000D3090">
        <w:t>virtual participation became the</w:t>
      </w:r>
      <w:r w:rsidR="00172FBB" w:rsidRPr="000D3090">
        <w:t xml:space="preserve"> norm</w:t>
      </w:r>
      <w:r w:rsidR="00522A5F" w:rsidRPr="000D3090">
        <w:t xml:space="preserve"> for most individuals </w:t>
      </w:r>
      <w:r w:rsidR="00504AA6" w:rsidRPr="000D3090">
        <w:fldChar w:fldCharType="begin"/>
      </w:r>
      <w:r w:rsidR="00374A3B" w:rsidRPr="000D3090">
        <w:instrText xml:space="preserve"> ADDIN ZOTERO_ITEM CSL_CITATION {"citationID":"rGy2PejT","properties":{"formattedCitation":"(Morris et al., 2023)","plainCitation":"(Morris et al., 2023)","dontUpdate":true,"noteIndex":0},"citationItems":[{"id":3105,"uris":["http://zotero.org/users/12832277/items/6VY5CHHX"],"itemData":{"id":3105,"type":"article-journal","abstract":"The inexorable rise in personal travel in the 20th century has given way to stagnation in the 21st, a phenomenon some call “peak travel.” We use 2003–2019 data from the American Time Use Survey to explore whether and why personal travel per capita has stopped growing. We show that time spent on personal travel has been dropping consistently over these years, and suggest that one important cause is likely a dramatic and ongoing decline in the time Americans spend on out-of-home activities. We find significant changes in time spent on many of the 34 activities conducted inside and outside of the home that we examine. Many of these changes appear related to advances in information and communications technology (ICT), as this period saw the quality of in-home ICT continually rising and its real cost falling, resulting in ever-improving gaming, surfing, watching, and streaming options. For example, our data suggest that out-of-home work and shopping time fell significantly during our study period, while in-home time spent on work and education rose. Game playing (presumably mostly computer games) and TV watching in the home both increased dramatically, while attendance at live entertainment, arts, and sports activities fell. Reading and writing fell substantially both inside and outside the home, perhaps replaced by electronic communication. Our findings suggest that increased in-home ICT use may have been associated with 25–30% of the reduction of out-of-home time. We also find a significant increase in sleeping, and a decrease in time spent eating and drinking both inside and outside of the home. Although we deliberately chose to examine time use and travel prior to the COVID-19 pandemic, we suspect that, even as the pandemic fades, the trend toward more time at home and less time spent traveling may well increase further.","container-title":"Journal of Transport Geography","DOI":"10.1016/j.jtrangeo.2023.103620","ISSN":"0966-6923","source":"ScienceDirect","title":"Going Nowhere Fast: Might Changing Activity Patterns Help Explain Falling Travel?","URL":"https://www.sciencedirect.com/science/article/pii/S0966692323000923","volume":"110","author":[{"family":"Morris","given":"Eric A."},{"family":"Speroni","given":"Samuel"},{"family":"Taylor","given":"Brian D."}],"accessed":{"date-parts":[["2024",5,6]]},"issued":{"date-parts":[["2023",6,1]]}}}],"schema":"https://github.com/citation-style-language/schema/raw/master/csl-citation.json"} </w:instrText>
      </w:r>
      <w:r w:rsidR="00504AA6" w:rsidRPr="000D3090">
        <w:fldChar w:fldCharType="separate"/>
      </w:r>
      <w:r w:rsidR="00DC69B3" w:rsidRPr="000D3090">
        <w:t>(see Morris et al., 2023)</w:t>
      </w:r>
      <w:r w:rsidR="00504AA6" w:rsidRPr="000D3090">
        <w:fldChar w:fldCharType="end"/>
      </w:r>
      <w:r w:rsidRPr="000D3090">
        <w:t>.</w:t>
      </w:r>
      <w:r w:rsidR="00957047" w:rsidRPr="000D3090">
        <w:t xml:space="preserve"> </w:t>
      </w:r>
      <w:r w:rsidR="00560B35" w:rsidRPr="000D3090">
        <w:t xml:space="preserve">For many, it also was the first experience of ordering goods, food, and services online. In the after-COVID landscape, with </w:t>
      </w:r>
      <w:r w:rsidR="00172FBB" w:rsidRPr="000D3090">
        <w:t xml:space="preserve">opportunities for physical participation </w:t>
      </w:r>
      <w:r w:rsidR="004D40CC" w:rsidRPr="000D3090">
        <w:t>reopening</w:t>
      </w:r>
      <w:r w:rsidR="00172FBB" w:rsidRPr="000D3090">
        <w:t xml:space="preserve">, individuals and households appear to more seamlessly integrate </w:t>
      </w:r>
      <w:r w:rsidR="009648C6" w:rsidRPr="000D3090">
        <w:t xml:space="preserve">physical and virtual </w:t>
      </w:r>
      <w:r w:rsidR="00172FBB" w:rsidRPr="000D3090">
        <w:t>participation. In this context,</w:t>
      </w:r>
      <w:r w:rsidR="00957047" w:rsidRPr="000D3090">
        <w:t xml:space="preserve"> individuals with low levels of physical accessibility may have increasing opportunities to substitute</w:t>
      </w:r>
      <w:r w:rsidR="000C0219" w:rsidRPr="000D3090">
        <w:t>/supplement</w:t>
      </w:r>
      <w:r w:rsidR="00957047" w:rsidRPr="000D3090">
        <w:t xml:space="preserve"> </w:t>
      </w:r>
      <w:r w:rsidR="00DD3E3D" w:rsidRPr="000D3090">
        <w:t xml:space="preserve">physical participation </w:t>
      </w:r>
      <w:r w:rsidR="00957047" w:rsidRPr="000D3090">
        <w:t xml:space="preserve">with </w:t>
      </w:r>
      <w:r w:rsidR="00DD3E3D" w:rsidRPr="000D3090">
        <w:t>virtual activities</w:t>
      </w:r>
      <w:r w:rsidR="000C0219" w:rsidRPr="000D3090">
        <w:t xml:space="preserve"> to achieve better overall accessibility </w:t>
      </w:r>
      <w:r w:rsidR="008D721D" w:rsidRPr="000D3090">
        <w:fldChar w:fldCharType="begin"/>
      </w:r>
      <w:r w:rsidR="00A22CFC" w:rsidRPr="000D3090">
        <w:instrText xml:space="preserve"> ADDIN ZOTERO_ITEM CSL_CITATION {"citationID":"4dvBjgjz","properties":{"unsorted":true,"formattedCitation":"(Dias et al., 2020; Asmussen et al., 2024b; Shah et al., 2024)","plainCitation":"(Dias et al., 2020; Asmussen et al., 2024b; Shah et al., 2024)","noteIndex":0},"citationItems":[{"id":1939,"uris":["http://zotero.org/users/12832277/items/V4XWZC3E"],"itemData":{"id":1939,"type":"article-journal","abstract":"The virtual (online) and physical (in-person) worlds are increasingly inter-connected. Although there is considerable research into the effects of information and communication technologies (ICT) on activity-travel choices, there is little understanding of the inter-relationships between online and in-person activity participation and the extent to which the two worlds complement one another or substitute for one another. Shopping is one of the activity realms in which the virtual and physical spaces are increasingly interacting. This paper aims to unravel the relationships between online and in-person activity engagement in the shopping domain, while explicitly distinguishing between shopping for non-grocery goods, grocery products, and ready-to-eat meals. Data from the 2017 Puget Sound household travel survey is used to estimate a multivariate ordered probit model of the number of days in a week that a sample of households engages in in-person activity engagement and online activity engagement for each of these shopping activity types – leading to a model of six endogenous outcomes. Model results show that there are intricate complementary and substitution effects between in-person and online shopping activities, that these activities are considered as a single packaged bundle, and that the frequencies of these activities are significantly affected by income, built environment attributes, and household structure. The findings suggest that travel forecasting models should incorporate model components that capture the interplay between in-person and online shopping engagement and explicitly distinguish between non-grocery and grocery shopping activities. Policies that help bridge the digital divide so that households of all socio-economic strata can access goods and services in the virtual world would help improve quality of life for all. Finally, the paper highlights the need to bring passenger and freight demand modeling, at least within urban contexts, into a single integrated structure.","container-title":"Transportation Research Part C: Emerging Technologies","DOI":"10.1016/j.trc.2020.02.023","ISSN":"0968-090X","page":"643-656","source":"ScienceDirect","title":"A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K."}],"issued":{"date-parts":[["2020",5,1]]}}},{"id":1944,"uris":["http://zotero.org/users/12832277/items/Y3TQLUZT"],"itemData":{"id":1944,"type":"article-journal","container-title":"Transportation Research Part C: Emerging Technologies","DOI":"https://doi.org/10.1016/j.trc.2024.104690","page":"104690","title":"The Interplay Between Teleworking Choice and Commute Distance","volume":"165","author":[{"family":"Asmussen","given":"Katherine"},{"family":"Mondal","given":"Aupal"},{"family":"Bhat","given":"Chandra R."}],"issued":{"date-parts":[["2024",8]]}}},{"id":3103,"uris":["http://zotero.org/users/12832277/items/83SCSL4F"],"itemData":{"id":3103,"type":"article-journal","abstract":"Large-scale adoption of telemobility, such as teleworking and online shopping, has affected travel patterns significantly. The impacts of teleworking and online shopping on travel have been studied separately and with trip-level analyses, thereby ignoring tour complexity, trip chaining, and activity scheduling. We aim to address this gap by investigating the interactions between online shopping, teleworking, and travel at a tour level, considering trip chaining and the importance of the activities involved. We classify tours into mandatory (e.g., travel for work, school), maintenance (e.g., travel for grocery shopping, appointments, errands), and discretionary (e.g., travel for non-grocery shopping, leisure, religious activities) tours according to the primary activity purpose. We then estimate a structural equation model using a one-week activity-travel diary from the 2019 Puget Sound Regional Travel Study. The results indicate that teleworking reduced mandatory and maintenance tours while increasing online shopping. Mandatory tours were negatively associated with both maintenance tours and online shopping, whereas the number of maintenance tours was positively associated with the number of discretionary tours. We did not find a statistically significant relationship between online shopping, maintenance tours, and discretionary tours. Overall, this study offers new insights into the effect of teleworking and online shopping on travel, with potential implications for travel demand modeling and management, as well as for the design of travel surveys that take such virtual activities into account.","container-title":"Transportation","DOI":"10.1007/s11116-022-10321-9","ISSN":"1572-9435","issue":"1","language":"en","page":"99-127","source":"Springer Link","title":"Impacts of Teleworking and Online Shopping on Travel: A Tour-Based Analysis","volume":"51","author":[{"family":"Shah","given":"Harsh"},{"family":"Carrel","given":"Andre L."},{"family":"Le","given":"Huyen T. K."}],"issued":{"date-parts":[["2024",2,1]]}}}],"schema":"https://github.com/citation-style-language/schema/raw/master/csl-citation.json"} </w:instrText>
      </w:r>
      <w:r w:rsidR="008D721D" w:rsidRPr="000D3090">
        <w:fldChar w:fldCharType="separate"/>
      </w:r>
      <w:r w:rsidR="00A22CFC" w:rsidRPr="000D3090">
        <w:t>(Dias et al., 2020; Asmussen et al., 2024</w:t>
      </w:r>
      <w:r w:rsidR="00B46F28">
        <w:t>a</w:t>
      </w:r>
      <w:r w:rsidR="00A22CFC" w:rsidRPr="000D3090">
        <w:t>; Shah et al., 2024)</w:t>
      </w:r>
      <w:r w:rsidR="008D721D" w:rsidRPr="000D3090">
        <w:fldChar w:fldCharType="end"/>
      </w:r>
      <w:r w:rsidR="00957047" w:rsidRPr="000D3090">
        <w:t>.</w:t>
      </w:r>
      <w:r w:rsidR="00DD3E3D" w:rsidRPr="000D3090">
        <w:t xml:space="preserve"> </w:t>
      </w:r>
      <w:r w:rsidR="00453B65" w:rsidRPr="000D3090">
        <w:t>However, there are also wide variations in the level of virtual accessibility available to different people and in different areas.</w:t>
      </w:r>
      <w:r w:rsidR="00DD3E3D" w:rsidRPr="000D3090">
        <w:rPr>
          <w:rStyle w:val="FootnoteReference"/>
        </w:rPr>
        <w:footnoteReference w:id="1"/>
      </w:r>
      <w:r w:rsidR="000C0219" w:rsidRPr="000D3090">
        <w:t xml:space="preserve"> </w:t>
      </w:r>
      <w:r w:rsidR="00D432BE" w:rsidRPr="000D3090">
        <w:t>A digital divide based on a</w:t>
      </w:r>
      <w:r w:rsidR="00453B65" w:rsidRPr="000D3090">
        <w:t>ccess to internet-enabled devices, spatial availability of delivery services, differential availability of</w:t>
      </w:r>
      <w:r w:rsidR="000C0219" w:rsidRPr="000D3090">
        <w:t xml:space="preserve"> </w:t>
      </w:r>
      <w:r w:rsidR="00453B65" w:rsidRPr="000D3090">
        <w:t xml:space="preserve">telework </w:t>
      </w:r>
      <w:r w:rsidR="000C0219" w:rsidRPr="000D3090">
        <w:t xml:space="preserve">opportunities, </w:t>
      </w:r>
      <w:r w:rsidR="00D432BE" w:rsidRPr="000D3090">
        <w:t xml:space="preserve">and </w:t>
      </w:r>
      <w:r w:rsidR="00663A24" w:rsidRPr="000D3090">
        <w:t xml:space="preserve">individual </w:t>
      </w:r>
      <w:r w:rsidR="00D432BE" w:rsidRPr="000D3090">
        <w:t xml:space="preserve">proficiency with </w:t>
      </w:r>
      <w:r w:rsidR="00663A24" w:rsidRPr="000D3090">
        <w:t xml:space="preserve">information and communications technologies </w:t>
      </w:r>
      <w:r w:rsidR="00453B65" w:rsidRPr="000D3090">
        <w:t xml:space="preserve">all impact the extent to which </w:t>
      </w:r>
      <w:r w:rsidR="00DD3E3D" w:rsidRPr="000D3090">
        <w:t>virtual</w:t>
      </w:r>
      <w:r w:rsidR="00453B65" w:rsidRPr="000D3090">
        <w:t xml:space="preserve"> activities can </w:t>
      </w:r>
      <w:r w:rsidR="000C0219" w:rsidRPr="000D3090">
        <w:t xml:space="preserve">be pursued </w:t>
      </w:r>
      <w:r w:rsidR="008D721D" w:rsidRPr="000D3090">
        <w:t xml:space="preserve"> </w:t>
      </w:r>
      <w:r w:rsidR="008D721D" w:rsidRPr="000D3090">
        <w:fldChar w:fldCharType="begin"/>
      </w:r>
      <w:r w:rsidR="00DA29B9" w:rsidRPr="000D3090">
        <w:instrText xml:space="preserve"> ADDIN ZOTERO_ITEM CSL_CITATION {"citationID":"Ao0kL5jL","properties":{"unsorted":true,"formattedCitation":"(Lavieri et al., 2018; Budnitz and Tranos, 2022)","plainCitation":"(Lavieri et al., 2018; Budnitz and Tranos, 2022)","noteIndex":0},"citationItems":[{"id":2142,"uris":["http://zotero.org/users/12832277/items/XYAJ5E5M"],"itemData":{"id":2142,"type":"article-journal","abstract":"In this study, we propose a conceptual and analytic framework anchored on the concepts of physical and virtual accessibility (the “ease” with which opportunities or activities can be reached in the physical and in the virtual space, respectively) to investigate the rich interplay between virtual and physical activity engagements in multiple activity purposes, while controlling for information and communication technology (ICT) use measures, physical accessibility measures, and demographics. Our framework considers that activity-travel choices are consequences of individual, household, and work characteristics that are mediated by virtual accessibility and physical accessibility. As part of our analysis, we also analyze activity chaining characteristics during travel to study any fragmentation impacts caused by ICT use on activity engagement and scheduling. We use data from the 2011 and 2012 National Travel Survey in Great Britain and apply Bhat’s (2015) generalized heterogeneous data model (GHDM) to jointly model multiple activity and travel outcomes. Our results provide important insights for social welfare, work-life balance, and equity policies, and suggest that decisions regarding virtual activity participations and in-person out-of-home activity participations are determined as a package. Ignoring this package nature of choices can lead to misleading inferences about the effects of virtual activity participations on in-person out-of-home activity participations.","container-title":"Transportation Research Part A: Policy and Practice","DOI":"10.1016/j.tra.2018.08.042","ISSN":"0965-8564","page":"527-544","source":"ScienceDirect","title":"Using Virtual Accessibility and Physical Accessibility as Joint Predictors of Activity-Travel Behavior","volume":"118","author":[{"family":"Lavieri","given":"Patrícia S."},{"family":"Dai","given":"Qichun"},{"family":"Bhat","given":"Chandra R."}],"issued":{"date-parts":[["2018",12,1]]}}},{"id":4327,"uris":["http://zotero.org/users/12832277/items/ZLB6N3AH"],"itemData":{"id":4327,"type":"article-journal","abstract":"This article offers a new perspective on telecommuting from the viewpoint of the complex web of digital divides. Using the United Kingdom as a case study, this article studies how the quality and reliability of Internet services, as reflected in experienced Internet upload speeds during the spring 2020 lockdown, might reinforce or redress the spatial and social dimensions of digital divisions. Fast, reliable Internet connections are necessary for the population to be able to work from home. Although not every place hosts individuals in occupations that allow for telecommuting or with the necessary skills to effectively use the Internet to telecommute, good Internet connectivity is also essential to local economic resilience in a period like the current pandemic. Employing data on individual broadband speed tests and state-of-the-art time series clustering methods, we create clusters of UK local authorities with similar temporal signatures of experienced upload speeds. We then associate these clusters of local authorities with their socioeconomic and geographic characteristics to explore how they overlap with or diverge from the existing economic and digital geography of the United Kingdom. Our analysis enables us to better understand how the spatial and social distributions of both occupations and online accessibility intersect to enable or hinder the practice of telecommuting at a time of extreme demand.","container-title":"Annals of the American Association of Geographers","DOI":"10.1080/24694452.2021.1939647","ISSN":"2469-4452","issue":"4","note":"publisher: Taylor &amp; Francis\n_eprint: https://doi.org/10.1080/24694452.2021.1939647","page":"893-913","source":"Taylor and Francis+NEJM","title":"Working from Home and Digital Divides: Resilience During the Pandemic","volume":"112","author":[{"family":"Budnitz","given":"Hannah"},{"family":"Tranos","given":"Emmanouil"}],"issued":{"date-parts":[["2022",4,28]]}}}],"schema":"https://github.com/citation-style-language/schema/raw/master/csl-citation.json"} </w:instrText>
      </w:r>
      <w:r w:rsidR="008D721D" w:rsidRPr="000D3090">
        <w:fldChar w:fldCharType="separate"/>
      </w:r>
      <w:r w:rsidR="00DA29B9" w:rsidRPr="000D3090">
        <w:t>(Lavieri et al., 2018; Budnitz and Tranos, 2022)</w:t>
      </w:r>
      <w:r w:rsidR="008D721D" w:rsidRPr="000D3090">
        <w:fldChar w:fldCharType="end"/>
      </w:r>
      <w:r w:rsidR="00453B65" w:rsidRPr="000D3090">
        <w:t xml:space="preserve">. </w:t>
      </w:r>
    </w:p>
    <w:p w14:paraId="34ABA9DE" w14:textId="5712AE76" w:rsidR="00C575BF" w:rsidRPr="000D3090" w:rsidRDefault="000348F6" w:rsidP="00581E66">
      <w:pPr>
        <w:spacing w:after="0" w:line="240" w:lineRule="auto"/>
        <w:jc w:val="both"/>
      </w:pPr>
      <w:r w:rsidRPr="000D3090">
        <w:tab/>
      </w:r>
      <w:r w:rsidR="004B45E8" w:rsidRPr="000D3090">
        <w:t>Motivated by the discussion above</w:t>
      </w:r>
      <w:r w:rsidRPr="000D3090">
        <w:t xml:space="preserve">, </w:t>
      </w:r>
      <w:r w:rsidR="00087751" w:rsidRPr="000D3090">
        <w:t xml:space="preserve">our focus is on the extent to which </w:t>
      </w:r>
      <w:r w:rsidR="009648C6" w:rsidRPr="000D3090">
        <w:t>virtual</w:t>
      </w:r>
      <w:r w:rsidR="00087751" w:rsidRPr="000D3090">
        <w:t xml:space="preserve"> activities </w:t>
      </w:r>
      <w:r w:rsidR="00990C9C" w:rsidRPr="000D3090">
        <w:t xml:space="preserve">influence overall accessibility of individuals, and how physical </w:t>
      </w:r>
      <w:r w:rsidR="006202E4" w:rsidRPr="000D3090">
        <w:t xml:space="preserve">and virtual </w:t>
      </w:r>
      <w:r w:rsidR="00990C9C" w:rsidRPr="000D3090">
        <w:t>participation</w:t>
      </w:r>
      <w:r w:rsidR="0005203A" w:rsidRPr="000D3090">
        <w:t xml:space="preserve"> modalities</w:t>
      </w:r>
      <w:r w:rsidR="00990C9C" w:rsidRPr="000D3090">
        <w:t xml:space="preserve"> interact with each other. More specifically, we examine </w:t>
      </w:r>
      <w:r w:rsidR="00D82995" w:rsidRPr="000D3090">
        <w:t>four</w:t>
      </w:r>
      <w:r w:rsidR="00990C9C" w:rsidRPr="000D3090">
        <w:t xml:space="preserve"> separate dimensions of this interaction: (a) Is there a discord between how much individuals would like to partake in physical </w:t>
      </w:r>
      <w:r w:rsidR="00F15193" w:rsidRPr="000D3090">
        <w:t>activities</w:t>
      </w:r>
      <w:r w:rsidR="00990C9C" w:rsidRPr="000D3090">
        <w:t xml:space="preserve"> and how much they </w:t>
      </w:r>
      <w:r w:rsidR="008C7E00" w:rsidRPr="000D3090">
        <w:t>are actually able</w:t>
      </w:r>
      <w:r w:rsidR="00990C9C" w:rsidRPr="000D3090">
        <w:t xml:space="preserve"> to, </w:t>
      </w:r>
      <w:r w:rsidR="00D82995" w:rsidRPr="000D3090">
        <w:t xml:space="preserve">and does this discord vary across individuals? (b) What is the reason for the physical participation discord? (c) What is the intensity of virtual participation (measured in this paper by the intensity of teleworking and home deliveries) in the </w:t>
      </w:r>
      <w:r w:rsidR="00D82995" w:rsidRPr="000D3090">
        <w:lastRenderedPageBreak/>
        <w:t>after-COVID era, and how does this virtual participation vary across individuals</w:t>
      </w:r>
      <w:r w:rsidR="008C7E00" w:rsidRPr="000D3090">
        <w:t>?</w:t>
      </w:r>
      <w:r w:rsidR="00D82995" w:rsidRPr="000D3090">
        <w:t xml:space="preserve"> (d)</w:t>
      </w:r>
      <w:r w:rsidR="00522A5F" w:rsidRPr="000D3090">
        <w:t xml:space="preserve"> D</w:t>
      </w:r>
      <w:r w:rsidR="00D82995" w:rsidRPr="000D3090">
        <w:t xml:space="preserve">oes virtual participation reduce </w:t>
      </w:r>
      <w:r w:rsidR="00975E55" w:rsidRPr="000D3090">
        <w:t xml:space="preserve">or increase </w:t>
      </w:r>
      <w:r w:rsidR="00D82995" w:rsidRPr="000D3090">
        <w:t xml:space="preserve">the intensity of discord in physical participation? </w:t>
      </w:r>
      <w:bookmarkStart w:id="2" w:name="_Hlk197170866"/>
      <w:r w:rsidR="00C575BF" w:rsidRPr="000D3090">
        <w:t xml:space="preserve">Based on Festinger’s theory of cognitive dissonance </w:t>
      </w:r>
      <w:r w:rsidR="00C575BF" w:rsidRPr="000D3090">
        <w:fldChar w:fldCharType="begin"/>
      </w:r>
      <w:r w:rsidR="00DA29B9" w:rsidRPr="000D3090">
        <w:instrText xml:space="preserve"> ADDIN ZOTERO_ITEM CSL_CITATION {"citationID":"m5VRRlQQ","properties":{"formattedCitation":"(1957)","plainCitation":"(1957)","noteIndex":0},"citationItems":[{"id":2165,"uris":["http://zotero.org/users/12832277/items/6EAQPRQI"],"itemData":{"id":2165,"type":"book","event-place":"Evanston, IL","publisher":"Row, Peterson, and Company","publisher-place":"Evanston, IL","title":"A Theory of Cognitive Dissonance","author":[{"family":"Festinger","given":"Lean"}],"issued":{"date-parts":[["1957"]]}},"label":"page","suppress-author":true}],"schema":"https://github.com/citation-style-language/schema/raw/master/csl-citation.json"} </w:instrText>
      </w:r>
      <w:r w:rsidR="00C575BF" w:rsidRPr="000D3090">
        <w:fldChar w:fldCharType="separate"/>
      </w:r>
      <w:r w:rsidR="00DA29B9" w:rsidRPr="000D3090">
        <w:t>(1957)</w:t>
      </w:r>
      <w:r w:rsidR="00C575BF" w:rsidRPr="000D3090">
        <w:fldChar w:fldCharType="end"/>
      </w:r>
      <w:r w:rsidR="00C575BF" w:rsidRPr="000D3090">
        <w:t xml:space="preserve">, we also characterize the discord in physical participation as “physical participation dissonance” (PPD), which refers to instances where beliefs, desires, and attitudes (in our case about the need/desire to undertake </w:t>
      </w:r>
      <w:r w:rsidR="00AC31CA" w:rsidRPr="000D3090">
        <w:t xml:space="preserve">out-of-home or </w:t>
      </w:r>
      <w:r w:rsidR="00C575BF" w:rsidRPr="000D3090">
        <w:t xml:space="preserve">OH activities) do not translate completely to travel behavior (actual participation in OH activities). In particular, Festinger’s theory of cognitive dissonance characterizes situations where three conditions are met </w:t>
      </w:r>
      <w:bookmarkStart w:id="3" w:name="_Hlk197461010"/>
      <w:r w:rsidR="0067380D" w:rsidRPr="000D3090">
        <w:fldChar w:fldCharType="begin"/>
      </w:r>
      <w:r w:rsidR="001D1BB9" w:rsidRPr="000D3090">
        <w:instrText xml:space="preserve"> ADDIN ZOTERO_ITEM CSL_CITATION {"citationID":"VJka97YN","properties":{"unsorted":true,"formattedCitation":"(Festinger, 1957; Harmon-Jones and Mills, 2019)","plainCitation":"(Festinger, 1957; Harmon-Jones and Mills, 2019)","dontUpdate":true,"noteIndex":0},"citationItems":[{"id":2165,"uris":["http://zotero.org/users/12832277/items/6EAQPRQI"],"itemData":{"id":2165,"type":"book","event-place":"Evanston, IL","publisher":"Row, Peterson, and Company","publisher-place":"Evanston, IL","title":"A Theory of Cognitive Dissonance","author":[{"family":"Festinger","given":"Lean"}],"issued":{"date-parts":[["1957"]]}}},{"id":4392,"uris":["http://zotero.org/users/12832277/items/WPL37HTA"],"itemData":{"id":4392,"type":"chapter","abstract":"A little more than 60 years ago, Leon Festinger published A Theory of Cognitive Dissonance (1957). Festinger's theory of cognitive dissonance has been one of the most influential theories in social psychology. It has generated hundreds and hundreds of studies, from which much has been learned about the determinants of attitudes and beliefs, the internalization of values, the consequences of decisions, the effects of disagreement among persons, and other important psychological processes. This introductory chapter presents an introduction to cognitive dissonance theory, followed by an overview of current perspectives and research on the theory. It provides a brief description on research paradigms in dissonance research and alternative accounts of dissonance phenomena. The chapter also provides a brief description about the book and its subsequent chapters. (PsycInfo Database Record (c) 2025 APA, all rights reserved)","container-title":"Cognitive Dissonance: Reexamining a Pivotal Theory in Psychology","edition":"2nd","event-place":"Washington, DC, US","ISBN":"978-1-4338-3010-5","note":"DOI: 10.1037/0000135-001","page":"3-24","publisher":"American Psychological Association","publisher-place":"Washington, DC, US","source":"APA PsycNet","title":"An Introduction to Cognitive Dissonance Theory and an Overview of Current Perspectives on the Theory","author":[{"family":"Harmon-Jones","given":"Eddie"},{"family":"Mills","given":"Judson"}],"issued":{"date-parts":[["2019"]]}}}],"schema":"https://github.com/citation-style-language/schema/raw/master/csl-citation.json"} </w:instrText>
      </w:r>
      <w:r w:rsidR="0067380D" w:rsidRPr="000D3090">
        <w:fldChar w:fldCharType="separate"/>
      </w:r>
      <w:r w:rsidR="00DA29B9" w:rsidRPr="000D3090">
        <w:t>(see Festinger, 1957; Harmon-Jones and Mills, 2019)</w:t>
      </w:r>
      <w:r w:rsidR="0067380D" w:rsidRPr="000D3090">
        <w:fldChar w:fldCharType="end"/>
      </w:r>
      <w:r w:rsidR="00C575BF" w:rsidRPr="000D3090">
        <w:t>.</w:t>
      </w:r>
      <w:bookmarkEnd w:id="3"/>
      <w:r w:rsidR="00C575BF" w:rsidRPr="000D3090">
        <w:t xml:space="preserve"> First, there must be a contradiction or opposition between beliefs or behaviors. In our characterization of PPD, we consider this opposition to arise due to trip suppression, when there is discord between planned OH activity participation (an indication of the desire to participate in OH activities) and an individual’s actual OH activity participation.</w:t>
      </w:r>
      <w:r w:rsidR="00C575BF" w:rsidRPr="000D3090">
        <w:rPr>
          <w:rStyle w:val="FootnoteReference"/>
        </w:rPr>
        <w:footnoteReference w:id="2"/>
      </w:r>
      <w:r w:rsidR="00C575BF" w:rsidRPr="000D3090">
        <w:t xml:space="preserve"> Second, based on Festinger’s theory, a second condition is that a desire that does not get manifested (in terms of not being able to attain the desired state) leads to adverse consequences, usually characterized by feelings of tension or stress as the individual attempts to reconcile the discord. In the case of PPD, it is certainly the case that individuals who plan to participate in </w:t>
      </w:r>
      <w:r w:rsidR="00AC31CA" w:rsidRPr="000D3090">
        <w:t xml:space="preserve">desirable </w:t>
      </w:r>
      <w:r w:rsidR="00C575BF" w:rsidRPr="000D3090">
        <w:t xml:space="preserve">OH activities and are unable to participate in these activities experience negative consequences. As mentioned above, transportation accessibility has broad impacts on individual well-being in terms of social, economic, and health outcomes. Regarding trip suppression specifically, the inability to access key OH activity locations can prevent individuals from accessing critical services such as food and healthcare, cause increased stress and anxiety due to time-planning challenges and impacts on social relationships, and reduce overall life satisfaction </w:t>
      </w:r>
      <w:r w:rsidR="00C575BF" w:rsidRPr="000D3090">
        <w:rPr>
          <w:b/>
          <w:bCs/>
        </w:rPr>
        <w:fldChar w:fldCharType="begin"/>
      </w:r>
      <w:r w:rsidR="00DA29B9" w:rsidRPr="000D3090">
        <w:rPr>
          <w:b/>
          <w:bCs/>
        </w:rPr>
        <w:instrText xml:space="preserve"> ADDIN ZOTERO_ITEM CSL_CITATION {"citationID":"Yc56UP2E","properties":{"unsorted":true,"formattedCitation":"(Mackett, 2021; Ettema et al., 2025)","plainCitation":"(Mackett, 2021; Ettema et al., 2025)","noteIndex":0},"citationItems":[{"id":4315,"uris":["http://zotero.org/users/12832277/items/MHUDQ8NR"],"itemData":{"id":4315,"type":"article-journal","abstract":"Introduction\nTravel requires various skills such as concentration, interpretation of information, and the confidence to take decisions and interact with other people. Mental illness can affect these skills and so cause barriers to travel. These issues are explored in this paper using the results from a cross-sectional on-line survey.\nMethods\nThe survey focussed on domestic travel. The link to the survey was distributed by eighteen mental health or transport organizations and three individuals through social media, newsletters and websites. Weightings were applied to make the results more representative of the national population with mental health conditions.\nResults\n89% of the respondents had anxiety and 76% were depressed. The biggest cause of anxiety was interacting with fellow travellers, both in terms of how they behaved and how the respondents felt that others perceived them. The second main cause of anxiety was needing support when travelling, both feeling out of control and requiring help from other people. Having to feel in control reflected another cause of anxiety: having to take action in an unfamiliar environment, because the method of travel has failed or because of the need to find suitable toilet facilities. Wayfinding caused anxiety in terms of feelings of disorientation, being lost and having to find the way. The fifth area of anxiety revolved around interacting with staff such as bus drivers and buying tickets. A high proportion of respondents had fluctuations in their health condition from day to day that meant that sometimes they could not leave home. Many of them were unable to commit to buying rail tickets in advance.\nConclusions\nPeople with mental health conditions have difficulty travelling because of various barriers that they face. Changes such as clearer, comprehensive travel information, better-designed buses, trains and infrastructure and quieter, calmer, less crowded journeys would enable them to travel more.","container-title":"Journal of Transport &amp; Health","DOI":"10.1016/j.jth.2021.101143","ISSN":"2214-1405","page":"101143","source":"ScienceDirect","title":"Mental Health and Travel Behaviour","volume":"22","author":[{"family":"Mackett","given":"Roger L."}],"issued":{"date-parts":[["2021",9,1]]}}},{"id":4310,"uris":["http://zotero.org/users/12832277/items/F6YIHFYU"],"itemData":{"id":4310,"type":"article-journal","abstract":"It is increasingly recognized that access to transportation options and relevant destinations is not equally distributed across the population, calling for quantitative indicators to identify groups at risk of transport poverty and exclusion. While this has most commonly been done using accessibility measures based on objective land use and transportation data, we argue that subjective self-reported measures of travel options and accessibility are a useful complement, as they are more suited to account for travellers’ perceptions of limitations in the transportation system and outcomes of these limitations, such as limited access to desired destinations and the fulfilment of needs. Building on initial developments in the field of self-reported perceived accessibility, this paper describes the development and test of a comprehensive quantitative measurement scale of perceived transport adequacy. We propose an eight-item scale, which was tested on data collected in the cities of Utrecht and Rotterdam, the Netherlands in 2021, with a specific emphasis on including socially vulnerable populations in our sample. The transport adequacy scale has a high internal consistency, and a considerable variation across the sample. Descriptive and regression analyses suggest that transport adequacy is lower for those with lower incomes, no car access, and using mobility aids. Finally, subjective transport adequacy is associated with life outcomes, such as achievements in life, quality of social interactions and life satisfaction. The transport adequacy scale is a meaningful indicator of the extent to which travel needs are met and can be a useful tool to monitor autonomous developments and mobility interventions.","container-title":"Travel Behaviour and Society","DOI":"10.1016/j.tbs.2024.100982","ISSN":"2214-367X","page":"100982","source":"ScienceDirect","title":"What Is Transport Adequacy? Quantifying Experienced Transport Poverty in the Netherlands","volume":"39","author":[{"family":"Ettema","given":"Dick"},{"family":"Lierop","given":"Dea","non-dropping-particle":"van"},{"family":"Fu","given":"Xingxing"},{"family":"Berg","given":"Pauline","non-dropping-particle":"van den"},{"family":"Geigenmüller","given":"Iris"}],"issued":{"date-parts":[["2025",4,1]]}}}],"schema":"https://github.com/citation-style-language/schema/raw/master/csl-citation.json"} </w:instrText>
      </w:r>
      <w:r w:rsidR="00C575BF" w:rsidRPr="000D3090">
        <w:rPr>
          <w:b/>
          <w:bCs/>
        </w:rPr>
        <w:fldChar w:fldCharType="separate"/>
      </w:r>
      <w:r w:rsidR="00DA29B9" w:rsidRPr="000D3090">
        <w:t>(Mackett, 2021; Ettema et al., 2025)</w:t>
      </w:r>
      <w:r w:rsidR="00C575BF" w:rsidRPr="000D3090">
        <w:rPr>
          <w:b/>
          <w:bCs/>
        </w:rPr>
        <w:fldChar w:fldCharType="end"/>
      </w:r>
      <w:r w:rsidR="00C575BF" w:rsidRPr="000D3090">
        <w:t>. Finally, the third condition underlying Festinger’s cognitive dissonance theory is that there is a conscious or subconscious effort by individuals to attempt to relieve dissonance by adapting to their situation. Individuals can attempt to relieve their dissonance either by adapting their behaviors to better correspond with their needs and beliefs (in this case finding ways to make the desired trips even when it is challenging)</w:t>
      </w:r>
      <w:r w:rsidR="00AC31CA" w:rsidRPr="000D3090">
        <w:t>,</w:t>
      </w:r>
      <w:r w:rsidR="00C575BF" w:rsidRPr="000D3090">
        <w:t xml:space="preserve"> or by modifying their beliefs to align with their constraints (in this case, reducing their expectations about their ability to travel based on long-lasting constraints they experience in the transportation system). In the transportation arena, there is ample evidence demonstrating that individuals attempt to reduce PPD through adapting to their travel constraints by, among other things, choosing locations that are readily available (even if not the most desirable) and reducing their travel desires to be more compatible with their mobility constraints </w:t>
      </w:r>
      <w:r w:rsidR="00C575BF" w:rsidRPr="000D3090">
        <w:fldChar w:fldCharType="begin"/>
      </w:r>
      <w:r w:rsidR="00C575BF" w:rsidRPr="000D3090">
        <w:instrText xml:space="preserve"> ADDIN ZOTERO_ITEM CSL_CITATION {"citationID":"ej7IF0zT","properties":{"unsorted":true,"formattedCitation":"(Martens, 2016; Dillahunt and Veinot, 2018; Landby, 2019)","plainCitation":"(Martens, 2016; Dillahunt and Veinot, 2018; Landby, 2019)","dontUpdate":true,"noteIndex":0},"citationItems":[{"id":1926,"uris":["http://zotero.org/users/12832277/items/4FSA6BCK"],"itemData":{"id":1926,"type":"book","abstract":"Transport Justice develops a new paradigm for transportation planning based on principles of justice. Author Karel Martens starts from the observation that for the last fifty years the focus of transportation planning and policy has been on the performance of the transport system and ways to improve it, without much attention being paid to the persons actually using – or failing to use – that transport system. There are far-reaching consequences of this approach, with some enjoying the fruits of the improvements in the transport system, while others have experienced a substantial deterioration in their situation. The growing body of academic evidence on the resulting disparities in mobility and accessibility, have been paralleled by increasingly vocal calls for policy changes to address the inequities that have developed over time. Drawing on philosophies of social justice, Transport Justice argues that governments have the fundamental duty of providing virtually every person with adequate transportation and thus of mitigating the social disparities that have been created over the past decades.  Critical reading for transport planners and students of transportation planning, this book develops a new approach to transportation planning that takes people as its starting point, and justice as its end.","ISBN":"978-1-317-59958-6","language":"en","note":"Google-Books-ID: m0yTDAAAQBAJ","number-of-pages":"257","publisher":"Routledge","source":"Google Books","title":"Transport Justice: Designing Fair Transportation Systems","author":[{"family":"Martens","given":"Karel"}],"issued":{"date-parts":[["2016",7,1]]}}},{"id":1956,"uris":["http://zotero.org/users/12832277/items/TBYVHS75"],"itemData":{"id":1956,"type":"article-journal","abstract":"Advances in Information and Communication Technologies (ICTs) offer new opportunities for addressing transportation needs; however, past research suggests that opportunities are not equally shared by millions of low-income Americans. We draw from four empirical studies and two case studies to contribute descriptions of the 11 everyday transportation models currently used by residents of low-income and underserved communities to enhance their access to health-enhancing resources. These models fell into personal, private, public, and interpersonal categories. We contribute insights regarding the following barriers and facilitators associated with these models: (1) affordability; (2) individual capabilities; (3) interpersonal trust, care and/or reciprocity; (4) trust in technology; (5) service availability/eligibility; (6) spatial and temporal matches; (7) match between transportation mode and physical needs; (8) service reliability and quality; and (9) infrastructure access. To address these barriers and build on these facilitators, we contribute six supportive policy and design principles. Operationalizing these principles, we propose four new ICT-enhanced models: (1) smart jitneys; (2) generalized, favor-based models; (3) expanded resource pooling; and (4) transportation clubs. The focus of these models on socio-technical integration with current capabilities and resources holds promise for enhancing access to jobs, food, and health care for residents of low-income communities.","container-title":"ACM Transactions on Computer-Human Interaction","DOI":"10.1145/3233985","ISSN":"1073-0516","issue":"5","page":"29:1–29:39","source":"ACM Digital Library","title":"Getting There: Barriers and Facilitators to Transportation Access in Underserved Communities","volume":"25","author":[{"family":"Dillahunt","given":"Tawanna R."},{"family":"Veinot","given":"Tiffany C."}],"issued":{"date-parts":[["2018",10,11]]}}},{"id":2392,"uris":["http://zotero.org/users/12832277/items/YFFWBYGB"],"itemData":{"id":2392,"type":"article-journal","abstract":"There is a norm assuming high mobility in the Western world today, which can increase the social and geographical exclusion of those who have limited possibilities to travel, such as people with disabilities. When it is a child who has the disability, travel-related constraints are likely to affect the whole family’s travel patterns. This study explores travel constraints among Swedish families with children with cerebral palsy who use wheelchairs. A time-geographical framework is employed. Interviews with parents show that these families’ everyday mobility is affected by authority, capacity and coupling constraints, and that it is often a combination of these constraints that makes travelling difficult. The families use different strategies to negotiate these constraints. In addition to strategies controlled by the families, the findings suggest that there is also a need for governmental support and a barrier-free transport system to enhance their mobility.","container-title":"Children's Geographies","DOI":"10.1080/14733285.2018.1528342","ISSN":"1473-3285","issue":"4","note":"publisher: Routledge\n_eprint: https://doi.org/10.1080/14733285.2018.1528342","page":"388-400","source":"Taylor and Francis+NEJM","title":"Everyday Travel for Families with Children Using Wheelchairs: Parents’ Perceptions of Constraints and Adaptation Strategies","volume":"17","author":[{"family":"Landby","given":"Emma"}],"issued":{"date-parts":[["2019",7,4]]}},"label":"page"}],"schema":"https://github.com/citation-style-language/schema/raw/master/csl-citation.json"} </w:instrText>
      </w:r>
      <w:r w:rsidR="00C575BF" w:rsidRPr="000D3090">
        <w:fldChar w:fldCharType="separate"/>
      </w:r>
      <w:r w:rsidR="00C575BF" w:rsidRPr="000D3090">
        <w:t>(see, for example, Martens, 2016; Dillahunt and Veinot, 2018; Landby, 2019)</w:t>
      </w:r>
      <w:r w:rsidR="00C575BF" w:rsidRPr="000D3090">
        <w:fldChar w:fldCharType="end"/>
      </w:r>
      <w:r w:rsidR="00C575BF" w:rsidRPr="000D3090">
        <w:t>. In addition, virtual participation presents a potential new avenue to adapt to these constraints and reduce PPD. This situation of PPD is depicted in Figure 1. In this case, an individual experiences dissonance because of a lack of access to OH activity-opportunity locations</w:t>
      </w:r>
      <w:r w:rsidR="005A6E32" w:rsidRPr="000D3090">
        <w:t>,</w:t>
      </w:r>
      <w:r w:rsidR="00C575BF" w:rsidRPr="000D3090">
        <w:t xml:space="preserve"> but may attempt to reduce the dissonance by substituting/supplementing their physical participation with virtual participation</w:t>
      </w:r>
      <w:r w:rsidR="003F313C" w:rsidRPr="000D3090">
        <w:t>.</w:t>
      </w:r>
      <w:bookmarkEnd w:id="2"/>
    </w:p>
    <w:p w14:paraId="2DFD8252" w14:textId="4FC2BC58" w:rsidR="00AF532C" w:rsidRPr="000D3090" w:rsidRDefault="00AF532C" w:rsidP="00C5130A">
      <w:pPr>
        <w:pStyle w:val="NormalWeb"/>
        <w:shd w:val="clear" w:color="auto" w:fill="FFFFFF"/>
        <w:spacing w:after="0" w:line="240" w:lineRule="auto"/>
        <w:jc w:val="both"/>
      </w:pPr>
      <w:r w:rsidRPr="000D3090">
        <w:tab/>
      </w:r>
      <w:r w:rsidR="000B4AAD" w:rsidRPr="000D3090">
        <w:t>In this paper, we</w:t>
      </w:r>
      <w:r w:rsidR="00D511D3" w:rsidRPr="000D3090">
        <w:t xml:space="preserve"> use data from the 2022</w:t>
      </w:r>
      <w:r w:rsidR="00DE44D6" w:rsidRPr="000D3090">
        <w:t xml:space="preserve"> NextGen</w:t>
      </w:r>
      <w:r w:rsidR="00D511D3" w:rsidRPr="000D3090">
        <w:t xml:space="preserve"> National Household Travel Survey</w:t>
      </w:r>
      <w:r w:rsidR="001265E9" w:rsidRPr="000D3090">
        <w:t xml:space="preserve"> </w:t>
      </w:r>
      <w:r w:rsidR="00947578" w:rsidRPr="000D3090">
        <w:fldChar w:fldCharType="begin"/>
      </w:r>
      <w:r w:rsidR="00EA04E9" w:rsidRPr="000D3090">
        <w:instrText xml:space="preserve"> ADDIN ZOTERO_ITEM CSL_CITATION {"citationID":"9T7542Zh","properties":{"formattedCitation":"(Federal Highway Administration, 2023)","plainCitation":"(Federal Highway Administration, 2023)","noteIndex":0},"citationItems":[{"id":1959,"uris":["http://zotero.org/users/12832277/items/ZAYVS8KD"],"itemData":{"id":1959,"type":"dataset","DOI":"https://nhts.ornl.gov","publisher":"U.S. Department of Transportation, Washington, DC","title":"2022 NextGen National Household Travel Survey","author":[{"family":"Federal Highway Administration","given":""}],"issued":{"date-parts":[["2023",10]]}}}],"schema":"https://github.com/citation-style-language/schema/raw/master/csl-citation.json"} </w:instrText>
      </w:r>
      <w:r w:rsidR="00947578" w:rsidRPr="000D3090">
        <w:fldChar w:fldCharType="separate"/>
      </w:r>
      <w:r w:rsidR="00947578" w:rsidRPr="000D3090">
        <w:t>(Federal Highway Administration, 2023)</w:t>
      </w:r>
      <w:r w:rsidR="00947578" w:rsidRPr="000D3090">
        <w:fldChar w:fldCharType="end"/>
      </w:r>
      <w:r w:rsidR="00D511D3" w:rsidRPr="000D3090">
        <w:t xml:space="preserve"> to </w:t>
      </w:r>
      <w:r w:rsidR="007F3E32" w:rsidRPr="000D3090">
        <w:t xml:space="preserve">investigate </w:t>
      </w:r>
      <w:r w:rsidR="000B4AAD" w:rsidRPr="000D3090">
        <w:t xml:space="preserve">the </w:t>
      </w:r>
      <w:r w:rsidR="007F3E32" w:rsidRPr="000D3090">
        <w:t xml:space="preserve">four dimensions of the interaction </w:t>
      </w:r>
      <w:r w:rsidR="007F3E32" w:rsidRPr="000D3090">
        <w:lastRenderedPageBreak/>
        <w:t xml:space="preserve">between physical and </w:t>
      </w:r>
      <w:r w:rsidR="00522A5F" w:rsidRPr="000D3090">
        <w:t>virtual</w:t>
      </w:r>
      <w:r w:rsidR="007F3E32" w:rsidRPr="000D3090">
        <w:t xml:space="preserve"> participation</w:t>
      </w:r>
      <w:r w:rsidR="00EE20E8" w:rsidRPr="000D3090">
        <w:t xml:space="preserve"> modalities</w:t>
      </w:r>
      <w:r w:rsidR="007F3E32" w:rsidRPr="000D3090">
        <w:t>, as just discussed.</w:t>
      </w:r>
      <w:r w:rsidR="007A6CCB" w:rsidRPr="000D3090">
        <w:t xml:space="preserve"> </w:t>
      </w:r>
      <w:r w:rsidR="00EF54BB" w:rsidRPr="000D3090">
        <w:t>We specifically focus on the connection between physical and virtual participation to uncover the ways that virtual participation may provide an avenue to reduce PPD for some individuals, as well as identifying those individuals who may face both high PPD and low uptake of virtual activities.</w:t>
      </w:r>
      <w:r w:rsidR="007F3E32" w:rsidRPr="000D3090">
        <w:t xml:space="preserve"> </w:t>
      </w:r>
      <w:bookmarkStart w:id="5" w:name="_Hlk197179587"/>
      <w:r w:rsidRPr="000D3090">
        <w:t xml:space="preserve">While our discussion references </w:t>
      </w:r>
      <w:r w:rsidR="005A6E32" w:rsidRPr="000D3090">
        <w:t xml:space="preserve">relevant </w:t>
      </w:r>
      <w:r w:rsidRPr="000D3090">
        <w:t>literature from many other geographic, social, cultural, and temporal contexts to provide a comprehensive perspective of the relationship between PPD and virtual activity participation, the results from our analysis should be viewed in the strict context of the United States.</w:t>
      </w:r>
    </w:p>
    <w:bookmarkEnd w:id="5"/>
    <w:p w14:paraId="00D1791B" w14:textId="66CBBE22" w:rsidR="00B55048" w:rsidRPr="000D3090" w:rsidRDefault="00B55048" w:rsidP="00C5130A">
      <w:pPr>
        <w:pStyle w:val="NormalWeb"/>
        <w:shd w:val="clear" w:color="auto" w:fill="FFFFFF"/>
        <w:spacing w:after="0" w:line="240" w:lineRule="auto"/>
        <w:ind w:firstLine="720"/>
        <w:jc w:val="both"/>
        <w:rPr>
          <w:bCs/>
        </w:rPr>
      </w:pPr>
      <w:r w:rsidRPr="000D3090">
        <w:t xml:space="preserve">The rest of the paper is organized as follows. Section 2 provides an overview of the </w:t>
      </w:r>
      <w:r w:rsidR="005122C9" w:rsidRPr="000D3090">
        <w:t>relevant literature</w:t>
      </w:r>
      <w:r w:rsidRPr="000D3090">
        <w:rPr>
          <w:bCs/>
        </w:rPr>
        <w:t xml:space="preserve">. Section 3 </w:t>
      </w:r>
      <w:r w:rsidR="007F3E32" w:rsidRPr="000D3090">
        <w:rPr>
          <w:bCs/>
        </w:rPr>
        <w:t>describes</w:t>
      </w:r>
      <w:r w:rsidRPr="000D3090">
        <w:rPr>
          <w:bCs/>
        </w:rPr>
        <w:t xml:space="preserve"> the </w:t>
      </w:r>
      <w:r w:rsidR="007F3E32" w:rsidRPr="000D3090">
        <w:rPr>
          <w:bCs/>
        </w:rPr>
        <w:t xml:space="preserve">sample used </w:t>
      </w:r>
      <w:r w:rsidRPr="000D3090">
        <w:rPr>
          <w:bCs/>
        </w:rPr>
        <w:t xml:space="preserve">and </w:t>
      </w:r>
      <w:r w:rsidR="007F3E32" w:rsidRPr="000D3090">
        <w:rPr>
          <w:bCs/>
        </w:rPr>
        <w:t xml:space="preserve">the </w:t>
      </w:r>
      <w:r w:rsidRPr="000D3090">
        <w:rPr>
          <w:bCs/>
        </w:rPr>
        <w:t xml:space="preserve">modeling methodology. Section 4 </w:t>
      </w:r>
      <w:r w:rsidR="007F3E32" w:rsidRPr="000D3090">
        <w:rPr>
          <w:bCs/>
        </w:rPr>
        <w:t>presents</w:t>
      </w:r>
      <w:r w:rsidRPr="000D3090">
        <w:rPr>
          <w:bCs/>
        </w:rPr>
        <w:t xml:space="preserve"> model estimation results and </w:t>
      </w:r>
      <w:r w:rsidR="00D73B1B" w:rsidRPr="000D3090">
        <w:rPr>
          <w:bCs/>
        </w:rPr>
        <w:t xml:space="preserve">goodness of fit measures. </w:t>
      </w:r>
      <w:r w:rsidRPr="000D3090">
        <w:rPr>
          <w:bCs/>
        </w:rPr>
        <w:t xml:space="preserve">Section 5 discusses </w:t>
      </w:r>
      <w:r w:rsidR="007F3E32" w:rsidRPr="000D3090">
        <w:rPr>
          <w:bCs/>
        </w:rPr>
        <w:t xml:space="preserve">the </w:t>
      </w:r>
      <w:r w:rsidRPr="000D3090">
        <w:rPr>
          <w:bCs/>
        </w:rPr>
        <w:t xml:space="preserve">implications of </w:t>
      </w:r>
      <w:r w:rsidR="007F3E32" w:rsidRPr="000D3090">
        <w:rPr>
          <w:bCs/>
        </w:rPr>
        <w:t>this</w:t>
      </w:r>
      <w:r w:rsidRPr="000D3090">
        <w:rPr>
          <w:bCs/>
        </w:rPr>
        <w:t xml:space="preserve"> research </w:t>
      </w:r>
      <w:r w:rsidR="00D73B1B" w:rsidRPr="000D3090">
        <w:rPr>
          <w:bCs/>
        </w:rPr>
        <w:t xml:space="preserve">for </w:t>
      </w:r>
      <w:r w:rsidR="0081498F" w:rsidRPr="000D3090">
        <w:rPr>
          <w:bCs/>
        </w:rPr>
        <w:t xml:space="preserve">transportation </w:t>
      </w:r>
      <w:r w:rsidR="00D73B1B" w:rsidRPr="000D3090">
        <w:rPr>
          <w:bCs/>
        </w:rPr>
        <w:t>policy</w:t>
      </w:r>
      <w:r w:rsidRPr="000D3090">
        <w:rPr>
          <w:bCs/>
        </w:rPr>
        <w:t>. Finally, Section 6 summar</w:t>
      </w:r>
      <w:r w:rsidR="007F3E32" w:rsidRPr="000D3090">
        <w:rPr>
          <w:bCs/>
        </w:rPr>
        <w:t xml:space="preserve">izes </w:t>
      </w:r>
      <w:r w:rsidRPr="000D3090">
        <w:rPr>
          <w:bCs/>
        </w:rPr>
        <w:t>important findings and identifi</w:t>
      </w:r>
      <w:r w:rsidR="007F3E32" w:rsidRPr="000D3090">
        <w:rPr>
          <w:bCs/>
        </w:rPr>
        <w:t>es</w:t>
      </w:r>
      <w:r w:rsidR="006202E4" w:rsidRPr="000D3090">
        <w:rPr>
          <w:bCs/>
        </w:rPr>
        <w:t xml:space="preserve"> </w:t>
      </w:r>
      <w:r w:rsidRPr="000D3090">
        <w:rPr>
          <w:bCs/>
        </w:rPr>
        <w:t>future research directions.</w:t>
      </w:r>
    </w:p>
    <w:p w14:paraId="03F9DDD0" w14:textId="77777777" w:rsidR="00A705B3" w:rsidRPr="000D3090" w:rsidRDefault="00A705B3" w:rsidP="00DE4E50">
      <w:pPr>
        <w:spacing w:after="0" w:line="240" w:lineRule="auto"/>
        <w:jc w:val="both"/>
      </w:pPr>
    </w:p>
    <w:p w14:paraId="5BF0A5C1" w14:textId="3E4E07F0" w:rsidR="008F196B" w:rsidRPr="000D3090" w:rsidRDefault="00034DB1" w:rsidP="00DE4E50">
      <w:pPr>
        <w:spacing w:after="0" w:line="240" w:lineRule="auto"/>
        <w:jc w:val="both"/>
        <w:rPr>
          <w:b/>
        </w:rPr>
      </w:pPr>
      <w:r w:rsidRPr="000D3090">
        <w:rPr>
          <w:b/>
        </w:rPr>
        <w:t xml:space="preserve">2. </w:t>
      </w:r>
      <w:r w:rsidR="00DC7402" w:rsidRPr="000D3090">
        <w:rPr>
          <w:b/>
        </w:rPr>
        <w:t>LITERATURE OVERVIEW</w:t>
      </w:r>
      <w:r w:rsidR="00DA29B9" w:rsidRPr="000D3090">
        <w:rPr>
          <w:b/>
        </w:rPr>
        <w:t xml:space="preserve"> AND THE CURRENT STUDY</w:t>
      </w:r>
    </w:p>
    <w:p w14:paraId="36345579" w14:textId="44C08312" w:rsidR="00DA29B9" w:rsidRPr="000D3090" w:rsidRDefault="00DA29B9" w:rsidP="00DE4E50">
      <w:pPr>
        <w:spacing w:after="0" w:line="240" w:lineRule="auto"/>
        <w:jc w:val="both"/>
        <w:rPr>
          <w:b/>
        </w:rPr>
      </w:pPr>
      <w:r w:rsidRPr="000D3090">
        <w:rPr>
          <w:b/>
        </w:rPr>
        <w:t>2.1 Earlier Studies</w:t>
      </w:r>
    </w:p>
    <w:p w14:paraId="1E377817" w14:textId="2D62C84B" w:rsidR="00B735BC" w:rsidRPr="000D3090" w:rsidRDefault="00C859CE" w:rsidP="00DA29B9">
      <w:pPr>
        <w:spacing w:after="0" w:line="240" w:lineRule="auto"/>
        <w:jc w:val="both"/>
      </w:pPr>
      <w:r w:rsidRPr="000D3090">
        <w:t xml:space="preserve">There is a body of literature on </w:t>
      </w:r>
      <w:r w:rsidR="00522A5F" w:rsidRPr="000D3090">
        <w:t xml:space="preserve">physical accessibility </w:t>
      </w:r>
      <w:r w:rsidR="006202E4" w:rsidRPr="000D3090">
        <w:t xml:space="preserve">that is relevant to the current study, as this literature </w:t>
      </w:r>
      <w:r w:rsidR="003A6295" w:rsidRPr="000D3090">
        <w:t>reveals a wide range of barriers to</w:t>
      </w:r>
      <w:r w:rsidR="00230EE9" w:rsidRPr="000D3090">
        <w:t xml:space="preserve"> physical </w:t>
      </w:r>
      <w:r w:rsidR="008C5577" w:rsidRPr="000D3090">
        <w:t xml:space="preserve">participation. </w:t>
      </w:r>
      <w:r w:rsidR="00DA29B9" w:rsidRPr="000D3090">
        <w:t>T</w:t>
      </w:r>
      <w:r w:rsidR="009213D5" w:rsidRPr="000D3090">
        <w:t xml:space="preserve">he most commonly used </w:t>
      </w:r>
      <w:r w:rsidR="00265482" w:rsidRPr="000D3090">
        <w:t xml:space="preserve">measures of objective physical </w:t>
      </w:r>
      <w:r w:rsidR="00541BFA" w:rsidRPr="000D3090">
        <w:t xml:space="preserve">accessibility </w:t>
      </w:r>
      <w:r w:rsidR="009213D5" w:rsidRPr="000D3090">
        <w:t xml:space="preserve">are cumulative </w:t>
      </w:r>
      <w:r w:rsidR="00DA29B9" w:rsidRPr="000D3090">
        <w:t xml:space="preserve">accessibility (CA) </w:t>
      </w:r>
      <w:r w:rsidR="009213D5" w:rsidRPr="000D3090">
        <w:t xml:space="preserve">measures and gravity-based </w:t>
      </w:r>
      <w:r w:rsidR="00DA29B9" w:rsidRPr="000D3090">
        <w:t xml:space="preserve">accessibility (GA) </w:t>
      </w:r>
      <w:r w:rsidR="009213D5" w:rsidRPr="000D3090">
        <w:t xml:space="preserve">measures </w:t>
      </w:r>
      <w:r w:rsidR="005D4A01" w:rsidRPr="000D3090">
        <w:fldChar w:fldCharType="begin"/>
      </w:r>
      <w:r w:rsidR="00BE586B" w:rsidRPr="000D3090">
        <w:instrText xml:space="preserve"> ADDIN ZOTERO_ITEM CSL_CITATION {"citationID":"JzhU9cER","properties":{"formattedCitation":"(Geurs and van Wee, 2004; Kapatsila et al., 2023)","plainCitation":"(Geurs and van Wee, 2004; Kapatsila et al., 2023)","noteIndex":0},"citationItems":[{"id":2177,"uris":["http://zotero.org/users/12832277/items/MNNW9CVB"],"itemData":{"id":2177,"type":"article-journal","abstract":"A review of accessibility measures is presented for assessing the usability of these measures in evaluations of land-use and transport strategies and developments. Accessibility measures are reviewed using a broad range of relevant criteria, including theoretical basis, interpretability and communicability, and data requirements of the measures. Accessibility impacts of land-use and transport strategies are often evaluated using accessibility measures, which researchers and policy makers can easily operationalise and interpret, such as travelling speed, but which generally do not satisfy theoretical criteria. More complex and disaggregated accessibility measures, however, increase complexity and the effort for calculations and the difficulty of interpretation. The current practice can be much improved by operationalising more advanced location-based and utility-based accessibility measures that are still relatively easy to interpret for researchers and policy makers, and can be computed with state-of-the-practice data and/or land-use and transport models. Research directions towards theoretically more advanced accessibility measures point towards the inclusion of individual's spatial–temporal constraints and feedback mechanisms between accessibility, land-use and travel behaviour. Furthermore, there is a need for theoretical and empirical research on relationships between accessibility, option values and non-user benefits, and the measurement of different components of accessibility.","container-title":"Journal of Transport Geography","DOI":"10.1016/j.jtrangeo.2003.10.005","ISSN":"0966-6923","issue":"2","page":"127-140","source":"ScienceDirect","title":"Accessibility Evaluation of Land-Use and Transport Strategies: Review and Research Directions","volume":"12","author":[{"family":"Geurs","given":"Karst T."},{"family":"Wee","given":"Bert","non-dropping-particle":"van"}],"issued":{"date-parts":[["2004",6,1]]}}},{"id":2148,"uris":["http://zotero.org/users/12832277/items/WG7BQE3Z"],"itemData":{"id":2148,"type":"article-journal","abstract":"There is a lack of agreement regarding the theoretical framework that practitioners should use for accessibility assessment – a measure of transport and land-use systems performance. Cumulative measures are simple and easy to interpret, while gravity-based measures are more sophisticated, resourceful, and less intuitive approaches. As such, this study aims to investigate whether the estimates of a simple cumulative opportunity measure are significantly different from those made using advanced gravity-based measures to understand if the former can be a substitute for the latter in practice and if a certain threshold of travel time can be recommended for different regions. We estimated cumulative and gravity-based accessibility using decay-probability density functions, decay-cumulative density functions, Gaussian, and a Log-Logistic decay-cumulative density functions using census commuting flows, car congested travel time and public transit schedules from eight metropolitan regions across Canada – Toronto, Montreal, Vancouver, Edmonton, Quebec City, Winnipeg, London, and Halifax. These measures of accessibility were tested for correlation, and we found that a coefficient of approximately 0.90 is reached when the threshold to calculate cumulative opportunities accessibility is set to the average commute time for both low- and non-low-wage jobs accessibility analyses by transit and motor vehicles. The paper provides evidence to support the reliability of cumulative accessibility, facilitates its broader adoption for evaluation of transport and land use interactions in North American cities, as well as opens opportunities to advance the equitable distribution of transport system benefits.","container-title":"Journal of Transport Geography","DOI":"10.1016/j.jtrangeo.2023.103530","ISSN":"0966-6923","source":"ScienceDirect","title":"Resolving the Accessibility Dilemma: Comparing Cumulative and Gravity-Based Measures of Accessibility in Eight Canadian Cities","URL":"https://www.sciencedirect.com/science/article/pii/S0966692323000029","volume":"107","author":[{"family":"Kapatsila","given":"Bogdan"},{"family":"Palacios","given":"Manuel Santana"},{"family":"Grisé","given":"Emily"},{"family":"El-Geneidy","given":"Ahmed"}],"accessed":{"date-parts":[["2024",1,24]]},"issued":{"date-parts":[["2023",2,1]]}}}],"schema":"https://github.com/citation-style-language/schema/raw/master/csl-citation.json"} </w:instrText>
      </w:r>
      <w:r w:rsidR="005D4A01" w:rsidRPr="000D3090">
        <w:fldChar w:fldCharType="separate"/>
      </w:r>
      <w:r w:rsidR="005D4A01" w:rsidRPr="000D3090">
        <w:t>(Geurs and van Wee, 2004; Kapatsila et al., 2023)</w:t>
      </w:r>
      <w:r w:rsidR="005D4A01" w:rsidRPr="000D3090">
        <w:fldChar w:fldCharType="end"/>
      </w:r>
      <w:r w:rsidR="00F81BF0" w:rsidRPr="000D3090">
        <w:t>.</w:t>
      </w:r>
      <w:r w:rsidR="00C919E1" w:rsidRPr="000D3090">
        <w:t xml:space="preserve"> </w:t>
      </w:r>
      <w:r w:rsidR="00382F34" w:rsidRPr="000D3090">
        <w:t>While the earliest</w:t>
      </w:r>
      <w:r w:rsidR="00233D6F" w:rsidRPr="000D3090">
        <w:t xml:space="preserve"> CA and G</w:t>
      </w:r>
      <w:r w:rsidR="00DA29B9" w:rsidRPr="000D3090">
        <w:t>A</w:t>
      </w:r>
      <w:r w:rsidR="00233D6F" w:rsidRPr="000D3090">
        <w:t xml:space="preserve"> </w:t>
      </w:r>
      <w:r w:rsidR="00382F34" w:rsidRPr="000D3090">
        <w:t>measures</w:t>
      </w:r>
      <w:r w:rsidR="004A2FC8" w:rsidRPr="000D3090">
        <w:t xml:space="preserve"> used a single highway network-based separation and</w:t>
      </w:r>
      <w:r w:rsidR="00382F34" w:rsidRPr="000D3090">
        <w:t xml:space="preserve"> did not differentiate based on individual characteristics/experiences,</w:t>
      </w:r>
      <w:r w:rsidR="009648C6" w:rsidRPr="000D3090">
        <w:t xml:space="preserve"> these </w:t>
      </w:r>
      <w:r w:rsidR="00707A73" w:rsidRPr="000D3090">
        <w:t>measures</w:t>
      </w:r>
      <w:r w:rsidR="00233D6F" w:rsidRPr="000D3090">
        <w:t xml:space="preserve"> </w:t>
      </w:r>
      <w:r w:rsidR="009648C6" w:rsidRPr="000D3090">
        <w:t>may be</w:t>
      </w:r>
      <w:r w:rsidR="00233D6F" w:rsidRPr="000D3090">
        <w:t xml:space="preserve"> easily extended to consider </w:t>
      </w:r>
      <w:r w:rsidR="00707A73" w:rsidRPr="000D3090">
        <w:t xml:space="preserve">such </w:t>
      </w:r>
      <w:r w:rsidR="00233D6F" w:rsidRPr="000D3090">
        <w:t xml:space="preserve">variations. </w:t>
      </w:r>
      <w:r w:rsidR="004A2FC8" w:rsidRPr="000D3090">
        <w:t>For instance</w:t>
      </w:r>
      <w:r w:rsidR="00233D6F" w:rsidRPr="000D3090">
        <w:t xml:space="preserve">, the number of OH </w:t>
      </w:r>
      <w:r w:rsidR="00094A52" w:rsidRPr="000D3090">
        <w:t xml:space="preserve">activity locations </w:t>
      </w:r>
      <w:r w:rsidR="002C0A06" w:rsidRPr="000D3090">
        <w:t>for CA measures</w:t>
      </w:r>
      <w:r w:rsidR="00886095" w:rsidRPr="000D3090">
        <w:t>,</w:t>
      </w:r>
      <w:r w:rsidR="002C0A06" w:rsidRPr="000D3090">
        <w:t xml:space="preserve"> and the attractiveness of OH activity locations for G</w:t>
      </w:r>
      <w:r w:rsidR="004A2FC8" w:rsidRPr="000D3090">
        <w:t>A</w:t>
      </w:r>
      <w:r w:rsidR="002C0A06" w:rsidRPr="000D3090">
        <w:t xml:space="preserve"> measures</w:t>
      </w:r>
      <w:r w:rsidR="00886095" w:rsidRPr="000D3090">
        <w:t>,</w:t>
      </w:r>
      <w:r w:rsidR="002C0A06" w:rsidRPr="000D3090">
        <w:t xml:space="preserve"> </w:t>
      </w:r>
      <w:r w:rsidR="00094A52" w:rsidRPr="000D3090">
        <w:t>can be varied across individuals</w:t>
      </w:r>
      <w:r w:rsidR="00A63BD1" w:rsidRPr="000D3090">
        <w:t xml:space="preserve"> based on such attributes as occupation (for instance, only counting jobs of a specific occupation </w:t>
      </w:r>
      <w:r w:rsidR="00886095" w:rsidRPr="000D3090">
        <w:t xml:space="preserve">as keyed to </w:t>
      </w:r>
      <w:r w:rsidR="00A63BD1" w:rsidRPr="000D3090">
        <w:t>an individual’s occupation)</w:t>
      </w:r>
      <w:r w:rsidR="00886095" w:rsidRPr="000D3090">
        <w:t>. Alternatively,</w:t>
      </w:r>
      <w:r w:rsidR="00094A52" w:rsidRPr="000D3090">
        <w:t xml:space="preserve"> the </w:t>
      </w:r>
      <w:r w:rsidR="00233D6F" w:rsidRPr="000D3090">
        <w:t xml:space="preserve">thresholds for determining the number of OH points of interest </w:t>
      </w:r>
      <w:r w:rsidR="002C0A06" w:rsidRPr="000D3090">
        <w:t>for CA measures</w:t>
      </w:r>
      <w:r w:rsidR="00886095" w:rsidRPr="000D3090">
        <w:t>,</w:t>
      </w:r>
      <w:r w:rsidR="002C0A06" w:rsidRPr="000D3090">
        <w:t xml:space="preserve"> and the separation representation for G</w:t>
      </w:r>
      <w:r w:rsidR="004A2FC8" w:rsidRPr="000D3090">
        <w:t>A</w:t>
      </w:r>
      <w:r w:rsidR="002C0A06" w:rsidRPr="000D3090">
        <w:t xml:space="preserve"> measures</w:t>
      </w:r>
      <w:r w:rsidR="00886095" w:rsidRPr="000D3090">
        <w:t>,</w:t>
      </w:r>
      <w:r w:rsidR="002C0A06" w:rsidRPr="000D3090">
        <w:t xml:space="preserve"> </w:t>
      </w:r>
      <w:r w:rsidR="00233D6F" w:rsidRPr="000D3090">
        <w:t>can be varied across individuals</w:t>
      </w:r>
      <w:r w:rsidR="00707A73" w:rsidRPr="000D3090">
        <w:t xml:space="preserve"> based on </w:t>
      </w:r>
      <w:r w:rsidR="00886095" w:rsidRPr="000D3090">
        <w:t>such factors as modal availability</w:t>
      </w:r>
      <w:r w:rsidR="00A63BD1" w:rsidRPr="000D3090">
        <w:t xml:space="preserve">. Some recent examples of </w:t>
      </w:r>
      <w:r w:rsidR="00886095" w:rsidRPr="000D3090">
        <w:t>these kinds of</w:t>
      </w:r>
      <w:r w:rsidR="00A63BD1" w:rsidRPr="000D3090">
        <w:t xml:space="preserve"> disaggregate physical participation accessibility measures include Dixit and Sivakumar</w:t>
      </w:r>
      <w:r w:rsidR="00397C46" w:rsidRPr="000D3090">
        <w:t xml:space="preserve"> </w:t>
      </w:r>
      <w:r w:rsidR="00397C46" w:rsidRPr="000D3090">
        <w:fldChar w:fldCharType="begin"/>
      </w:r>
      <w:r w:rsidR="006E0707" w:rsidRPr="000D3090">
        <w:instrText xml:space="preserve"> ADDIN ZOTERO_ITEM CSL_CITATION {"citationID":"yQex5Atc","properties":{"formattedCitation":"(2020)","plainCitation":"(2020)","noteIndex":0},"citationItems":[{"id":2215,"uris":["http://zotero.org/users/12832277/items/A83EAAHX"],"itemData":{"id":2215,"type":"article-journal","abstract":"Transport accessibility experienced by an individual depends on their needs and abilities, as represented by their individual characteristics, such as age, income and gender. Although important from an equity perspective, the individual component of accessibility is currently ignored in most transport equity studies. This paper evaluates the impact of including individual characteristics into logsum-based accessibility measures for transport equity analysis. Using data from the London Travel Demand Survey (LTDS) 2011–13, two alternate logsum measures of accessibility are specified – with and without individual characteristics. An empirical analysis of spatial, social and economic equity is conducted using both the measures, and the outcomes are compared. The results clearly demonstrate that ignoring individual characteristics in logsum measures of accessibility can lead to unreliable outcomes for social and economic equity analysis, but do not add significant value when aggregated across large geographical zones for spatial equity analysis. Overall, ignoring individual characteristics masks the disparity in distribution of accessibility, as measured by the Gini index. Although not straightforward, the difference between accessibility patterns using the two logsum measures also yields insights into the possible causes of inequity, which can provide actionable inputs to policy makers. The study highlights that personal needs and abilities are often responsible for accessibility variations among individuals and ignoring them can result in a misleading picture of equity, as demonstrated quantitatively in this paper.","container-title":"Transportation Research Part D: Transport and Environment","DOI":"10.1016/j.trd.2020.102473","ISSN":"1361-9209","source":"ScienceDirect","title":"Capturing the Impact of Individual Characteristics on Transport Accessibility and Equity Analysis","URL":"https://www.sciencedirect.com/science/article/pii/S136192092030660X","volume":"87","author":[{"family":"Dixit","given":"Malvika"},{"family":"Sivakumar","given":"Aruna"}],"accessed":{"date-parts":[["2024",2,5]]},"issued":{"date-parts":[["2020",10,1]]}},"label":"page","suppress-author":true}],"schema":"https://github.com/citation-style-language/schema/raw/master/csl-citation.json"} </w:instrText>
      </w:r>
      <w:r w:rsidR="00397C46" w:rsidRPr="000D3090">
        <w:fldChar w:fldCharType="separate"/>
      </w:r>
      <w:r w:rsidR="006E0707" w:rsidRPr="000D3090">
        <w:t>(2020)</w:t>
      </w:r>
      <w:r w:rsidR="00397C46" w:rsidRPr="000D3090">
        <w:fldChar w:fldCharType="end"/>
      </w:r>
      <w:r w:rsidR="00A63BD1" w:rsidRPr="000D3090">
        <w:t>,</w:t>
      </w:r>
      <w:r w:rsidR="006E0707" w:rsidRPr="000D3090">
        <w:t xml:space="preserve"> Bills et al. </w:t>
      </w:r>
      <w:r w:rsidR="006E0707" w:rsidRPr="000D3090">
        <w:fldChar w:fldCharType="begin"/>
      </w:r>
      <w:r w:rsidR="006E0707" w:rsidRPr="000D3090">
        <w:instrText xml:space="preserve"> ADDIN ZOTERO_ITEM CSL_CITATION {"citationID":"ds2ZYSxD","properties":{"formattedCitation":"(2022)","plainCitation":"(2022)","noteIndex":0},"citationItems":[{"id":2218,"uris":["http://zotero.org/users/12832277/items/3G68YL6T"],"itemData":{"id":2218,"type":"article-journal","abstract":"Several studies cite great potential for microtransit services to improve transportation equity by providing disadvantaged communities with a more flexible and reliable option relative to traditional fixed route transit. However, few have attempted to forecast these equity benefits. This study seeks to contribute to the ongoing discussion by exploring potential equity impacts of a microtransit service in Metropolitan Detroit. Using a logsum accessibility measure calculated from a regional travel demand model, we simulate accessibility changes due to a hypothetical regional microtransit service and demonstrate a regional transportation equity analysis using a typical regional travel demand model. Our results show that accessibility gains would be slightly higher for lower income communities (17% increase compared with 13% for high income) and transit-dependent households (21% compared with 15% for car-owning households). Further, we find that Microtransit may help to reduce gaps in accessibility between disadvantaged and more advantaged traveler groups.","container-title":"Transportation Research Part D: Transport and Environment","DOI":"10.1016/j.trd.2022.103341","ISSN":"1361-9209","source":"ScienceDirect","title":"Towards Transit Equity in Detroit: An Assessment of Microtransit and Its Impact on Employment Accessibility","URL":"https://www.sciencedirect.com/science/article/pii/S1361920922001699","volume":"109","author":[{"family":"Bills","given":"Tierra S."},{"family":"Twumasi-Boakye","given":"Richard"},{"family":"Broaddus","given":"Andrea"},{"family":"Fishelson","given":"James"}],"accessed":{"date-parts":[["2024",2,5]]},"issued":{"date-parts":[["2022",8,1]]}},"label":"page","suppress-author":true}],"schema":"https://github.com/citation-style-language/schema/raw/master/csl-citation.json"} </w:instrText>
      </w:r>
      <w:r w:rsidR="006E0707" w:rsidRPr="000D3090">
        <w:fldChar w:fldCharType="separate"/>
      </w:r>
      <w:r w:rsidR="006E0707" w:rsidRPr="000D3090">
        <w:t>(2022)</w:t>
      </w:r>
      <w:r w:rsidR="006E0707" w:rsidRPr="000D3090">
        <w:fldChar w:fldCharType="end"/>
      </w:r>
      <w:r w:rsidR="006E0707" w:rsidRPr="000D3090">
        <w:t xml:space="preserve">, Guzman et al. </w:t>
      </w:r>
      <w:r w:rsidR="006E0707" w:rsidRPr="000D3090">
        <w:fldChar w:fldCharType="begin"/>
      </w:r>
      <w:r w:rsidR="006E0707" w:rsidRPr="000D3090">
        <w:instrText xml:space="preserve"> ADDIN ZOTERO_ITEM CSL_CITATION {"citationID":"vwESwvZh","properties":{"formattedCitation":"(2023)","plainCitation":"(2023)","noteIndex":0},"citationItems":[{"id":2221,"uris":["http://zotero.org/users/12832277/items/PXWRFMLM"],"itemData":{"id":2221,"type":"article-journal","abstract":"There is now a long tradition of accessibility research, with an increasingly rich set of frameworks and methods from a distributional perspective. Despite such a positive outlook, many accessibility metrics deployed in research and practice do not consider (dis)utility, which may resonate more clearly with mainstream transport decision-making and planning. This paper seeks to contribute to debates about using utility-based measures as inputs for accessibility assessment of transport infrastructure investments in the Global South using discrete choice modeling and its potential as a bridging language between socially nuanced and economics-driven transport planning practices. This paper uses mixed revealed preferences and stated preferences data collected in Bogotá, Colombia. Then, it uses a logsum accessibility metric to estimate the differentiated impact of a set of infrastructure interventions on the accessibility of residents with different income levels and other socioeconomic conditions. Particularly, the logsum accessibility metric analyses future and structural additions to Bogotá public transport networks, reflecting their effect on the accessibility and consumer surplus in the next 20 years. The proposed approach captures the benefits derived from the transport infrastructure improvements, which has relevance for debates about transport policy and practice in this and similar urban contexts in the Global South. These accessibility gains could be assigned a monetary value to include in project cost-benefit assessments.","container-title":"Journal of Transport Geography","DOI":"10.1016/j.jtrangeo.2023.103683","ISSN":"0966-6923","source":"ScienceDirect","title":"How Much Is Accessibility Worth? Utility-Based Accessibility to Evaluate Transport Policies","URL":"https://www.sciencedirect.com/science/article/pii/S0966692323001552","volume":"112","author":[{"family":"Guzman","given":"Luis A."},{"family":"Cantillo-Garcia","given":"Victor A."},{"family":"Oviedo","given":"Daniel"},{"family":"Arellana","given":"Julian"}],"accessed":{"date-parts":[["2024",2,5]]},"issued":{"date-parts":[["2023",10,1]]}},"label":"page","suppress-author":true}],"schema":"https://github.com/citation-style-language/schema/raw/master/csl-citation.json"} </w:instrText>
      </w:r>
      <w:r w:rsidR="006E0707" w:rsidRPr="000D3090">
        <w:fldChar w:fldCharType="separate"/>
      </w:r>
      <w:r w:rsidR="006E0707" w:rsidRPr="000D3090">
        <w:t>(2023)</w:t>
      </w:r>
      <w:r w:rsidR="006E0707" w:rsidRPr="000D3090">
        <w:fldChar w:fldCharType="end"/>
      </w:r>
      <w:r w:rsidR="006E0707" w:rsidRPr="000D3090">
        <w:t xml:space="preserve">, and Klein et al. </w:t>
      </w:r>
      <w:r w:rsidR="006E0707" w:rsidRPr="000D3090">
        <w:fldChar w:fldCharType="begin"/>
      </w:r>
      <w:r w:rsidR="006E0707" w:rsidRPr="000D3090">
        <w:instrText xml:space="preserve"> ADDIN ZOTERO_ITEM CSL_CITATION {"citationID":"lDklXNNZ","properties":{"formattedCitation":"(2023)","plainCitation":"(2023)","noteIndex":0},"citationItems":[{"id":2227,"uris":["http://zotero.org/users/12832277/items/PAS9BAM6"],"itemData":{"id":2227,"type":"article-journal","abstract":"We examine transitions into and out of car ownership among low-income households. We use a novel online survey of U.S. residents to investigate why households lose access to a car, how long they are without a car, why they regain a car, and how these transitions affect their quality of life. We find that car ownership transitions are primarily motivated by economic security and insecurity. The median length of a car-less episode is 1.7 years, while black and Hispanic respondents experienced longer car-less episodes. Despite their precarious grasp on car ownership, respondents felt that owning a car was worth it.","container-title":"Journal of Planning Education and Research","DOI":"10.1177/0739456X231163755","ISSN":"0739-456X","language":"en","note":"publisher: SAGE Publications Inc","page":"0739456X231163755","source":"SAGE Journals","title":"Transitions into and Out of Car Ownership Among Low-Income Households in the United States","author":[{"family":"Klein","given":"Nicholas J."},{"family":"Basu","given":"Rounaq"},{"family":"Smart","given":"Michael J."}],"issued":{"date-parts":[["2023",5,3]]}},"label":"page","suppress-author":true}],"schema":"https://github.com/citation-style-language/schema/raw/master/csl-citation.json"} </w:instrText>
      </w:r>
      <w:r w:rsidR="006E0707" w:rsidRPr="000D3090">
        <w:fldChar w:fldCharType="separate"/>
      </w:r>
      <w:r w:rsidR="006E0707" w:rsidRPr="000D3090">
        <w:t>(2023)</w:t>
      </w:r>
      <w:r w:rsidR="006E0707" w:rsidRPr="000D3090">
        <w:fldChar w:fldCharType="end"/>
      </w:r>
      <w:r w:rsidR="006E0707" w:rsidRPr="000D3090">
        <w:t>.</w:t>
      </w:r>
    </w:p>
    <w:p w14:paraId="2ED0AB7A" w14:textId="5BA2F06F" w:rsidR="007A4F77" w:rsidRPr="000D3090" w:rsidRDefault="00886095" w:rsidP="006E0707">
      <w:pPr>
        <w:spacing w:after="0" w:line="240" w:lineRule="auto"/>
        <w:ind w:firstLine="720"/>
        <w:jc w:val="both"/>
      </w:pPr>
      <w:r w:rsidRPr="000D3090">
        <w:t xml:space="preserve">Of course, the ease of reach to OH activities is not only based on objective factors, but also on how these objective factors are perceived </w:t>
      </w:r>
      <w:r w:rsidR="00527654" w:rsidRPr="000D3090">
        <w:fldChar w:fldCharType="begin"/>
      </w:r>
      <w:r w:rsidR="004A2FC8" w:rsidRPr="000D3090">
        <w:instrText xml:space="preserve"> ADDIN ZOTERO_ITEM CSL_CITATION {"citationID":"tBmwQXNH","properties":{"unsorted":true,"formattedCitation":"(De Vos et al., 2023)","plainCitation":"(De Vos et al., 2023)","noteIndex":0},"citationItems":[{"id":1908,"uris":["http://zotero.org/users/12832277/items/EUPYB3ZT"],"itemData":{"id":1908,"type":"article-journal","abstract":"For decades, accessibility – i.e. the ease of reaching destinations – has been an important concept in transport planning, resulting in many studies trying to measure it and put it into practice. Also walkability, a mode-specific type of accessibility referring to how easy it is to walk (to destinations) received increased attention in the last two decades. In recent years, a new focus has been on how people perceive their accessibility as this may be a stronger predictor of travel behaviour than objective elements of accessibility (such as built environment characteristics). Perceived walkability, i.e. how walk-friendly people experience a certain area, however, has only been explored by a limited number of studies. In this review paper, we give an overview of existing studies analysing perceived walkability, which mostly have focused on its effects on walking frequency/duration, physical activity and various aspects of mental well-being. Based on this literature review, a conceptual model is created, emphasising the determinants and effects of perceived walkability and how it is related to objective walkability. We end this paper by providing avenues for further research, including the introduction of a Short Perceived Walkability Scale (SPWS) and recommendations for data collection and analysis. Doing so can create new insights into perceived walkability and links with related elements, and therefore can contribute to stimulating walking trips and improving the experience of these trips.","container-title":"Transport Reviews","DOI":"10.1080/01441647.2022.2101072","ISSN":"0144-1647","issue":"2","note":"publisher: Routledge\n_eprint: https://doi.org/10.1080/01441647.2022.2101072","page":"303-324","source":"Taylor and Francis+NEJM","title":"Determinants and Effects of Perceived Walkability: A Literature Review, Conceptual Model and Research Agenda","volume":"43","author":[{"family":"De Vos","given":"Jonas"},{"family":"Lättman","given":"Katrin"},{"family":"Vlugt","given":"Anna-Lena","non-dropping-particle":"van der"},{"family":"Welsch","given":"Janina"},{"family":"Otsuka","given":"Noriko"}],"issued":{"date-parts":[["2023",3,4]]}}}],"schema":"https://github.com/citation-style-language/schema/raw/master/csl-citation.json"} </w:instrText>
      </w:r>
      <w:r w:rsidR="00527654" w:rsidRPr="000D3090">
        <w:fldChar w:fldCharType="separate"/>
      </w:r>
      <w:r w:rsidR="004A2FC8" w:rsidRPr="000D3090">
        <w:t>(De Vos et al., 2023)</w:t>
      </w:r>
      <w:r w:rsidR="00527654" w:rsidRPr="000D3090">
        <w:fldChar w:fldCharType="end"/>
      </w:r>
      <w:r w:rsidR="0044001A" w:rsidRPr="000D3090">
        <w:t>.</w:t>
      </w:r>
      <w:r w:rsidR="008C68C8" w:rsidRPr="000D3090">
        <w:t xml:space="preserve"> </w:t>
      </w:r>
      <w:r w:rsidRPr="000D3090">
        <w:t xml:space="preserve">A </w:t>
      </w:r>
      <w:r w:rsidR="00853859" w:rsidRPr="000D3090">
        <w:t xml:space="preserve">wide range of studies have </w:t>
      </w:r>
      <w:r w:rsidRPr="000D3090">
        <w:t xml:space="preserve">reported </w:t>
      </w:r>
      <w:r w:rsidR="00853859" w:rsidRPr="000D3090">
        <w:t xml:space="preserve">the effects of </w:t>
      </w:r>
      <w:r w:rsidRPr="000D3090">
        <w:t xml:space="preserve">subjective </w:t>
      </w:r>
      <w:r w:rsidR="00853859" w:rsidRPr="000D3090">
        <w:t xml:space="preserve">perceptions </w:t>
      </w:r>
      <w:r w:rsidR="009F244F" w:rsidRPr="000D3090">
        <w:t xml:space="preserve">on transportation outcomes, including </w:t>
      </w:r>
      <w:r w:rsidR="00712454" w:rsidRPr="000D3090">
        <w:t xml:space="preserve">trip-making and </w:t>
      </w:r>
      <w:r w:rsidR="009F244F" w:rsidRPr="000D3090">
        <w:t>the use of specific mode</w:t>
      </w:r>
      <w:r w:rsidR="00712454" w:rsidRPr="000D3090">
        <w:t xml:space="preserve">s. </w:t>
      </w:r>
      <w:r w:rsidR="00C5254E" w:rsidRPr="000D3090">
        <w:t>For instance</w:t>
      </w:r>
      <w:r w:rsidR="00372AC1" w:rsidRPr="000D3090">
        <w:t xml:space="preserve">, </w:t>
      </w:r>
      <w:r w:rsidR="002C32DF" w:rsidRPr="000D3090">
        <w:t>perceptions of travel time</w:t>
      </w:r>
      <w:r w:rsidR="00F27A95" w:rsidRPr="000D3090">
        <w:t xml:space="preserve"> </w:t>
      </w:r>
      <w:r w:rsidR="00FA59E8" w:rsidRPr="000D3090">
        <w:t>reliability</w:t>
      </w:r>
      <w:r w:rsidR="002C32DF" w:rsidRPr="000D3090">
        <w:t xml:space="preserve"> have been show</w:t>
      </w:r>
      <w:r w:rsidR="009E7A34" w:rsidRPr="000D3090">
        <w:t>n</w:t>
      </w:r>
      <w:r w:rsidR="002C32DF" w:rsidRPr="000D3090">
        <w:t xml:space="preserve"> to have a significant impact on </w:t>
      </w:r>
      <w:r w:rsidR="00DA7E2B" w:rsidRPr="000D3090">
        <w:t>transportation satisfaction and travel intentions</w:t>
      </w:r>
      <w:r w:rsidR="00DF771C" w:rsidRPr="000D3090">
        <w:t xml:space="preserve"> </w:t>
      </w:r>
      <w:r w:rsidR="00DF771C" w:rsidRPr="000D3090">
        <w:fldChar w:fldCharType="begin"/>
      </w:r>
      <w:r w:rsidR="004A2FC8" w:rsidRPr="000D3090">
        <w:instrText xml:space="preserve"> ADDIN ZOTERO_ITEM CSL_CITATION {"citationID":"7a3XyMnm","properties":{"unsorted":true,"formattedCitation":"(Taylor, 2013; Chen et al., 2017)","plainCitation":"(Taylor, 2013; Chen et al., 2017)","noteIndex":0},"citationItems":[{"id":2202,"uris":["http://zotero.org/users/12832277/items/B3BZ4JVB"],"itemData":{"id":2202,"type":"article-journal","abstract":"This paper provides a review of research on the concepts and application of travel time reliability and on the underpinning research on travel time variability. It charts the development of the topic from beginnings concerned with exploring the possible extent of variability in travel times through to the current interests in the specification of meaningful metrics for reliability, the inclusion of travel time reliability factors in traffic assignment and on ascribing economic valuations to travel time reliability for use in the economic appraisal of transport policies and projects. Travel time reliability is now recognised as a major determinant of travel behaviour and as an important performance measure for transport systems operation. Much has been achieved in understanding the symptoms and causes of variability in travel times. Yet the definitions are still not completely clear, and as a consequence the measurement and assessment of travel time reliability is still open to interpretation. Relationships between traffic congestion and reliability are inferred, and in more recent times the influence of ‘extreme events’, including weather events, on reliability has become an important research topic. The paper reviews the current situation, and provides ideas for future research.","container-title":"Transportmetrica B: Transport Dynamics","DOI":"10.1080/21680566.2013.859107","ISSN":"2168-0566","issue":"3","note":"publisher: Taylor &amp; Francis\n_eprint: https://doi.org/10.1080/21680566.2013.859107","page":"174-194","source":"Taylor and Francis+NEJM","title":"Travel Through Time: The Story of Research on Travel Time Reliability","volume":"1","author":[{"family":"Taylor","given":"Michael A.P."}],"issued":{"date-parts":[["2013",12,1]]}}},{"id":2204,"uris":["http://zotero.org/users/12832277/items/YGRZQATB"],"itemData":{"id":2204,"type":"article-journal","abstract":"Travel time uncertainty has significant impacts on individual activity-travel scheduling, but at present these impacts have not been considered in most accessibility studies. In this paper, an accessibility evaluation framework is proposed for urban areas with uncertain travel times. A reliable space-time service region (RSTR) model is introduced to represent the space-time service region of a facility under travel time uncertainty. Based on the RSTR model, four reliable place-based accessibility measures are proposed to evaluate accessibility to urban services by incorporating the effects of travel time reliability. To demonstrate the applicability of the proposed framework, a case study using large-scale taxi tracking data is carried out. The results of the case study indicate that the proposed accessibility measures can evaluate large-scale place-based accessibility well in urban areas with uncertain travel times. Conventional place-based accessibility indicators ignoring travel time reliability can significantly overestimate the accessibility to urban services.","container-title":"International Journal of Geographical Information Science","DOI":"10.1080/13658816.2016.1238919","ISSN":"1365-8816","issue":"4","note":"publisher: Taylor &amp; Francis\n_eprint: https://doi.org/10.1080/13658816.2016.1238919","page":"783-804","source":"Taylor and Francis+NEJM","title":"Measuring Place-Based Accessibility Under Travel Time Uncertainty","volume":"31","author":[{"family":"Chen","given":"Bi Yu"},{"family":"Yuan","given":"Hui"},{"family":"Li","given":"Qingquan"},{"family":"Wang","given":"Donggen"},{"family":"Shaw","given":"Shih-Lung"},{"family":"Chen","given":"Hui-Ping"},{"family":"Lam","given":"William H. K."}],"issued":{"date-parts":[["2017",4,3]]}}}],"schema":"https://github.com/citation-style-language/schema/raw/master/csl-citation.json"} </w:instrText>
      </w:r>
      <w:r w:rsidR="00DF771C" w:rsidRPr="000D3090">
        <w:fldChar w:fldCharType="separate"/>
      </w:r>
      <w:r w:rsidR="004A2FC8" w:rsidRPr="000D3090">
        <w:t>(Taylor, 2013; Chen et al., 2017)</w:t>
      </w:r>
      <w:r w:rsidR="00DF771C" w:rsidRPr="000D3090">
        <w:fldChar w:fldCharType="end"/>
      </w:r>
      <w:r w:rsidR="00DA7E2B" w:rsidRPr="000D3090">
        <w:t>.</w:t>
      </w:r>
      <w:r w:rsidR="00B043F2" w:rsidRPr="000D3090">
        <w:rPr>
          <w:b/>
          <w:bCs/>
        </w:rPr>
        <w:t xml:space="preserve"> </w:t>
      </w:r>
      <w:r w:rsidR="0054556D" w:rsidRPr="000D3090">
        <w:t>Beyond the perception of travel time reliability</w:t>
      </w:r>
      <w:r w:rsidR="00D47B6E" w:rsidRPr="000D3090">
        <w:t xml:space="preserve">, </w:t>
      </w:r>
      <w:r w:rsidR="00D701E7" w:rsidRPr="000D3090">
        <w:t>perceptions of safety are of critical importance</w:t>
      </w:r>
      <w:r w:rsidR="00F27A95" w:rsidRPr="000D3090">
        <w:t xml:space="preserve">, which may vary across individuals based on </w:t>
      </w:r>
      <w:r w:rsidR="00F9169D" w:rsidRPr="000D3090">
        <w:t>social norms and expectations. For instance,</w:t>
      </w:r>
      <w:r w:rsidR="00510347" w:rsidRPr="000D3090">
        <w:t xml:space="preserve"> </w:t>
      </w:r>
      <w:r w:rsidR="003678D7" w:rsidRPr="000D3090">
        <w:t xml:space="preserve">cyclists and pedestrians </w:t>
      </w:r>
      <w:r w:rsidR="00D47B6E" w:rsidRPr="000D3090">
        <w:t>are likely to be concerned about crash-related safety</w:t>
      </w:r>
      <w:r w:rsidR="00B950AC" w:rsidRPr="000D3090">
        <w:t xml:space="preserve"> </w:t>
      </w:r>
      <w:r w:rsidR="00321D5C" w:rsidRPr="000D3090">
        <w:fldChar w:fldCharType="begin"/>
      </w:r>
      <w:r w:rsidR="00BE586B" w:rsidRPr="000D3090">
        <w:instrText xml:space="preserve"> ADDIN ZOTERO_ITEM CSL_CITATION {"citationID":"cwuH1EzF","properties":{"formattedCitation":"(Ng et al., 2017)","plainCitation":"(Ng et al., 2017)","noteIndex":0},"citationItems":[{"id":2409,"uris":["http://zotero.org/users/12832277/items/CRB7GLE7"],"itemData":{"id":2409,"type":"article-journal","abstract":"Previous research suggests that cyclists’ perceptions of the safety of cycling infrastructure influences their desire to ride on that infrastructure. Cycling infrastructure includes both cycling facilities and cycling-supportive road treatments. While researchers have previously examined the safety perceptions of cycling infrastructure on midblock road sections, little is known about the safety perceptions of cycling infrastructure at intersections. The aim of this study was to investigate which types of cycling infrastructure do cyclists perceive to be the safest at un-signalised intersections. This study was conducted in Queensland, Australia. Adult members of bicycle organisations (N=214) completed an online survey about their demographic characteristics, cycling habits, previous near-miss or collision experiences while cycling, and safety perceptions of cycling infrastructure at intersections. General linear mixed-modelling was used to examine associations between safety perceptions and 12 types of cycling infrastructure at three different motorist-cyclist interaction scenarios. Off-road bicycle paths and footpaths were perceived to be the safest cycling infrastructure at un-signalised intersections (p&lt;0.05). While cycling through an intersection, participants were more concerned about being sideswiped than being struck directly at the side by a motorist (p&lt;0.05). The findings suggest that cyclists’ safety perceptions of cycling infrastructure at un-signalised intersections are associated with motorists’ yielding behaviour towards cyclists. Cyclists felt safer using cycling infrastructure where they had to give way to turning motorists at the intersection than using cycling infrastructure where they had the right of way. By doing so, cyclists can decide whether or not it is safe to cross the intersection rather than worry about turning motorists who could be attempting to outrace them. In practice, assessing motorists’ behaviours and attitudes towards cyclists should be considered before designing and implementing cycling infrastructure at intersections.","container-title":"Journal of Transport &amp; Health","DOI":"10.1016/j.jth.2017.03.001","ISSN":"2214-1405","page":"13-22","source":"ScienceDirect","title":"Cyclist’ Safety Perceptions of Cycling Infrastructure at Un-Signalised Intersections: Cross-Sectional Survey of Queensland Cyclists","volume":"6","author":[{"family":"Ng","given":"Athena"},{"family":"Debnath","given":"Ashim Kumar"},{"family":"Heesch","given":"Kristiann C."}],"issued":{"date-parts":[["2017",9,1]]}}}],"schema":"https://github.com/citation-style-language/schema/raw/master/csl-citation.json"} </w:instrText>
      </w:r>
      <w:r w:rsidR="00321D5C" w:rsidRPr="000D3090">
        <w:fldChar w:fldCharType="separate"/>
      </w:r>
      <w:r w:rsidR="00321D5C" w:rsidRPr="000D3090">
        <w:t>(Ng et al., 2017)</w:t>
      </w:r>
      <w:r w:rsidR="00321D5C" w:rsidRPr="000D3090">
        <w:fldChar w:fldCharType="end"/>
      </w:r>
      <w:r w:rsidR="0029506D" w:rsidRPr="000D3090">
        <w:t xml:space="preserve">, </w:t>
      </w:r>
      <w:r w:rsidR="00DF07E2" w:rsidRPr="000D3090">
        <w:t xml:space="preserve">while public transit users </w:t>
      </w:r>
      <w:r w:rsidR="00D47B6E" w:rsidRPr="000D3090">
        <w:t xml:space="preserve">may be more concerned about crime-related </w:t>
      </w:r>
      <w:r w:rsidR="00DF07E2" w:rsidRPr="000D3090">
        <w:t>safety</w:t>
      </w:r>
      <w:r w:rsidR="00F02FB4" w:rsidRPr="000D3090">
        <w:t xml:space="preserve"> </w:t>
      </w:r>
      <w:r w:rsidR="00657786" w:rsidRPr="000D3090">
        <w:fldChar w:fldCharType="begin"/>
      </w:r>
      <w:r w:rsidR="00BE586B" w:rsidRPr="000D3090">
        <w:instrText xml:space="preserve"> ADDIN ZOTERO_ITEM CSL_CITATION {"citationID":"lKF7Ey28","properties":{"formattedCitation":"(Kim et al., 2007)","plainCitation":"(Kim et al., 2007)","noteIndex":0},"citationItems":[{"id":2421,"uris":["http://zotero.org/users/12832277/items/XKU8WTII"],"itemData":{"id":2421,"type":"article-journal","abstract":"This paper analyzes factors that influence the mode choice for trips between home and light rail stations, an often neglected part of a person’s trip making behavior. This is important for transit planning, demand modeling, and transit oriented development. Using transit survey data describing St. Louis MetroLink riders in the United States, this study found that some of the factors associated with increased shares of walking relative to other modes were full-time student status, higher income transit riders, and trips made during the evening. It was also found that crime at stations had an impact. In particular, crime made female transit riders more likely to be picked-up/dropped-off at the station. Females are more likely to be picked-up or dropped-off at night. Bus availability and convenience showed that transit riders that have a direct bus connection to a light rail station were more likely to use the bus. Private vehicle availability was strongly associated with increased probability of drive and park, when connecting to light rail.","container-title":"Transportation Research Part A: Policy and Practice","DOI":"10.1016/j.tra.2006.11.001","ISSN":"0965-8564","issue":"6","page":"511-522","source":"ScienceDirect","title":"Analysis of Light Rail Rider Travel Behavior: Impacts of Individual, Built Environment, and Crime Characteristics on Transit Access","volume":"41","author":[{"family":"Kim","given":"Sungyop"},{"family":"Ulfarsson","given":"Gudmundur F."},{"family":"Todd Hennessy","given":"J."}],"issued":{"date-parts":[["2007",7,1]]}}}],"schema":"https://github.com/citation-style-language/schema/raw/master/csl-citation.json"} </w:instrText>
      </w:r>
      <w:r w:rsidR="00657786" w:rsidRPr="000D3090">
        <w:fldChar w:fldCharType="separate"/>
      </w:r>
      <w:r w:rsidR="00657786" w:rsidRPr="000D3090">
        <w:t>(Kim et al., 2007)</w:t>
      </w:r>
      <w:r w:rsidR="00657786" w:rsidRPr="000D3090">
        <w:fldChar w:fldCharType="end"/>
      </w:r>
      <w:r w:rsidR="00DF07E2" w:rsidRPr="000D3090">
        <w:t>.</w:t>
      </w:r>
      <w:r w:rsidR="005B768A" w:rsidRPr="000D3090">
        <w:t xml:space="preserve"> </w:t>
      </w:r>
      <w:r w:rsidR="00777E54" w:rsidRPr="000D3090">
        <w:t>These safety perceptions are also inherently individual specific</w:t>
      </w:r>
      <w:r w:rsidR="005F1A93" w:rsidRPr="000D3090">
        <w:t xml:space="preserve">, both because of differences in objective safety and because of perceived differences </w:t>
      </w:r>
      <w:r w:rsidR="00777E54" w:rsidRPr="000D3090">
        <w:t>related to the personal backgrounds and experiences of individual users</w:t>
      </w:r>
      <w:r w:rsidR="001B2FB8" w:rsidRPr="000D3090">
        <w:t xml:space="preserve"> </w:t>
      </w:r>
      <w:r w:rsidR="00387642" w:rsidRPr="000D3090">
        <w:fldChar w:fldCharType="begin"/>
      </w:r>
      <w:r w:rsidR="00BE586B" w:rsidRPr="000D3090">
        <w:instrText xml:space="preserve"> ADDIN ZOTERO_ITEM CSL_CITATION {"citationID":"vFZcDpuu","properties":{"formattedCitation":"(Yavuz and Welch, 2010)","plainCitation":"(Yavuz and Welch, 2010)","noteIndex":0},"citationItems":[{"id":2412,"uris":["http://zotero.org/users/12832277/items/QZBPPD7U"],"itemData":{"id":2412,"type":"article-journal","abstract":"Research has identified several factors that affect fear of crime in public space. However, the extent to which gender moderates the effectiveness of fear-reducing measures has received little attention. Using data from the Chicago Transit Authority Customer Satisfaction Survey of 2003, this study aims to understand whether train transit security practices and service attributes affect men and women differently. Findings indicate that, while the presence of video cameras has a lower effect on women’s feelings of safety compared with men, frequent and on-time service matters more to male passengers. Additionally, experience with safety-related problems affects women significantly more than men. Conclusions discuss the implications of the study for theory and gender-specific policies to improve perceptions of transit safety.","container-title":"Urban Studies","DOI":"10.1177/0042098009359033","ISSN":"0042-0980","issue":"12","language":"en","note":"publisher: SAGE Publications Ltd","page":"2491-2515","source":"SAGE Journals","title":"Addressing Fear of Crime in Public Space: Gender Differences in Reaction to Safety Measures in Train Transit","volume":"47","author":[{"family":"Yavuz","given":"Nilay"},{"family":"Welch","given":"Eric W."}],"issued":{"date-parts":[["2010",11,1]]}}}],"schema":"https://github.com/citation-style-language/schema/raw/master/csl-citation.json"} </w:instrText>
      </w:r>
      <w:r w:rsidR="00387642" w:rsidRPr="000D3090">
        <w:fldChar w:fldCharType="separate"/>
      </w:r>
      <w:r w:rsidR="00387642" w:rsidRPr="000D3090">
        <w:t>(Yavuz and Welch, 2010)</w:t>
      </w:r>
      <w:r w:rsidR="00387642" w:rsidRPr="000D3090">
        <w:fldChar w:fldCharType="end"/>
      </w:r>
      <w:r w:rsidR="00777E54" w:rsidRPr="000D3090">
        <w:t>.</w:t>
      </w:r>
      <w:r w:rsidR="001B2FB8" w:rsidRPr="000D3090">
        <w:t xml:space="preserve"> </w:t>
      </w:r>
      <w:r w:rsidR="005F1A93" w:rsidRPr="000D3090">
        <w:t xml:space="preserve">For </w:t>
      </w:r>
      <w:r w:rsidR="008B3E6F" w:rsidRPr="000D3090">
        <w:t>instance,</w:t>
      </w:r>
      <w:r w:rsidR="005F1A93" w:rsidRPr="000D3090">
        <w:t xml:space="preserve"> </w:t>
      </w:r>
      <w:r w:rsidR="00D47B6E" w:rsidRPr="000D3090">
        <w:t xml:space="preserve">women are more likely to experience harassment on public transit, and may tend to avoid transit, particularly when traveling alone </w:t>
      </w:r>
      <w:r w:rsidR="00D47B6E" w:rsidRPr="000D3090">
        <w:fldChar w:fldCharType="begin"/>
      </w:r>
      <w:r w:rsidR="00D47B6E" w:rsidRPr="000D3090">
        <w:instrText xml:space="preserve"> ADDIN ZOTERO_ITEM CSL_CITATION {"citationID":"X9EIjLCB","properties":{"formattedCitation":"(Currie et al., 2013; Stark and Meschik, 2018)","plainCitation":"(Currie et al., 2013; Stark and Meschik, 2018)","noteIndex":0},"citationItems":[{"id":2359,"uris":["http://zotero.org/users/12832277/items/ZDQ7FF86"],"itemData":{"id":2359,"type":"article-journal","abstract":"This paper explores factors influencing perceptions of safety on public transport using an empirical analysis of a survey of young people in Melbourne, Australia. In the literature, some studies disagree as to the extent to which perceptions of safety are affected by actual experience of crime. Some suggest perceptions of personal safety are not justified by actual crime rates, whereas others find that direct experience of unsafe incidents results in greater safety concerns. Related research suggests that psychological factors can make some people feel uncomfortable on public transport and that this may increase perceptions of poor personal safety. However, these links have not yet been tested empirically in the public transport context. In this study, three statistically reliable MANOVA models demonstrated that psychological influences, i.e., “feeling comfortable with people you don’t know on public transport,” had the largest individual influence on perceptions of safety with a medium-size effect. Gender and actual experiences of a personal safety incident also influenced perceptions of personal safety but with a small effect size. Overall, the research suggests that feelings of anxiety and discomfort associated with traveling with people you do not know is the most influential factor driving negative feelings of personal safety on public transport. Gender and actual experience of unsafe incidents were not as important. Areas for further research are identified.","container-title":"Journal of Public Transportation","DOI":"10.5038/2375-0901.16.1.1","ISSN":"1077-291X","issue":"1","page":"1-19","source":"ScienceDirect","title":"Factors Influencing Young Peoples ‘ Perceptions of Personal Safety on Public Transport","volume":"16","author":[{"family":"Currie","given":"Graham"},{"family":"Delbosc","given":"Alexa"},{"family":"Mahmoud","given":"Sarah"}],"issued":{"date-parts":[["2013",1,1]]}}},{"id":2364,"uris":["http://zotero.org/users/12832277/items/S8GXG8XU"],"itemData":{"id":2364,"type":"article-journal","abstract":"This paper investigates frightening situations women face in their everyday mobility. The focus is not on serious criminal offences but rather on all situations causing fear such as harassment and the influence on the travel behaviour of women. Two surveys were conducted in Austria in 2012 and 2013 to assess whether and how many women are affected and to get insights in locations of the incidents and the circumstances. The personal security aspects of different modes of transport are investigated. The results show that women who experienced frightening situations tend to avoid certain destinations or routes and travel modes more than other women. The results also confirm that women in general have constrained travel behaviour because of fear about their personal security. When it is impossible to change route or travel time e.g. due to personal restraints, or when simply no other transport mode is available, women are captives to use unwanted transport options, even when they have to reckon with frightening situations. The conclusions summarize that women’s personal security plays an important role in terms of travel behaviour and increased attention should be paid by authorities as well as city- and transport planners striving for sustainable built environments. As the share of affected women is high and it can be assumed that women are more often imperilled than men the questions arises, if this can be assimilated to unequal mobility opportunities, finally resulting in a social deficiency for women.","container-title":"Transportation Research Part F: Traffic Psychology and Behaviour","DOI":"10.1016/j.trf.2018.02.017","ISSN":"1369-8478","page":"311-323","source":"ScienceDirect","title":"Women’s Everyday Mobility: Frightening Situations and Their Impacts on Travel Behaviour","volume":"54","author":[{"family":"Stark","given":"Juliane"},{"family":"Meschik","given":"Michael"}],"issued":{"date-parts":[["2018",4,1]]}}}],"schema":"https://github.com/citation-style-language/schema/raw/master/csl-citation.json"} </w:instrText>
      </w:r>
      <w:r w:rsidR="00D47B6E" w:rsidRPr="000D3090">
        <w:fldChar w:fldCharType="separate"/>
      </w:r>
      <w:r w:rsidR="00D47B6E" w:rsidRPr="000D3090">
        <w:t>(Currie et al., 2013; Stark and Meschik, 2018)</w:t>
      </w:r>
      <w:r w:rsidR="00D47B6E" w:rsidRPr="000D3090">
        <w:fldChar w:fldCharType="end"/>
      </w:r>
      <w:r w:rsidR="00D47B6E" w:rsidRPr="000D3090">
        <w:t xml:space="preserve">. Relatedly, while perceptions of crime may deter some users, excess security and policing may deter others. </w:t>
      </w:r>
      <w:r w:rsidR="00527D74" w:rsidRPr="000D3090">
        <w:t xml:space="preserve">Thus, as Spieler </w:t>
      </w:r>
      <w:r w:rsidR="006E0707" w:rsidRPr="000D3090">
        <w:fldChar w:fldCharType="begin"/>
      </w:r>
      <w:r w:rsidR="006E0707" w:rsidRPr="000D3090">
        <w:instrText xml:space="preserve"> ADDIN ZOTERO_ITEM CSL_CITATION {"citationID":"htc2xjXF","properties":{"formattedCitation":"(2020)","plainCitation":"(2020)","noteIndex":0},"citationItems":[{"id":3462,"uris":["http://zotero.org/groups/5345474/items/N5VK8U7C"],"itemData":{"id":3462,"type":"webpage","container-title":"Kinder Institute for Urban Research | Rice University","language":"en","title":"Racism has shaped public transit, and it’s riddled with inequities | Kinder Institute for Urban Research","URL":"https://kinder.rice.edu/urbanedge/racism-has-shaped-public-transit-and-its-riddled-inequities","author":[{"family":"Spieler","given":"Christof"}],"accessed":{"date-parts":[["2024",6,7]]},"issued":{"date-parts":[["2020",8,24]]}},"label":"page","suppress-author":true}],"schema":"https://github.com/citation-style-language/schema/raw/master/csl-citation.json"} </w:instrText>
      </w:r>
      <w:r w:rsidR="006E0707" w:rsidRPr="000D3090">
        <w:fldChar w:fldCharType="separate"/>
      </w:r>
      <w:r w:rsidR="006E0707" w:rsidRPr="000D3090">
        <w:t>(2020)</w:t>
      </w:r>
      <w:r w:rsidR="006E0707" w:rsidRPr="000D3090">
        <w:fldChar w:fldCharType="end"/>
      </w:r>
      <w:r w:rsidR="00527D74" w:rsidRPr="000D3090">
        <w:t xml:space="preserve"> puts it, </w:t>
      </w:r>
      <w:r w:rsidR="00527D74" w:rsidRPr="000D3090">
        <w:lastRenderedPageBreak/>
        <w:t xml:space="preserve">“White riders are likely to see a police officer on a train as a comforting presence, while many Black riders justifiably will perceive them as a potential threat.” </w:t>
      </w:r>
      <w:r w:rsidR="00CF6516" w:rsidRPr="000D3090">
        <w:t>Finally</w:t>
      </w:r>
      <w:r w:rsidR="00A10A2A" w:rsidRPr="000D3090">
        <w:t xml:space="preserve">, </w:t>
      </w:r>
      <w:r w:rsidR="00C46E42" w:rsidRPr="000D3090">
        <w:t xml:space="preserve">perceptions of health and cleanliness can also </w:t>
      </w:r>
      <w:r w:rsidR="00527D74" w:rsidRPr="000D3090">
        <w:t>play a role</w:t>
      </w:r>
      <w:r w:rsidR="00C46E42" w:rsidRPr="000D3090">
        <w:t xml:space="preserve">. </w:t>
      </w:r>
      <w:r w:rsidR="00636B92" w:rsidRPr="000D3090">
        <w:t>The COVID-19 pandemic provides a clear example</w:t>
      </w:r>
      <w:r w:rsidR="00230EE9" w:rsidRPr="000D3090">
        <w:t>.</w:t>
      </w:r>
      <w:r w:rsidR="00636B92" w:rsidRPr="000D3090">
        <w:t xml:space="preserve"> Fears of infection in public spaces </w:t>
      </w:r>
      <w:r w:rsidR="00915275" w:rsidRPr="000D3090">
        <w:t xml:space="preserve">and perceptions of cleanliness contributed to significant declines in public transportation, ridesharing, and other shared modes, while the use of individual active modes grew </w:t>
      </w:r>
      <w:r w:rsidR="00C70AA2" w:rsidRPr="000D3090">
        <w:fldChar w:fldCharType="begin"/>
      </w:r>
      <w:r w:rsidR="004A2FC8" w:rsidRPr="000D3090">
        <w:instrText xml:space="preserve"> ADDIN ZOTERO_ITEM CSL_CITATION {"citationID":"g8SQwq8r","properties":{"unsorted":true,"formattedCitation":"(Seabra et al., 2021; Javadinasr et al., 2022)","plainCitation":"(Seabra et al., 2021; Javadinasr et al., 2022)","noteIndex":0},"citationItems":[{"id":2374,"uris":["http://zotero.org/users/12832277/items/A6QGEJ7R"],"itemData":{"id":2374,"type":"chapter","abstract":"Tourism is not only affected by pandemics and epidemics but also contributes to their spread, affecting not only tourists but also the communities in their destinations. The COVID-19 pandemic brought about a new crisis, challenging the travel industry more than ever before. Several studies have suggested that there will be long-term severe effects that could continue for an unspecified period of time across the world, both medically, socially and economically. Pandemics and Travel: COVID-19 Impacts in the Tourism Industry analyses the wider impacts of epidemics, diseases and virus outbreaks on tourism and mobility. Chapters examine a wide range of interrelated issues, including the concept of Health Risk and Tourism, the impacts of the recent COVID-19 crisis on tourism activity in several countries, and considers new challenges that the tourism industry will face in the post-COVID era. This book is essential reading for researchers seeking to understand the ongoing effects of pandemics on travel, tourism, hospitality and health industries.","container-title":"Pandemics and Travel: COVID-19 Impacts in the Tourism Industry","ISBN":"978-1-80071-070-2","language":"en","note":"Google-Books-ID: j509EAAAQBAJ","publisher":"Emerald Group Publishing","source":"Google Books","title":"Perceptions of Safety and Risk in the Daily Life and Travel Plans in the COVID-19 Context: One Year and Three Waves After","author":[{"family":"Seabra","given":"C."},{"family":"Silva","given":"C."},{"family":"Paiva","given":"O."},{"family":"Reis","given":"M."},{"family":"Abrantes","given":"J. L."}],"issued":{"date-parts":[["2021",9,3]]}}},{"id":2376,"uris":["http://zotero.org/users/12832277/items/HWL4AHWH"],"itemData":{"id":2376,"type":"article-journal","abstract":"A critical challenge facing transportation planners is to identify the type and the extent of changes in people’s activity-travel behavior in the post-Covid-19 pandemic world. In this study, we investigate the travel behavior evolution by analyzing a longitudinal two-wave panel survey data conducted in the United States from April 2020 to May 2021. Encompassing nearly 3,000 respondents across different states, we explored the effects of the pandemic on four major categories of work from home, travel mode choice, online shopping, and air travel. We utilized descriptive and econometric measures, including random effects ordered probit models, to shed light on the pandemic-induced changes and the underlying factors affecting the future of mobility in the post-pandemic world. Upon concrete evidence, our findings substantiate significant observed (i.e., during the pandemic) and expected (i.e., after the pandemic) changes in people’s habits and preferences. According to our results, 48% of the respondents anticipate having the option to WFH after the pandemic, which indicates an approximately 30% increase compared to the pre-pandemic period. In the post-pandemic period, auto and transit commuters are expected to be 9% and 31% less than pre-pandemic, respectively. A considerable rise in hybrid work and grocery online shopping is expected. Moreover, 41% of pre-covid business travelers expect to have fewer flights (after the pandemic) while only 8% anticipate more, compared to the pre-pandemic.","container-title":"Transportation Research Part F: Traffic Psychology and Behaviour","DOI":"10.1016/j.trf.2022.09.019","ISSN":"1369-8478","page":"466-484","source":"ScienceDirect","title":"The Long-Term Effects of COVID-19 on Travel Behavior in the United States: A Panel Study on Work from Home, Mode Choice, Online Shopping, and Air Travel","volume":"90","author":[{"family":"Javadinasr","given":"Mohammadjavad"},{"family":"Maggasy","given":"Tassio"},{"family":"Mohammadi","given":"Motahare"},{"family":"Mohammadain","given":"Kouros"},{"family":"Rahimi","given":"Ehsan"},{"family":"Salon","given":"Deborah"},{"family":"Conway","given":"Matthew W."},{"family":"Pendyala","given":"Ram"},{"family":"Derrible","given":"Sybil"}],"issued":{"date-parts":[["2022",10,1]]}}}],"schema":"https://github.com/citation-style-language/schema/raw/master/csl-citation.json"} </w:instrText>
      </w:r>
      <w:r w:rsidR="00C70AA2" w:rsidRPr="000D3090">
        <w:fldChar w:fldCharType="separate"/>
      </w:r>
      <w:r w:rsidR="004A2FC8" w:rsidRPr="000D3090">
        <w:t>(Seabra et al., 2021; Javadinasr et al., 2022)</w:t>
      </w:r>
      <w:r w:rsidR="00C70AA2" w:rsidRPr="000D3090">
        <w:fldChar w:fldCharType="end"/>
      </w:r>
      <w:r w:rsidR="00915275" w:rsidRPr="000D3090">
        <w:t xml:space="preserve">. </w:t>
      </w:r>
    </w:p>
    <w:p w14:paraId="37E95BDD" w14:textId="1DF36167" w:rsidR="00F6233C" w:rsidRPr="000D3090" w:rsidRDefault="004A2FC8" w:rsidP="00541BFA">
      <w:pPr>
        <w:spacing w:after="0" w:line="240" w:lineRule="auto"/>
        <w:ind w:firstLine="720"/>
        <w:jc w:val="both"/>
        <w:rPr>
          <w:b/>
          <w:bCs/>
        </w:rPr>
      </w:pPr>
      <w:r w:rsidRPr="000D3090">
        <w:t xml:space="preserve">While issues related to perceived travel time reliability, safety, and cleanliness, as just discussed, as well as other subjective considerations such as affordability, one’s own health status, and time availability, can influence an individual’s sense of physical accessibility, the ability to increasingly undertake activities virtually with communication technologies is another important factor today for assessing overall activity accessibility. </w:t>
      </w:r>
      <w:r w:rsidR="00527D74" w:rsidRPr="000D3090">
        <w:t xml:space="preserve">This is evident in the </w:t>
      </w:r>
      <w:r w:rsidR="00F6233C" w:rsidRPr="000D3090">
        <w:t>large body of</w:t>
      </w:r>
      <w:r w:rsidR="009326F3" w:rsidRPr="000D3090">
        <w:t xml:space="preserve"> </w:t>
      </w:r>
      <w:r w:rsidR="00F6233C" w:rsidRPr="000D3090">
        <w:t xml:space="preserve">literature </w:t>
      </w:r>
      <w:r w:rsidR="00527D74" w:rsidRPr="000D3090">
        <w:t xml:space="preserve">that </w:t>
      </w:r>
      <w:r w:rsidR="00F6233C" w:rsidRPr="000D3090">
        <w:t>has</w:t>
      </w:r>
      <w:r w:rsidR="009326F3" w:rsidRPr="000D3090">
        <w:t xml:space="preserve"> explored the ways that </w:t>
      </w:r>
      <w:r w:rsidR="00097458" w:rsidRPr="000D3090">
        <w:t>virtual</w:t>
      </w:r>
      <w:r w:rsidR="009326F3" w:rsidRPr="000D3090">
        <w:t xml:space="preserve"> activities (particularly telework and delivery services) can (1) substitute or replace existing </w:t>
      </w:r>
      <w:r w:rsidR="00527D74" w:rsidRPr="000D3090">
        <w:t>physical participation</w:t>
      </w:r>
      <w:r w:rsidR="009326F3" w:rsidRPr="000D3090">
        <w:t xml:space="preserve">, (2) </w:t>
      </w:r>
      <w:r w:rsidR="00527D74" w:rsidRPr="000D3090">
        <w:t xml:space="preserve">increase physical participation </w:t>
      </w:r>
      <w:r w:rsidR="009326F3" w:rsidRPr="000D3090">
        <w:t xml:space="preserve">that </w:t>
      </w:r>
      <w:r w:rsidR="00527D74" w:rsidRPr="000D3090">
        <w:t>earlier w</w:t>
      </w:r>
      <w:r w:rsidR="006E3DF9" w:rsidRPr="000D3090">
        <w:t>as</w:t>
      </w:r>
      <w:r w:rsidR="00527D74" w:rsidRPr="000D3090">
        <w:t xml:space="preserve"> not easily pursued</w:t>
      </w:r>
      <w:r w:rsidR="009326F3" w:rsidRPr="000D3090">
        <w:t xml:space="preserve">, (3) </w:t>
      </w:r>
      <w:r w:rsidR="00F415CA" w:rsidRPr="000D3090">
        <w:t xml:space="preserve">stimulate additional travel due to changes in activity patterns, and (4) redistribute trips for the same purpose to new </w:t>
      </w:r>
      <w:r w:rsidR="00097458" w:rsidRPr="000D3090">
        <w:t>physical location</w:t>
      </w:r>
      <w:r w:rsidR="00F415CA" w:rsidRPr="000D3090">
        <w:t xml:space="preserve">s </w:t>
      </w:r>
      <w:r w:rsidR="00C640F7" w:rsidRPr="000D3090">
        <w:fldChar w:fldCharType="begin"/>
      </w:r>
      <w:r w:rsidR="001D1BB9" w:rsidRPr="000D3090">
        <w:instrText xml:space="preserve"> ADDIN ZOTERO_ITEM CSL_CITATION {"citationID":"jI1cIA8c","properties":{"unsorted":true,"formattedCitation":"(Salomon, 1985; Mokhtarian and Salomon, 2002; Kenyon, 2006; Cochran, 2020; Elld\\uc0\\u233{}r, 2020; Shukla and Raval, 2021; Le et al., 2022; Shao et al., 2022; Khaddar and Rahman Fatmi, 2024; Xu and Saphores, 2024)","plainCitation":"(Salomon, 1985; Mokhtarian and Salomon, 2002; Kenyon, 2006; Cochran, 2020; Elldér, 2020; Shukla and Raval, 2021; Le et al., 2022; Shao et al., 2022; Khaddar and Rahman Fatmi, 2024; Xu and Saphores, 2024)","dontUpdate":true,"noteIndex":0},"citationItems":[{"id":4329,"uris":["http://zotero.org/users/12832277/items/44YTZJLL"],"itemData":{"id":4329,"type":"article-journal","abstract":"Substitution of travel by new telecommunications technologies in other types of interactions between physical and electronic communication modes is considered. It is suggested that enhancement of travel, particularly for discretionary purposes, will offset travel reduction realised through substitution. Were most individuals' needs to be satisfied at home through telecommunications, psychological considerations would suggest that new travel would be generated. Business trips and the avoidance of future travel through use of telecommunications are also analysed. It is argued that the effects on the transport system are dependent not only on the costs of communicating but also on the value of information. In general, the substitution of travel by telecommunications is expected to be minor. /// Die Substitution von Reisen durch neue Telekommunikationstechnologien in anderen Typen der Interaktion zwischen physikalischen und elektronischen Kommunikationsarten wird untersucht. Es wird vermutet, daß die Steigerung der Reisetätigkeit, insbesondere aus Gründen der Freizügigkeit, der Abnahme der Reisen durch die Substitution entgegenwirken wird. Würden die individuellen Bedürfnisse zu Hause durch die Telekommunikation befriedigt werden können, so wäre dennoch aufgrund psychologischer Überlegungen zu vermuten, daß ein neues Reisebedürfnis generiert würde. Geschäftsreisen und die Vermeidung zukünftiger Reisen durch den Einsatz der Telekommunikation werden ebenfalls analysiert. Es wird dahingehend argumentiert, daß die Auswirkungen auf das Verkehrssystem zum einen abhängen von den Kosten der Kommunikation, zum anderen aber auch vom Informations gehalt. Im allgemeinen wird die Substitution von Reisen durch die Telekommunikation nur als gering erachtet. /// On s'intéresse ici à la substitution du déplacement par de nouvelles technologies de télécommunications dans d'autres types d'interactions entre modes physiques et modes electroniques de communication. Il est suggéré que l'accroissement des déplacements, surtout pour des motifs personnels, compensera la réduction du nombre des déplacements due à cette substitution. Si les besoins de la plupart des gens seraient satisfaits à la maison par le biais des télécommunications, des considérations psychologiques nous amèneraient à penser que de nouveaux déplacements seraient générés. On analyse également les voyages d'affaire et la substitution des déplacements à l'avenir grâce à l'utilisation des télécommunications. On discute le fait que les conséquences sur le système des transports dépendent non seulement des coûts de communication, mais aussi de la valeur de l'information. En général, on s'attend à ce que la substitution des déplacements par les télécommunications soit peu importante.","container-title":"Journal of Transport Economics and Policy","ISSN":"0022-5258","issue":"3","note":"publisher: [London School of Economics, University of Bath, London School of Economics and University of Bath, London School of Economics and Political Science]","page":"219-235","source":"JSTOR","title":"Telecommunications and Travel: Substitution or Modified Mobility?","volume":"19","author":[{"family":"Salomon","given":"Ilan"}],"issued":{"date-parts":[["1985"]]}}},{"id":4334,"uris":["http://zotero.org/users/12832277/items/XGZ8GZ3F"],"itemData":{"id":4334,"type":"article-journal","container-title":"Perpetual motion: Travel behavior research opportunities and application challenges","note":"publisher: Pergamon Amsterdam","page":"143–182","source":"Google Scholar","title":"Emerging Travel Patterns: Do Telecommunications Make a Difference","author":[{"family":"Mokhtarian","given":"Patricia L."},{"family":"Salomon","given":"Ilan"}],"issued":{"date-parts":[["2002"]]}}},{"id":3250,"uris":["http://zotero.org/users/12832277/items/TPMDRI33"],"itemData":{"id":3250,"type":"chapter","abstract":"Online activity promises to reshape patterns of social exclusion, by reshaping\naccessibility in space and time. Virtual mobility, via the Internet, is now\nemerging as a viable alternative to physical mobility as an accessibility technology, providing access to opportunities, services, social networks and other\ngoods. Internet use can overcome space/time constraints, not only replacing\nexisting travel, but also providing an additional means of access to activities\nfrom which people were previously excluded. However, for virtual mobility to\nreduce social exclusion, it must provide the same function as physical mobility\nor, at least, ﬁll the accessibility gap that a lack of physical mobility leaves. \nIn addition, it must avoid any negative social or mobility effects, which could\nworsen mobility-related exclusion, or social exclusion in general. If online\nactivity were to increase the spatial and temporal diversity of ofﬂine activities,\nor to otherwise increase barriers to access, those unable to overcome these\nbarriers may experience even greater social exclusion.","container-title":"Mobile Technologies of the City","ISBN":"978-0-203-09888-2","note":"number-of-pages: 19","publisher":"Routledge","title":"Reshaping Patterns of Mobility and Exclusion? The Impact of Virtual Mobility upon Accessibility, Mobility and Social Exclusion","author":[{"family":"Kenyon","given":"Susan"}],"issued":{"date-parts":[["2006"]]}}},{"id":3244,"uris":["http://zotero.org/users/12832277/items/3NE36TDM"],"itemData":{"id":3244,"type":"article-journal","abstract":"People with disabilities may be particularly vulnerable to the direct health effects of the COVID-19 pandemic as well as the wider impacts of the pandemic response. People with disabilities experience numerous barriers to using transportation to access essential goods, like fresh food, and services, like medical care, that are necessary for maintaining health. The pandemic and the pandemic response threaten to exacerbate persistent health disparities and add to transportation barriers that disadvantage people with disabilities. To better understand difficulties that individuals with disabilities are facing using transportation and meeting their needs during the pandemic, I conducted in-depth interviews with 21 San Francisco Bay Area residents with disabilities between March 20 and April 6, 2020, immediately following adoption of the first shelter-in-place orders in the region. Analyzing these interviews, I find that the pandemic is aggravating many difficulties accessing transportation and other essentials that people with disabilities regularly encounter. These include challenges accessing reliable and safe transportation as well as up-to-date communications about transportation and public health, and difficulties getting needed assistance using transportation and completing activities of daily living ranging from personal care to getting groceries. I recommend that those involved in the pandemic response make a concerted and intentional effort to address barriers to accessing needed transportation, communications, and assistance that people with disabilities are facing during the pandemic, paving the way for a more inclusive pandemic response.","container-title":"Transportation Research Interdisciplinary Perspectives","DOI":"10.1016/j.trip.2020.100263","ISSN":"2590-1982","source":"ScienceDirect","title":"Impacts of COVID-19 on Access to Transportation for People with Disabilities","URL":"https://www.sciencedirect.com/science/article/pii/S2590198220301743","volume":"8","author":[{"family":"Cochran","given":"Abigail L."}],"accessed":{"date-parts":[["2024",5,9]]},"issued":{"date-parts":[["2020",11,1]]}},"label":"page"},{"id":836,"uris":["http://zotero.org/users/12832277/items/JAW2FQMM"],"itemData":{"id":836,"type":"article-journal","abstract":"Telework, long promoted as a way to reduce daily travel and address congestion problems, has been extensively studied in transport research. Empirical consensus has long held that telework reduces overall travel, but several updated studies now suggest the opposite. Meanwhile, telework has steadily increased in many countries, and few studies have examined contexts where regular teleworkers have grown to form an early majority. We study how telework influences daily travel in such a context, namely, Sweden from 2011 to 2016. Using representative micro-data from the Swedish National Travel Survey, this study also captures travel behaviour during the defined period when the telework was actually practiced, distinguishing different telework arrangements and analysing a range of travel behavioral outcomes. We conclude that telework leads to reduced travel demand, more use of active transport modes, and congestion relief. Important differences between full- and part-day teleworkers are also highlighted, stressing the importance of understanding telework as a diversified coping strategy for organizing the spatiotemporality of everyday life.","container-title":"Journal of Transport Geography","DOI":"10.1016/j.jtrangeo.2020.102777","ISSN":"0966-6923","language":"en","source":"ScienceDirect","title":"Telework and Daily Travel: New Evidence from Sweden","URL":"https://www.sciencedirect.com/science/article/pii/S0966692319311305","volume":"86","author":[{"family":"Elldér","given":"Erik"}],"accessed":{"date-parts":[["2023",7,5]]},"issued":{"date-parts":[["2020",6,1]]}}},{"id":3215,"uris":["http://zotero.org/users/12832277/items/4PV7B8YY"],"itemData":{"id":3215,"type":"article-journal","abstract":"The innovation in information and communication technology (ICT) by a long shot has changed people's way of life, making it more virtual than genuine. Now India is in a transition phase of adaption of virtual accessibility through an increasing online presence. Multiple initiatives by the Indian government to promote e-services and a cashless economy through mobile apps and websites have supported the shift from physical activity to online activity. According to the internet and mobile association of India (IAMAI) 2016, 69 % of internet users belong from age groups 19–35 in urban India, which establishes the need to study internet use on travel behaviour of the different socio-demographic groups. The focus is on establishing the relation between virtual accessibility, out-of-home activities, and individual mobility. The data collected for this study include the extent of ICT usage, socio-demographic variables and details of participation in activities. The analysis demonstrates the causal link; we were using the structural equation model (SEM) for analysis. Finding revealed a stronger relationship between virtual accessibility and leisure activities. High-income group households are more likely associated with great use of online activities. The younger age population uses a high degree of virtual application. The finding further revealed a negative relationship between ICT and travel. This research also highlights the mediation effect of time use for different activities between virtual accessibility and travel. This study can aid transport planners/engineers/policymakers in travel demand analysis while considering the factor (virtual accessibility) of the new technological environment.","container-title":"Transportation Research Interdisciplinary Perspectives","DOI":"10.1016/j.trip.2021.100483","ISSN":"2590-1982","source":"ScienceDirect","title":"Impact of Virtual Accessibility on Out-of-Home Activity and Travel in Indian Urban Context: A Structural Equation Analysis","URL":"https://www.sciencedirect.com/science/article/pii/S2590198221001883","volume":"12","author":[{"family":"Shukla","given":"Rahul"},{"family":"Raval","given":"Pratap M."}],"accessed":{"date-parts":[["2024",5,9]]},"issued":{"date-parts":[["2021",12,1]]}}},{"id":1719,"uris":["http://zotero.org/users/12832277/items/22KTN2ZK"],"itemData":{"id":1719,"type":"article-journal","abstract":"The rise of e-commerce has led to substantial changes in personal travel and activities. We systematically reviewed empirical studies on the relationship between online shopping and personal travel behaviour. We synthesised and assessed the evidence for four types of effects on various travel outcomes, including trip frequency, travel distance, trip chaining, mode choice, and time use. In 42 articles reviewed, we found more evidence that online shopping substitutes for shopping travel. Most studies to date have focused on trip frequency but neglected other travel outcomes. Very few studies have considered the modification effect, which has significant implications for travel demand management. In sum, previous studies have not reached a consensus on the dominant effect of online shopping, in part due to the diversity in variable measurements, types of goods, study areas, and analytic methods. A limitation of previous studies is the reliance on cross-sectional surveys, which hinders the distinction between short- and long-term behaviours and between modification, complementarity, and substitution effects. Our study provides an agenda for future research on this topic and discusses policy implications related to land use, behavioural changes, data collection, and modelling for practitioners who wish to incorporate e-commerce in planning for sustainable urban systems.","container-title":"Transport Reviews","DOI":"10.1080/01441647.2021.1961917","ISSN":"0144-1647","issue":"3","note":"publisher: Routledge\n_eprint: https://doi.org/10.1080/01441647.2021.1961917","page":"273-295","source":"Taylor and Francis+NEJM","title":"Impacts of Online Shopping on Travel Demand: A Systematic Review","volume":"42","author":[{"family":"Le","given":"Huyen T. K."},{"family":"Carrel","given":"Andre L."},{"family":"Shah","given":"Harsh"}],"issued":{"date-parts":[["2022",5,4]]}}},{"id":3247,"uris":["http://zotero.org/users/12832277/items/VRZ7KR9H"],"itemData":{"id":3247,"type":"article-journal","abstract":"Although e-shopping is increasingly adopted, it remains unclear (1) how e-shopping varies geographically, and (2) how this relates to physical and virtual accessibility. This paper presents a combined study of both issues focusing on the case of China, arguably one of the emerging e-shopping hotspots. Drawing on Alibaba's Online Shopping Index, we use a general spatial model (SAC) to explore the role of virtual and physical accessibility in the spatial distribution of e-shopping across 276 prefecture-level cities in China. The results suggest that both physical accessibility (proxy-ed by the relative number of shopping malls and the relative number of buses) and virtual accessibility (proxy-ed by the percentage of broadband subscribers and the relative number of delivery points) increase e-shopping, with both effects complementing each other. We discuss how findings contribute to our understanding of the geography of e-shopping, and outline implications for policymakers and e-retailers alike.","container-title":"Journal of Retailing and Consumer Services","DOI":"10.1016/j.jretconser.2021.102753","ISSN":"0969-6989","source":"ScienceDirect","title":"The Geography of E-Shopping in China: On the Role of Physical and Virtual Accessibility","URL":"https://www.sciencedirect.com/science/article/pii/S0969698921003192","volume":"64","author":[{"family":"Shao","given":"Rui"},{"family":"Derudder","given":"Ben"},{"family":"Witlox","given":"Frank"}],"accessed":{"date-parts":[["2024",5,9]]},"issued":{"date-parts":[["2022",1,1]]}}},{"id":3218,"uris":["http://zotero.org/users/12832277/items/ZL3HJTC6"],"itemData":{"id":3218,"type":"article-journal","abstract":"COVID-19 mitigation measures triggered a sharp increase in the adoption of teleshopping and telecommuting activities. However, there is a need to understand the extent to which past frequencies and experiences will affect post-pandemic teleactivity behavior. Moreover, teleshopping and telecommuting are interconnected, and a relationship may exist between them in the post-pandemic world. This study investigates post-pandemic preferences toward online grocery shopping, online food ordering, and working from home by using a multivariate ordered probit (MVOP) model. The data come from a web-based survey conducted for the Central Okanagan region of Canada. Model results confirm the presence of unobserved factors influencing telecommuting and teleshopping choices. Looking at endogeneity, working from home after the pandemic revealed a positive effect on online grocery shopping. However, results were not the same for post-pandemic online food ordering. Model results also confirm the significant impact of past teleactivity frequencies and experiences on post-pandemic preferences. Overall, the findings provide important insights into post-pandemic activity and travel patterns which can be used for robust policymaking.","container-title":"Transportation Research Record","DOI":"10.1177/03611981231222238","ISSN":"0361-1981","language":"en","note":"publisher: SAGE Publications Inc","page":"03611981231222238","source":"SAGE Journals","title":"Modeling Telecommuting and Teleshopping Preferences in the Post-Pandemic Era","author":[{"family":"Khaddar","given":"Shivam"},{"family":"Rahman Fatmi","given":"Mahmudur"}],"issued":{"date-parts":[["2024",1,13]]}}},{"id":3205,"uris":["http://zotero.org/users/12832277/items/3PNK3A9V"],"itemData":{"id":3205,"type":"article-journal","abstract":"How does e-shopping impact household travel? To answer this question, which is particularly relevant for policymakers concerned with congestion, air pollution, and greenhouse gas emissions from transportation, we analyzed data from the 2017 National Household Travel Survey using propensity score matching. This allowed us to tackle the bias from households self-selecting into various levels of e-shopping and gain causal inference. Unlike other related papers in the literature, our unit of analysis is a household because travel and shopping decisions within a household are interrelated. We classified households into three groups based on how many orders per person per month they placed online: low (up to one), medium (more than once but less than four), and high (over four). We found that more e-shopping results in more household travel (number of trips, miles, and VMT), but this effect depends on e-shopping frequency and population density, and it affects weekdays more than weekends. E-shopping impacts household travel more for medium frequency e-shoppers in low density areas: compared to similar low frequency e-shoppers, on weekdays, they take on average 8 more monthly trips and travel </w:instrText>
      </w:r>
      <w:r w:rsidR="001D1BB9" w:rsidRPr="000D3090">
        <w:rPr>
          <w:rFonts w:ascii="Cambria Math" w:hAnsi="Cambria Math" w:cs="Cambria Math"/>
        </w:rPr>
        <w:instrText>∼</w:instrText>
      </w:r>
      <w:r w:rsidR="001D1BB9" w:rsidRPr="000D3090">
        <w:instrText xml:space="preserve">104 extra miles (including 31 miles for shopping). At the other end of the spectrum, high frequency e-shoppers in dense areas do not travel more on weekends than similar low e-shopping frequency households. To help reduce e-shopping induced travel, policymakers could encourage the creation of neighborhood depots where households would pick-up and return unwanted orders, and foster the development of virtual reality tools for shopping from home.","container-title":"Journal of Transport Geography","DOI":"10.1016/j.jtrangeo.2024.103827","ISSN":"0966-6923","source":"ScienceDirect","title":"Does E-Shopping Impact Household Travel? Evidence from the 2017 U.S. NHTS","URL":"https://www.sciencedirect.com/science/article/pii/S096669232400036X","volume":"115","author":[{"family":"Xu","given":"Lu"},{"family":"Saphores","given":"Jean-Daniel"}],"accessed":{"date-parts":[["2024",5,9]]},"issued":{"date-parts":[["2024",2,1]]}}}],"schema":"https://github.com/citation-style-language/schema/raw/master/csl-citation.json"} </w:instrText>
      </w:r>
      <w:r w:rsidR="00C640F7" w:rsidRPr="000D3090">
        <w:fldChar w:fldCharType="separate"/>
      </w:r>
      <w:r w:rsidRPr="000D3090">
        <w:t>(see Salomon, 1985; Mokhtarian and Salomon, 2002; Kenyon, 2006; Cochran, 2020; Elldér, 2020; Shukla and Raval, 2021; Le et al., 2022; Shao et al., 2022; Khaddar and Rahman Fatmi, 2024; Xu and Saphores, 2024)</w:t>
      </w:r>
      <w:r w:rsidR="00C640F7" w:rsidRPr="000D3090">
        <w:fldChar w:fldCharType="end"/>
      </w:r>
      <w:r w:rsidR="00F415CA" w:rsidRPr="000D3090">
        <w:t xml:space="preserve">. </w:t>
      </w:r>
      <w:r w:rsidR="009326F3" w:rsidRPr="000D3090">
        <w:t>The</w:t>
      </w:r>
      <w:r w:rsidR="00097458" w:rsidRPr="000D3090">
        <w:t>se virtual</w:t>
      </w:r>
      <w:r w:rsidR="009326F3" w:rsidRPr="000D3090">
        <w:t xml:space="preserve"> </w:t>
      </w:r>
      <w:r w:rsidR="00097458" w:rsidRPr="000D3090">
        <w:t xml:space="preserve">participation </w:t>
      </w:r>
      <w:r w:rsidR="009326F3" w:rsidRPr="000D3090">
        <w:t>opportunities offer individuals with low physical</w:t>
      </w:r>
      <w:r w:rsidR="00097458" w:rsidRPr="000D3090">
        <w:t xml:space="preserve"> </w:t>
      </w:r>
      <w:r w:rsidR="009326F3" w:rsidRPr="000D3090">
        <w:t xml:space="preserve">accessibility the chance to </w:t>
      </w:r>
      <w:r w:rsidR="00097458" w:rsidRPr="000D3090">
        <w:t>increase their overall accessibility</w:t>
      </w:r>
      <w:r w:rsidR="009326F3" w:rsidRPr="000D3090">
        <w:t xml:space="preserve"> </w:t>
      </w:r>
      <w:r w:rsidR="009326F3" w:rsidRPr="000D3090">
        <w:fldChar w:fldCharType="begin"/>
      </w:r>
      <w:r w:rsidR="009326F3" w:rsidRPr="000D3090">
        <w:instrText xml:space="preserve"> ADDIN ZOTERO_ITEM CSL_CITATION {"citationID":"iAL2kgoz","properties":{"formattedCitation":"(Ozbilen et al., 2021; Vinella-Brusher et al., 2022)","plainCitation":"(Ozbilen et al., 2021; Vinella-Brusher et al., 2022)","noteIndex":0},"citationItems":[{"id":2349,"uris":["http://zotero.org/users/12832277/items/2LBQFKGV"],"itemData":{"id":2349,"type":"article-journal","abstract":"There has been a growing interest in the association between online activities and daily activity-travel patterns. An analysis of this relationship is even more crucial considering the major disruptions to out-of-home activity participation and travel due to the COVID-19 pandemic. This study contributes to the literature by exploring the relationships between Information and Communication Technology (ICT) use (focusing on telework and online shopping) and time spent traveling using different transportation modes. Using Tobit regression models, we investigate the impacts of ICT use on three travel alternatives: (1) automobile, (2) public transit, and (3) active travel. The results show that the effects of ICT use vary across these three travel modes. For example, all else being equal, respondents with higher durations of telework tend to spend less time on auto and transit. Respondents with higher durations of online shopping spend more time walking and bicycling. This study also explores whether the effects of ICT use on travel durations vary across groups with different socio-demographics and residential location characteristics. For instance, the study finds the greater the level of land-use mixture, the stronger the association between online shopping and time spent bicycling and walking. The research findings can inform planners and decision-makers on the relationships between ICT use and overall travel behavior in order to assess travel demand under different levels of ICT use.","container-title":"Transportation Research Part A: Policy and Practice","DOI":"10.1016/j.tra.2021.01.002","ISSN":"0965-8564","page":"49-62","source":"ScienceDirect","title":"Revisiting the Impacts of Virtual Mobility on Travel Behavior: An Exploration of Daily Travel Time Expenditures","volume":"145","author":[{"family":"Ozbilen","given":"Basar"},{"family":"Wang","given":"Kailai"},{"family":"Akar","given":"Gulsah"}],"issued":{"date-parts":[["2021",3,1]]}}},{"id":2244,"uris":["http://zotero.org/users/12832277/items/CUN35XHM"],"itemData":{"id":2244,"type":"article-journal","abstract":"This study examines telehealth use during the first year of the COVID-19 pandemic among individuals with high health care-related transportation burdens. Survey results of high-frequency health care users with public insurance were analyzed to investigate differences in telehealth use, care access, and perceived care quality between groups. Open text responses demonstrated whether and how telehealth can address transportation barriers and promote care access. While many respondents tried and preferred telehealth, it could not meet all medical needs. The continued availability of telehealth, coupled with improved transport planning to support in-person care needs, will expand access to care for high-frequency users.","container-title":"Findings","DOI":"10.32866/001c.37060","language":"en","note":"publisher: Findings Press","source":"findingspress.org","title":"Potential of Telehealth to Mitigate Transport Barriers: Evidence from the COVID-19 Pandemic","URL":"https://findingspress.org/article/37060-potential-of-telehealth-to-mitigate-transport-barriers-evidence-from-the-covid-19-pandemic","author":[{"family":"Vinella-Brusher","given":"Emma"},{"family":"Cochran","given":"Abigail L."},{"family":"Iacobucci","given":"Evan"},{"family":"Wang","given":"Jueyu"},{"family":"Wolfe","given":"Mary"},{"family":"Oluyede","given":"Lindsay"},{"family":"Prunkl","given":"Lauren"},{"family":"McDonald","given":"Noreen C."}],"accessed":{"date-parts":[["2024",2,7]]},"issued":{"date-parts":[["2022",7,21]]}}}],"schema":"https://github.com/citation-style-language/schema/raw/master/csl-citation.json"} </w:instrText>
      </w:r>
      <w:r w:rsidR="009326F3" w:rsidRPr="000D3090">
        <w:fldChar w:fldCharType="separate"/>
      </w:r>
      <w:r w:rsidR="009326F3" w:rsidRPr="000D3090">
        <w:t>(Ozbilen et al., 2021; Vinella-Brusher et al., 2022)</w:t>
      </w:r>
      <w:r w:rsidR="009326F3" w:rsidRPr="000D3090">
        <w:fldChar w:fldCharType="end"/>
      </w:r>
      <w:r w:rsidR="009326F3" w:rsidRPr="000D3090">
        <w:t xml:space="preserve">. </w:t>
      </w:r>
      <w:r w:rsidR="00D117E7" w:rsidRPr="000D3090">
        <w:t xml:space="preserve">Those experiencing </w:t>
      </w:r>
      <w:r w:rsidR="00097458" w:rsidRPr="000D3090">
        <w:t xml:space="preserve">physical participation dissonance (PPD) </w:t>
      </w:r>
      <w:r w:rsidR="00D117E7" w:rsidRPr="000D3090">
        <w:t xml:space="preserve">may be particularly well suited to benefit from the growth of </w:t>
      </w:r>
      <w:r w:rsidR="00097458" w:rsidRPr="000D3090">
        <w:t xml:space="preserve">virtual </w:t>
      </w:r>
      <w:r w:rsidR="00D117E7" w:rsidRPr="000D3090">
        <w:t xml:space="preserve">activities, as they are individuals who desire a greater amount of activity participation than </w:t>
      </w:r>
      <w:r w:rsidR="00522A5F" w:rsidRPr="000D3090">
        <w:t xml:space="preserve">what they perceive as being possible </w:t>
      </w:r>
      <w:r w:rsidR="00097458" w:rsidRPr="000D3090">
        <w:t>through physical participation</w:t>
      </w:r>
      <w:r w:rsidR="00C640F7" w:rsidRPr="000D3090">
        <w:t xml:space="preserve"> </w:t>
      </w:r>
      <w:r w:rsidR="00C640F7" w:rsidRPr="000D3090">
        <w:fldChar w:fldCharType="begin"/>
      </w:r>
      <w:r w:rsidR="007C3A08" w:rsidRPr="000D3090">
        <w:instrText xml:space="preserve"> ADDIN ZOTERO_ITEM CSL_CITATION {"citationID":"peLIizZo","properties":{"unsorted":true,"formattedCitation":"(Muhammad et al., 2008; Pot et al., 2024)","plainCitation":"(Muhammad et al., 2008; Pot et al., 2024)","noteIndex":0},"citationItems":[{"id":3222,"uris":["http://zotero.org/users/12832277/items/RCZVCXP8"],"itemData":{"id":3222,"type":"article-journal","abstract":"Information and communication technologies (ICTs) are enabling people to access opportunities in virtual space without facing the friction of distance and travel time alongside the long-existing opportunities in physical space. Hence, society is now dealing with hybrid space circumstances, in which new meanings of distance and accessibility are developing. In physical space, accessibility is measured on the basis of the spatial separation between the locations of opportunities and opportunity seekers. In virtual space, spatial separation loses its importance, but the nature of jobs (whether they can be accessed in virtual space or not) and the personal capabilities of workers (having ICT skills or not) gain more importance. This study explores how this virtual component can be incorporated into existing accessibility models. The influence of the use of ICTs on job accessibility is analysed with two models, the Hansen and the Shen model. The outcomes of this measuring exercise show that job accessibility in hybrid space is likely to improve, but this improvement shows distinct patterns of regional variation. Of the two accessibility measuring models, the classic Hansen potential-accessibility approach performs best in quantifying job accessibility in hybrid space.","container-title":"Journal of Transport Geography","DOI":"10.1016/j.jtrangeo.2007.05.005","ISSN":"0966-6923","issue":"3","page":"203-216","source":"ScienceDirect","title":"Job Accessibility Under the Influence of Information and Communication Technologies, in the Netherlands","volume":"16","author":[{"family":"Muhammad","given":"Saim"},{"family":"Jong","given":"Tom","non-dropping-particle":"de"},{"family":"Ottens","given":"Henk F. L."}],"issued":{"date-parts":[["2008",5,1]]}}},{"id":3213,"uris":["http://zotero.org/users/12832277/items/UZW3VCCZ"],"itemData":{"id":3213,"type":"article-journal","abstract":"Promoting social inclusion through facilitating the participation in social and economic activities is a central goal of land-use and transport planning. This study examines the relationship between activity participation and experiences of transport-related social exclusion across different spatial accessibility levels in the Netherlands. Using perceived accessibility as an indicator of the benefits derived from spatial opportunities, this paper reveals a weak and non-linear connection between activity participation and satisfaction with accessibility, which becomes negligible at higher participation levels. Even when individuals have low engagement levels, they often report high perceived accessibility, indicating voluntary non-participation. In rural areas with limited local opportunities, constrained participation is more prominent, especially for those with limited mobility options. The weak correlations between participation and experienced benefits from accessibility across diverse spatial contexts emphasize the importance of considering perceived accessibility alongside spatial and activity data in normative debates on determining the sufficiency of accessibility.","container-title":"Transportation","DOI":"10.1007/s11116-024-10470-z","ISSN":"1572-9435","language":"en","source":"Springer Link","title":"Sufficient Access? Activity Participation, Perceived Accessibility and Transport-Related Social Exclusion Across Spatial Contexts","URL":"https://doi.org/10.1007/s11116-024-10470-z","author":[{"family":"Pot","given":"Felix Johan"},{"family":"Heinen","given":"Eva"},{"family":"Tillema","given":"Taede"}],"accessed":{"date-parts":[["2024",5,9]]},"issued":{"date-parts":[["2024",2,17]]}}}],"schema":"https://github.com/citation-style-language/schema/raw/master/csl-citation.json"} </w:instrText>
      </w:r>
      <w:r w:rsidR="00C640F7" w:rsidRPr="000D3090">
        <w:fldChar w:fldCharType="separate"/>
      </w:r>
      <w:r w:rsidR="007C3A08" w:rsidRPr="000D3090">
        <w:t>(Muhammad et al., 2008; Pot et al., 202</w:t>
      </w:r>
      <w:r w:rsidR="009B7681">
        <w:t>5</w:t>
      </w:r>
      <w:r w:rsidR="007C3A08" w:rsidRPr="000D3090">
        <w:t>)</w:t>
      </w:r>
      <w:r w:rsidR="00C640F7" w:rsidRPr="000D3090">
        <w:fldChar w:fldCharType="end"/>
      </w:r>
      <w:r w:rsidR="00D117E7" w:rsidRPr="000D3090">
        <w:t xml:space="preserve">. </w:t>
      </w:r>
    </w:p>
    <w:p w14:paraId="0ACADC34" w14:textId="02CC7107" w:rsidR="001620A7" w:rsidRPr="000D3090" w:rsidRDefault="00D117E7" w:rsidP="001620A7">
      <w:pPr>
        <w:spacing w:after="0" w:line="240" w:lineRule="auto"/>
        <w:jc w:val="both"/>
        <w:rPr>
          <w:b/>
          <w:bCs/>
        </w:rPr>
      </w:pPr>
      <w:r w:rsidRPr="000D3090">
        <w:rPr>
          <w:b/>
          <w:bCs/>
        </w:rPr>
        <w:tab/>
      </w:r>
      <w:r w:rsidR="0081498F" w:rsidRPr="000D3090">
        <w:t>However, w</w:t>
      </w:r>
      <w:r w:rsidRPr="000D3090">
        <w:t>hile virtual participation may seem to offer significant potential</w:t>
      </w:r>
      <w:r w:rsidR="00D269FE" w:rsidRPr="000D3090">
        <w:t xml:space="preserve"> to enhance overall accessibility</w:t>
      </w:r>
      <w:r w:rsidRPr="000D3090">
        <w:t xml:space="preserve">, </w:t>
      </w:r>
      <w:r w:rsidR="001620A7" w:rsidRPr="000D3090">
        <w:t xml:space="preserve">it is </w:t>
      </w:r>
      <w:r w:rsidR="00522A5F" w:rsidRPr="000D3090">
        <w:t xml:space="preserve">conceivable </w:t>
      </w:r>
      <w:r w:rsidR="001620A7" w:rsidRPr="000D3090">
        <w:t xml:space="preserve">that virtual participation actually increases PPD. In particular, given evidence that virtual activities can result in other changes to activity patterns (including stimulating additional trips) and lifestyles, those who adopt online activities may desire greater physical accessibility and experience more PPD </w:t>
      </w:r>
      <w:r w:rsidR="001620A7" w:rsidRPr="000D3090">
        <w:fldChar w:fldCharType="begin"/>
      </w:r>
      <w:r w:rsidR="004A2FC8" w:rsidRPr="000D3090">
        <w:instrText xml:space="preserve"> ADDIN ZOTERO_ITEM CSL_CITATION {"citationID":"ROapJsuc","properties":{"formattedCitation":"(Lee et al., 2017)","plainCitation":"(Lee et al., 2017)","noteIndex":0},"citationItems":[{"id":2241,"uris":["http://zotero.org/users/12832277/items/JEAT7TAS"],"itemData":{"id":2241,"type":"article-journal","abstract":"The growth of online shopping will likely impact rates of in-store shopping, signaling potentially significant ramifications for shopping-related vehicle travel. To better understand this relationship, we studied shoppers in Davis, California using a comprehensive survey dataset to explore the effect of personal characteristics, attitudes, perceptions, and the built environment on the frequencies of shopping online and within three distinct shopping settings. Overall, results showed that attitudes and perceptions played an important role in the shopping decision. The ordered response models of shopping frequency also revealed that the shopping motivations for each setting differed. Most notably, many of the factors influencing the frequency of shopping outside Davis had the opposite effect on shopping within Davis. Joint copula models subsequently suggested that online shopping had a complementary relationship with in-store shopping frequency, even after controlling for demographic variables and attitudes. Rather than reducing shopping travel, it appears that online shopping is associated with higher in-store shopping rates.","container-title":"Transportation Research Part A: Policy and Practice","DOI":"10.1016/j.tra.2017.03.001","ISSN":"0965-8564","page":"40-52","source":"ScienceDirect","title":"Relationships Between the Online and in-Store Shopping Frequency of Davis, California Residents","volume":"100","author":[{"family":"Lee","given":"Richard J."},{"family":"Sener","given":"Ipek N."},{"family":"Mokhtarian","given":"Patricia L."},{"family":"Handy","given":"Susan L."}],"issued":{"date-parts":[["2017",6,1]]}}}],"schema":"https://github.com/citation-style-language/schema/raw/master/csl-citation.json"} </w:instrText>
      </w:r>
      <w:r w:rsidR="001620A7" w:rsidRPr="000D3090">
        <w:fldChar w:fldCharType="separate"/>
      </w:r>
      <w:r w:rsidR="004A2FC8" w:rsidRPr="000D3090">
        <w:t>(Lee et al., 2017)</w:t>
      </w:r>
      <w:r w:rsidR="001620A7" w:rsidRPr="000D3090">
        <w:fldChar w:fldCharType="end"/>
      </w:r>
      <w:r w:rsidR="001620A7" w:rsidRPr="000D3090">
        <w:t xml:space="preserve">. For instance, individuals who begin teleworking may experience greater PPD associated with OH leisure participation if they feel socially isolated working at home and are unable to compensate with an increase in physical participation to the extent they desire </w:t>
      </w:r>
      <w:r w:rsidR="001620A7" w:rsidRPr="000D3090">
        <w:fldChar w:fldCharType="begin"/>
      </w:r>
      <w:r w:rsidR="001620A7" w:rsidRPr="000D3090">
        <w:instrText xml:space="preserve"> ADDIN ZOTERO_ITEM CSL_CITATION {"citationID":"1UtCLgVB","properties":{"formattedCitation":"(Budnitz et al., 2020; Thulin et al., 2023)","plainCitation":"(Budnitz et al., 2020; Thulin et al., 2023)","noteIndex":0},"citationItems":[{"id":3199,"uris":["http://zotero.org/users/12832277/items/LV6JF9CK"],"itemData":{"id":3199,"type":"article-journal","abstract":"This paper investigates the importance of non-work travel to the growing population of telecommuters and the implications of this for sustainable travel patterns. Previous research has identified a link between increased online access to work and reduced proximity between residential and workplace locations. These studies raise concerns that as more people split their work activities between home and external workplace, whilst living in more dispersed locations, more unsustainable transport impacts will be generated, including higher vehicle mileage, car dependency, and less physical activity. This paper counters that the implications of telecommuting and other flexible working practices for sustainable travel behaviours may be more dependent upon the number and type of non-work journeys and the accessibility of amenities for these purposes rather than on the distance to the workplace for less frequent commuting journeys. Using the National Travel Survey for England, the travel behaviours of those who identify themselves not as home workers but as working from home at least once a week are compared to other working adults by measuring and modelling the number and purpose of trips within a week's travel diary, independent of distance or mode. Telecommuters record fewer commute trips, more trips for other purposes, and the marginal utility of additional non-work trips to telecommuters is greater than for many other socio-economic characteristics. Thus, addressing the accessibility of non-work destinations proactively through local planning has the potential to optimise the sustainability benefits of telecommuting.","container-title":"Journal of Transport Geography","DOI":"10.1016/j.jtrangeo.2020.102713","ISSN":"0966-6923","source":"ScienceDirect","title":"Telecommuting and Other Trips: An English Case Study","URL":"https://www.sciencedirect.com/science/article/pii/S0966692319305472","volume":"85","author":[{"family":"Budnitz","given":"Hannah"},{"family":"Tranos","given":"Emmanouil"},{"family":"Chapman","given":"Lee"}],"accessed":{"date-parts":[["2024",5,9]]},"issued":{"date-parts":[["2020",5,1]]}}},{"id":3242,"uris":["http://zotero.org/users/12832277/items/M2QWD6RU"],"itemData":{"id":3242,"type":"article-journal","abstract":"During the pandemic, office workers were abruptly pushed into a home-based work life, as working from home became mandatory, full time, and digitally coordinated. The transition revealed an untapped potential of telework to reorganize daily life and facilitate resource-efficient adaptations. This study investigates the adjustments that took place, how daily life and mobility was remade in time and space, how change was experienced, and whether new preferences and habits were established. Drawing on in-depth interviews with 28 office workers, we examine whether and why the confined work-from-home pattern will have lasting influences on how and where people choose to live, work, relocate, and travel. Theoretically, we view the mandated working from home as a work-life shock event, causing a disruptive, novel, and critical experience of adaptation. We employ time geography to enhance a spatiotemporal understanding of shock events, i.e., how daily life and the local order of home are rearranged under new constraints. Our findings indicate a remarkable shift in the willingness to continue the home-based work life, essentially caused by valued experiences of heavily reduced travel time, a sense of always being ‘in place’, and a calmer pace of life. Felt spatial, digital, and emotional crowding at home challenge the new order, and residential relocation as a strategy to sustain a home-based work life is frequently mentioned. Although working from home is perceived as mostly efficient, the loss of informal social contact is driving a partial return to the office.","container-title":"Journal of Transport Geography","DOI":"10.1016/j.jtrangeo.2023.103740","ISSN":"0966-6923","source":"ScienceDirect","title":"Telework After Confinement: Interrogating the Spatiotemporalities of Home-Based Work Life","URL":"https://www.sciencedirect.com/science/article/pii/S0966692323002120","volume":"113","author":[{"family":"Thulin","given":"Eva"},{"family":"Vilhelmson","given":"Bertil"},{"family":"Brundin","given":"Louise"}],"accessed":{"date-parts":[["2024",5,9]]},"issued":{"date-parts":[["2023",12,1]]}}}],"schema":"https://github.com/citation-style-language/schema/raw/master/csl-citation.json"} </w:instrText>
      </w:r>
      <w:r w:rsidR="001620A7" w:rsidRPr="000D3090">
        <w:fldChar w:fldCharType="separate"/>
      </w:r>
      <w:r w:rsidR="001620A7" w:rsidRPr="000D3090">
        <w:t>(Budnitz et al., 2020; Thulin et al., 2023)</w:t>
      </w:r>
      <w:r w:rsidR="001620A7" w:rsidRPr="000D3090">
        <w:fldChar w:fldCharType="end"/>
      </w:r>
      <w:r w:rsidR="001620A7" w:rsidRPr="000D3090">
        <w:t xml:space="preserve">. Another issue relates to </w:t>
      </w:r>
      <w:r w:rsidR="004A2FC8" w:rsidRPr="000D3090">
        <w:t xml:space="preserve">fairness </w:t>
      </w:r>
      <w:r w:rsidR="001620A7" w:rsidRPr="000D3090">
        <w:t>considerations.</w:t>
      </w:r>
      <w:r w:rsidR="001620A7" w:rsidRPr="000D3090">
        <w:rPr>
          <w:b/>
          <w:bCs/>
        </w:rPr>
        <w:t xml:space="preserve"> </w:t>
      </w:r>
      <w:r w:rsidR="001620A7" w:rsidRPr="000D3090">
        <w:t>T</w:t>
      </w:r>
      <w:r w:rsidRPr="000D3090">
        <w:t xml:space="preserve">here is evidence that those with limited physical accessibility may </w:t>
      </w:r>
      <w:r w:rsidR="00D269FE" w:rsidRPr="000D3090">
        <w:t xml:space="preserve">be the same ones who </w:t>
      </w:r>
      <w:r w:rsidRPr="000D3090">
        <w:t xml:space="preserve">face </w:t>
      </w:r>
      <w:r w:rsidR="00AD0FAE" w:rsidRPr="000D3090">
        <w:t xml:space="preserve">virtual accessibility </w:t>
      </w:r>
      <w:r w:rsidRPr="000D3090">
        <w:t xml:space="preserve">challenges. </w:t>
      </w:r>
      <w:r w:rsidR="001620A7" w:rsidRPr="000D3090">
        <w:t>After all, v</w:t>
      </w:r>
      <w:r w:rsidRPr="000D3090">
        <w:t xml:space="preserve">irtual accessibility requires access to technology, knowledge and availability of virtual opportunities </w:t>
      </w:r>
      <w:r w:rsidR="00AD0FAE" w:rsidRPr="000D3090">
        <w:t xml:space="preserve">to </w:t>
      </w:r>
      <w:r w:rsidRPr="000D3090">
        <w:t xml:space="preserve">effectively replace specific physical activities, and the </w:t>
      </w:r>
      <w:r w:rsidR="00AD0FAE" w:rsidRPr="000D3090">
        <w:t>self-efficacy</w:t>
      </w:r>
      <w:r w:rsidR="00230EE9" w:rsidRPr="000D3090">
        <w:t xml:space="preserve"> (or at least the perception of self-efficacy)</w:t>
      </w:r>
      <w:r w:rsidR="00AD0FAE" w:rsidRPr="000D3090">
        <w:t xml:space="preserve"> </w:t>
      </w:r>
      <w:r w:rsidRPr="000D3090">
        <w:t>to use technology to part</w:t>
      </w:r>
      <w:r w:rsidR="00AD0FAE" w:rsidRPr="000D3090">
        <w:t xml:space="preserve">ake </w:t>
      </w:r>
      <w:r w:rsidR="00F82F2C" w:rsidRPr="000D3090">
        <w:t xml:space="preserve">in </w:t>
      </w:r>
      <w:r w:rsidR="00AD0FAE" w:rsidRPr="000D3090">
        <w:t xml:space="preserve">remote </w:t>
      </w:r>
      <w:r w:rsidR="00F82F2C" w:rsidRPr="000D3090">
        <w:t>activitie</w:t>
      </w:r>
      <w:r w:rsidR="00AD0FAE" w:rsidRPr="000D3090">
        <w:t>s</w:t>
      </w:r>
      <w:r w:rsidRPr="000D3090">
        <w:t xml:space="preserve"> </w:t>
      </w:r>
      <w:r w:rsidR="00935E12" w:rsidRPr="000D3090">
        <w:fldChar w:fldCharType="begin"/>
      </w:r>
      <w:r w:rsidR="004A2FC8" w:rsidRPr="000D3090">
        <w:instrText xml:space="preserve"> ADDIN ZOTERO_ITEM CSL_CITATION {"citationID":"pZ59gTxy","properties":{"unsorted":true,"formattedCitation":"(Chen et al., 2021; Cavallaro and Dianin, 2022)","plainCitation":"(Chen et al., 2021; Cavallaro and Dianin, 2022)","noteIndex":0},"citationItems":[{"id":3220,"uris":["http://zotero.org/users/12832277/items/W74UZUUN"],"itemData":{"id":3220,"type":"article-journal","abstract":"Purpose This paper aimed to explore the development of distance education (DE) in Chinese higher education as well as the three significant themes: accessibility, quality and equity in Chinese DE and the performance of these three themes in Chinese DE. Design/methodology/approach Document analysis was used as the major research method in this study to examine the development and challenges in terms of accessibility, quality and equity in Chinese DE. In this study, national-level official policy documents and reports from the Chinese government were collected and analyzed. Also, scientific articles from CNKI were analyzed to find out the evolution of the Frontier topics on Chinese DE in accessibility, quality and equity. Findings There are three major findings. First, the Chinese government has shown its positive attitude toward DE in higher education. Second, compared with the other two themes: quality and equity; the number of articles in the accessibility of DE was lower than the other two themes and the problems of accessing online courses were insufficiently caused by two reasons due to lack of basic ICT literacy and poor Internet infrastructure. Third, there was a gap between Chinese policies and research articles mainly because of the unbalanced development of accessibility in policy management and research articles. Research limitations/implications Although this paper has summarized the development of the DE in Chinese higher education, it was clear that accessibility, quality and equity were three critical issues in DE. However, there are still other essential factors that contribute to the development of DE that requires further investigation, such as learner satisfaction, different features of learning platforms and instructional strategy. Practical implications The findings of this paper can be used to identify the attitude toward the DE of the Chinese government. Besides, the accessibility could be a research and practical focus for Chinese DE in the future. Originality/value This study showed some significant policies released by the Chinese government toward DE in higher education and revealed the achievements, trends and challenges in the accessibility, quality and equity of Chinese DE.","container-title":"Asian Education and Development Studies","DOI":"10.1108/AEDS-05-2020-0118","ISSN":"2046-3162","issue":"2","note":"publisher: Emerald Publishing Limited","page":"356-365","source":"Emerald Insight","title":"Development of Distance Education in Chinese Higher Education in Perspectives of Accessibility, Quality and Equity Under COVID-19","volume":"11","author":[{"family":"Chen","given":"Ying"},{"family":"Hou","given":"Angela Yung Chi"},{"family":"Huang","given":"Lei"}],"issued":{"date-parts":[["2021",1,1]]}}},{"id":3202,"uris":["http://zotero.org/users/12832277/items/FC4KBZB2"],"itemData":{"id":3202,"type":"article-journal","abstract":"In contemporary society ICTs play a key role in providing access to work. Nevertheless, work accessibility measurements incorporating ICTs are still limited: the focus lies mostly on the physical (transport-related) component. This study develops an original model that integrates accessibility to work opportunities in the physical, virtual and hybrid spaces into a Composite Accessibility indicator (CAi). For this purpose, key factors that influence virtual work accessibility are considered, namely the availability of digital infrastructures, work opportunities that allow remote work and their costs. These factors are combined with those included in physical accessibility measurements, i.e. the attractiveness of work opportunities at location and the transport impedance involved in reaching them. Finally, the model develops an Accessibility Comparison index, which allows the calculating and visualising of the differences of CAi compared to a traditional physical indicator. The model is applied to the Local Labour System in the Province of Cuneo, a mainly rural and mountainous area in north-western Italy. The study provides two main findings: first, work accessibility via ICTs still plays a minor role compared to the physical one, due to the only partial development of digital infrastructures and opportunities of remote work. Second, CAi provides the most varied results compared to a traditional indicator in the remote municipalities, according to their degree of digital-infrastructural coverage and physical isolation. This study provides a methodological contribution for evaluating the development of accessibility in the physical and virtual spaces and a contribution for policymakers to deal with the urban/rural accessibility divide.","container-title":"Journal of Transport Geography","DOI":"10.1016/j.jtrangeo.2021.103224","ISSN":"0966-6923","source":"ScienceDirect","title":"Combining Transport and Digital Accessibilities in the Evaluation of Regional Work Opportunities","URL":"https://www.sciencedirect.com/science/article/pii/S0966692321002775","volume":"98","author":[{"family":"Cavallaro","given":"Federico"},{"family":"Dianin","given":"Alberto"}],"accessed":{"date-parts":[["2024",5,9]]},"issued":{"date-parts":[["2022",1,1]]}}}],"schema":"https://github.com/citation-style-language/schema/raw/master/csl-citation.json"} </w:instrText>
      </w:r>
      <w:r w:rsidR="00935E12" w:rsidRPr="000D3090">
        <w:fldChar w:fldCharType="separate"/>
      </w:r>
      <w:r w:rsidR="004A2FC8" w:rsidRPr="000D3090">
        <w:t>(Chen et al., 2021; Cavallaro and Dianin, 2022)</w:t>
      </w:r>
      <w:r w:rsidR="00935E12" w:rsidRPr="000D3090">
        <w:fldChar w:fldCharType="end"/>
      </w:r>
      <w:r w:rsidRPr="000D3090">
        <w:t xml:space="preserve">. </w:t>
      </w:r>
      <w:r w:rsidR="00AA3A25" w:rsidRPr="000D3090">
        <w:t>Individuals</w:t>
      </w:r>
      <w:r w:rsidRPr="000D3090">
        <w:t xml:space="preserve"> may also be constrained by the</w:t>
      </w:r>
      <w:r w:rsidR="00AA3A25" w:rsidRPr="000D3090">
        <w:t xml:space="preserve"> suitability of their physical environment</w:t>
      </w:r>
      <w:r w:rsidR="001620A7" w:rsidRPr="000D3090">
        <w:t xml:space="preserve"> to pursue </w:t>
      </w:r>
      <w:r w:rsidR="00AD0FAE" w:rsidRPr="000D3090">
        <w:t>virtual</w:t>
      </w:r>
      <w:r w:rsidR="00AA3A25" w:rsidRPr="000D3090">
        <w:t xml:space="preserve"> activities (such as loud home environments</w:t>
      </w:r>
      <w:r w:rsidR="001620A7" w:rsidRPr="000D3090">
        <w:t>,</w:t>
      </w:r>
      <w:r w:rsidR="00AA3A25" w:rsidRPr="000D3090">
        <w:t xml:space="preserve"> making telework challenging)</w:t>
      </w:r>
      <w:r w:rsidR="000E40E0" w:rsidRPr="000D3090">
        <w:t xml:space="preserve"> and</w:t>
      </w:r>
      <w:r w:rsidR="008C4717" w:rsidRPr="000D3090">
        <w:t xml:space="preserve"> the availability of </w:t>
      </w:r>
      <w:r w:rsidR="00812F4E" w:rsidRPr="000D3090">
        <w:t>social and technological</w:t>
      </w:r>
      <w:r w:rsidR="008C4717" w:rsidRPr="000D3090">
        <w:t xml:space="preserve"> support</w:t>
      </w:r>
      <w:r w:rsidR="00AA3A25" w:rsidRPr="000D3090">
        <w:t xml:space="preserve"> </w:t>
      </w:r>
      <w:r w:rsidR="008C4717" w:rsidRPr="000D3090">
        <w:fldChar w:fldCharType="begin"/>
      </w:r>
      <w:r w:rsidR="008D69D1" w:rsidRPr="000D3090">
        <w:instrText xml:space="preserve"> ADDIN ZOTERO_ITEM CSL_CITATION {"citationID":"5NDnEWOK","properties":{"formattedCitation":"(Laumer and Maier, 2021; Squire, 2022)","plainCitation":"(Laumer and Maier, 2021; Squire, 2022)","noteIndex":0},"citationItems":[{"id":3229,"uris":["http://zotero.org/users/12832277/items/WILD9PR9"],"itemData":{"id":3229,"type":"paper-conference","container-title":"Proceedings of the 2021 on Computers and People Research Conference","DOI":"10.1145/3458026.3462155","ISBN":"978-1-4503-8406-3","language":"en","page":"41-49","publisher":"ACM","source":"DOI.org (Crossref)","title":"Why Do People (Not) Want to Work from Home? An Individual-Focused Literature Review on Telework","URL":"https://dl.acm.org/doi/10.1145/3458026.3462155","author":[{"family":"Laumer","given":"Sven"},{"family":"Maier","given":"Christian"}],"accessed":{"date-parts":[["2024",5,9]]},"issued":{"date-parts":[["2021",6,29]]}}},{"id":3227,"uris":["http://zotero.org/users/12832277/items/35EJJDAB"],"itemData":{"id":3227,"type":"article-journal","abstract":"During COVID-19, schools around the world rapidly went online. Examining youth technology use reveals sharp inequities within the United States’ education system and incongruencies between the technologies used in virtual schooling and those in the lives of students outside of school. In affluent communities, virtual schooling is supported by a distributed schooling infrastructure that coordinates students’ knowledge work. This home and school technology infrastructure features material, human, and structural capital that facilitates youth development as nascent knowledge workers. Technology use during virtual schooling keeps youth activity grounded within the “walls” of school; during virtual schooling, students have little voice in setting learning goals or contributing “content.” Technology use at home for learning or entertainment stems from their own goals and features them as active inquisitors seeking out information and extending their social networks, and crucially, using participatory learning technologies such as Discord for communications. An extended period of virtual schooling could enable a rethinking of the role of technology in schools, including an embrace of play, emotional design, participatory communications, place-based learning, embodied understandings, and creative construction.","container-title":"E-Learning and Digital Media","DOI":"10.1177/20427530211022926","ISSN":"2042-7530","issue":"1","language":"en","note":"publisher: SAGE Publications","page":"55-77","source":"SAGE Journals","title":"From Virtual to Participatory Learning with Technology During COVID-19","volume":"19","author":[{"family":"Squire","given":"Kurt D"}],"issued":{"date-parts":[["2022",1,1]]}}}],"schema":"https://github.com/citation-style-language/schema/raw/master/csl-citation.json"} </w:instrText>
      </w:r>
      <w:r w:rsidR="008C4717" w:rsidRPr="000D3090">
        <w:fldChar w:fldCharType="separate"/>
      </w:r>
      <w:r w:rsidR="008D69D1" w:rsidRPr="000D3090">
        <w:t>(Laumer and Maier, 2021; Squire, 2022)</w:t>
      </w:r>
      <w:r w:rsidR="008C4717" w:rsidRPr="000D3090">
        <w:fldChar w:fldCharType="end"/>
      </w:r>
      <w:r w:rsidR="00AA3A25" w:rsidRPr="000D3090">
        <w:t>.</w:t>
      </w:r>
      <w:r w:rsidR="00AA3A25" w:rsidRPr="000D3090">
        <w:rPr>
          <w:b/>
          <w:bCs/>
        </w:rPr>
        <w:t xml:space="preserve"> </w:t>
      </w:r>
      <w:r w:rsidRPr="000D3090">
        <w:t>Th</w:t>
      </w:r>
      <w:r w:rsidR="00D269FE" w:rsidRPr="000D3090">
        <w:t xml:space="preserve">us, </w:t>
      </w:r>
      <w:r w:rsidR="001620A7" w:rsidRPr="000D3090">
        <w:t xml:space="preserve">just as with physical accessibility, </w:t>
      </w:r>
      <w:r w:rsidR="00D269FE" w:rsidRPr="000D3090">
        <w:t>virtual</w:t>
      </w:r>
      <w:r w:rsidRPr="000D3090">
        <w:t xml:space="preserve"> opportunities and resources are not distributed evenly </w:t>
      </w:r>
      <w:r w:rsidR="00AA3A25" w:rsidRPr="000D3090">
        <w:fldChar w:fldCharType="begin"/>
      </w:r>
      <w:r w:rsidR="004A2FC8" w:rsidRPr="000D3090">
        <w:instrText xml:space="preserve"> ADDIN ZOTERO_ITEM CSL_CITATION {"citationID":"2pynOVui","properties":{"unsorted":true,"formattedCitation":"(van Wee, 2022; Pedreira Junior and Pitombo, 2024)","plainCitation":"(van Wee, 2022; Pedreira Junior and Pitombo, 2024)","noteIndex":0},"citationItems":[{"id":3196,"uris":["http://zotero.org/users/12832277/items/CBX6ZJZ8"],"itemData":{"id":3196,"type":"article-journal","abstract":"This discussion paper proposes a conceptual model for the factors influencing ethical concerns regarding accessibility, building on the idea that people should have a minimum level of access to some destinations (founded in the ethical principle of sufficientarianism), and secondly from the idea that differences in levels of accessibility between (groups of) people could be relevant from an equity perspective (founded in the ethical principle of egalitarianism). The four components of accessibility introduced by Geurs and van Wee (2004) – the land use system, the transport system, the individual, and the temporal component – are included in the conceptual model which additionally disentangles the individual component, includes context factors (such as culture/religion), digital access options, perceived accessibility and normative judgments. In addition, this paper proposes a research agenda suggesting several types of quantitative and qualitative methods to study the complex relationships proposed in the model, and research to address those parts of the model for which limited knowledge is currently available.","container-title":"Journal of Transport Geography","DOI":"10.1016/j.jtrangeo.2022.103421","ISSN":"0966-6923","source":"ScienceDirect","title":"Accessibility and Equity: A Conceptual Framework and Research Agenda","URL":"https://www.sciencedirect.com/science/article/pii/S0966692322001442","volume":"104","author":[{"family":"Wee","given":"Bert","non-dropping-particle":"van"}],"accessed":{"date-parts":[["2024",5,9]]},"issued":{"date-parts":[["2022",10,1]]}}},{"id":3210,"uris":["http://zotero.org/users/12832277/items/SB62VCX4"],"itemData":{"id":3210,"type":"article-journal","abstract":"This research investigates substitution patterns of work trips by teleworking during the COVID-19 pandemic in Brazil. Through a longitudinal survey, individuals were asked about their frequencies of work trips and teleworking, engagement with Information and Communication Technologies (ICT) and physical accessibility aspects. Using a two-step modeling framework, we revealed three different substitution patterns of work trips by teleworking by comparing the 2nd half of 2020 to the pre-pandemic period (early March 2020): (1) no/lowsubstitution (uninterrupted in-person work), (2) moderate substitution and (3) intense substitution. Moderate substitution was distinguished from intense substitution by the way in-person work was replaced (partially or fully working from home, respectively) and by the proportion of tasks amenable to telework in the individuals’ occupations. After controlling for these aspects, positive attitudes towards ICT and ICT proficiency strongly determined the magnitude of substitution. Interestingly, the level of substitution was also positively correlated with physical accessibility, indicating that the pandemic has likely widened existing inequalities. In the follow-up survey in late 2021, we found that no/lowsubstitution and moderate substitution classes returned to pre-pandemic levels of teleworking, whereas most of those in the intense substitution group carried on teleworking in 2021. Car use for the no/lowand moderate substitution classes persisted throughout time and only a partial recovery in public transit use was observed in the intense substitution class. In addition to contributing to the comprehension of this phenomenon, the present study provides relevant inputs to inform post-pandemic urban policies.","container-title":"Travel Behaviour and Society","DOI":"10.1016/j.tbs.2023.100657","ISSN":"2214-367X","source":"ScienceDirect","title":"Unveiling Substitution Patterns of Work Trips by Teleworking and Their Associations with Physical and Virtual Accessibility in the Brazilian COVID-19 Crisis","URL":"https://www.sciencedirect.com/science/article/pii/S2214367X23001084","volume":"34","author":[{"family":"Pedreira Junior","given":"Jorge Ubirajara"},{"family":"Pitombo","given":"Cira Souza"}],"accessed":{"date-parts":[["2024",5,9]]},"issued":{"date-parts":[["2024",1,1]]}}}],"schema":"https://github.com/citation-style-language/schema/raw/master/csl-citation.json"} </w:instrText>
      </w:r>
      <w:r w:rsidR="00AA3A25" w:rsidRPr="000D3090">
        <w:fldChar w:fldCharType="separate"/>
      </w:r>
      <w:r w:rsidR="004A2FC8" w:rsidRPr="000D3090">
        <w:t>(van Wee, 2022; Pedreira Junior and Pitombo, 2024)</w:t>
      </w:r>
      <w:r w:rsidR="00AA3A25" w:rsidRPr="000D3090">
        <w:fldChar w:fldCharType="end"/>
      </w:r>
      <w:r w:rsidRPr="000D3090">
        <w:t>.</w:t>
      </w:r>
      <w:r w:rsidR="00AA3A25" w:rsidRPr="000D3090">
        <w:t xml:space="preserve"> </w:t>
      </w:r>
      <w:r w:rsidR="006E3DF9" w:rsidRPr="000D3090">
        <w:t>Therefore</w:t>
      </w:r>
      <w:r w:rsidR="001620A7" w:rsidRPr="000D3090">
        <w:t xml:space="preserve">, there is a need for a better understanding of the interplay between physical and virtual </w:t>
      </w:r>
      <w:r w:rsidR="006E3DF9" w:rsidRPr="000D3090">
        <w:t xml:space="preserve">activity </w:t>
      </w:r>
      <w:r w:rsidR="001620A7" w:rsidRPr="000D3090">
        <w:t>participation.</w:t>
      </w:r>
      <w:r w:rsidR="001620A7" w:rsidRPr="000D3090">
        <w:rPr>
          <w:b/>
          <w:bCs/>
        </w:rPr>
        <w:t xml:space="preserve"> </w:t>
      </w:r>
    </w:p>
    <w:p w14:paraId="033BFA89" w14:textId="17A48CAE" w:rsidR="00B36191" w:rsidRPr="000D3090" w:rsidRDefault="00B36191" w:rsidP="00B36191">
      <w:pPr>
        <w:spacing w:after="0" w:line="240" w:lineRule="auto"/>
        <w:jc w:val="both"/>
        <w:rPr>
          <w:b/>
          <w:bCs/>
        </w:rPr>
      </w:pPr>
    </w:p>
    <w:p w14:paraId="41988A45" w14:textId="49422C27" w:rsidR="00A93901" w:rsidRPr="000D3090" w:rsidRDefault="00CE7014" w:rsidP="00DE4E50">
      <w:pPr>
        <w:spacing w:after="0" w:line="240" w:lineRule="auto"/>
        <w:jc w:val="both"/>
        <w:rPr>
          <w:b/>
          <w:bCs/>
        </w:rPr>
      </w:pPr>
      <w:r w:rsidRPr="000D3090">
        <w:rPr>
          <w:b/>
          <w:bCs/>
        </w:rPr>
        <w:t>2.</w:t>
      </w:r>
      <w:r w:rsidR="004A2FC8" w:rsidRPr="000D3090">
        <w:rPr>
          <w:b/>
          <w:bCs/>
        </w:rPr>
        <w:t>2</w:t>
      </w:r>
      <w:r w:rsidRPr="000D3090">
        <w:rPr>
          <w:b/>
          <w:bCs/>
        </w:rPr>
        <w:t xml:space="preserve"> </w:t>
      </w:r>
      <w:r w:rsidR="00DC7402" w:rsidRPr="000D3090">
        <w:rPr>
          <w:b/>
          <w:bCs/>
        </w:rPr>
        <w:t>Study in Context</w:t>
      </w:r>
    </w:p>
    <w:p w14:paraId="51104058" w14:textId="343C62F8" w:rsidR="004F7455" w:rsidRPr="000D3090" w:rsidRDefault="00A03343">
      <w:pPr>
        <w:spacing w:after="0" w:line="240" w:lineRule="auto"/>
        <w:jc w:val="both"/>
      </w:pPr>
      <w:r w:rsidRPr="000D3090">
        <w:t xml:space="preserve">The current study examines the </w:t>
      </w:r>
      <w:r w:rsidR="00A94E4E" w:rsidRPr="000D3090">
        <w:t xml:space="preserve">relationship between </w:t>
      </w:r>
      <w:r w:rsidR="00310EAA" w:rsidRPr="000D3090">
        <w:t xml:space="preserve">PPD and virtual participation, </w:t>
      </w:r>
      <w:r w:rsidR="00A94E4E" w:rsidRPr="000D3090">
        <w:t>contribut</w:t>
      </w:r>
      <w:r w:rsidR="00310EAA" w:rsidRPr="000D3090">
        <w:t>ing</w:t>
      </w:r>
      <w:r w:rsidR="00A94E4E" w:rsidRPr="000D3090">
        <w:t xml:space="preserve"> to the</w:t>
      </w:r>
      <w:r w:rsidR="004309CC" w:rsidRPr="000D3090">
        <w:t xml:space="preserve"> literature in several ways. </w:t>
      </w:r>
      <w:r w:rsidR="004309CC" w:rsidRPr="000D3090">
        <w:rPr>
          <w:u w:val="single"/>
        </w:rPr>
        <w:t>First</w:t>
      </w:r>
      <w:r w:rsidR="004309CC" w:rsidRPr="000D3090">
        <w:t xml:space="preserve">, </w:t>
      </w:r>
      <w:r w:rsidR="00D57CD1" w:rsidRPr="000D3090">
        <w:t xml:space="preserve">to our knowledge, the current study is the first to investigate </w:t>
      </w:r>
      <w:r w:rsidR="00D57CD1" w:rsidRPr="000D3090">
        <w:lastRenderedPageBreak/>
        <w:t xml:space="preserve">dissonance in the context of trip making and accessibility. The theory of cognitive dissonance has been previously applied in other areas of transportation, such as to mode choice </w:t>
      </w:r>
      <w:r w:rsidR="00D57CD1" w:rsidRPr="000D3090">
        <w:fldChar w:fldCharType="begin"/>
      </w:r>
      <w:r w:rsidR="00D57CD1" w:rsidRPr="000D3090">
        <w:instrText xml:space="preserve"> ADDIN ZOTERO_ITEM CSL_CITATION {"citationID":"59hFabNa","properties":{"unsorted":true,"formattedCitation":"(De Vos, 2018; An et al., 2022)","plainCitation":"(De Vos, 2018; An et al., 2022)","noteIndex":0},"citationItems":[{"id":2389,"uris":["http://zotero.org/users/12832277/items/6BPR6JUC"],"itemData":{"id":2389,"type":"article-journal","abstract":"Numerous studies have indicated that travel mode choice is affected by travel-related attitudes. A positive stance towards a certain travel mode increases the probability that people will choose this mode for a particular trip. However, not a lot of studies have analysed whether people actually choose their preferred travel mode. In this paper we will look at whether respondents with a preference for car use, public transport use, cycling and walking will actually use these modes. Furthermore, we also analyse whether respondents who use their preferred travel mode (i.e., consonant travellers) are more satisfied with their trips compared to respondents travelling with a non-preferred travel mode (i.e., dissonant travellers). Results from this study, analysing leisure trips of 1656 respondents from the city of Ghent (Belgium), indicate that about half of the respondents chooses a non-preferred travel mode and that dissonant travellers can be mainly found within public transport users and least within cyclists, partly due to relatively low levels of public transport attitudes and high levels of cycling attitudes. Furthermore, travel mode dissonance seems to have an important impact on travel satisfaction. Consonant travellers have above average travel satisfaction levels, independent of the used travel mode, while dissonant travellers (except dissonant pedestrians) have below average travel satisfaction levels. This suggests that using a preferred travel mode has at least an equally important impact on travel satisfaction than the chosen travel mode itself.","container-title":"Transportation Research Part A: Policy and Practice","DOI":"10.1016/j.tra.2018.08.034","ISSN":"0965-8564","page":"261-274","source":"ScienceDirect","title":"Do People Travel with Their Preferred Travel Mode? Analysing the Extent of Travel Mode Dissonance and Its Effect on Travel Satisfaction","volume":"117","author":[{"family":"De Vos","given":"Jonas"}],"issued":{"date-parts":[["2018",11,1]]}}},{"id":2481,"uris":["http://zotero.org/users/12832277/items/QRKY7TD7"],"itemData":{"id":2481,"type":"article-journal","abstract":"Multimodal travel behaviour, also termed multimodality, refers to as the phenomenon of an individual using more than one mode of transport in a given period. Studies indicate that encouraging multimodality may provide a solution to induce modal shifts towards sustainable transport. In this research, we investigate the distribution of mode-specific attitudes and attitude-mode use incompatibilities across clusters and levels of multimodality using the Netherlands Mobility Panel. We find that the most positive attitude does not necessarily correspond to the mode with the highest level of use. Attitudes towards car use are most positive, independent of the cluster membership and levels of multimodality. We also find that multimodal public transport users (compared with car-dominant users) and those with a higher level of multimodality are more likely to be attitudinally incompatible with frequently-used modes and the composition of their existing mode sets of travelling. This suggests that multimodal individuals may tend to experience cognitive dissonance with their mode use. Our findings also help uncover the psychological mechanism underlying a recent important finding that multimodal individuals are inclined to change their mode use patterns over time.","container-title":"Transportation Research Part F: Traffic Psychology and Behaviour","DOI":"10.1016/j.trf.2022.10.007","ISSN":"1369-8478","page":"260-273","source":"ScienceDirect","title":"Multimodal Travel Behaviour, Attitudes, and Cognitive Dissonance","volume":"91","author":[{"family":"An","given":"Zihao"},{"family":"Heinen","given":"Eva"},{"family":"Watling","given":"David"}],"issued":{"date-parts":[["2022",11,1]]}}}],"schema":"https://github.com/citation-style-language/schema/raw/master/csl-citation.json"} </w:instrText>
      </w:r>
      <w:r w:rsidR="00D57CD1" w:rsidRPr="000D3090">
        <w:fldChar w:fldCharType="separate"/>
      </w:r>
      <w:r w:rsidR="00D57CD1" w:rsidRPr="000D3090">
        <w:t>(De Vos, 2018; An et al., 2022)</w:t>
      </w:r>
      <w:r w:rsidR="00D57CD1" w:rsidRPr="000D3090">
        <w:fldChar w:fldCharType="end"/>
      </w:r>
      <w:r w:rsidR="00D57CD1" w:rsidRPr="000D3090">
        <w:t xml:space="preserve">, residential location choices </w:t>
      </w:r>
      <w:r w:rsidR="00D57CD1" w:rsidRPr="000D3090">
        <w:fldChar w:fldCharType="begin"/>
      </w:r>
      <w:r w:rsidR="00D57CD1" w:rsidRPr="000D3090">
        <w:instrText xml:space="preserve"> ADDIN ZOTERO_ITEM CSL_CITATION {"citationID":"ltSM4JCn","properties":{"unsorted":true,"formattedCitation":"(van de Coevering et al., 2018; De Vos and Singleton, 2020)","plainCitation":"(van de Coevering et al., 2018; De Vos and Singleton, 2020)","noteIndex":0},"citationItems":[{"id":2484,"uris":["http://zotero.org/users/12832277/items/YVWW9J85"],"itemData":{"id":2484,"type":"article-journal","abstract":"Travel-related attitudes and dissonance between attitudes and the characteristics of the residential built environment are believed to play an important role in the effectiveness of land use policies that aim to influence travel behaviour. To date, research on the nature and directions of causality of the links between these variables has been hindered by the lack of longitudinal approaches. This paper takes such an approach by exploring how people across different population groups adjust their residential environments and attitudes over time. Two latent class transition models are used to segment a population into consonant and dissonant classes to reveal differences in their adjustment process. Interactions between (1) the distance to railway stations and travel-mode-related attitudes and (2) the distance to shopping centres and the importance of satisfaction with these distances are modelled. The models reveal mixed patterns in consonant and dissonant classes at different distances from these destinations. These patterns remain relatively stable over time. People in more dissonant classes generally do not have a higher probability of switching to more consonant classes. People adjust their built environments as well as their attitudes over time and these processes differ between classes. Implications for policies are discussed.","container-title":"Transportation Research Part A: Policy and Practice","DOI":"10.1016/j.tra.2018.08.035","ISSN":"0965-8564","page":"466-479","source":"ScienceDirect","title":"Residential Self-Selection, Reverse Causality and Residential Dissonance. A Latent Class Transition Model of Interactions Between the Built Environment, Travel Attitudes and Travel Behavior","volume":"118","author":[{"family":"Coevering","given":"Paul","non-dropping-particle":"van de"},{"family":"Maat","given":"Kees"},{"family":"Wee","given":"Bert","non-dropping-particle":"van"}],"issued":{"date-parts":[["2018",12,1]]}}},{"id":2386,"uris":["http://zotero.org/users/12832277/items/UP84524K"],"itemData":{"id":2386,"type":"article-journal","abstract":"In this review paper, we reconceptualise the relationships between travel-related attitudes and behaviours using (and considering the applicability of) Festinger’s cognitive dissonance theory. According to this psychological theory – developed in the 1950s and widely used ever since − a dissonance between attitudes and behaviour can result in feelings of discomfort, which people will try to reduce by changing either their attitudes or their behaviour. In our interpretation, we focus on two interrelated decision processes linked with travel behaviour, i.e., travel mode choice and residential location choice. Although a considerable number of travel behaviour studies refer to the cognitive dissonance theory in order to explain found results (e.g., changed attitudes), a full examination of the process of cognitive dissonance (reduction) in the travel behaviour literature is currently lacking. Through this critical consolidation of transport literature on the cognitive dissonance topic, we propose future research directions to fill this gap. We argue that the cognitive dissonance theory can provide valuable insights into satisfaction levels with travel and the place of residence, while also helping to explain changes in travel-related attitudes and choices of where to live and which travel mode to use.","container-title":"Transportation Research Part A: Policy and Practice","DOI":"10.1016/j.tra.2020.06.014","ISSN":"0965-8564","page":"525-536","source":"ScienceDirect","title":"Travel and cognitive dissonance","volume":"138","author":[{"family":"De Vos","given":"Jonas"},{"family":"Singleton","given":"Patrick A."}],"issued":{"date-parts":[["2020",8,1]]}}}],"schema":"https://github.com/citation-style-language/schema/raw/master/csl-citation.json"} </w:instrText>
      </w:r>
      <w:r w:rsidR="00D57CD1" w:rsidRPr="000D3090">
        <w:fldChar w:fldCharType="separate"/>
      </w:r>
      <w:r w:rsidR="00D57CD1" w:rsidRPr="000D3090">
        <w:t>(van de Coevering et al., 2018; De Vos and Singleton, 2020)</w:t>
      </w:r>
      <w:r w:rsidR="00D57CD1" w:rsidRPr="000D3090">
        <w:fldChar w:fldCharType="end"/>
      </w:r>
      <w:r w:rsidR="00D57CD1" w:rsidRPr="000D3090">
        <w:t xml:space="preserve">, sustainable travel decision making </w:t>
      </w:r>
      <w:r w:rsidR="00D57CD1" w:rsidRPr="000D3090">
        <w:fldChar w:fldCharType="begin"/>
      </w:r>
      <w:r w:rsidR="00D57CD1" w:rsidRPr="000D3090">
        <w:instrText xml:space="preserve"> ADDIN ZOTERO_ITEM CSL_CITATION {"citationID":"xVycFhGQ","properties":{"formattedCitation":"(Higham et al., 2013)","plainCitation":"(Higham et al., 2013)","noteIndex":0},"citationItems":[{"id":2487,"uris":["http://zotero.org/users/12832277/items/6HIG3LUS"],"itemData":{"id":2487,"type":"article-journal","abstract":"This paper introduces and explores the psychological and social factors that both contribute to and inhibit behaviour change vis-à-vis sustainable (tourist) mobility. It is based on papers presented at the Freiburg 2012 workshop. Specifically, it reviews climate change attitudes and perceptions, the psychological benefits of tourism mobilities, addictive elements of mobility and social norming effects, the attitude–behaviour gap (i.e. cognitive dissonance between understandings of, and responses to, climate change), the psychology of modal shifts, the psychology of travel speed/time and psychological explanations for the perceived importance of long distance travel. It notes that anthropogenic climate change is an inescapable reality and that tourism's share of greenhouse gas emissions appears set to rise substantially. There is little prospect of technical solutions adequately addressing this problem. The paper concludes that, while a comprehensive understanding of tourist psychology is necessary to inform policy-makers, it alone will be insufficient to achieve emission reductions, and bring tourism to a climatically sustainable pathway, if treated in isolation. Radical change in the structures of provision is also necessary. That change may take the form of infrastructure planning, including financial and economic infrastructure (e.g. taxation regimes and emission trading schemes) for sustainable mobility.","container-title":"Journal of Sustainable Tourism","DOI":"10.1080/09669582.2013.828733","ISSN":"0966-9582","issue":"7","note":"publisher: Routledge\n_eprint: https://doi.org/10.1080/09669582.2013.828733","page":"949-967","source":"Taylor and Francis+NEJM","title":"Psychological and Behavioural Approaches to Understanding and Governing Sustainable Mobility","volume":"21","author":[{"family":"Higham","given":"James"},{"family":"Cohen","given":"Scott A."},{"family":"Peeters","given":"Paul"},{"family":"Gössling","given":"Stefan"}],"issued":{"date-parts":[["2013",9,1]]}}}],"schema":"https://github.com/citation-style-language/schema/raw/master/csl-citation.json"} </w:instrText>
      </w:r>
      <w:r w:rsidR="00D57CD1" w:rsidRPr="000D3090">
        <w:fldChar w:fldCharType="separate"/>
      </w:r>
      <w:r w:rsidR="00D57CD1" w:rsidRPr="000D3090">
        <w:t>(Higham et al., 2013)</w:t>
      </w:r>
      <w:r w:rsidR="00D57CD1" w:rsidRPr="000D3090">
        <w:fldChar w:fldCharType="end"/>
      </w:r>
      <w:r w:rsidR="00D57CD1" w:rsidRPr="000D3090">
        <w:t xml:space="preserve">, and telework decisions </w:t>
      </w:r>
      <w:r w:rsidR="00D57CD1" w:rsidRPr="000D3090">
        <w:fldChar w:fldCharType="begin"/>
      </w:r>
      <w:r w:rsidR="00374A3B" w:rsidRPr="000D3090">
        <w:instrText xml:space="preserve"> ADDIN ZOTERO_ITEM CSL_CITATION {"citationID":"LrK1F5Kv","properties":{"formattedCitation":"(Anderson et al., 2024)","plainCitation":"(Anderson et al., 2024)","noteIndex":0},"citationItems":[{"id":2385,"uris":["http://zotero.org/users/12832277/items/Y2XPBN4E"],"itemData":{"id":2385,"type":"article-journal","abstract":"The remote work arrangement trend engendered by the pandemic continues to be prevalent today\nin most work sectors. But some employers have reverted to an all in-person office workday system\nrecently, with no allowance for remote work despite their employees’ desire for such flexibility.\nAt the same time, some employees may prefer more office-based workdays than what their\nemployer is able to offer today based on office rotation schemes and office downsizing. The\nchallenge to find a harmonious balance between employee and employer preferences and\nperceptions regarding telework raises the issue of telework frequency dissonance (TFD). The\npurpose of this study is to investigate this pandemic-induced TFD. The data for our study is derived\nfrom the third wave of the COVID Future Panel Survey which was deployed across the United\nStates in the Fall of 2021. The survey includes information regarding employees' existing telework\nfrequency (ETF) and ideal telework frequency (ITF). These two dimensions are jointly modeled\nas a function of socioeconomic and demographic explanatory variables. The findings from this\nstudy provide important insights regarding how best to balance employee and employer\npreferences regarding work arrangements. Given the important effects of work arrangements on\ncommute and non-commute travel, the findings from our study should help inform land use and\ntravel models regarding predicting our transportation future.","container-title":"Transportation Research Part C: Emerging Technologies","title":"An Investigation of Dissonance in Telework Frequency","author":[{"family":"Anderson","given":"Samantha M."},{"family":"Asmussen","given":"Katherine E."},{"family":"Saxena","given":"Shobhit"},{"family":"Batur","given":"Irfan"},{"family":"Pendyala","given":"Ram M."},{"family":"Bhat","given":"Chandra R."}],"issued":{"date-parts":[["2024",2]]}}}],"schema":"https://github.com/citation-style-language/schema/raw/master/csl-citation.json"} </w:instrText>
      </w:r>
      <w:r w:rsidR="00D57CD1" w:rsidRPr="000D3090">
        <w:fldChar w:fldCharType="separate"/>
      </w:r>
      <w:r w:rsidR="00374A3B" w:rsidRPr="000D3090">
        <w:t>(Anderson et al., 2024)</w:t>
      </w:r>
      <w:r w:rsidR="00D57CD1" w:rsidRPr="000D3090">
        <w:fldChar w:fldCharType="end"/>
      </w:r>
      <w:r w:rsidR="00D57CD1" w:rsidRPr="000D3090">
        <w:t xml:space="preserve">. However, to our knowledge, this social psychology theory has not been </w:t>
      </w:r>
      <w:r w:rsidR="00230EE9" w:rsidRPr="000D3090">
        <w:t>invoked in</w:t>
      </w:r>
      <w:r w:rsidR="001E7D62" w:rsidRPr="000D3090">
        <w:t xml:space="preserve"> </w:t>
      </w:r>
      <w:r w:rsidR="00230EE9" w:rsidRPr="000D3090">
        <w:t>th</w:t>
      </w:r>
      <w:r w:rsidR="001E7D62" w:rsidRPr="000D3090">
        <w:t>e</w:t>
      </w:r>
      <w:r w:rsidR="00230EE9" w:rsidRPr="000D3090">
        <w:t xml:space="preserve"> context of activity</w:t>
      </w:r>
      <w:r w:rsidR="00310EAA" w:rsidRPr="000D3090">
        <w:t xml:space="preserve"> participation</w:t>
      </w:r>
      <w:r w:rsidR="00D57CD1" w:rsidRPr="000D3090">
        <w:t>.</w:t>
      </w:r>
      <w:bookmarkStart w:id="6" w:name="_Hlk197175189"/>
      <w:r w:rsidR="00C4020C" w:rsidRPr="000D3090">
        <w:t xml:space="preserve"> </w:t>
      </w:r>
      <w:bookmarkEnd w:id="6"/>
      <w:r w:rsidR="00C4020C" w:rsidRPr="000D3090">
        <w:rPr>
          <w:u w:val="single"/>
        </w:rPr>
        <w:t>Second</w:t>
      </w:r>
      <w:r w:rsidR="00C4020C" w:rsidRPr="000D3090">
        <w:t>, we examine the subjective reasons for experiencing PPD, including perceived constraints of the transportation system, individual travel needs, and perceptions of health and safety</w:t>
      </w:r>
      <w:r w:rsidR="00CA181A" w:rsidRPr="000D3090">
        <w:t xml:space="preserve"> (we will use the label “PPD reasons” to refer to these subjective reasons for PPD)</w:t>
      </w:r>
      <w:r w:rsidR="00C4020C" w:rsidRPr="000D3090">
        <w:t xml:space="preserve">. </w:t>
      </w:r>
      <w:bookmarkStart w:id="7" w:name="_Hlk195786374"/>
      <w:r w:rsidR="00C4020C" w:rsidRPr="000D3090">
        <w:t xml:space="preserve">As importantly, by modeling reported PPD experience jointly with </w:t>
      </w:r>
      <w:r w:rsidR="00CA181A" w:rsidRPr="000D3090">
        <w:t>PPD reasons</w:t>
      </w:r>
      <w:r w:rsidR="00C4020C" w:rsidRPr="000D3090">
        <w:t xml:space="preserve">, we </w:t>
      </w:r>
      <w:r w:rsidR="00094BF0" w:rsidRPr="000D3090">
        <w:t>account for any unobserved correlation that occur</w:t>
      </w:r>
      <w:r w:rsidR="004533DF" w:rsidRPr="000D3090">
        <w:t>s</w:t>
      </w:r>
      <w:r w:rsidR="00094BF0" w:rsidRPr="000D3090">
        <w:t xml:space="preserve"> between the PPD outcome and each PPD reason, allowing us</w:t>
      </w:r>
      <w:r w:rsidR="00C4020C" w:rsidRPr="000D3090">
        <w:t xml:space="preserve"> to identify potential PPD reasons </w:t>
      </w:r>
      <w:r w:rsidR="00461EBA" w:rsidRPr="000D3090">
        <w:t xml:space="preserve">for any individual </w:t>
      </w:r>
      <w:r w:rsidR="00C4020C" w:rsidRPr="000D3090">
        <w:t>in the general population, regardless of whether an individual currently reports PPD or not</w:t>
      </w:r>
      <w:r w:rsidR="00461EBA" w:rsidRPr="000D3090">
        <w:t xml:space="preserve">. </w:t>
      </w:r>
      <w:bookmarkEnd w:id="7"/>
      <w:r w:rsidR="00461EBA" w:rsidRPr="000D3090">
        <w:rPr>
          <w:u w:val="single"/>
        </w:rPr>
        <w:t>Third</w:t>
      </w:r>
      <w:r w:rsidR="00D57CD1" w:rsidRPr="000D3090">
        <w:t xml:space="preserve">, we </w:t>
      </w:r>
      <w:r w:rsidR="003C151A" w:rsidRPr="000D3090">
        <w:t xml:space="preserve">examine the propensity of individuals to participate in virtual activities (telework and </w:t>
      </w:r>
      <w:r w:rsidR="00230EE9" w:rsidRPr="000D3090">
        <w:t xml:space="preserve">online-based </w:t>
      </w:r>
      <w:r w:rsidR="003C151A" w:rsidRPr="000D3090">
        <w:t>home deliveries) and whether (or not) virtual participation ha</w:t>
      </w:r>
      <w:r w:rsidR="009648C6" w:rsidRPr="000D3090">
        <w:t>s</w:t>
      </w:r>
      <w:r w:rsidR="003C151A" w:rsidRPr="000D3090">
        <w:t xml:space="preserve"> the potential </w:t>
      </w:r>
      <w:r w:rsidR="00D57CD1" w:rsidRPr="000D3090">
        <w:t xml:space="preserve">to reduce </w:t>
      </w:r>
      <w:r w:rsidR="003C151A" w:rsidRPr="000D3090">
        <w:t>PPD</w:t>
      </w:r>
      <w:r w:rsidR="00D57CD1" w:rsidRPr="000D3090">
        <w:t xml:space="preserve">. </w:t>
      </w:r>
      <w:r w:rsidR="003C151A" w:rsidRPr="000D3090">
        <w:t xml:space="preserve">In investigating this issue, we control for </w:t>
      </w:r>
      <w:r w:rsidR="00703215" w:rsidRPr="000D3090">
        <w:t xml:space="preserve">unobserved </w:t>
      </w:r>
      <w:r w:rsidR="00A80097" w:rsidRPr="000D3090">
        <w:t>factors that</w:t>
      </w:r>
      <w:r w:rsidR="00703215" w:rsidRPr="000D3090">
        <w:t xml:space="preserve"> </w:t>
      </w:r>
      <w:r w:rsidR="009648C6" w:rsidRPr="000D3090">
        <w:t xml:space="preserve">may </w:t>
      </w:r>
      <w:r w:rsidR="00703215" w:rsidRPr="000D3090">
        <w:t xml:space="preserve">impact both physical and virtual </w:t>
      </w:r>
      <w:r w:rsidR="003C151A" w:rsidRPr="000D3090">
        <w:t xml:space="preserve">participation. </w:t>
      </w:r>
      <w:r w:rsidR="00703215" w:rsidRPr="000D3090">
        <w:rPr>
          <w:u w:val="single"/>
        </w:rPr>
        <w:t>Finally</w:t>
      </w:r>
      <w:r w:rsidR="00703215" w:rsidRPr="000D3090">
        <w:t xml:space="preserve">, </w:t>
      </w:r>
      <w:r w:rsidR="00461EBA" w:rsidRPr="000D3090">
        <w:t>we consider a detailed set of exogenous variables (including income, race, age, household composition, location, and vehicle access) to accommodate the heterogeneity (across individuals) in PPD experience</w:t>
      </w:r>
      <w:r w:rsidR="00230EE9" w:rsidRPr="000D3090">
        <w:t xml:space="preserve">, </w:t>
      </w:r>
      <w:r w:rsidR="00461EBA" w:rsidRPr="000D3090">
        <w:t xml:space="preserve">PPD </w:t>
      </w:r>
      <w:r w:rsidR="00CA181A" w:rsidRPr="000D3090">
        <w:t>reasons</w:t>
      </w:r>
      <w:r w:rsidR="00230EE9" w:rsidRPr="000D3090">
        <w:t>, and virtual participation</w:t>
      </w:r>
      <w:r w:rsidR="00461EBA" w:rsidRPr="000D3090">
        <w:t xml:space="preserve">. </w:t>
      </w:r>
      <w:r w:rsidR="00703215" w:rsidRPr="000D3090">
        <w:t xml:space="preserve">These results </w:t>
      </w:r>
      <w:r w:rsidR="00A8227C" w:rsidRPr="000D3090">
        <w:t xml:space="preserve">have implications for transportation policy, informing ways to better integrate physical and virtual systems to address disparities in access. </w:t>
      </w:r>
    </w:p>
    <w:p w14:paraId="5B78F369" w14:textId="77777777" w:rsidR="00D003C1" w:rsidRPr="000D3090" w:rsidRDefault="00D003C1" w:rsidP="00DE4E50">
      <w:pPr>
        <w:spacing w:after="0" w:line="240" w:lineRule="auto"/>
        <w:jc w:val="both"/>
      </w:pPr>
    </w:p>
    <w:p w14:paraId="0EEF39C5" w14:textId="46B43ECB" w:rsidR="000901CF" w:rsidRPr="000D3090" w:rsidRDefault="000901CF" w:rsidP="00DE4E50">
      <w:pPr>
        <w:autoSpaceDE w:val="0"/>
        <w:autoSpaceDN w:val="0"/>
        <w:adjustRightInd w:val="0"/>
        <w:spacing w:after="0" w:line="240" w:lineRule="auto"/>
        <w:jc w:val="both"/>
        <w:rPr>
          <w:b/>
        </w:rPr>
      </w:pPr>
      <w:r w:rsidRPr="000D3090">
        <w:rPr>
          <w:b/>
        </w:rPr>
        <w:t xml:space="preserve">3. </w:t>
      </w:r>
      <w:r w:rsidR="00DC7402" w:rsidRPr="000D3090">
        <w:rPr>
          <w:b/>
        </w:rPr>
        <w:t xml:space="preserve">METHODOLOGY </w:t>
      </w:r>
      <w:r w:rsidRPr="000D3090">
        <w:rPr>
          <w:b/>
        </w:rPr>
        <w:t xml:space="preserve"> </w:t>
      </w:r>
    </w:p>
    <w:p w14:paraId="0F73AC80" w14:textId="6E93DF06" w:rsidR="000901CF" w:rsidRPr="000D3090" w:rsidRDefault="000901CF" w:rsidP="00DE4E50">
      <w:pPr>
        <w:autoSpaceDE w:val="0"/>
        <w:autoSpaceDN w:val="0"/>
        <w:adjustRightInd w:val="0"/>
        <w:spacing w:after="0" w:line="240" w:lineRule="auto"/>
        <w:jc w:val="both"/>
        <w:rPr>
          <w:b/>
        </w:rPr>
      </w:pPr>
      <w:r w:rsidRPr="000D3090">
        <w:rPr>
          <w:b/>
        </w:rPr>
        <w:t>3.</w:t>
      </w:r>
      <w:r w:rsidR="00440916" w:rsidRPr="000D3090">
        <w:rPr>
          <w:b/>
        </w:rPr>
        <w:t>1</w:t>
      </w:r>
      <w:r w:rsidRPr="000D3090">
        <w:rPr>
          <w:b/>
        </w:rPr>
        <w:t xml:space="preserve">. Data Description </w:t>
      </w:r>
    </w:p>
    <w:p w14:paraId="169A48EF" w14:textId="5165A64B" w:rsidR="000D606D" w:rsidRPr="000D3090" w:rsidRDefault="000D6CFE" w:rsidP="000D606D">
      <w:pPr>
        <w:autoSpaceDE w:val="0"/>
        <w:autoSpaceDN w:val="0"/>
        <w:adjustRightInd w:val="0"/>
        <w:spacing w:after="0" w:line="240" w:lineRule="auto"/>
        <w:jc w:val="both"/>
        <w:rPr>
          <w:bCs/>
        </w:rPr>
      </w:pPr>
      <w:r w:rsidRPr="000D3090">
        <w:rPr>
          <w:bCs/>
        </w:rPr>
        <w:t xml:space="preserve">The data used for this study are </w:t>
      </w:r>
      <w:r w:rsidR="009648C6" w:rsidRPr="000D3090">
        <w:rPr>
          <w:bCs/>
        </w:rPr>
        <w:t xml:space="preserve">drawn </w:t>
      </w:r>
      <w:r w:rsidRPr="000D3090">
        <w:rPr>
          <w:bCs/>
        </w:rPr>
        <w:t xml:space="preserve">from the </w:t>
      </w:r>
      <w:r w:rsidR="00E45D26" w:rsidRPr="000D3090">
        <w:t>2022 NextGen National Household Travel Survey (NHTS), administered by the US Department of Transportation</w:t>
      </w:r>
      <w:r w:rsidRPr="000D3090">
        <w:rPr>
          <w:bCs/>
        </w:rPr>
        <w:t xml:space="preserve"> between </w:t>
      </w:r>
      <w:r w:rsidR="00F95B70" w:rsidRPr="000D3090">
        <w:rPr>
          <w:bCs/>
        </w:rPr>
        <w:t>January 2022 and January 2023</w:t>
      </w:r>
      <w:r w:rsidR="00022F2E" w:rsidRPr="000D3090">
        <w:rPr>
          <w:bCs/>
        </w:rPr>
        <w:t xml:space="preserve"> </w:t>
      </w:r>
      <w:r w:rsidR="00022F2E" w:rsidRPr="000D3090">
        <w:rPr>
          <w:bCs/>
        </w:rPr>
        <w:fldChar w:fldCharType="begin"/>
      </w:r>
      <w:r w:rsidR="00022F2E" w:rsidRPr="000D3090">
        <w:rPr>
          <w:bCs/>
        </w:rPr>
        <w:instrText xml:space="preserve"> ADDIN ZOTERO_ITEM CSL_CITATION {"citationID":"dzlOeeQ6","properties":{"formattedCitation":"(Federal Highway Administration, 2023)","plainCitation":"(Federal Highway Administration, 2023)","noteIndex":0},"citationItems":[{"id":1959,"uris":["http://zotero.org/users/12832277/items/ZAYVS8KD"],"itemData":{"id":1959,"type":"dataset","DOI":"https://nhts.ornl.gov","publisher":"U.S. Department of Transportation, Washington, DC","title":"2022 NextGen National Household Travel Survey","author":[{"family":"Federal Highway Administration","given":""}],"issued":{"date-parts":[["2023",10]]}}}],"schema":"https://github.com/citation-style-language/schema/raw/master/csl-citation.json"} </w:instrText>
      </w:r>
      <w:r w:rsidR="00022F2E" w:rsidRPr="000D3090">
        <w:rPr>
          <w:bCs/>
        </w:rPr>
        <w:fldChar w:fldCharType="separate"/>
      </w:r>
      <w:r w:rsidR="00022F2E" w:rsidRPr="000D3090">
        <w:t>(Federal Highway Administration, 2023)</w:t>
      </w:r>
      <w:r w:rsidR="00022F2E" w:rsidRPr="000D3090">
        <w:rPr>
          <w:bCs/>
        </w:rPr>
        <w:fldChar w:fldCharType="end"/>
      </w:r>
      <w:r w:rsidRPr="000D3090">
        <w:rPr>
          <w:bCs/>
        </w:rPr>
        <w:t xml:space="preserve">. </w:t>
      </w:r>
      <w:r w:rsidR="003675DD" w:rsidRPr="000D3090">
        <w:rPr>
          <w:bCs/>
        </w:rPr>
        <w:t>The 2022</w:t>
      </w:r>
      <w:r w:rsidR="00EB2445" w:rsidRPr="000D3090">
        <w:rPr>
          <w:bCs/>
        </w:rPr>
        <w:t xml:space="preserve"> NHTS </w:t>
      </w:r>
      <w:r w:rsidR="003675DD" w:rsidRPr="000D3090">
        <w:rPr>
          <w:bCs/>
        </w:rPr>
        <w:t xml:space="preserve">is the first </w:t>
      </w:r>
      <w:r w:rsidR="00EB2445" w:rsidRPr="000D3090">
        <w:rPr>
          <w:bCs/>
        </w:rPr>
        <w:t xml:space="preserve">large-scale U.S. nationwide activity-travel survey </w:t>
      </w:r>
      <w:r w:rsidR="003675DD" w:rsidRPr="000D3090">
        <w:rPr>
          <w:bCs/>
        </w:rPr>
        <w:t>to be collected since the onset of the pandemic, providing a</w:t>
      </w:r>
      <w:r w:rsidR="004F0990" w:rsidRPr="000D3090">
        <w:rPr>
          <w:bCs/>
        </w:rPr>
        <w:t xml:space="preserve"> unique</w:t>
      </w:r>
      <w:r w:rsidR="003675DD" w:rsidRPr="000D3090">
        <w:rPr>
          <w:bCs/>
        </w:rPr>
        <w:t xml:space="preserve"> opportunity to examine </w:t>
      </w:r>
      <w:r w:rsidR="00D04605" w:rsidRPr="000D3090">
        <w:rPr>
          <w:bCs/>
        </w:rPr>
        <w:t xml:space="preserve">new transportation behaviors at a national level. </w:t>
      </w:r>
      <w:r w:rsidR="005B5852" w:rsidRPr="000D3090">
        <w:rPr>
          <w:bCs/>
        </w:rPr>
        <w:t xml:space="preserve">A </w:t>
      </w:r>
      <w:r w:rsidR="00581AB7" w:rsidRPr="000D3090">
        <w:rPr>
          <w:bCs/>
        </w:rPr>
        <w:t>“</w:t>
      </w:r>
      <w:r w:rsidR="005B5852" w:rsidRPr="000D3090">
        <w:rPr>
          <w:bCs/>
        </w:rPr>
        <w:t>random</w:t>
      </w:r>
      <w:r w:rsidR="00581AB7" w:rsidRPr="000D3090">
        <w:rPr>
          <w:bCs/>
        </w:rPr>
        <w:t>”</w:t>
      </w:r>
      <w:r w:rsidR="005B5852" w:rsidRPr="000D3090">
        <w:rPr>
          <w:bCs/>
        </w:rPr>
        <w:t xml:space="preserve"> sample </w:t>
      </w:r>
      <w:r w:rsidR="00753510" w:rsidRPr="000D3090">
        <w:rPr>
          <w:bCs/>
        </w:rPr>
        <w:t xml:space="preserve">was collected based on </w:t>
      </w:r>
      <w:r w:rsidR="00E770D3" w:rsidRPr="000D3090">
        <w:rPr>
          <w:bCs/>
        </w:rPr>
        <w:t xml:space="preserve">an address-based sampling frame from the US Postal Service. </w:t>
      </w:r>
      <w:r w:rsidR="00FE3601" w:rsidRPr="000D3090">
        <w:rPr>
          <w:bCs/>
        </w:rPr>
        <w:t>Participants were invited to participate in the survey online, with the option to request a paper survey</w:t>
      </w:r>
      <w:r w:rsidR="00E05E73" w:rsidRPr="000D3090">
        <w:rPr>
          <w:bCs/>
        </w:rPr>
        <w:t xml:space="preserve">. Respondents </w:t>
      </w:r>
      <w:r w:rsidR="00EB2445" w:rsidRPr="000D3090">
        <w:rPr>
          <w:bCs/>
        </w:rPr>
        <w:t>provid</w:t>
      </w:r>
      <w:r w:rsidR="00E05E73" w:rsidRPr="000D3090">
        <w:rPr>
          <w:bCs/>
        </w:rPr>
        <w:t>ed</w:t>
      </w:r>
      <w:r w:rsidR="00EB2445" w:rsidRPr="000D3090">
        <w:rPr>
          <w:bCs/>
        </w:rPr>
        <w:t xml:space="preserve"> </w:t>
      </w:r>
      <w:r w:rsidRPr="000D3090">
        <w:rPr>
          <w:bCs/>
        </w:rPr>
        <w:t>household socioeconomic and demographic information, mode use and commute</w:t>
      </w:r>
      <w:r w:rsidR="006038C2" w:rsidRPr="000D3090">
        <w:rPr>
          <w:bCs/>
        </w:rPr>
        <w:t xml:space="preserve"> data, and a one-day travel diary. </w:t>
      </w:r>
      <w:r w:rsidRPr="000D3090">
        <w:rPr>
          <w:bCs/>
        </w:rPr>
        <w:t xml:space="preserve">The survey also included </w:t>
      </w:r>
      <w:r w:rsidR="006038C2" w:rsidRPr="000D3090">
        <w:rPr>
          <w:bCs/>
        </w:rPr>
        <w:t xml:space="preserve">special topic questions covering the impacts of the COVID-19 pandemic, online work and shopping behaviors, the use of emerging modes, and concerns about transportation </w:t>
      </w:r>
      <w:r w:rsidR="004A2FC8" w:rsidRPr="000D3090">
        <w:rPr>
          <w:bCs/>
        </w:rPr>
        <w:t>efficacy</w:t>
      </w:r>
      <w:r w:rsidRPr="000D3090">
        <w:rPr>
          <w:bCs/>
        </w:rPr>
        <w:t xml:space="preserve">. </w:t>
      </w:r>
      <w:r w:rsidR="00E33B3F" w:rsidRPr="000D3090">
        <w:rPr>
          <w:bCs/>
        </w:rPr>
        <w:t xml:space="preserve">Of particular interest here </w:t>
      </w:r>
      <w:r w:rsidR="00230EE9" w:rsidRPr="000D3090">
        <w:rPr>
          <w:bCs/>
        </w:rPr>
        <w:t>i</w:t>
      </w:r>
      <w:r w:rsidR="00E33B3F" w:rsidRPr="000D3090">
        <w:rPr>
          <w:bCs/>
        </w:rPr>
        <w:t xml:space="preserve">s a question in the transportation </w:t>
      </w:r>
      <w:r w:rsidR="004A2FC8" w:rsidRPr="000D3090">
        <w:rPr>
          <w:bCs/>
        </w:rPr>
        <w:t xml:space="preserve">efficacy </w:t>
      </w:r>
      <w:r w:rsidR="00E33B3F" w:rsidRPr="000D3090">
        <w:rPr>
          <w:bCs/>
        </w:rPr>
        <w:t xml:space="preserve">section asking whether individuals had taken fewer trips in the last 30 days than they had planned, and what the reasons were for </w:t>
      </w:r>
      <w:r w:rsidR="00E93FD0" w:rsidRPr="000D3090">
        <w:rPr>
          <w:bCs/>
        </w:rPr>
        <w:t xml:space="preserve">suppressing these </w:t>
      </w:r>
      <w:r w:rsidR="00E21530" w:rsidRPr="000D3090">
        <w:rPr>
          <w:bCs/>
        </w:rPr>
        <w:t xml:space="preserve">planned </w:t>
      </w:r>
      <w:r w:rsidR="00E93FD0" w:rsidRPr="000D3090">
        <w:rPr>
          <w:bCs/>
        </w:rPr>
        <w:t>trips</w:t>
      </w:r>
      <w:r w:rsidR="00E33B3F" w:rsidRPr="000D3090">
        <w:rPr>
          <w:bCs/>
        </w:rPr>
        <w:t xml:space="preserve">. </w:t>
      </w:r>
    </w:p>
    <w:p w14:paraId="40305B78" w14:textId="1F616385" w:rsidR="006A7EA1" w:rsidRPr="000D3090" w:rsidRDefault="00947629" w:rsidP="00C5130A">
      <w:pPr>
        <w:autoSpaceDE w:val="0"/>
        <w:autoSpaceDN w:val="0"/>
        <w:adjustRightInd w:val="0"/>
        <w:spacing w:after="0" w:line="240" w:lineRule="auto"/>
        <w:ind w:firstLine="720"/>
        <w:jc w:val="both"/>
        <w:rPr>
          <w:bCs/>
        </w:rPr>
      </w:pPr>
      <w:bookmarkStart w:id="8" w:name="_Hlk197178782"/>
      <w:r w:rsidRPr="000D3090">
        <w:rPr>
          <w:bCs/>
        </w:rPr>
        <w:t>The 2022 NHTS is suited for our analysis of PPD experience, PPD reasons, and virtual participation</w:t>
      </w:r>
      <w:r w:rsidR="00F23109" w:rsidRPr="000D3090">
        <w:rPr>
          <w:bCs/>
        </w:rPr>
        <w:t>, and their inter-relationships,</w:t>
      </w:r>
      <w:r w:rsidRPr="000D3090">
        <w:rPr>
          <w:bCs/>
        </w:rPr>
        <w:t xml:space="preserve"> for at least three reasons. </w:t>
      </w:r>
      <w:r w:rsidRPr="000D3090">
        <w:t xml:space="preserve">First, </w:t>
      </w:r>
      <w:r w:rsidR="00F23109" w:rsidRPr="000D3090">
        <w:t xml:space="preserve">the 2022 NHTS </w:t>
      </w:r>
      <w:r w:rsidRPr="000D3090">
        <w:t xml:space="preserve">provides a relatively good sample size with representation across the United States. Second, it includes specific questions regarding whether or not individuals experienced PPD (in the context of suppression of trips in the 30 days prior to taking the survey), multiple </w:t>
      </w:r>
      <w:r w:rsidR="000D606D" w:rsidRPr="000D3090">
        <w:t xml:space="preserve">possible </w:t>
      </w:r>
      <w:r w:rsidRPr="000D3090">
        <w:t>reasons for PPD, virtual activity participation, and a broad range of individual</w:t>
      </w:r>
      <w:r w:rsidR="00581AB7" w:rsidRPr="000D3090">
        <w:t>/</w:t>
      </w:r>
      <w:r w:rsidRPr="000D3090">
        <w:t>household-level demographics</w:t>
      </w:r>
      <w:r w:rsidR="00581AB7" w:rsidRPr="000D3090">
        <w:t xml:space="preserve"> and built environments</w:t>
      </w:r>
      <w:r w:rsidR="000D606D" w:rsidRPr="000D3090">
        <w:t xml:space="preserve">, all of which allow us to investigate </w:t>
      </w:r>
      <w:r w:rsidRPr="000D3090">
        <w:t xml:space="preserve">how transport disadvantages </w:t>
      </w:r>
      <w:r w:rsidR="003663E7" w:rsidRPr="000D3090">
        <w:t xml:space="preserve">and virtual </w:t>
      </w:r>
      <w:r w:rsidR="001D3B34" w:rsidRPr="000D3090">
        <w:t xml:space="preserve">activity </w:t>
      </w:r>
      <w:r w:rsidR="003663E7" w:rsidRPr="000D3090">
        <w:t xml:space="preserve">participation opportunities </w:t>
      </w:r>
      <w:r w:rsidRPr="000D3090">
        <w:t>are distributed among different demographic groups</w:t>
      </w:r>
      <w:r w:rsidR="000D606D" w:rsidRPr="000D3090">
        <w:t xml:space="preserve"> and different built environment contexts</w:t>
      </w:r>
      <w:r w:rsidRPr="000D3090">
        <w:t xml:space="preserve">. Third, the survey was conducted at an opportune time in the </w:t>
      </w:r>
      <w:r w:rsidRPr="000D3090">
        <w:lastRenderedPageBreak/>
        <w:t xml:space="preserve">aftermath of the COVID-19 pandemic, in the midst of rapid changes </w:t>
      </w:r>
      <w:r w:rsidR="000D606D" w:rsidRPr="000D3090">
        <w:t>in</w:t>
      </w:r>
      <w:r w:rsidRPr="000D3090">
        <w:t xml:space="preserve"> the use of virtual activities </w:t>
      </w:r>
      <w:r w:rsidR="000D606D" w:rsidRPr="000D3090">
        <w:t xml:space="preserve">even </w:t>
      </w:r>
      <w:r w:rsidRPr="000D3090">
        <w:t xml:space="preserve">as many individuals were resuming pre-COVID in-person </w:t>
      </w:r>
      <w:r w:rsidR="000D606D" w:rsidRPr="000D3090">
        <w:t xml:space="preserve">OH </w:t>
      </w:r>
      <w:r w:rsidRPr="000D3090">
        <w:t xml:space="preserve">activity routines. </w:t>
      </w:r>
    </w:p>
    <w:bookmarkEnd w:id="8"/>
    <w:p w14:paraId="1A91BC8D" w14:textId="5E334A21" w:rsidR="00F33DFE" w:rsidRPr="000D3090" w:rsidRDefault="00E05E73" w:rsidP="00E33B3F">
      <w:pPr>
        <w:autoSpaceDE w:val="0"/>
        <w:autoSpaceDN w:val="0"/>
        <w:adjustRightInd w:val="0"/>
        <w:spacing w:after="0" w:line="240" w:lineRule="auto"/>
        <w:ind w:firstLine="720"/>
        <w:jc w:val="both"/>
        <w:rPr>
          <w:bCs/>
        </w:rPr>
      </w:pPr>
      <w:r w:rsidRPr="000D3090">
        <w:rPr>
          <w:bCs/>
        </w:rPr>
        <w:t xml:space="preserve">For the current analysis, we included only adults 18 years of age or over (individuals below the age of 18 years were not asked the </w:t>
      </w:r>
      <w:r w:rsidR="004A2FC8" w:rsidRPr="000D3090">
        <w:rPr>
          <w:bCs/>
        </w:rPr>
        <w:t xml:space="preserve">transportation efficacy </w:t>
      </w:r>
      <w:r w:rsidRPr="000D3090">
        <w:rPr>
          <w:bCs/>
        </w:rPr>
        <w:t>questions)</w:t>
      </w:r>
      <w:r w:rsidR="001C1AF7" w:rsidRPr="000D3090">
        <w:rPr>
          <w:bCs/>
        </w:rPr>
        <w:t xml:space="preserve">. We further focused on individuals who reported either not suppressing any planned trip in the past 30 days, or reported suppressing a planned trip for one of </w:t>
      </w:r>
      <w:r w:rsidR="005C4DB9" w:rsidRPr="000D3090">
        <w:rPr>
          <w:bCs/>
        </w:rPr>
        <w:t>eight transportation-related</w:t>
      </w:r>
      <w:r w:rsidR="001C1AF7" w:rsidRPr="000D3090">
        <w:rPr>
          <w:bCs/>
        </w:rPr>
        <w:t xml:space="preserve"> reasons that could reasonably </w:t>
      </w:r>
      <w:r w:rsidR="005C4DB9" w:rsidRPr="000D3090">
        <w:rPr>
          <w:bCs/>
        </w:rPr>
        <w:t xml:space="preserve">be </w:t>
      </w:r>
      <w:r w:rsidR="001C1AF7" w:rsidRPr="000D3090">
        <w:rPr>
          <w:bCs/>
        </w:rPr>
        <w:t xml:space="preserve">construed as a sign of physical participation dissonance (PPD). </w:t>
      </w:r>
      <w:r w:rsidR="000A1C17" w:rsidRPr="000D3090">
        <w:rPr>
          <w:bCs/>
        </w:rPr>
        <w:t>This issue is discussed further in the next section. After cleaning and screening, the final sample included</w:t>
      </w:r>
      <w:r w:rsidR="00A415C6" w:rsidRPr="000D3090">
        <w:rPr>
          <w:bCs/>
        </w:rPr>
        <w:t xml:space="preserve"> </w:t>
      </w:r>
      <w:r w:rsidR="00522A5F" w:rsidRPr="000D3090">
        <w:rPr>
          <w:bCs/>
        </w:rPr>
        <w:t>12,469</w:t>
      </w:r>
      <w:r w:rsidR="000A1C17" w:rsidRPr="000D3090">
        <w:rPr>
          <w:bCs/>
        </w:rPr>
        <w:t xml:space="preserve"> individuals</w:t>
      </w:r>
      <w:r w:rsidR="00581AB7" w:rsidRPr="000D3090">
        <w:rPr>
          <w:bCs/>
        </w:rPr>
        <w:t xml:space="preserve"> from the sampled households</w:t>
      </w:r>
      <w:r w:rsidR="000A1C17" w:rsidRPr="000D3090">
        <w:rPr>
          <w:bCs/>
        </w:rPr>
        <w:t xml:space="preserve">. </w:t>
      </w:r>
    </w:p>
    <w:p w14:paraId="6B03DC15" w14:textId="77777777" w:rsidR="0009518B" w:rsidRPr="000D3090" w:rsidRDefault="0009518B" w:rsidP="00DE4E50">
      <w:pPr>
        <w:spacing w:after="0" w:line="240" w:lineRule="auto"/>
        <w:jc w:val="both"/>
        <w:rPr>
          <w:b/>
          <w:bCs/>
        </w:rPr>
      </w:pPr>
    </w:p>
    <w:p w14:paraId="6F620EC5" w14:textId="140A48B8" w:rsidR="00706E26" w:rsidRPr="000D3090" w:rsidRDefault="00706E26" w:rsidP="00DE4E50">
      <w:pPr>
        <w:spacing w:after="0" w:line="240" w:lineRule="auto"/>
        <w:rPr>
          <w:i/>
          <w:iCs/>
        </w:rPr>
      </w:pPr>
      <w:r w:rsidRPr="000D3090">
        <w:rPr>
          <w:b/>
          <w:bCs/>
          <w:i/>
          <w:iCs/>
        </w:rPr>
        <w:t>3.</w:t>
      </w:r>
      <w:r w:rsidR="00440916" w:rsidRPr="000D3090">
        <w:rPr>
          <w:b/>
          <w:bCs/>
          <w:i/>
          <w:iCs/>
        </w:rPr>
        <w:t>1</w:t>
      </w:r>
      <w:r w:rsidRPr="000D3090">
        <w:rPr>
          <w:b/>
          <w:bCs/>
          <w:i/>
          <w:iCs/>
        </w:rPr>
        <w:t xml:space="preserve">.1 </w:t>
      </w:r>
      <w:r w:rsidR="00150ADE" w:rsidRPr="000D3090">
        <w:rPr>
          <w:b/>
          <w:bCs/>
          <w:i/>
          <w:iCs/>
        </w:rPr>
        <w:t xml:space="preserve">Endogenous </w:t>
      </w:r>
      <w:r w:rsidRPr="000D3090">
        <w:rPr>
          <w:b/>
          <w:bCs/>
          <w:i/>
          <w:iCs/>
        </w:rPr>
        <w:t>Outcome Variables</w:t>
      </w:r>
    </w:p>
    <w:p w14:paraId="49F9AC39" w14:textId="4F1BABD0" w:rsidR="00EE3640" w:rsidRPr="000D3090" w:rsidRDefault="007404F6" w:rsidP="002979FC">
      <w:pPr>
        <w:spacing w:after="0" w:line="240" w:lineRule="auto"/>
        <w:jc w:val="both"/>
      </w:pPr>
      <w:r w:rsidRPr="000D3090">
        <w:t xml:space="preserve">Descriptive statistics of the </w:t>
      </w:r>
      <w:r w:rsidR="00150ADE" w:rsidRPr="000D3090">
        <w:t xml:space="preserve">endogenous </w:t>
      </w:r>
      <w:r w:rsidRPr="000D3090">
        <w:t xml:space="preserve">outcome variables are shown in Table 1. </w:t>
      </w:r>
      <w:r w:rsidR="00EE3640" w:rsidRPr="000D3090">
        <w:t>The first outcome</w:t>
      </w:r>
      <w:r w:rsidR="00265877" w:rsidRPr="000D3090">
        <w:t xml:space="preserve"> </w:t>
      </w:r>
      <w:r w:rsidR="009A4843" w:rsidRPr="000D3090">
        <w:t>is</w:t>
      </w:r>
      <w:r w:rsidR="00287006" w:rsidRPr="000D3090">
        <w:t xml:space="preserve"> a binary response </w:t>
      </w:r>
      <w:r w:rsidR="009A4843" w:rsidRPr="000D3090">
        <w:t>indicating</w:t>
      </w:r>
      <w:r w:rsidR="00287006" w:rsidRPr="000D3090">
        <w:t xml:space="preserve"> </w:t>
      </w:r>
      <w:r w:rsidR="005148B7" w:rsidRPr="000D3090">
        <w:t xml:space="preserve">whether </w:t>
      </w:r>
      <w:r w:rsidR="00AC01AC" w:rsidRPr="000D3090">
        <w:t xml:space="preserve">the </w:t>
      </w:r>
      <w:r w:rsidR="005148B7" w:rsidRPr="000D3090">
        <w:t xml:space="preserve">individual </w:t>
      </w:r>
      <w:r w:rsidR="00EE3640" w:rsidRPr="000D3090">
        <w:t>took</w:t>
      </w:r>
      <w:r w:rsidR="003F792C" w:rsidRPr="000D3090">
        <w:t xml:space="preserve"> fewer trips than planned in the 30 days prior to taking the survey</w:t>
      </w:r>
      <w:r w:rsidR="00EE3640" w:rsidRPr="000D3090">
        <w:t xml:space="preserve">. </w:t>
      </w:r>
      <w:r w:rsidR="005C4DB9" w:rsidRPr="000D3090">
        <w:t xml:space="preserve">Thus, </w:t>
      </w:r>
      <w:r w:rsidR="00042612" w:rsidRPr="000D3090">
        <w:t>because an individual needed to have some expectation of completing a trip to plan it in the first place</w:t>
      </w:r>
      <w:r w:rsidR="005C4DB9" w:rsidRPr="000D3090">
        <w:t xml:space="preserve">, </w:t>
      </w:r>
      <w:r w:rsidR="007A40D5" w:rsidRPr="000D3090">
        <w:t xml:space="preserve">it is </w:t>
      </w:r>
      <w:r w:rsidR="005E3246" w:rsidRPr="000D3090">
        <w:t>reasonable</w:t>
      </w:r>
      <w:r w:rsidR="007A40D5" w:rsidRPr="000D3090">
        <w:t xml:space="preserve"> to view </w:t>
      </w:r>
      <w:r w:rsidR="00042612" w:rsidRPr="000D3090">
        <w:t>th</w:t>
      </w:r>
      <w:r w:rsidR="00E54196" w:rsidRPr="000D3090">
        <w:t xml:space="preserve">is suppression of planned trips </w:t>
      </w:r>
      <w:r w:rsidR="007A40D5" w:rsidRPr="000D3090">
        <w:t>as PPD</w:t>
      </w:r>
      <w:r w:rsidR="00DB28B5" w:rsidRPr="000D3090">
        <w:t>, especially because, as we discuss below, the reasons for trip suppression provided by individuals in the sample used in our analysis all referenced transportation challenges or health concerns</w:t>
      </w:r>
      <w:r w:rsidR="00502542" w:rsidRPr="000D3090">
        <w:t xml:space="preserve"> (implying that the trip suppression engendered negative emotions)</w:t>
      </w:r>
      <w:r w:rsidR="007A40D5" w:rsidRPr="000D3090">
        <w:t xml:space="preserve">. </w:t>
      </w:r>
      <w:bookmarkStart w:id="9" w:name="_Hlk197158027"/>
      <w:r w:rsidRPr="000D3090">
        <w:t>Of the 1</w:t>
      </w:r>
      <w:r w:rsidR="000A1C17" w:rsidRPr="000D3090">
        <w:t>2</w:t>
      </w:r>
      <w:r w:rsidRPr="000D3090">
        <w:t>,</w:t>
      </w:r>
      <w:r w:rsidR="00A415C6" w:rsidRPr="000D3090">
        <w:t>469</w:t>
      </w:r>
      <w:r w:rsidRPr="000D3090">
        <w:t xml:space="preserve"> individuals in the sample, </w:t>
      </w:r>
      <w:r w:rsidR="000A1C17" w:rsidRPr="000D3090">
        <w:t>2</w:t>
      </w:r>
      <w:r w:rsidR="00A415C6" w:rsidRPr="000D3090">
        <w:t>,553</w:t>
      </w:r>
      <w:r w:rsidR="000A1C17" w:rsidRPr="000D3090">
        <w:t xml:space="preserve"> individuals (</w:t>
      </w:r>
      <w:r w:rsidR="00A415C6" w:rsidRPr="000D3090">
        <w:t>20</w:t>
      </w:r>
      <w:r w:rsidR="000A1C17" w:rsidRPr="000D3090">
        <w:t>.</w:t>
      </w:r>
      <w:r w:rsidR="00A415C6" w:rsidRPr="000D3090">
        <w:t>5</w:t>
      </w:r>
      <w:r w:rsidR="000A1C17" w:rsidRPr="000D3090">
        <w:t xml:space="preserve">%) </w:t>
      </w:r>
      <w:r w:rsidRPr="000D3090">
        <w:t>indicated that they had suppressed at least one planned trip in the 30 days prior to the survey</w:t>
      </w:r>
      <w:r w:rsidR="007A40D5" w:rsidRPr="000D3090">
        <w:t xml:space="preserve"> (that is, experienced PPD</w:t>
      </w:r>
      <w:r w:rsidR="00230EE9" w:rsidRPr="000D3090">
        <w:t>; see the first row</w:t>
      </w:r>
      <w:r w:rsidR="00F74D9D" w:rsidRPr="000D3090">
        <w:t>-</w:t>
      </w:r>
      <w:r w:rsidR="00230EE9" w:rsidRPr="000D3090">
        <w:t>panel of Table 1</w:t>
      </w:r>
      <w:r w:rsidR="007A40D5" w:rsidRPr="000D3090">
        <w:t>)</w:t>
      </w:r>
      <w:r w:rsidRPr="000D3090">
        <w:t>.</w:t>
      </w:r>
      <w:r w:rsidR="00EA5158" w:rsidRPr="000D3090">
        <w:rPr>
          <w:rStyle w:val="FootnoteReference"/>
        </w:rPr>
        <w:footnoteReference w:id="3"/>
      </w:r>
      <w:r w:rsidRPr="000D3090">
        <w:t xml:space="preserve"> </w:t>
      </w:r>
      <w:r w:rsidR="007E1645" w:rsidRPr="000D3090">
        <w:t xml:space="preserve">This </w:t>
      </w:r>
      <w:r w:rsidR="00F74D9D" w:rsidRPr="000D3090">
        <w:t xml:space="preserve">overall prevalence of PPD </w:t>
      </w:r>
      <w:r w:rsidR="007E1645" w:rsidRPr="000D3090">
        <w:t xml:space="preserve">aligns well with findings from </w:t>
      </w:r>
      <w:r w:rsidR="00F74D9D" w:rsidRPr="000D3090">
        <w:t xml:space="preserve">Gould-Werth et al. </w:t>
      </w:r>
      <w:r w:rsidR="00F74D9D" w:rsidRPr="000D3090">
        <w:fldChar w:fldCharType="begin"/>
      </w:r>
      <w:r w:rsidR="00F74D9D" w:rsidRPr="000D3090">
        <w:instrText xml:space="preserve"> ADDIN ZOTERO_ITEM CSL_CITATION {"citationID":"JWDlqPuh","properties":{"formattedCitation":"(2018)","plainCitation":"(2018)","noteIndex":0},"citationItems":[{"id":4467,"uris":["http://zotero.org/users/12832277/items/SHLHGNIE"],"itemData":{"id":4467,"type":"article-journal","container-title":"Survey Practice","issue":"2","source":"Google Scholar","title":"Developing a New Measure of Transportation Insecurity: An Exploratory Factor Analysis","URL":"https://www.surveypractice.org/article/3706.pdf","volume":"11","author":[{"family":"Gould-Werth","given":"Alix"},{"family":"Griffin","given":"Jamie"},{"family":"Murphy","given":"Alexandra K."}],"accessed":{"date-parts":[["2025",5,7]]},"issued":{"date-parts":[["2018"]]}},"label":"page","suppress-author":true}],"schema":"https://github.com/citation-style-language/schema/raw/master/csl-citation.json"} </w:instrText>
      </w:r>
      <w:r w:rsidR="00F74D9D" w:rsidRPr="000D3090">
        <w:fldChar w:fldCharType="separate"/>
      </w:r>
      <w:r w:rsidR="00F74D9D" w:rsidRPr="000D3090">
        <w:t>(2018)</w:t>
      </w:r>
      <w:r w:rsidR="00F74D9D" w:rsidRPr="000D3090">
        <w:fldChar w:fldCharType="end"/>
      </w:r>
      <w:r w:rsidR="00F74D9D" w:rsidRPr="000D3090">
        <w:t xml:space="preserve"> who found that just over 20% of sampled individuals in the United States had skipped going someplace because of a problem with transportation in the past 30 days as well as those of Murphy et al. </w:t>
      </w:r>
      <w:r w:rsidR="00F74D9D" w:rsidRPr="000D3090">
        <w:fldChar w:fldCharType="begin"/>
      </w:r>
      <w:r w:rsidR="00F74D9D" w:rsidRPr="000D3090">
        <w:instrText xml:space="preserve"> ADDIN ZOTERO_ITEM CSL_CITATION {"citationID":"eY0SasL2","properties":{"formattedCitation":"(2022)","plainCitation":"(2022)","noteIndex":0},"citationItems":[{"id":4465,"uris":["http://zotero.org/users/12832277/items/8A4G5W9T"],"itemData":{"id":4465,"type":"article-journal","abstract":"Transportation insecurity is a condition in which a person is unable to regularly move from place to place in a safe or timely manner and has important implications for the study of poverty and inequality. Drawing on nationally representative survey data and a new, validated measure of transportation insecurity, the Transportation Security Index, the authors provide the first descriptive portrait of transportation insecurity in the United States, offering national estimates, examining which demographic groups are most likely to experience this condition and considering what factors are correlated with it. The authors find that one in four adults experience transportation insecurity. Adults who live in poverty, do not own cars, live in urban areas, are younger, have less education, and are non-White experience the greatest transportation insecurity. Correlates analyses largely confirm these descriptive differences. Such high rates and large disparities suggest that greater investigation into this form of material hardship is warranted.","container-title":"Socius","DOI":"10.1177/23780231221121060","ISSN":"2378-0231","language":"EN","note":"publisher: SAGE Publications","page":"23780231221121060","source":"SAGE Journals","title":"Transportation Insecurity in the United States: A Descriptive Portrait","volume":"8","author":[{"family":"Murphy","given":"Alexandra K."},{"family":"McDonald-Lopez","given":"Karina"},{"family":"Pilkauskas","given":"Natasha"},{"family":"Gould-Werth","given":"Alix"}],"issued":{"date-parts":[["2022",1,1]]}},"label":"page","suppress-author":true}],"schema":"https://github.com/citation-style-language/schema/raw/master/csl-citation.json"} </w:instrText>
      </w:r>
      <w:r w:rsidR="00F74D9D" w:rsidRPr="000D3090">
        <w:fldChar w:fldCharType="separate"/>
      </w:r>
      <w:r w:rsidR="00F74D9D" w:rsidRPr="000D3090">
        <w:t>(2022)</w:t>
      </w:r>
      <w:r w:rsidR="00F74D9D" w:rsidRPr="000D3090">
        <w:fldChar w:fldCharType="end"/>
      </w:r>
      <w:r w:rsidR="00F74D9D" w:rsidRPr="000D3090">
        <w:t xml:space="preserve"> who found that 24% of adults over 25 in the United States face some kind of transportation insecurity (using a combined index that included trip suppression). </w:t>
      </w:r>
    </w:p>
    <w:bookmarkEnd w:id="9"/>
    <w:p w14:paraId="47CB036B" w14:textId="15F6E4B4" w:rsidR="006A1C00" w:rsidRPr="000D3090" w:rsidRDefault="0072241B" w:rsidP="003D135C">
      <w:pPr>
        <w:spacing w:after="120" w:line="240" w:lineRule="auto"/>
        <w:jc w:val="both"/>
        <w:rPr>
          <w:b/>
          <w:bCs/>
        </w:rPr>
      </w:pPr>
      <w:r w:rsidRPr="000D3090">
        <w:tab/>
        <w:t xml:space="preserve">The second set of outcomes consists of a set of </w:t>
      </w:r>
      <w:r w:rsidR="00317042" w:rsidRPr="000D3090">
        <w:t>eight</w:t>
      </w:r>
      <w:r w:rsidR="006A1C00" w:rsidRPr="000D3090">
        <w:t xml:space="preserve"> </w:t>
      </w:r>
      <w:r w:rsidR="00255E22" w:rsidRPr="000D3090">
        <w:t xml:space="preserve">PPD </w:t>
      </w:r>
      <w:r w:rsidR="006A1C00" w:rsidRPr="000D3090">
        <w:t>reason</w:t>
      </w:r>
      <w:r w:rsidR="00255E22" w:rsidRPr="000D3090">
        <w:t>s</w:t>
      </w:r>
      <w:r w:rsidR="006A1C00" w:rsidRPr="000D3090">
        <w:t>. The</w:t>
      </w:r>
      <w:r w:rsidR="002866AE" w:rsidRPr="000D3090">
        <w:t>se include</w:t>
      </w:r>
      <w:r w:rsidR="000812C0" w:rsidRPr="000D3090">
        <w:t xml:space="preserve"> (with the shorter labels we will use in the rest of the paper in parenthesis):</w:t>
      </w:r>
    </w:p>
    <w:p w14:paraId="2723C944" w14:textId="3905D08C" w:rsidR="006D65C6" w:rsidRPr="000D3090" w:rsidRDefault="006D65C6" w:rsidP="002979FC">
      <w:pPr>
        <w:pStyle w:val="ListParagraph"/>
        <w:numPr>
          <w:ilvl w:val="0"/>
          <w:numId w:val="2"/>
        </w:numPr>
        <w:spacing w:after="0" w:line="240" w:lineRule="auto"/>
        <w:jc w:val="both"/>
      </w:pPr>
      <w:r w:rsidRPr="000D3090">
        <w:t>Transportation did not feel safe</w:t>
      </w:r>
      <w:r w:rsidR="000812C0" w:rsidRPr="000D3090">
        <w:t xml:space="preserve"> (Not Safe)</w:t>
      </w:r>
    </w:p>
    <w:p w14:paraId="22ED04AE" w14:textId="37B79157" w:rsidR="006D65C6" w:rsidRPr="000D3090" w:rsidRDefault="006D65C6" w:rsidP="002979FC">
      <w:pPr>
        <w:pStyle w:val="ListParagraph"/>
        <w:numPr>
          <w:ilvl w:val="0"/>
          <w:numId w:val="2"/>
        </w:numPr>
        <w:spacing w:after="0" w:line="240" w:lineRule="auto"/>
        <w:jc w:val="both"/>
      </w:pPr>
      <w:r w:rsidRPr="000D3090">
        <w:t>Transportation did not feel clean or healthy</w:t>
      </w:r>
      <w:r w:rsidR="000812C0" w:rsidRPr="000D3090">
        <w:t xml:space="preserve"> (Not Clean)</w:t>
      </w:r>
    </w:p>
    <w:p w14:paraId="79D94BEB" w14:textId="6B888D74" w:rsidR="006D65C6" w:rsidRPr="000D3090" w:rsidRDefault="006D65C6" w:rsidP="002979FC">
      <w:pPr>
        <w:pStyle w:val="ListParagraph"/>
        <w:numPr>
          <w:ilvl w:val="0"/>
          <w:numId w:val="2"/>
        </w:numPr>
        <w:spacing w:after="0" w:line="240" w:lineRule="auto"/>
        <w:jc w:val="both"/>
      </w:pPr>
      <w:r w:rsidRPr="000D3090">
        <w:t>Transportation was not reliable</w:t>
      </w:r>
      <w:r w:rsidR="000812C0" w:rsidRPr="000D3090">
        <w:t xml:space="preserve"> (Not Reliable)</w:t>
      </w:r>
    </w:p>
    <w:p w14:paraId="204265DE" w14:textId="7AE65FE7" w:rsidR="006D65C6" w:rsidRPr="000D3090" w:rsidRDefault="006D65C6" w:rsidP="002979FC">
      <w:pPr>
        <w:pStyle w:val="ListParagraph"/>
        <w:numPr>
          <w:ilvl w:val="0"/>
          <w:numId w:val="2"/>
        </w:numPr>
        <w:spacing w:after="0" w:line="240" w:lineRule="auto"/>
        <w:jc w:val="both"/>
      </w:pPr>
      <w:r w:rsidRPr="000D3090">
        <w:t>Available transportation did not go where I need to go</w:t>
      </w:r>
      <w:r w:rsidR="000812C0" w:rsidRPr="000D3090">
        <w:t xml:space="preserve"> (Poor Destination Access)</w:t>
      </w:r>
    </w:p>
    <w:p w14:paraId="2E4AB3EA" w14:textId="68668926" w:rsidR="006D65C6" w:rsidRPr="000D3090" w:rsidRDefault="006D65C6" w:rsidP="002979FC">
      <w:pPr>
        <w:pStyle w:val="ListParagraph"/>
        <w:numPr>
          <w:ilvl w:val="0"/>
          <w:numId w:val="2"/>
        </w:numPr>
        <w:spacing w:after="0" w:line="240" w:lineRule="auto"/>
        <w:jc w:val="both"/>
      </w:pPr>
      <w:r w:rsidRPr="000D3090">
        <w:t xml:space="preserve">Unable to afford available forms of transportation </w:t>
      </w:r>
      <w:r w:rsidR="000812C0" w:rsidRPr="000D3090">
        <w:t>(Not Affordable)</w:t>
      </w:r>
    </w:p>
    <w:p w14:paraId="02E4EFAE" w14:textId="595D9BFF" w:rsidR="006D65C6" w:rsidRPr="000D3090" w:rsidRDefault="006D65C6" w:rsidP="002979FC">
      <w:pPr>
        <w:pStyle w:val="ListParagraph"/>
        <w:numPr>
          <w:ilvl w:val="0"/>
          <w:numId w:val="2"/>
        </w:numPr>
        <w:spacing w:after="0" w:line="240" w:lineRule="auto"/>
        <w:jc w:val="both"/>
      </w:pPr>
      <w:r w:rsidRPr="000D3090">
        <w:t>Had health problems and unable to travel</w:t>
      </w:r>
      <w:r w:rsidR="000812C0" w:rsidRPr="000D3090">
        <w:t xml:space="preserve"> (Health Problems)</w:t>
      </w:r>
    </w:p>
    <w:p w14:paraId="23CB8742" w14:textId="64A6E3DD" w:rsidR="006D65C6" w:rsidRPr="000D3090" w:rsidRDefault="006D65C6" w:rsidP="002979FC">
      <w:pPr>
        <w:pStyle w:val="ListParagraph"/>
        <w:numPr>
          <w:ilvl w:val="0"/>
          <w:numId w:val="2"/>
        </w:numPr>
        <w:spacing w:after="0" w:line="240" w:lineRule="auto"/>
        <w:jc w:val="both"/>
      </w:pPr>
      <w:r w:rsidRPr="000D3090">
        <w:t>Did not have time to travel</w:t>
      </w:r>
      <w:r w:rsidR="000812C0" w:rsidRPr="000D3090">
        <w:t xml:space="preserve"> (No Time)</w:t>
      </w:r>
    </w:p>
    <w:p w14:paraId="5210A66D" w14:textId="14E178BA" w:rsidR="006D65C6" w:rsidRPr="000D3090" w:rsidRDefault="006D65C6" w:rsidP="003D135C">
      <w:pPr>
        <w:pStyle w:val="ListParagraph"/>
        <w:numPr>
          <w:ilvl w:val="0"/>
          <w:numId w:val="2"/>
        </w:numPr>
        <w:spacing w:after="120" w:line="240" w:lineRule="auto"/>
        <w:jc w:val="both"/>
      </w:pPr>
      <w:r w:rsidRPr="000D3090">
        <w:t>Concerns related to COVID-19</w:t>
      </w:r>
      <w:r w:rsidR="000812C0" w:rsidRPr="000D3090">
        <w:t xml:space="preserve"> (COVID Concerns)</w:t>
      </w:r>
    </w:p>
    <w:p w14:paraId="759234DD" w14:textId="54BCABB5" w:rsidR="00DC7402" w:rsidRPr="000D3090" w:rsidRDefault="00164719" w:rsidP="001F7B9D">
      <w:pPr>
        <w:spacing w:after="0" w:line="240" w:lineRule="auto"/>
        <w:ind w:firstLine="720"/>
        <w:jc w:val="both"/>
      </w:pPr>
      <w:r w:rsidRPr="000D3090">
        <w:lastRenderedPageBreak/>
        <w:t xml:space="preserve">The results for the number of times each </w:t>
      </w:r>
      <w:r w:rsidR="00230EE9" w:rsidRPr="000D3090">
        <w:t xml:space="preserve">of the above </w:t>
      </w:r>
      <w:r w:rsidR="00255E22" w:rsidRPr="000D3090">
        <w:t xml:space="preserve">PPD </w:t>
      </w:r>
      <w:r w:rsidRPr="000D3090">
        <w:t>reason</w:t>
      </w:r>
      <w:r w:rsidR="00230EE9" w:rsidRPr="000D3090">
        <w:t>s</w:t>
      </w:r>
      <w:r w:rsidRPr="000D3090">
        <w:t xml:space="preserve"> was selected are shown in</w:t>
      </w:r>
      <w:r w:rsidR="00B92916" w:rsidRPr="000D3090">
        <w:t xml:space="preserve"> </w:t>
      </w:r>
      <w:r w:rsidR="004944C5" w:rsidRPr="000D3090">
        <w:t xml:space="preserve">the </w:t>
      </w:r>
      <w:r w:rsidR="002866AE" w:rsidRPr="000D3090">
        <w:t>second</w:t>
      </w:r>
      <w:r w:rsidR="00B92916" w:rsidRPr="000D3090">
        <w:t xml:space="preserve"> </w:t>
      </w:r>
      <w:r w:rsidR="00230EE9" w:rsidRPr="000D3090">
        <w:t>row</w:t>
      </w:r>
      <w:r w:rsidR="00ED2D83" w:rsidRPr="000D3090">
        <w:t>-</w:t>
      </w:r>
      <w:r w:rsidR="00B92916" w:rsidRPr="000D3090">
        <w:t>panel of</w:t>
      </w:r>
      <w:r w:rsidRPr="000D3090">
        <w:t xml:space="preserve"> Table 1.</w:t>
      </w:r>
      <w:r w:rsidR="007A40D5" w:rsidRPr="000D3090">
        <w:rPr>
          <w:rStyle w:val="FootnoteReference"/>
        </w:rPr>
        <w:footnoteReference w:id="4"/>
      </w:r>
      <w:r w:rsidR="007A40D5" w:rsidRPr="000D3090">
        <w:rPr>
          <w:bCs/>
        </w:rPr>
        <w:t xml:space="preserve"> </w:t>
      </w:r>
      <w:r w:rsidRPr="000D3090">
        <w:t xml:space="preserve"> </w:t>
      </w:r>
      <w:r w:rsidR="00255E22" w:rsidRPr="000D3090">
        <w:t xml:space="preserve">Note that the entries in Table 1 are the percentages selecting </w:t>
      </w:r>
      <w:r w:rsidR="00FA5711" w:rsidRPr="000D3090">
        <w:t xml:space="preserve">one or more of the above eight </w:t>
      </w:r>
      <w:r w:rsidR="00255E22" w:rsidRPr="000D3090">
        <w:t>PPD reason</w:t>
      </w:r>
      <w:r w:rsidR="00FA5711" w:rsidRPr="000D3090">
        <w:t>s</w:t>
      </w:r>
      <w:r w:rsidR="00255E22" w:rsidRPr="000D3090">
        <w:t xml:space="preserve"> out </w:t>
      </w:r>
      <w:r w:rsidR="00FA5711" w:rsidRPr="000D3090">
        <w:t xml:space="preserve">of the </w:t>
      </w:r>
      <w:r w:rsidR="00255E22" w:rsidRPr="000D3090">
        <w:t>individuals who experienced PPD. Additionally, these entries do not add up to 100% (across the PPD reasons) because respondents could indicate multiple PPD reasons. The majority of respondents (</w:t>
      </w:r>
      <w:r w:rsidR="00D70D44" w:rsidRPr="000D3090">
        <w:t>73.0</w:t>
      </w:r>
      <w:r w:rsidR="00255E22" w:rsidRPr="000D3090">
        <w:t xml:space="preserve">%) selected only a single PPD reason, while </w:t>
      </w:r>
      <w:r w:rsidR="00D70D44" w:rsidRPr="000D3090">
        <w:t>17.3</w:t>
      </w:r>
      <w:r w:rsidR="00255E22" w:rsidRPr="000D3090">
        <w:t xml:space="preserve">% selected two reasons and </w:t>
      </w:r>
      <w:r w:rsidR="00D70D44" w:rsidRPr="000D3090">
        <w:t>9.7</w:t>
      </w:r>
      <w:r w:rsidR="00255E22" w:rsidRPr="000D3090">
        <w:t xml:space="preserve">% selected three or more reasons. </w:t>
      </w:r>
      <w:r w:rsidR="000812C0" w:rsidRPr="000D3090">
        <w:t>As can be observed from Table 1, the most common PPD reasons were “COVID concerns”</w:t>
      </w:r>
      <w:r w:rsidR="00E56F8B" w:rsidRPr="000D3090">
        <w:t xml:space="preserve"> (selected by 40.3% of those suppressing trips),</w:t>
      </w:r>
      <w:r w:rsidR="000812C0" w:rsidRPr="000D3090">
        <w:t xml:space="preserve"> “health problems”</w:t>
      </w:r>
      <w:r w:rsidR="00E56F8B" w:rsidRPr="000D3090">
        <w:t xml:space="preserve"> (selected by 28.7% of those suppressing trips),</w:t>
      </w:r>
      <w:r w:rsidR="000812C0" w:rsidRPr="000D3090">
        <w:t xml:space="preserve"> “no time”</w:t>
      </w:r>
      <w:r w:rsidR="00E56F8B" w:rsidRPr="000D3090">
        <w:t xml:space="preserve"> (selected by 25.2% of those suppressing trips), and “not affordable” (selected by 18.9% of those suppressing trips).</w:t>
      </w:r>
      <w:r w:rsidR="000812C0" w:rsidRPr="000D3090">
        <w:t xml:space="preserve"> </w:t>
      </w:r>
      <w:r w:rsidR="002134B6" w:rsidRPr="000D3090">
        <w:t xml:space="preserve">The importance of time constraints to PPD aligns with findings of Singer and Martens </w:t>
      </w:r>
      <w:r w:rsidR="00BA36BF" w:rsidRPr="000D3090">
        <w:fldChar w:fldCharType="begin"/>
      </w:r>
      <w:r w:rsidR="00DA29B9" w:rsidRPr="000D3090">
        <w:instrText xml:space="preserve"> ADDIN ZOTERO_ITEM CSL_CITATION {"citationID":"odobpIwb","properties":{"formattedCitation":"(2023)","plainCitation":"(2023)","noteIndex":0},"citationItems":[{"id":4643,"uris":["http://zotero.org/users/12832277/items/XL492A37","http://zotero.org/users/12832277/items/8BS6YSZZ"],"itemData":{"id":4643,"type":"article-journal","abstract":"In this paper we present and test a survey instrument to determine the prevalence and severity of travel problems, defined as any difficulty a person may experience in reaching destinations due to a poorly functioning transport system. The tool distinguishes between three types of travel problems: difficulties encountered while traveling; reliance on others; and forgoing trips. The deployment of the tool prior to and during the COVID-19 pandemic offers a unique natural experiment. A series of tests for internal validity, consistency, and reliability, including confirmatory factor analysis, support two of the proposed travel problem indices (Reliance and Trips Forgone). Exploiting the natural experiment, known-group analyses and Two-Part regressions delivered evidence for the external validity of the indices and demonstrated the ability of the instrument to elicit insights on travel problems. We end with a research agenda for developing robust measurement tools that can be used in research and policymaking.","container-title":"Transportation Research Part D: Transport and Environment","DOI":"10.1016/j.trd.2023.103834","ISSN":"1361-9209","page":"103834","source":"ScienceDirect","title":"Measuring Travel Problems: Testing a Novel Survey Tool in a Natural Experiment","volume":"121","author":[{"family":"Singer","given":"Matan E."},{"family":"Martens","given":"Karel"}],"issued":{"date-parts":[["2023",8,1]]}},"label":"page","suppress-author":true}],"schema":"https://github.com/citation-style-language/schema/raw/master/csl-citation.json"} </w:instrText>
      </w:r>
      <w:r w:rsidR="00BA36BF" w:rsidRPr="000D3090">
        <w:fldChar w:fldCharType="separate"/>
      </w:r>
      <w:r w:rsidR="00BA36BF" w:rsidRPr="000D3090">
        <w:t>(2023)</w:t>
      </w:r>
      <w:r w:rsidR="00BA36BF" w:rsidRPr="000D3090">
        <w:fldChar w:fldCharType="end"/>
      </w:r>
      <w:r w:rsidR="002134B6" w:rsidRPr="000D3090">
        <w:t xml:space="preserve"> who find that time constraints are the biggest factors causing trip suppression</w:t>
      </w:r>
      <w:r w:rsidR="00BA36BF" w:rsidRPr="000D3090">
        <w:t xml:space="preserve">. In addition, </w:t>
      </w:r>
      <w:r w:rsidR="002134B6" w:rsidRPr="000D3090">
        <w:t>they note that the importance of time has decreased after the onset of the COVID-19 pandemic, pointing to a similar importance of COVID-related challenges</w:t>
      </w:r>
      <w:r w:rsidR="00BA36BF" w:rsidRPr="000D3090">
        <w:t xml:space="preserve"> as well as improvements in mobility due to travel time reductions during the pandemic</w:t>
      </w:r>
      <w:r w:rsidR="002134B6" w:rsidRPr="000D3090">
        <w:t xml:space="preserve">. </w:t>
      </w:r>
      <w:r w:rsidR="000812C0" w:rsidRPr="000D3090">
        <w:t xml:space="preserve">The least common reasons were “not </w:t>
      </w:r>
      <w:r w:rsidR="00E56F8B" w:rsidRPr="000D3090">
        <w:t>clean</w:t>
      </w:r>
      <w:r w:rsidR="000812C0" w:rsidRPr="000D3090">
        <w:t xml:space="preserve">” </w:t>
      </w:r>
      <w:r w:rsidR="00E56F8B" w:rsidRPr="000D3090">
        <w:t xml:space="preserve">(selected by 4.3% of those suppressing trips) </w:t>
      </w:r>
      <w:r w:rsidR="000812C0" w:rsidRPr="000D3090">
        <w:t xml:space="preserve">and “not </w:t>
      </w:r>
      <w:r w:rsidR="00E56F8B" w:rsidRPr="000D3090">
        <w:t>safe</w:t>
      </w:r>
      <w:r w:rsidR="0087671E" w:rsidRPr="000D3090">
        <w:t>”</w:t>
      </w:r>
      <w:r w:rsidR="00E56F8B" w:rsidRPr="000D3090">
        <w:t xml:space="preserve"> (selected by 6.6% of those suppressing trips).</w:t>
      </w:r>
      <w:r w:rsidR="000812C0" w:rsidRPr="000D3090">
        <w:t xml:space="preserve"> </w:t>
      </w:r>
      <w:r w:rsidR="00E56F8B" w:rsidRPr="000D3090">
        <w:t xml:space="preserve">While it may be surprising that safety concerns were so infrequent, this result </w:t>
      </w:r>
      <w:r w:rsidR="002134B6" w:rsidRPr="000D3090">
        <w:t xml:space="preserve">mirrors findings of Gould-Werth et al. </w:t>
      </w:r>
      <w:r w:rsidR="002134B6" w:rsidRPr="000D3090">
        <w:fldChar w:fldCharType="begin"/>
      </w:r>
      <w:r w:rsidR="002134B6" w:rsidRPr="000D3090">
        <w:instrText xml:space="preserve"> ADDIN ZOTERO_ITEM CSL_CITATION {"citationID":"TXum11eh","properties":{"formattedCitation":"(2018)","plainCitation":"(2018)","noteIndex":0},"citationItems":[{"id":4467,"uris":["http://zotero.org/users/12832277/items/SHLHGNIE"],"itemData":{"id":4467,"type":"article-journal","container-title":"Survey Practice","issue":"2","source":"Google Scholar","title":"Developing a New Measure of Transportation Insecurity: An Exploratory Factor Analysis","URL":"https://www.surveypractice.org/article/3706.pdf","volume":"11","author":[{"family":"Gould-Werth","given":"Alix"},{"family":"Griffin","given":"Jamie"},{"family":"Murphy","given":"Alexandra K."}],"accessed":{"date-parts":[["2025",5,7]]},"issued":{"date-parts":[["2018"]]}},"label":"page","suppress-author":true}],"schema":"https://github.com/citation-style-language/schema/raw/master/csl-citation.json"} </w:instrText>
      </w:r>
      <w:r w:rsidR="002134B6" w:rsidRPr="000D3090">
        <w:fldChar w:fldCharType="separate"/>
      </w:r>
      <w:r w:rsidR="002134B6" w:rsidRPr="000D3090">
        <w:t>(2018)</w:t>
      </w:r>
      <w:r w:rsidR="002134B6" w:rsidRPr="000D3090">
        <w:fldChar w:fldCharType="end"/>
      </w:r>
      <w:r w:rsidR="002134B6" w:rsidRPr="000D3090">
        <w:t xml:space="preserve"> and </w:t>
      </w:r>
      <w:r w:rsidR="00E56F8B" w:rsidRPr="000D3090">
        <w:t xml:space="preserve">may indicate that safety concerns </w:t>
      </w:r>
      <w:r w:rsidR="00D432BE" w:rsidRPr="000D3090">
        <w:t>fall into a different category of transport disadvantage, since</w:t>
      </w:r>
      <w:r w:rsidR="00E56F8B" w:rsidRPr="000D3090">
        <w:t xml:space="preserve"> individuals </w:t>
      </w:r>
      <w:r w:rsidR="00D432BE" w:rsidRPr="000D3090">
        <w:t xml:space="preserve">may </w:t>
      </w:r>
      <w:r w:rsidR="00E56F8B" w:rsidRPr="000D3090">
        <w:t xml:space="preserve">reduce their PPD by </w:t>
      </w:r>
      <w:r w:rsidR="00D432BE" w:rsidRPr="000D3090">
        <w:t>lowering their aspirations for OH activity participation at time or locations where they do not feel they have safe transportation alternatives</w:t>
      </w:r>
      <w:r w:rsidR="002134B6" w:rsidRPr="000D3090">
        <w:t xml:space="preserve"> </w:t>
      </w:r>
      <w:r w:rsidR="002134B6" w:rsidRPr="000D3090">
        <w:fldChar w:fldCharType="begin"/>
      </w:r>
      <w:r w:rsidR="00D57DB8" w:rsidRPr="000D3090">
        <w:instrText xml:space="preserve"> ADDIN ZOTERO_ITEM CSL_CITATION {"citationID":"uieLL5zP","properties":{"formattedCitation":"(Palm et al., 2024)","plainCitation":"(Palm et al., 2024)","dontUpdate":true,"noteIndex":0},"citationItems":[{"id":4325,"uris":["http://zotero.org/users/12832277/items/3LDCDH3W"],"itemData":{"id":4325,"type":"article-journal","abstract":"Unrealized travel and its associated activity participation is included in many overlapping concepts in the literature—unmet need, latent demand, suppressed travel, and forgone travel. In this scoping review, we focus on suppressed travel, which we define as travel, and associated activity participation, that is unrealized due to transportation-related social exclusion and associated mobility barriers. We review how researchers have measured suppressed travel using surveys, identifying which populations are studied (who), which destinations are considered (where), how questions are structured (how), which barriers are identified as causes of suppressed travel (why), and to what extent questions address suppressed desires and mobility horizons (what). We also assess study quality. We conducted a search using sets of keywords relating to equity, transportation, and surveys. We identified 3,522 unique abstracts from Web of Science and Scopus published since the year 2000. Two undergraduate reviewers independently screened the abstracts with author oversight. The authors conducted full-text reviews of 533 remaining studies. Of these, 158 survived to data extraction, and 19 of those could ultimately be included in this analysis. We find strong evidence of travel suppression among older adults and people with disabilities. Insufficient transit service and dependency on others for rides are identified as primary causes. Among the general population, unrealized travel is greater for leisure and eating out trips, while populations experiencing TRSE face travel suppression for work, education, and other essential trips. We identify gaps in populations and causes studied and conclude with recommendations on how to advance knowledge in this area.","container-title":"Travel Behaviour and Society","DOI":"10.1016/j.tbs.2024.100784","ISSN":"2214-367X","page":"100784","source":"ScienceDirect","title":"Uncovering Suppressed Travel: A Scoping Review of Surveys Measuring Unmet Transportation Need","title-short":"Uncovering Suppressed Travel","volume":"36","author":[{"family":"Palm","given":"Matthew"},{"family":"Nakshi","given":"Paromita"},{"family":"Yousefzadeh Barri","given":"Elnaz"},{"family":"Farber","given":"Steven"},{"family":"Widener","given":"Michael"}],"issued":{"date-parts":[["2024",7,1]]}}}],"schema":"https://github.com/citation-style-language/schema/raw/master/csl-citation.json"} </w:instrText>
      </w:r>
      <w:r w:rsidR="002134B6" w:rsidRPr="000D3090">
        <w:fldChar w:fldCharType="separate"/>
      </w:r>
      <w:r w:rsidR="002134B6" w:rsidRPr="000D3090">
        <w:t>(see Palm et al., 2024 for additional discussion of how individuals alter their expectations in these ways)</w:t>
      </w:r>
      <w:r w:rsidR="002134B6" w:rsidRPr="000D3090">
        <w:fldChar w:fldCharType="end"/>
      </w:r>
      <w:r w:rsidR="00D432BE" w:rsidRPr="000D3090">
        <w:t xml:space="preserve">. </w:t>
      </w:r>
      <w:r w:rsidR="000812C0" w:rsidRPr="000D3090">
        <w:t xml:space="preserve">The most likely pairing (after controlling for </w:t>
      </w:r>
      <w:r w:rsidR="00B60950" w:rsidRPr="000D3090">
        <w:t xml:space="preserve">total </w:t>
      </w:r>
      <w:r w:rsidR="000812C0" w:rsidRPr="000D3090">
        <w:t>occurrence of each PPD reason) was “not safe” and “not clean</w:t>
      </w:r>
      <w:r w:rsidR="001434DD" w:rsidRPr="000D3090">
        <w:t>.</w:t>
      </w:r>
      <w:r w:rsidR="000812C0" w:rsidRPr="000D3090">
        <w:t>”</w:t>
      </w:r>
      <w:r w:rsidR="00C06E6F" w:rsidRPr="000D3090">
        <w:t xml:space="preserve"> </w:t>
      </w:r>
    </w:p>
    <w:p w14:paraId="73FE95AD" w14:textId="0E9FCA59" w:rsidR="00317042" w:rsidRPr="000D3090" w:rsidRDefault="00317042" w:rsidP="001F7B9D">
      <w:pPr>
        <w:spacing w:after="0" w:line="240" w:lineRule="auto"/>
        <w:ind w:firstLine="720"/>
        <w:jc w:val="both"/>
        <w:rPr>
          <w:b/>
          <w:bCs/>
        </w:rPr>
      </w:pPr>
      <w:r w:rsidRPr="000D3090">
        <w:t xml:space="preserve">The final set of </w:t>
      </w:r>
      <w:r w:rsidR="00150ADE" w:rsidRPr="000D3090">
        <w:t xml:space="preserve">endogenous </w:t>
      </w:r>
      <w:r w:rsidRPr="000D3090">
        <w:t>outcomes are those relating to virtual participation</w:t>
      </w:r>
      <w:r w:rsidR="002866AE" w:rsidRPr="000D3090">
        <w:t xml:space="preserve"> (shown in the bottom </w:t>
      </w:r>
      <w:r w:rsidR="00B60950" w:rsidRPr="000D3090">
        <w:t>row</w:t>
      </w:r>
      <w:r w:rsidR="00ED2D83" w:rsidRPr="000D3090">
        <w:t>-</w:t>
      </w:r>
      <w:r w:rsidR="002866AE" w:rsidRPr="000D3090">
        <w:t>panel of Table 1)</w:t>
      </w:r>
      <w:r w:rsidRPr="000D3090">
        <w:t>. Participants indicated the frequency with which they telework and use delivery services</w:t>
      </w:r>
      <w:r w:rsidR="000812C0" w:rsidRPr="000D3090">
        <w:t xml:space="preserve"> (based on online activity)</w:t>
      </w:r>
      <w:r w:rsidRPr="000D3090">
        <w:t xml:space="preserve">, which </w:t>
      </w:r>
      <w:r w:rsidR="00B60950" w:rsidRPr="000D3090">
        <w:t>we</w:t>
      </w:r>
      <w:r w:rsidR="00150ADE" w:rsidRPr="000D3090">
        <w:t>re elicited in the survey on a f</w:t>
      </w:r>
      <w:r w:rsidR="00C66E48" w:rsidRPr="000D3090">
        <w:t>our</w:t>
      </w:r>
      <w:r w:rsidR="00150ADE" w:rsidRPr="000D3090">
        <w:t>-point ordered-response scale</w:t>
      </w:r>
      <w:r w:rsidRPr="000D3090">
        <w:t xml:space="preserve">. </w:t>
      </w:r>
      <w:r w:rsidR="00851381" w:rsidRPr="000D3090">
        <w:t>As far as telework, the telework outcome is only available for employed individuals, so is unavailable for 45.7% of the sample who were unemployed or retired. Most of the employed respondents (</w:t>
      </w:r>
      <w:r w:rsidR="00433A2E" w:rsidRPr="000D3090">
        <w:t>5</w:t>
      </w:r>
      <w:r w:rsidR="00A415C6" w:rsidRPr="000D3090">
        <w:t>6</w:t>
      </w:r>
      <w:r w:rsidR="00433A2E" w:rsidRPr="000D3090">
        <w:t>.</w:t>
      </w:r>
      <w:r w:rsidR="00A415C6" w:rsidRPr="000D3090">
        <w:t>4</w:t>
      </w:r>
      <w:r w:rsidR="00433A2E" w:rsidRPr="000D3090">
        <w:t xml:space="preserve">% of those employed, and </w:t>
      </w:r>
      <w:r w:rsidR="00851381" w:rsidRPr="000D3090">
        <w:t>30.</w:t>
      </w:r>
      <w:r w:rsidR="00A415C6" w:rsidRPr="000D3090">
        <w:t>6</w:t>
      </w:r>
      <w:r w:rsidR="00851381" w:rsidRPr="000D3090">
        <w:t>%</w:t>
      </w:r>
      <w:r w:rsidR="00433A2E" w:rsidRPr="000D3090">
        <w:t xml:space="preserve"> of the overall sample</w:t>
      </w:r>
      <w:r w:rsidR="00851381" w:rsidRPr="000D3090">
        <w:t xml:space="preserve">) did not telework at all, while </w:t>
      </w:r>
      <w:r w:rsidR="000812C0" w:rsidRPr="000D3090">
        <w:t xml:space="preserve">sizeable numbers of individuals </w:t>
      </w:r>
      <w:r w:rsidR="00851381" w:rsidRPr="000D3090">
        <w:t xml:space="preserve">teleworked </w:t>
      </w:r>
      <w:r w:rsidR="0019104F" w:rsidRPr="000D3090">
        <w:t>at other frequency levels</w:t>
      </w:r>
      <w:r w:rsidR="00A415C6" w:rsidRPr="000D3090">
        <w:t xml:space="preserve"> (especially</w:t>
      </w:r>
      <w:r w:rsidR="00CD64FD" w:rsidRPr="000D3090">
        <w:t xml:space="preserve"> </w:t>
      </w:r>
      <w:r w:rsidR="00D70D44" w:rsidRPr="000D3090">
        <w:t>“</w:t>
      </w:r>
      <w:r w:rsidR="00CD64FD" w:rsidRPr="000D3090">
        <w:t xml:space="preserve">five or more </w:t>
      </w:r>
      <w:r w:rsidR="00A415C6" w:rsidRPr="000D3090">
        <w:t>day</w:t>
      </w:r>
      <w:r w:rsidR="00CD64FD" w:rsidRPr="000D3090">
        <w:t>s</w:t>
      </w:r>
      <w:r w:rsidR="00A415C6" w:rsidRPr="000D3090">
        <w:t xml:space="preserve"> of the week</w:t>
      </w:r>
      <w:r w:rsidR="00CD64FD" w:rsidRPr="000D3090">
        <w:t>”</w:t>
      </w:r>
      <w:r w:rsidR="00A415C6" w:rsidRPr="000D3090">
        <w:t>)</w:t>
      </w:r>
      <w:r w:rsidR="0019104F" w:rsidRPr="000D3090">
        <w:t xml:space="preserve">. </w:t>
      </w:r>
      <w:r w:rsidR="00CD64FD" w:rsidRPr="000D3090">
        <w:t>A little more than a</w:t>
      </w:r>
      <w:r w:rsidRPr="000D3090">
        <w:t xml:space="preserve"> quarter of respondents did not have any deliveries in the 30 days prior to the survey, while the majority had between one and five deliveries (42.</w:t>
      </w:r>
      <w:r w:rsidR="00CD64FD" w:rsidRPr="000D3090">
        <w:t>1</w:t>
      </w:r>
      <w:r w:rsidRPr="000D3090">
        <w:t xml:space="preserve">%), and the remainder had six or more. </w:t>
      </w:r>
    </w:p>
    <w:p w14:paraId="36AEE45B" w14:textId="77777777" w:rsidR="00F02D72" w:rsidRPr="000D3090" w:rsidRDefault="00F02D72" w:rsidP="00F02D72">
      <w:pPr>
        <w:spacing w:after="0" w:line="240" w:lineRule="auto"/>
        <w:ind w:firstLine="360"/>
        <w:jc w:val="both"/>
      </w:pPr>
    </w:p>
    <w:p w14:paraId="035299BC" w14:textId="132C1306" w:rsidR="008B64FC" w:rsidRPr="000D3090" w:rsidRDefault="00440916" w:rsidP="00F80B55">
      <w:pPr>
        <w:spacing w:after="0" w:line="240" w:lineRule="auto"/>
        <w:jc w:val="both"/>
        <w:rPr>
          <w:b/>
          <w:bCs/>
          <w:i/>
          <w:iCs/>
        </w:rPr>
      </w:pPr>
      <w:r w:rsidRPr="000D3090">
        <w:rPr>
          <w:b/>
          <w:bCs/>
          <w:i/>
          <w:iCs/>
        </w:rPr>
        <w:lastRenderedPageBreak/>
        <w:t xml:space="preserve">3.1.2 Exogenous Variables </w:t>
      </w:r>
    </w:p>
    <w:p w14:paraId="26F1AF65" w14:textId="1B56551C" w:rsidR="00CD64FD" w:rsidRPr="000D3090" w:rsidRDefault="00E33ED4" w:rsidP="002979FC">
      <w:pPr>
        <w:autoSpaceDE w:val="0"/>
        <w:autoSpaceDN w:val="0"/>
        <w:adjustRightInd w:val="0"/>
        <w:spacing w:after="0" w:line="240" w:lineRule="auto"/>
        <w:jc w:val="both"/>
      </w:pPr>
      <w:r w:rsidRPr="000D3090">
        <w:t xml:space="preserve">The </w:t>
      </w:r>
      <w:r w:rsidR="001E1038" w:rsidRPr="000D3090">
        <w:t>characteristics of the location of</w:t>
      </w:r>
      <w:r w:rsidR="00CD64FD" w:rsidRPr="000D3090">
        <w:t xml:space="preserve"> </w:t>
      </w:r>
      <w:r w:rsidR="008B64FC" w:rsidRPr="000D3090">
        <w:t xml:space="preserve">household </w:t>
      </w:r>
      <w:r w:rsidR="00CD64FD" w:rsidRPr="000D3090">
        <w:t>residence</w:t>
      </w:r>
      <w:r w:rsidR="008B64FC" w:rsidRPr="000D3090">
        <w:t>, household demographics,</w:t>
      </w:r>
      <w:r w:rsidR="00CD64FD" w:rsidRPr="000D3090">
        <w:t xml:space="preserve"> </w:t>
      </w:r>
      <w:r w:rsidR="00433A2E" w:rsidRPr="000D3090">
        <w:t xml:space="preserve">and individual </w:t>
      </w:r>
      <w:r w:rsidRPr="000D3090">
        <w:t xml:space="preserve">characteristics </w:t>
      </w:r>
      <w:r w:rsidR="00774FF9" w:rsidRPr="000D3090">
        <w:t xml:space="preserve">of respondents in the </w:t>
      </w:r>
      <w:r w:rsidRPr="000D3090">
        <w:t>sample are provided in Table 2</w:t>
      </w:r>
      <w:r w:rsidR="00035C7C" w:rsidRPr="000D3090">
        <w:t>,</w:t>
      </w:r>
      <w:r w:rsidR="00A174B2" w:rsidRPr="000D3090">
        <w:t xml:space="preserve"> </w:t>
      </w:r>
      <w:r w:rsidR="004F0990" w:rsidRPr="000D3090">
        <w:t>along</w:t>
      </w:r>
      <w:r w:rsidR="00A174B2" w:rsidRPr="000D3090">
        <w:t xml:space="preserve"> with </w:t>
      </w:r>
      <w:bookmarkStart w:id="10" w:name="_Hlk164329011"/>
      <w:r w:rsidR="00A174B2" w:rsidRPr="000D3090">
        <w:t>data from the 2020 United States Census</w:t>
      </w:r>
      <w:r w:rsidR="00302987" w:rsidRPr="000D3090">
        <w:t xml:space="preserve"> </w:t>
      </w:r>
      <w:r w:rsidR="00302987" w:rsidRPr="000D3090">
        <w:fldChar w:fldCharType="begin"/>
      </w:r>
      <w:r w:rsidR="00302987" w:rsidRPr="000D3090">
        <w:instrText xml:space="preserve"> ADDIN ZOTERO_ITEM CSL_CITATION {"citationID":"wUqkb1Ca","properties":{"formattedCitation":"(U.S. Census Bureau, 2020)","plainCitation":"(U.S. Census Bureau, 2020)","noteIndex":0},"citationItems":[{"id":2942,"uris":["http://zotero.org/users/12832277/items/WENPG286"],"itemData":{"id":2942,"type":"report","collection-title":"Decennial Census, DEC Demographic Profile, Table DP1","title":"Profile of General Population and Housing Characteristics.","URL":"https://data.census.gov/table/DECENNIALDP2020.DP1?g=010XX00US&amp;d=DEC%20Demographic%20Profile","author":[{"family":"U.S. Census Bureau","given":""}],"issued":{"date-parts":[["2020"]]}}}],"schema":"https://github.com/citation-style-language/schema/raw/master/csl-citation.json"} </w:instrText>
      </w:r>
      <w:r w:rsidR="00302987" w:rsidRPr="000D3090">
        <w:fldChar w:fldCharType="separate"/>
      </w:r>
      <w:r w:rsidR="00302987" w:rsidRPr="000D3090">
        <w:t>(U.S. Census Bureau, 2020)</w:t>
      </w:r>
      <w:r w:rsidR="00302987" w:rsidRPr="000D3090">
        <w:fldChar w:fldCharType="end"/>
      </w:r>
      <w:r w:rsidR="00A174B2" w:rsidRPr="000D3090">
        <w:t xml:space="preserve">. </w:t>
      </w:r>
      <w:bookmarkEnd w:id="10"/>
      <w:r w:rsidR="00A174B2" w:rsidRPr="000D3090">
        <w:t>The sample</w:t>
      </w:r>
      <w:r w:rsidR="00CD64FD" w:rsidRPr="000D3090">
        <w:t>, in the overall, reflects quite well the geographic distribution of households in the U.S</w:t>
      </w:r>
      <w:r w:rsidR="0092299E" w:rsidRPr="000D3090">
        <w:t>.</w:t>
      </w:r>
      <w:r w:rsidR="001E1038" w:rsidRPr="000D3090">
        <w:t xml:space="preserve"> in terms of Census Division of household residence</w:t>
      </w:r>
      <w:r w:rsidR="004A2FC8" w:rsidRPr="000D3090">
        <w:t xml:space="preserve"> (the nine U.S. divisions were defined according to the Census groupings)</w:t>
      </w:r>
      <w:r w:rsidR="00CD64FD" w:rsidRPr="000D3090">
        <w:t xml:space="preserve">. </w:t>
      </w:r>
      <w:r w:rsidR="001E1038" w:rsidRPr="000D3090">
        <w:t xml:space="preserve">The additional exogenous household location </w:t>
      </w:r>
      <w:r w:rsidR="00581AB7" w:rsidRPr="000D3090">
        <w:t xml:space="preserve">and built environment </w:t>
      </w:r>
      <w:r w:rsidR="001E1038" w:rsidRPr="000D3090">
        <w:t xml:space="preserve">variables are included based on the household’s Census </w:t>
      </w:r>
      <w:r w:rsidR="00581AB7" w:rsidRPr="000D3090">
        <w:t>block group of residence</w:t>
      </w:r>
      <w:r w:rsidR="001E1038" w:rsidRPr="000D3090">
        <w:t>, classifying home location based on (1) a binary urban/rural classification based on population density, (2) the local road network density in terms of link-mil</w:t>
      </w:r>
      <w:r w:rsidR="00947629" w:rsidRPr="000D3090">
        <w:t>e</w:t>
      </w:r>
      <w:r w:rsidR="001E1038" w:rsidRPr="000D3090">
        <w:t xml:space="preserve">s per square mile, (3) the employment density in terms of workers per square mile, (4) the walkability of the area (distinguished as “low” or “high” based on a National Walkability Index cutoff of 10; </w:t>
      </w:r>
      <w:r w:rsidR="001E1038" w:rsidRPr="000D3090">
        <w:fldChar w:fldCharType="begin"/>
      </w:r>
      <w:r w:rsidR="0067380D" w:rsidRPr="000D3090">
        <w:instrText xml:space="preserve"> ADDIN ZOTERO_ITEM CSL_CITATION {"citationID":"kpTE8l2Z","properties":{"formattedCitation":"(Chapman et al., 2021)","plainCitation":"(Chapman et al., 2021)","dontUpdate":true,"noteIndex":0},"citationItems":[{"id":386,"uris":["http://zotero.org/users/12832277/items/T3CGQD28"],"itemData":{"id":386,"type":"report","language":"en","publisher":"U.S. Environment Protection Agency","source":"Zotero","title":"Smart Location Database Technical Documentation and User Guide Version 3.0","URL":"https://www.epa.gov/sites/default/files/2021-06/documents/epa_sld_3.0_technicaldocumentationuserguide_may2021.pdf","author":[{"family":"Chapman","given":"Jim"},{"family":"Fox","given":"Eric"},{"family":"Bachman","given":"William"},{"family":"Frank","given":"Lawrence"}],"issued":{"date-parts":[["2021",6]]}}}],"schema":"https://github.com/citation-style-language/schema/raw/master/csl-citation.json"} </w:instrText>
      </w:r>
      <w:r w:rsidR="001E1038" w:rsidRPr="000D3090">
        <w:fldChar w:fldCharType="separate"/>
      </w:r>
      <w:r w:rsidR="001E1038" w:rsidRPr="000D3090">
        <w:t>Chapman et al., 2021)</w:t>
      </w:r>
      <w:r w:rsidR="001E1038" w:rsidRPr="000D3090">
        <w:fldChar w:fldCharType="end"/>
      </w:r>
      <w:r w:rsidR="001E1038" w:rsidRPr="000D3090">
        <w:t>, and (5) public transit accessibility (where “Low” indicates that less than 10% of the working-age population has transit access and “High” indicates that 10% or more of the working-age population has transit access in the Census tract). The sample</w:t>
      </w:r>
      <w:r w:rsidR="00CD64FD" w:rsidRPr="000D3090">
        <w:t xml:space="preserve"> also </w:t>
      </w:r>
      <w:r w:rsidR="00A174B2" w:rsidRPr="000D3090">
        <w:t xml:space="preserve">exhibits an </w:t>
      </w:r>
      <w:r w:rsidR="00F51655" w:rsidRPr="000D3090">
        <w:t>underrepresentation of single adult households (both with and without children)</w:t>
      </w:r>
      <w:r w:rsidR="00CD64FD" w:rsidRPr="000D3090">
        <w:t xml:space="preserve"> </w:t>
      </w:r>
      <w:r w:rsidR="00F51655" w:rsidRPr="000D3090">
        <w:t>and low-income households, particularly those with incomes less than $25,000</w:t>
      </w:r>
      <w:r w:rsidR="00D24539" w:rsidRPr="000D3090">
        <w:t xml:space="preserve"> (as a point of note, a child is defined in this study as an individual 17 years or younger)</w:t>
      </w:r>
      <w:r w:rsidR="00F51655" w:rsidRPr="000D3090">
        <w:t>. Conversely, there is a slight overrepresentation of owner</w:t>
      </w:r>
      <w:r w:rsidR="00CD64FD" w:rsidRPr="000D3090">
        <w:t xml:space="preserve"> </w:t>
      </w:r>
      <w:r w:rsidR="00F51655" w:rsidRPr="000D3090">
        <w:t xml:space="preserve">households and households from rural locations. </w:t>
      </w:r>
      <w:r w:rsidR="00A174B2" w:rsidRPr="000D3090">
        <w:t>As far as individual</w:t>
      </w:r>
      <w:r w:rsidR="00433A2E" w:rsidRPr="000D3090">
        <w:t xml:space="preserve"> </w:t>
      </w:r>
      <w:r w:rsidR="00A174B2" w:rsidRPr="000D3090">
        <w:t xml:space="preserve">characteristics, there is an overrepresentation of </w:t>
      </w:r>
      <w:r w:rsidR="00D724F4" w:rsidRPr="000D3090">
        <w:t>older</w:t>
      </w:r>
      <w:r w:rsidR="00A654F3" w:rsidRPr="000D3090">
        <w:t xml:space="preserve">, </w:t>
      </w:r>
      <w:r w:rsidR="00D724F4" w:rsidRPr="000D3090">
        <w:t>retired</w:t>
      </w:r>
      <w:r w:rsidR="00A654F3" w:rsidRPr="000D3090">
        <w:t>, and highly educated (in terms of formal degree attainment)</w:t>
      </w:r>
      <w:r w:rsidR="00D724F4" w:rsidRPr="000D3090">
        <w:t xml:space="preserve"> respondents, </w:t>
      </w:r>
      <w:r w:rsidR="00A654F3" w:rsidRPr="000D3090">
        <w:t xml:space="preserve">and </w:t>
      </w:r>
      <w:r w:rsidR="00D724F4" w:rsidRPr="000D3090">
        <w:t>an underrepresentation of non-</w:t>
      </w:r>
      <w:r w:rsidR="00A654F3" w:rsidRPr="000D3090">
        <w:t>w</w:t>
      </w:r>
      <w:r w:rsidR="00D724F4" w:rsidRPr="000D3090">
        <w:t>hite and Hispanic respondents.</w:t>
      </w:r>
      <w:r w:rsidR="00922B29" w:rsidRPr="000D3090">
        <w:t xml:space="preserve"> </w:t>
      </w:r>
    </w:p>
    <w:p w14:paraId="3CAAD8AF" w14:textId="506B5383" w:rsidR="00440916" w:rsidRPr="000D3090" w:rsidRDefault="00D724F4" w:rsidP="00317042">
      <w:pPr>
        <w:autoSpaceDE w:val="0"/>
        <w:autoSpaceDN w:val="0"/>
        <w:adjustRightInd w:val="0"/>
        <w:spacing w:after="0" w:line="240" w:lineRule="auto"/>
        <w:ind w:firstLine="720"/>
        <w:jc w:val="both"/>
      </w:pPr>
      <w:r w:rsidRPr="000D3090">
        <w:t xml:space="preserve">The skews in the exogenous variables </w:t>
      </w:r>
      <w:r w:rsidR="009F5A83" w:rsidRPr="000D3090">
        <w:t xml:space="preserve">observed in this sample compared with the national statistics </w:t>
      </w:r>
      <w:r w:rsidRPr="000D3090">
        <w:t>imply that</w:t>
      </w:r>
      <w:r w:rsidR="009F5A83" w:rsidRPr="000D3090">
        <w:t xml:space="preserve"> the</w:t>
      </w:r>
      <w:r w:rsidRPr="000D3090">
        <w:t xml:space="preserve"> descriptive statistics derived from this sample cannot be generalized to the entire U</w:t>
      </w:r>
      <w:r w:rsidR="00CD64FD" w:rsidRPr="000D3090">
        <w:t xml:space="preserve">.S. </w:t>
      </w:r>
      <w:r w:rsidRPr="000D3090">
        <w:t xml:space="preserve">population. However, since this study </w:t>
      </w:r>
      <w:r w:rsidR="009F5A83" w:rsidRPr="000D3090">
        <w:t>undertakes</w:t>
      </w:r>
      <w:r w:rsidRPr="000D3090">
        <w:t xml:space="preserve"> an individual-level analysis, there is no reason to believe that the causal relationships estimated would not apply to the population at large. </w:t>
      </w:r>
      <w:r w:rsidR="009F5A83" w:rsidRPr="000D3090">
        <w:t>T</w:t>
      </w:r>
      <w:r w:rsidRPr="000D3090">
        <w:t xml:space="preserve">he </w:t>
      </w:r>
      <w:r w:rsidR="009F5A83" w:rsidRPr="000D3090">
        <w:t xml:space="preserve">NHTS survey comprises a large </w:t>
      </w:r>
      <w:r w:rsidRPr="000D3090">
        <w:t xml:space="preserve">sample </w:t>
      </w:r>
      <w:r w:rsidR="009F5A83" w:rsidRPr="000D3090">
        <w:t>that</w:t>
      </w:r>
      <w:r w:rsidRPr="000D3090">
        <w:t xml:space="preserve"> encompasses the entire nation, and </w:t>
      </w:r>
      <w:r w:rsidR="00A654F3" w:rsidRPr="000D3090">
        <w:t>presents</w:t>
      </w:r>
      <w:r w:rsidRPr="000D3090">
        <w:t xml:space="preserve"> substantial variation in the exogenous variables, allowing estimation of the effects of </w:t>
      </w:r>
      <w:r w:rsidR="00A5703A" w:rsidRPr="000D3090">
        <w:t xml:space="preserve">the </w:t>
      </w:r>
      <w:r w:rsidRPr="000D3090">
        <w:t xml:space="preserve">exogenous variables on the </w:t>
      </w:r>
      <w:r w:rsidR="00A654F3" w:rsidRPr="000D3090">
        <w:t xml:space="preserve">endogenous </w:t>
      </w:r>
      <w:r w:rsidR="00A5703A" w:rsidRPr="000D3090">
        <w:t>outcomes</w:t>
      </w:r>
      <w:r w:rsidR="00A654F3" w:rsidRPr="000D3090">
        <w:t xml:space="preserve"> of interest</w:t>
      </w:r>
      <w:r w:rsidRPr="000D3090">
        <w:t>. Additionally, since the</w:t>
      </w:r>
      <w:r w:rsidR="00A654F3" w:rsidRPr="000D3090">
        <w:t xml:space="preserve"> NHTS</w:t>
      </w:r>
      <w:r w:rsidRPr="000D3090">
        <w:t xml:space="preserve"> is </w:t>
      </w:r>
      <w:r w:rsidR="00A5703A" w:rsidRPr="000D3090">
        <w:t xml:space="preserve">based on a random address-based sample rather than </w:t>
      </w:r>
      <w:r w:rsidRPr="000D3090">
        <w:t xml:space="preserve">on </w:t>
      </w:r>
      <w:r w:rsidR="00A5703A" w:rsidRPr="000D3090">
        <w:t xml:space="preserve">an </w:t>
      </w:r>
      <w:r w:rsidRPr="000D3090">
        <w:t xml:space="preserve">endogenous sampling </w:t>
      </w:r>
      <w:r w:rsidR="00A5703A" w:rsidRPr="000D3090">
        <w:t>design</w:t>
      </w:r>
      <w:r w:rsidRPr="000D3090">
        <w:t xml:space="preserve">, an unweighted approach is preferred </w:t>
      </w:r>
      <w:r w:rsidR="00A5703A" w:rsidRPr="000D3090">
        <w:t xml:space="preserve">to a weighted approach </w:t>
      </w:r>
      <w:r w:rsidRPr="000D3090">
        <w:t xml:space="preserve">because it </w:t>
      </w:r>
      <w:r w:rsidR="00A5703A" w:rsidRPr="000D3090">
        <w:t xml:space="preserve">yields consistent and more </w:t>
      </w:r>
      <w:r w:rsidRPr="000D3090">
        <w:t xml:space="preserve">efficient </w:t>
      </w:r>
      <w:r w:rsidR="00A5703A" w:rsidRPr="000D3090">
        <w:t xml:space="preserve">estimates </w:t>
      </w:r>
      <w:r w:rsidR="00A5703A" w:rsidRPr="000D3090">
        <w:fldChar w:fldCharType="begin"/>
      </w:r>
      <w:r w:rsidR="00302987" w:rsidRPr="000D3090">
        <w:instrText xml:space="preserve"> ADDIN ZOTERO_ITEM CSL_CITATION {"citationID":"LhaLAA3j","properties":{"unsorted":true,"formattedCitation":"(Wooldridge, 1995; Solon et al., 2015)","plainCitation":"(Wooldridge, 1995; Solon et al., 2015)","dontUpdate":true,"noteIndex":0},"citationItems":[{"id":719,"uris":["http://zotero.org/users/12832277/items/HWFMUF9L"],"itemData":{"id":719,"type":"article-journal","abstract":"Some new methods for testing and correcting for sample selection bias in panel data models are proposed. The assumptions allow the unobserved effects in both the regression and selection equations to be correlated with the observed variables; the error distribution in the regression equation is unspecified; arbitrary serial dependence in the idiosyncratic errors of both equations is allowed; and all idiosyncratic errors can be heterogeneously distributed. Compared with maximum likelihood and other estimators derived under fully parametric assumptions, the new estimators are much more robust and have significant computational advantages.","container-title":"Journal of Econometrics","DOI":"10.1016/0304-4076(94)01645-G","ISSN":"0304-4076","issue":"1","language":"en","page":"115-132","source":"ScienceDirect","title":"Selection Corrections for Panel Data Models Under Conditional Mean Independence Assumptions","volume":"68","author":[{"family":"Wooldridge","given":"Jeffrey M."}],"issued":{"date-parts":[["1995",7,1]]}}},{"id":721,"uris":["http://zotero.org/users/12832277/items/68L8HU9K"],"itemData":{"id":721,"type":"article-journal","abstract":"When estimating population descriptive statistics, weighting is called for if needed to make the analysis sample representative of the target population. With regard to research directed instead at estimating causal effects, we discuss three distinct weighting motives: (1) to achieve precise estimates by correcting for heteroskedasticity; (2) to achieve consistent estimates by correcting for endogenous sampling; and (3) to identify average partial effects in the presence of unmodeled heterogeneity of effects. In each case, we find that the motive sometimes does not apply in situations where practitioners often assume it does.","container-title":"Journal of Human Resources","DOI":"10.3368/jhr.50.2.301","ISSN":"0022-166X, 1548-8004","issue":"2","language":"en","license":"© 2015 by the Board of Regents of the University of Wisconsin System","note":"publisher: University of Wisconsin Press\nsection: Symposium on Empirical Methods","page":"301-316","source":"jhr.uwpress.org","title":"What Are We Weighting For?","volume":"50","author":[{"family":"Solon","given":"Gary"},{"family":"Haider","given":"Steven J."},{"family":"Wooldridge","given":"Jeffrey M."}],"issued":{"date-parts":[["2015",3,31]]}}}],"schema":"https://github.com/citation-style-language/schema/raw/master/csl-citation.json"} </w:instrText>
      </w:r>
      <w:r w:rsidR="00A5703A" w:rsidRPr="000D3090">
        <w:fldChar w:fldCharType="separate"/>
      </w:r>
      <w:r w:rsidR="00A5703A" w:rsidRPr="000D3090">
        <w:t>(see Wooldridge, 1995; Solon et al., 2015)</w:t>
      </w:r>
      <w:r w:rsidR="00A5703A" w:rsidRPr="000D3090">
        <w:fldChar w:fldCharType="end"/>
      </w:r>
      <w:r w:rsidRPr="000D3090">
        <w:t xml:space="preserve">. </w:t>
      </w:r>
    </w:p>
    <w:p w14:paraId="3082B5C4" w14:textId="1F28BB13" w:rsidR="00440916" w:rsidRPr="000D3090" w:rsidRDefault="00440916" w:rsidP="002979FC">
      <w:pPr>
        <w:autoSpaceDE w:val="0"/>
        <w:autoSpaceDN w:val="0"/>
        <w:adjustRightInd w:val="0"/>
        <w:spacing w:after="0" w:line="240" w:lineRule="auto"/>
        <w:jc w:val="both"/>
        <w:rPr>
          <w:b/>
        </w:rPr>
      </w:pPr>
    </w:p>
    <w:p w14:paraId="30521911" w14:textId="014789EB" w:rsidR="00440916" w:rsidRPr="000D3090" w:rsidRDefault="00440916" w:rsidP="001F65A6">
      <w:pPr>
        <w:autoSpaceDE w:val="0"/>
        <w:autoSpaceDN w:val="0"/>
        <w:adjustRightInd w:val="0"/>
        <w:spacing w:after="0" w:line="240" w:lineRule="auto"/>
        <w:jc w:val="both"/>
        <w:rPr>
          <w:b/>
        </w:rPr>
      </w:pPr>
      <w:r w:rsidRPr="000D3090">
        <w:rPr>
          <w:b/>
        </w:rPr>
        <w:t>3.2 Analytic Framework</w:t>
      </w:r>
    </w:p>
    <w:p w14:paraId="28FA95D0" w14:textId="2CBEC372" w:rsidR="00440916" w:rsidRPr="000D3090" w:rsidRDefault="005F1F0F" w:rsidP="001F65A6">
      <w:pPr>
        <w:spacing w:after="0" w:line="240" w:lineRule="auto"/>
        <w:jc w:val="both"/>
      </w:pPr>
      <w:r w:rsidRPr="000D3090">
        <w:t>The modeling framework consists of a multivariate ordered</w:t>
      </w:r>
      <w:r w:rsidR="00350A8D" w:rsidRPr="000D3090">
        <w:t>-response</w:t>
      </w:r>
      <w:r w:rsidRPr="000D3090">
        <w:t xml:space="preserve"> probit </w:t>
      </w:r>
      <w:r w:rsidR="00350A8D" w:rsidRPr="000D3090">
        <w:t xml:space="preserve">(MORP) </w:t>
      </w:r>
      <w:r w:rsidRPr="000D3090">
        <w:t>model with eleven outcom</w:t>
      </w:r>
      <w:r w:rsidR="00C66E48" w:rsidRPr="000D3090">
        <w:t>es</w:t>
      </w:r>
      <w:r w:rsidRPr="000D3090">
        <w:t xml:space="preserve">. The first is the binary </w:t>
      </w:r>
      <w:r w:rsidR="00C66E48" w:rsidRPr="000D3090">
        <w:t xml:space="preserve">PPD </w:t>
      </w:r>
      <w:r w:rsidRPr="000D3090">
        <w:t>decisio</w:t>
      </w:r>
      <w:r w:rsidR="00C66E48" w:rsidRPr="000D3090">
        <w:t>n</w:t>
      </w:r>
      <w:r w:rsidRPr="000D3090">
        <w:t>. The next eight outcomes co</w:t>
      </w:r>
      <w:r w:rsidR="00C66E48" w:rsidRPr="000D3090">
        <w:t xml:space="preserve">rrespond to </w:t>
      </w:r>
      <w:r w:rsidRPr="000D3090">
        <w:t xml:space="preserve">binary responses </w:t>
      </w:r>
      <w:r w:rsidR="00C66E48" w:rsidRPr="000D3090">
        <w:t xml:space="preserve">for each of the eight possible PPD reasons. </w:t>
      </w:r>
      <w:r w:rsidRPr="000D3090">
        <w:t xml:space="preserve">Each individual who </w:t>
      </w:r>
      <w:r w:rsidR="00C66E48" w:rsidRPr="000D3090">
        <w:t xml:space="preserve">reported experiencing PPD </w:t>
      </w:r>
      <w:r w:rsidRPr="000D3090">
        <w:t xml:space="preserve">was able to select any combination of </w:t>
      </w:r>
      <w:r w:rsidR="00C66E48" w:rsidRPr="000D3090">
        <w:t xml:space="preserve">the PPD </w:t>
      </w:r>
      <w:r w:rsidRPr="000D3090">
        <w:t xml:space="preserve">reasons, so these outcomes are not mutually exclusive and are jointly observed </w:t>
      </w:r>
      <w:r w:rsidR="00C66E48" w:rsidRPr="000D3090">
        <w:t>as eight binary responses</w:t>
      </w:r>
      <w:r w:rsidRPr="000D3090">
        <w:t xml:space="preserve">. Finally, the last two </w:t>
      </w:r>
      <w:r w:rsidR="00C66E48" w:rsidRPr="000D3090">
        <w:t>outcomes</w:t>
      </w:r>
      <w:r w:rsidRPr="000D3090">
        <w:t xml:space="preserve"> correspond to the </w:t>
      </w:r>
      <w:r w:rsidR="00B60950" w:rsidRPr="000D3090">
        <w:t xml:space="preserve">frequency of telework and </w:t>
      </w:r>
      <w:r w:rsidRPr="000D3090">
        <w:t>frequency of deliverie</w:t>
      </w:r>
      <w:r w:rsidR="00B60950" w:rsidRPr="000D3090">
        <w:t>s</w:t>
      </w:r>
      <w:r w:rsidRPr="000D3090">
        <w:t xml:space="preserve">, representing </w:t>
      </w:r>
      <w:r w:rsidR="00C66E48" w:rsidRPr="000D3090">
        <w:t xml:space="preserve">virtual </w:t>
      </w:r>
      <w:r w:rsidRPr="000D3090">
        <w:t>participation</w:t>
      </w:r>
      <w:r w:rsidR="0019104F" w:rsidRPr="000D3090">
        <w:t xml:space="preserve"> outcomes</w:t>
      </w:r>
      <w:r w:rsidR="00350A8D" w:rsidRPr="000D3090">
        <w:t xml:space="preserve">, which are observed as </w:t>
      </w:r>
      <w:r w:rsidRPr="000D3090">
        <w:t xml:space="preserve">ordered outcomes. </w:t>
      </w:r>
      <w:r w:rsidR="0093201A" w:rsidRPr="000D3090">
        <w:t xml:space="preserve">The rest of this section </w:t>
      </w:r>
      <w:r w:rsidR="005E22F9" w:rsidRPr="000D3090">
        <w:t xml:space="preserve">describes the mathematical formulation of the </w:t>
      </w:r>
      <w:r w:rsidR="00350A8D" w:rsidRPr="000D3090">
        <w:t xml:space="preserve">MORP model </w:t>
      </w:r>
      <w:r w:rsidR="00C66E48" w:rsidRPr="000D3090">
        <w:t>(</w:t>
      </w:r>
      <w:r w:rsidR="00350A8D" w:rsidRPr="000D3090">
        <w:t xml:space="preserve">this is because </w:t>
      </w:r>
      <w:r w:rsidR="00C66E48" w:rsidRPr="000D3090">
        <w:t>binary response</w:t>
      </w:r>
      <w:r w:rsidR="00350A8D" w:rsidRPr="000D3090">
        <w:t>s</w:t>
      </w:r>
      <w:r w:rsidR="00C66E48" w:rsidRPr="000D3090">
        <w:t xml:space="preserve"> can be viewed as ordered</w:t>
      </w:r>
      <w:r w:rsidR="009B0E5D" w:rsidRPr="000D3090">
        <w:t xml:space="preserve"> </w:t>
      </w:r>
      <w:r w:rsidR="00C66E48" w:rsidRPr="000D3090">
        <w:t>response</w:t>
      </w:r>
      <w:r w:rsidR="00350A8D" w:rsidRPr="000D3090">
        <w:t xml:space="preserve">s </w:t>
      </w:r>
      <w:r w:rsidR="00C66E48" w:rsidRPr="000D3090">
        <w:t>with two categories)</w:t>
      </w:r>
      <w:r w:rsidR="005E22F9" w:rsidRPr="000D3090">
        <w:t xml:space="preserve">. </w:t>
      </w:r>
      <w:r w:rsidR="005273C5" w:rsidRPr="000D3090">
        <w:t>Note that the MORP is presented assuming an individual with PPD</w:t>
      </w:r>
      <w:r w:rsidR="00B60950" w:rsidRPr="000D3090">
        <w:t>.</w:t>
      </w:r>
      <w:r w:rsidR="00BA3031" w:rsidRPr="000D3090">
        <w:t xml:space="preserve"> </w:t>
      </w:r>
      <w:r w:rsidR="005273C5" w:rsidRPr="000D3090">
        <w:t xml:space="preserve">For an individual without PPD, the procedure requires a simple modification in estimation to marginalize over the PPD reasons such that only three outcomes are relevant (corresponding to the PPD outcome and the two virtual participation outcomes). </w:t>
      </w:r>
    </w:p>
    <w:p w14:paraId="5A348DA4" w14:textId="3322BC0A" w:rsidR="001F65A6" w:rsidRPr="000D3090" w:rsidRDefault="005E22F9" w:rsidP="001F65A6">
      <w:pPr>
        <w:spacing w:after="0" w:line="240" w:lineRule="auto"/>
        <w:jc w:val="both"/>
      </w:pPr>
      <w:r w:rsidRPr="000D3090">
        <w:lastRenderedPageBreak/>
        <w:tab/>
      </w:r>
      <w:r w:rsidR="00887F1D" w:rsidRPr="000D3090">
        <w:t xml:space="preserve">Let </w:t>
      </w:r>
      <w:r w:rsidR="001F7B9D" w:rsidRPr="000D3090">
        <w:rPr>
          <w:position w:val="-6"/>
        </w:rPr>
        <w:object w:dxaOrig="139" w:dyaOrig="260" w14:anchorId="1DB22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87#yIS3" style="width:6.45pt;height:12.45pt" o:ole="" o:preferrelative="f">
            <v:imagedata r:id="rId8" o:title=""/>
            <o:lock v:ext="edit" aspectratio="f"/>
          </v:shape>
          <o:OLEObject Type="Embed" ProgID="Equation.DSMT4" ShapeID="_x0000_i1025" DrawAspect="Content" ObjectID="_1818587405" r:id="rId9"/>
        </w:object>
      </w:r>
      <w:r w:rsidR="000202C0" w:rsidRPr="000D3090">
        <w:t xml:space="preserve"> </w:t>
      </w:r>
      <w:r w:rsidR="008335AE" w:rsidRPr="000D3090">
        <w:t xml:space="preserve">be the index for each of the </w:t>
      </w:r>
      <w:r w:rsidR="00361A53" w:rsidRPr="000D3090">
        <w:t>ordered</w:t>
      </w:r>
      <w:r w:rsidR="008335AE" w:rsidRPr="000D3090">
        <w:t xml:space="preserve"> outcomes </w:t>
      </w:r>
      <w:r w:rsidR="001F7B9D" w:rsidRPr="000D3090">
        <w:rPr>
          <w:position w:val="-10"/>
        </w:rPr>
        <w:object w:dxaOrig="1280" w:dyaOrig="320" w14:anchorId="575F2DAF">
          <v:shape id="_x0000_i1026" type="#_x0000_t75" alt="P87#yIS4" style="width:63.45pt;height:15.85pt" o:ole="" o:preferrelative="f">
            <v:imagedata r:id="rId10" o:title=""/>
            <o:lock v:ext="edit" aspectratio="f"/>
          </v:shape>
          <o:OLEObject Type="Embed" ProgID="Equation.DSMT4" ShapeID="_x0000_i1026" DrawAspect="Content" ObjectID="_1818587406" r:id="rId11"/>
        </w:object>
      </w:r>
      <w:r w:rsidR="000202C0" w:rsidRPr="000D3090">
        <w:rPr>
          <w:color w:val="222222"/>
          <w:shd w:val="clear" w:color="auto" w:fill="FFFFFF"/>
        </w:rPr>
        <w:t>.</w:t>
      </w:r>
      <w:r w:rsidR="000202C0" w:rsidRPr="000D3090">
        <w:t xml:space="preserve"> </w:t>
      </w:r>
      <w:r w:rsidR="008335AE" w:rsidRPr="000D3090">
        <w:t>In the current</w:t>
      </w:r>
      <w:r w:rsidR="00756B5E" w:rsidRPr="000D3090">
        <w:t xml:space="preserve"> empirical</w:t>
      </w:r>
      <w:r w:rsidR="008335AE" w:rsidRPr="000D3090">
        <w:t xml:space="preserve"> context </w:t>
      </w:r>
      <w:r w:rsidR="004A0C3F" w:rsidRPr="000D3090">
        <w:rPr>
          <w:position w:val="-4"/>
        </w:rPr>
        <w:object w:dxaOrig="620" w:dyaOrig="260" w14:anchorId="39BEE733">
          <v:shape id="_x0000_i1027" type="#_x0000_t75" alt="P87#yIS5" style="width:30.85pt;height:12.85pt" o:ole="" o:preferrelative="f">
            <v:imagedata r:id="rId12" o:title=""/>
            <o:lock v:ext="edit" aspectratio="f"/>
          </v:shape>
          <o:OLEObject Type="Embed" ProgID="Equation.DSMT4" ShapeID="_x0000_i1027" DrawAspect="Content" ObjectID="_1818587407" r:id="rId13"/>
        </w:object>
      </w:r>
      <w:r w:rsidR="0034520E" w:rsidRPr="000D3090">
        <w:t xml:space="preserve">. </w:t>
      </w:r>
      <w:r w:rsidR="00361A53" w:rsidRPr="000D3090">
        <w:t xml:space="preserve">Let the number of ordered levels for each outcome be </w:t>
      </w:r>
      <w:r w:rsidR="001F7B9D" w:rsidRPr="000D3090">
        <w:rPr>
          <w:position w:val="-12"/>
        </w:rPr>
        <w:object w:dxaOrig="300" w:dyaOrig="360" w14:anchorId="727DFDD1">
          <v:shape id="_x0000_i1028" type="#_x0000_t75" style="width:15pt;height:18.85pt" o:ole="" o:preferrelative="f">
            <v:imagedata r:id="rId14" o:title=""/>
            <o:lock v:ext="edit" aspectratio="f"/>
          </v:shape>
          <o:OLEObject Type="Embed" ProgID="Equation.DSMT4" ShapeID="_x0000_i1028" DrawAspect="Content" ObjectID="_1818587408" r:id="rId15"/>
        </w:object>
      </w:r>
      <w:r w:rsidR="00361A53" w:rsidRPr="000D3090">
        <w:t xml:space="preserve"> such that each outcome is indexed by </w:t>
      </w:r>
      <w:r w:rsidR="001F7B9D" w:rsidRPr="000D3090">
        <w:rPr>
          <w:position w:val="-12"/>
        </w:rPr>
        <w:object w:dxaOrig="1520" w:dyaOrig="360" w14:anchorId="718517C4">
          <v:shape id="_x0000_i1029" type="#_x0000_t75" style="width:76.7pt;height:18.85pt" o:ole="" o:preferrelative="f">
            <v:imagedata r:id="rId16" o:title=""/>
            <o:lock v:ext="edit" aspectratio="f"/>
          </v:shape>
          <o:OLEObject Type="Embed" ProgID="Equation.DSMT4" ShapeID="_x0000_i1029" DrawAspect="Content" ObjectID="_1818587409" r:id="rId17"/>
        </w:object>
      </w:r>
      <w:r w:rsidR="00361A53" w:rsidRPr="000D3090">
        <w:t>.</w:t>
      </w:r>
      <w:r w:rsidR="00F456EE" w:rsidRPr="000D3090">
        <w:t xml:space="preserve"> </w:t>
      </w:r>
      <w:r w:rsidR="001F7B9D" w:rsidRPr="000D3090">
        <w:rPr>
          <w:position w:val="-12"/>
        </w:rPr>
        <w:object w:dxaOrig="680" w:dyaOrig="360" w14:anchorId="4CC2727E">
          <v:shape id="_x0000_i1030" type="#_x0000_t75" style="width:33.85pt;height:18.85pt" o:ole="" o:preferrelative="f">
            <v:imagedata r:id="rId18" o:title=""/>
            <o:lock v:ext="edit" aspectratio="f"/>
          </v:shape>
          <o:OLEObject Type="Embed" ProgID="Equation.DSMT4" ShapeID="_x0000_i1030" DrawAspect="Content" ObjectID="_1818587410" r:id="rId19"/>
        </w:object>
      </w:r>
      <w:r w:rsidR="00F456EE" w:rsidRPr="000D3090">
        <w:t xml:space="preserve"> for the binary outcomes, and </w:t>
      </w:r>
      <w:r w:rsidR="001F7B9D" w:rsidRPr="000D3090">
        <w:rPr>
          <w:position w:val="-12"/>
        </w:rPr>
        <w:object w:dxaOrig="680" w:dyaOrig="360" w14:anchorId="1B8BB6A0">
          <v:shape id="_x0000_i1031" type="#_x0000_t75" style="width:33.85pt;height:18.85pt" o:ole="" o:preferrelative="f">
            <v:imagedata r:id="rId20" o:title=""/>
            <o:lock v:ext="edit" aspectratio="f"/>
          </v:shape>
          <o:OLEObject Type="Embed" ProgID="Equation.DSMT4" ShapeID="_x0000_i1031" DrawAspect="Content" ObjectID="_1818587411" r:id="rId21"/>
        </w:object>
      </w:r>
      <w:r w:rsidR="00F456EE" w:rsidRPr="000D3090">
        <w:t xml:space="preserve"> for the two virtual participation outcomes.</w:t>
      </w:r>
      <w:r w:rsidR="00361A53" w:rsidRPr="000D3090">
        <w:t xml:space="preserve"> </w:t>
      </w:r>
      <w:r w:rsidR="00F456EE" w:rsidRPr="000D3090">
        <w:t>In the following presentation, w</w:t>
      </w:r>
      <w:r w:rsidR="0034520E" w:rsidRPr="000D3090">
        <w:t>e suppress the index for individuals. F</w:t>
      </w:r>
      <w:r w:rsidR="00361A53" w:rsidRPr="000D3090">
        <w:t>ollowing the usual framework for ordered response variables,</w:t>
      </w:r>
      <w:r w:rsidR="00F456EE" w:rsidRPr="000D3090">
        <w:t xml:space="preserve"> </w:t>
      </w:r>
      <w:r w:rsidR="00361A53" w:rsidRPr="000D3090">
        <w:t>a latent propensity</w:t>
      </w:r>
      <w:r w:rsidR="00821B45" w:rsidRPr="000D3090">
        <w:t xml:space="preserve"> (</w:t>
      </w:r>
      <w:r w:rsidR="001F7B9D" w:rsidRPr="000D3090">
        <w:rPr>
          <w:position w:val="-12"/>
        </w:rPr>
        <w:object w:dxaOrig="279" w:dyaOrig="380" w14:anchorId="18377932">
          <v:shape id="_x0000_i1032" type="#_x0000_t75" style="width:12.85pt;height:18.85pt" o:ole="" o:preferrelative="f">
            <v:imagedata r:id="rId22" o:title=""/>
            <o:lock v:ext="edit" aspectratio="f"/>
          </v:shape>
          <o:OLEObject Type="Embed" ProgID="Equation.DSMT4" ShapeID="_x0000_i1032" DrawAspect="Content" ObjectID="_1818587412" r:id="rId23"/>
        </w:object>
      </w:r>
      <w:r w:rsidR="00821B45" w:rsidRPr="000D3090">
        <w:t>)</w:t>
      </w:r>
      <w:r w:rsidR="00361A53" w:rsidRPr="000D3090">
        <w:t xml:space="preserve"> can be defined for each outcome as a function of covariates that relates to the </w:t>
      </w:r>
      <w:r w:rsidR="00B60950" w:rsidRPr="000D3090">
        <w:t>actual</w:t>
      </w:r>
      <w:r w:rsidR="00361A53" w:rsidRPr="000D3090">
        <w:t xml:space="preserve"> outcomes</w:t>
      </w:r>
      <w:r w:rsidR="00821B45" w:rsidRPr="000D3090">
        <w:t xml:space="preserve"> (</w:t>
      </w:r>
      <w:r w:rsidR="001F7B9D" w:rsidRPr="000D3090">
        <w:rPr>
          <w:position w:val="-12"/>
        </w:rPr>
        <w:object w:dxaOrig="240" w:dyaOrig="360" w14:anchorId="20B2CD01">
          <v:shape id="_x0000_i1033" type="#_x0000_t75" style="width:11.15pt;height:18.85pt" o:ole="" o:preferrelative="f">
            <v:imagedata r:id="rId24" o:title=""/>
            <o:lock v:ext="edit" aspectratio="f"/>
          </v:shape>
          <o:OLEObject Type="Embed" ProgID="Equation.DSMT4" ShapeID="_x0000_i1033" DrawAspect="Content" ObjectID="_1818587413" r:id="rId25"/>
        </w:object>
      </w:r>
      <w:r w:rsidR="00821B45" w:rsidRPr="000D3090">
        <w:t>)</w:t>
      </w:r>
      <w:r w:rsidR="00361A53" w:rsidRPr="000D3090">
        <w:t xml:space="preserve"> through threshold bounds:</w:t>
      </w:r>
    </w:p>
    <w:p w14:paraId="1F434D2F" w14:textId="720A5E11" w:rsidR="00361A53" w:rsidRPr="000D3090" w:rsidRDefault="004A0C3F" w:rsidP="003D135C">
      <w:pPr>
        <w:pStyle w:val="MTDisplayEquation"/>
        <w:spacing w:before="60" w:after="60"/>
      </w:pPr>
      <w:r w:rsidRPr="000D3090">
        <w:rPr>
          <w:position w:val="-12"/>
        </w:rPr>
        <w:object w:dxaOrig="1920" w:dyaOrig="380" w14:anchorId="56F21C5B">
          <v:shape id="_x0000_i1034" type="#_x0000_t75" style="width:95.55pt;height:18.85pt" o:ole="" o:preferrelative="f">
            <v:imagedata r:id="rId26" o:title=""/>
            <o:lock v:ext="edit" aspectratio="f"/>
          </v:shape>
          <o:OLEObject Type="Embed" ProgID="Equation.DSMT4" ShapeID="_x0000_i1034" DrawAspect="Content" ObjectID="_1818587414" r:id="rId27"/>
        </w:object>
      </w:r>
      <w:r w:rsidR="0034520E" w:rsidRPr="000D3090">
        <w:t xml:space="preserve"> if  </w:t>
      </w:r>
      <w:r w:rsidRPr="000D3090">
        <w:rPr>
          <w:position w:val="-12"/>
        </w:rPr>
        <w:object w:dxaOrig="1440" w:dyaOrig="380" w14:anchorId="2136A1B5">
          <v:shape id="_x0000_i1035" type="#_x0000_t75" style="width:1in;height:18.85pt" o:ole="" o:preferrelative="f">
            <v:imagedata r:id="rId28" o:title=""/>
            <o:lock v:ext="edit" aspectratio="f"/>
          </v:shape>
          <o:OLEObject Type="Embed" ProgID="Equation.DSMT4" ShapeID="_x0000_i1035" DrawAspect="Content" ObjectID="_1818587415" r:id="rId29"/>
        </w:object>
      </w:r>
      <w:r w:rsidR="0034520E" w:rsidRPr="000D3090">
        <w:t xml:space="preserve"> </w:t>
      </w:r>
      <w:r w:rsidR="0034520E" w:rsidRPr="000D3090">
        <w:tab/>
      </w:r>
      <w:r w:rsidR="0034520E" w:rsidRPr="000D3090">
        <w:tab/>
      </w:r>
      <w:r w:rsidR="00821B45" w:rsidRPr="000D3090">
        <w:fldChar w:fldCharType="begin"/>
      </w:r>
      <w:r w:rsidR="00821B45" w:rsidRPr="000D3090">
        <w:instrText xml:space="preserve"> MACROBUTTON MTPlaceRef \* MERGEFORMAT </w:instrText>
      </w:r>
      <w:r w:rsidR="00821B45" w:rsidRPr="000D3090">
        <w:fldChar w:fldCharType="begin"/>
      </w:r>
      <w:r w:rsidR="00821B45" w:rsidRPr="000D3090">
        <w:instrText xml:space="preserve"> SEQ MTEqn \h \* MERGEFORMAT </w:instrText>
      </w:r>
      <w:r w:rsidR="00821B45" w:rsidRPr="000D3090">
        <w:fldChar w:fldCharType="end"/>
      </w:r>
      <w:r w:rsidR="00821B45" w:rsidRPr="000D3090">
        <w:instrText>(</w:instrText>
      </w:r>
      <w:r w:rsidR="00FF26D4">
        <w:fldChar w:fldCharType="begin"/>
      </w:r>
      <w:r w:rsidR="00FF26D4">
        <w:instrText xml:space="preserve"> SEQ MTEqn \c \* Arabic \* MERGEFORMAT </w:instrText>
      </w:r>
      <w:r w:rsidR="00FF26D4">
        <w:fldChar w:fldCharType="separate"/>
      </w:r>
      <w:r w:rsidR="00D2784C" w:rsidRPr="000D3090">
        <w:instrText>1</w:instrText>
      </w:r>
      <w:r w:rsidR="00FF26D4">
        <w:fldChar w:fldCharType="end"/>
      </w:r>
      <w:r w:rsidR="00821B45" w:rsidRPr="000D3090">
        <w:instrText>)</w:instrText>
      </w:r>
      <w:r w:rsidR="00821B45" w:rsidRPr="000D3090">
        <w:fldChar w:fldCharType="end"/>
      </w:r>
    </w:p>
    <w:p w14:paraId="7544FC4B" w14:textId="1409451D" w:rsidR="001F65A6" w:rsidRPr="000D3090" w:rsidRDefault="00361A53" w:rsidP="002C2069">
      <w:pPr>
        <w:spacing w:after="0" w:line="240" w:lineRule="auto"/>
        <w:jc w:val="both"/>
      </w:pPr>
      <w:r w:rsidRPr="000D3090">
        <w:t xml:space="preserve">where </w:t>
      </w:r>
      <w:r w:rsidR="004A0C3F" w:rsidRPr="000D3090">
        <w:rPr>
          <w:position w:val="-4"/>
        </w:rPr>
        <w:object w:dxaOrig="200" w:dyaOrig="200" w14:anchorId="519D5108">
          <v:shape id="_x0000_i1036" type="#_x0000_t75" style="width:10.3pt;height:10.3pt" o:ole="" o:preferrelative="f">
            <v:imagedata r:id="rId30" o:title=""/>
            <o:lock v:ext="edit" aspectratio="f"/>
          </v:shape>
          <o:OLEObject Type="Embed" ProgID="Equation.DSMT4" ShapeID="_x0000_i1036" DrawAspect="Content" ObjectID="_1818587416" r:id="rId31"/>
        </w:object>
      </w:r>
      <w:r w:rsidRPr="000D3090">
        <w:t xml:space="preserve"> is an </w:t>
      </w:r>
      <w:r w:rsidR="001F7B9D" w:rsidRPr="000D3090">
        <w:rPr>
          <w:position w:val="-10"/>
        </w:rPr>
        <w:object w:dxaOrig="639" w:dyaOrig="320" w14:anchorId="5278C31D">
          <v:shape id="_x0000_i1037" type="#_x0000_t75" alt="P89#yIS2" style="width:31.7pt;height:15.85pt" o:ole="" o:preferrelative="f">
            <v:imagedata r:id="rId32" o:title=""/>
            <o:lock v:ext="edit" aspectratio="f"/>
          </v:shape>
          <o:OLEObject Type="Embed" ProgID="Equation.DSMT4" ShapeID="_x0000_i1037" DrawAspect="Content" ObjectID="_1818587417" r:id="rId33"/>
        </w:object>
      </w:r>
      <w:r w:rsidRPr="000D3090">
        <w:t xml:space="preserve"> vector of exogenous variables</w:t>
      </w:r>
      <w:r w:rsidR="0034520E" w:rsidRPr="000D3090">
        <w:t xml:space="preserve"> (excluding a constant)</w:t>
      </w:r>
      <w:r w:rsidRPr="000D3090">
        <w:t xml:space="preserve">, </w:t>
      </w:r>
      <w:r w:rsidR="001F7B9D" w:rsidRPr="000D3090">
        <w:rPr>
          <w:position w:val="-12"/>
        </w:rPr>
        <w:object w:dxaOrig="260" w:dyaOrig="380" w14:anchorId="5386CF76">
          <v:shape id="_x0000_i1038" type="#_x0000_t75" style="width:12.45pt;height:18.85pt" o:ole="">
            <v:imagedata r:id="rId34" o:title=""/>
          </v:shape>
          <o:OLEObject Type="Embed" ProgID="Equation.DSMT4" ShapeID="_x0000_i1038" DrawAspect="Content" ObjectID="_1818587418" r:id="rId35"/>
        </w:object>
      </w:r>
      <w:r w:rsidR="0034520E" w:rsidRPr="000D3090">
        <w:t xml:space="preserve"> is a corresponding </w:t>
      </w:r>
      <w:r w:rsidR="002C2069" w:rsidRPr="000D3090">
        <w:rPr>
          <w:position w:val="-10"/>
        </w:rPr>
        <w:object w:dxaOrig="639" w:dyaOrig="320" w14:anchorId="3ADA6328">
          <v:shape id="_x0000_i1039" type="#_x0000_t75" alt="P89#yIS2" style="width:31.7pt;height:15.85pt" o:ole="" o:preferrelative="f">
            <v:imagedata r:id="rId32" o:title=""/>
            <o:lock v:ext="edit" aspectratio="f"/>
          </v:shape>
          <o:OLEObject Type="Embed" ProgID="Equation.DSMT4" ShapeID="_x0000_i1039" DrawAspect="Content" ObjectID="_1818587419" r:id="rId36"/>
        </w:object>
      </w:r>
      <w:r w:rsidR="002C2069" w:rsidRPr="000D3090">
        <w:t xml:space="preserve"> </w:t>
      </w:r>
      <w:r w:rsidR="0034520E" w:rsidRPr="000D3090">
        <w:t>vector of coefficients to be estimated (some of whose coefficients can, and in general, will be zero)</w:t>
      </w:r>
      <w:r w:rsidR="00F456EE" w:rsidRPr="000D3090">
        <w:t>,</w:t>
      </w:r>
      <w:r w:rsidR="0034520E" w:rsidRPr="000D3090">
        <w:t xml:space="preserve"> </w:t>
      </w:r>
      <w:r w:rsidRPr="000D3090">
        <w:t xml:space="preserve">and </w:t>
      </w:r>
      <w:r w:rsidR="004A0C3F" w:rsidRPr="000D3090">
        <w:rPr>
          <w:position w:val="-12"/>
        </w:rPr>
        <w:object w:dxaOrig="240" w:dyaOrig="360" w14:anchorId="1C7E14E3">
          <v:shape id="_x0000_i1040" type="#_x0000_t75" alt="P89#yIS5" style="width:12.45pt;height:18pt" o:ole="" o:preferrelative="f">
            <v:imagedata r:id="rId37" o:title=""/>
            <o:lock v:ext="edit" aspectratio="f"/>
          </v:shape>
          <o:OLEObject Type="Embed" ProgID="Equation.DSMT4" ShapeID="_x0000_i1040" DrawAspect="Content" ObjectID="_1818587420" r:id="rId38"/>
        </w:object>
      </w:r>
      <w:r w:rsidRPr="000D3090">
        <w:t xml:space="preserve"> is a standard normal error term assumed to be independent and identically distributed across all individuals. </w:t>
      </w:r>
      <w:r w:rsidR="00F456EE" w:rsidRPr="000D3090">
        <w:t xml:space="preserve">The </w:t>
      </w:r>
      <w:r w:rsidR="00D86FA3" w:rsidRPr="000D3090">
        <w:t xml:space="preserve">threshold bounds </w:t>
      </w:r>
      <w:r w:rsidR="00F456EE" w:rsidRPr="000D3090">
        <w:t xml:space="preserve">satisfy the following conditions:  </w:t>
      </w:r>
      <w:r w:rsidR="004A0C3F" w:rsidRPr="000D3090">
        <w:rPr>
          <w:position w:val="-12"/>
        </w:rPr>
        <w:object w:dxaOrig="920" w:dyaOrig="380" w14:anchorId="14822B93">
          <v:shape id="_x0000_i1041" type="#_x0000_t75" style="width:45.85pt;height:18.85pt" o:ole="" o:preferrelative="f">
            <v:imagedata r:id="rId39" o:title=""/>
            <o:lock v:ext="edit" aspectratio="f"/>
          </v:shape>
          <o:OLEObject Type="Embed" ProgID="Equation.DSMT4" ShapeID="_x0000_i1041" DrawAspect="Content" ObjectID="_1818587421" r:id="rId40"/>
        </w:object>
      </w:r>
      <w:r w:rsidR="004A0C3F" w:rsidRPr="000D3090">
        <w:rPr>
          <w:position w:val="-12"/>
        </w:rPr>
        <w:object w:dxaOrig="940" w:dyaOrig="380" w14:anchorId="01D93154">
          <v:shape id="_x0000_i1042" type="#_x0000_t75" style="width:46.7pt;height:18.85pt" o:ole="" o:preferrelative="f">
            <v:imagedata r:id="rId41" o:title=""/>
            <o:lock v:ext="edit" aspectratio="f"/>
          </v:shape>
          <o:OLEObject Type="Embed" ProgID="Equation.DSMT4" ShapeID="_x0000_i1042" DrawAspect="Content" ObjectID="_1818587422" r:id="rId42"/>
        </w:object>
      </w:r>
      <w:r w:rsidR="00F456EE" w:rsidRPr="000D3090">
        <w:t xml:space="preserve">, and </w:t>
      </w:r>
      <w:r w:rsidR="004A0C3F" w:rsidRPr="000D3090">
        <w:rPr>
          <w:position w:val="-12"/>
        </w:rPr>
        <w:object w:dxaOrig="2540" w:dyaOrig="380" w14:anchorId="09A4B379">
          <v:shape id="_x0000_i1043" type="#_x0000_t75" style="width:126.85pt;height:18.85pt" o:ole="" o:preferrelative="f">
            <v:imagedata r:id="rId43" o:title=""/>
            <o:lock v:ext="edit" aspectratio="f"/>
          </v:shape>
          <o:OLEObject Type="Embed" ProgID="Equation.DSMT4" ShapeID="_x0000_i1043" DrawAspect="Content" ObjectID="_1818587423" r:id="rId44"/>
        </w:object>
      </w:r>
      <w:r w:rsidR="00D86FA3" w:rsidRPr="000D3090">
        <w:t xml:space="preserve">. </w:t>
      </w:r>
      <w:r w:rsidR="00F456EE" w:rsidRPr="000D3090">
        <w:t xml:space="preserve">Now </w:t>
      </w:r>
      <w:r w:rsidR="00894082" w:rsidRPr="000D3090">
        <w:t>stac</w:t>
      </w:r>
      <w:r w:rsidR="00F456EE" w:rsidRPr="000D3090">
        <w:t>k</w:t>
      </w:r>
      <w:r w:rsidR="00894082" w:rsidRPr="000D3090">
        <w:t xml:space="preserve"> </w:t>
      </w:r>
      <w:r w:rsidR="00E64FDB" w:rsidRPr="000D3090">
        <w:t xml:space="preserve">the thresholds to be estimated for each outcome into a vector </w:t>
      </w:r>
      <w:r w:rsidR="004A0C3F" w:rsidRPr="000D3090">
        <w:rPr>
          <w:position w:val="-12"/>
        </w:rPr>
        <w:object w:dxaOrig="2100" w:dyaOrig="380" w14:anchorId="70B1DFD4">
          <v:shape id="_x0000_i1044" type="#_x0000_t75" style="width:105pt;height:18.85pt" o:ole="" o:preferrelative="f">
            <v:imagedata r:id="rId45" o:title=""/>
            <o:lock v:ext="edit" aspectratio="f"/>
          </v:shape>
          <o:OLEObject Type="Embed" ProgID="Equation.DSMT4" ShapeID="_x0000_i1044" DrawAspect="Content" ObjectID="_1818587424" r:id="rId46"/>
        </w:object>
      </w:r>
      <w:r w:rsidR="00E64FDB" w:rsidRPr="000D3090">
        <w:t xml:space="preserve"> </w:t>
      </w:r>
      <w:r w:rsidR="009A334E" w:rsidRPr="000D3090">
        <w:t xml:space="preserve">Let </w:t>
      </w:r>
      <w:r w:rsidR="002C2069" w:rsidRPr="000D3090">
        <w:rPr>
          <w:position w:val="-12"/>
        </w:rPr>
        <w:object w:dxaOrig="1860" w:dyaOrig="380" w14:anchorId="59FAC109">
          <v:shape id="_x0000_i1045" type="#_x0000_t75" style="width:92.55pt;height:18.85pt" o:ole="" o:preferrelative="f">
            <v:imagedata r:id="rId47" o:title=""/>
            <o:lock v:ext="edit" aspectratio="f"/>
          </v:shape>
          <o:OLEObject Type="Embed" ProgID="Equation.DSMT4" ShapeID="_x0000_i1045" DrawAspect="Content" ObjectID="_1818587425" r:id="rId48"/>
        </w:object>
      </w:r>
      <w:r w:rsidR="00A50DBC" w:rsidRPr="000D3090">
        <w:t xml:space="preserve">, </w:t>
      </w:r>
      <w:r w:rsidR="004A0C3F" w:rsidRPr="000D3090">
        <w:rPr>
          <w:position w:val="-12"/>
        </w:rPr>
        <w:object w:dxaOrig="1780" w:dyaOrig="360" w14:anchorId="0B75F6AB">
          <v:shape id="_x0000_i1046" type="#_x0000_t75" style="width:89.15pt;height:18pt" o:ole="" o:preferrelative="f">
            <v:imagedata r:id="rId49" o:title=""/>
            <o:lock v:ext="edit" aspectratio="f"/>
          </v:shape>
          <o:OLEObject Type="Embed" ProgID="Equation.DSMT4" ShapeID="_x0000_i1046" DrawAspect="Content" ObjectID="_1818587426" r:id="rId50"/>
        </w:object>
      </w:r>
      <w:r w:rsidR="009A334E" w:rsidRPr="000D3090">
        <w:t xml:space="preserve"> </w:t>
      </w:r>
      <w:r w:rsidR="004A0C3F" w:rsidRPr="000D3090">
        <w:rPr>
          <w:position w:val="-12"/>
        </w:rPr>
        <w:object w:dxaOrig="1740" w:dyaOrig="360" w14:anchorId="5DCB3068">
          <v:shape id="_x0000_i1047" type="#_x0000_t75" style="width:87pt;height:18pt" o:ole="" o:preferrelative="f">
            <v:imagedata r:id="rId51" o:title=""/>
            <o:lock v:ext="edit" aspectratio="f"/>
          </v:shape>
          <o:OLEObject Type="Embed" ProgID="Equation.DSMT4" ShapeID="_x0000_i1047" DrawAspect="Content" ObjectID="_1818587427" r:id="rId52"/>
        </w:object>
      </w:r>
      <w:r w:rsidR="009A334E" w:rsidRPr="000D3090">
        <w:t xml:space="preserve">, </w:t>
      </w:r>
      <w:r w:rsidR="00E64FDB" w:rsidRPr="000D3090">
        <w:t xml:space="preserve">and </w:t>
      </w:r>
      <w:r w:rsidR="004A0C3F" w:rsidRPr="000D3090">
        <w:rPr>
          <w:position w:val="-12"/>
        </w:rPr>
        <w:object w:dxaOrig="2020" w:dyaOrig="360" w14:anchorId="6EC231F8">
          <v:shape id="_x0000_i1048" type="#_x0000_t75" style="width:101.15pt;height:18pt" o:ole="" o:preferrelative="f">
            <v:imagedata r:id="rId53" o:title=""/>
            <o:lock v:ext="edit" aspectratio="f"/>
          </v:shape>
          <o:OLEObject Type="Embed" ProgID="Equation.DSMT4" ShapeID="_x0000_i1048" DrawAspect="Content" ObjectID="_1818587428" r:id="rId54"/>
        </w:object>
      </w:r>
      <w:r w:rsidR="00E64FDB" w:rsidRPr="000D3090">
        <w:t xml:space="preserve">. </w:t>
      </w:r>
      <w:r w:rsidR="004A0C3F" w:rsidRPr="000D3090">
        <w:rPr>
          <w:position w:val="-6"/>
        </w:rPr>
        <w:object w:dxaOrig="180" w:dyaOrig="220" w14:anchorId="4C122187">
          <v:shape id="_x0000_i1049" type="#_x0000_t75" style="width:9.45pt;height:10.7pt" o:ole="" o:preferrelative="f">
            <v:imagedata r:id="rId55" o:title=""/>
            <o:lock v:ext="edit" aspectratio="f"/>
          </v:shape>
          <o:OLEObject Type="Embed" ProgID="Equation.DSMT4" ShapeID="_x0000_i1049" DrawAspect="Content" ObjectID="_1818587429" r:id="rId56"/>
        </w:object>
      </w:r>
      <w:r w:rsidR="00E64FDB" w:rsidRPr="000D3090">
        <w:t xml:space="preserve"> </w:t>
      </w:r>
      <w:r w:rsidR="00D86FA3" w:rsidRPr="000D3090">
        <w:t>is multivariate normal distributed with a mean vector of zeros and a correlation matrix given by</w:t>
      </w:r>
    </w:p>
    <w:p w14:paraId="6BBE1B7F" w14:textId="2C23DA70" w:rsidR="00A50DBC" w:rsidRPr="000D3090" w:rsidRDefault="002C2069" w:rsidP="003D135C">
      <w:pPr>
        <w:pStyle w:val="MTDisplayEquation"/>
        <w:spacing w:before="60" w:after="60"/>
      </w:pPr>
      <w:r w:rsidRPr="000D3090">
        <w:rPr>
          <w:position w:val="-86"/>
        </w:rPr>
        <w:object w:dxaOrig="3080" w:dyaOrig="1840" w14:anchorId="4C39F646">
          <v:shape id="_x0000_i1050" type="#_x0000_t75" style="width:153.45pt;height:92.55pt" o:ole="">
            <v:imagedata r:id="rId57" o:title=""/>
          </v:shape>
          <o:OLEObject Type="Embed" ProgID="Equation.DSMT4" ShapeID="_x0000_i1050" DrawAspect="Content" ObjectID="_1818587430" r:id="rId58"/>
        </w:object>
      </w:r>
      <w:r w:rsidR="0081498F" w:rsidRPr="000D3090">
        <w:tab/>
      </w:r>
      <w:r w:rsidR="00D86FA3" w:rsidRPr="000D3090">
        <w:tab/>
      </w:r>
      <w:r w:rsidR="00D86FA3" w:rsidRPr="000D3090">
        <w:fldChar w:fldCharType="begin"/>
      </w:r>
      <w:r w:rsidR="00D86FA3" w:rsidRPr="000D3090">
        <w:instrText xml:space="preserve"> MACROBUTTON MTPlaceRef \* MERGEFORMAT </w:instrText>
      </w:r>
      <w:r w:rsidR="00D86FA3" w:rsidRPr="000D3090">
        <w:fldChar w:fldCharType="begin"/>
      </w:r>
      <w:r w:rsidR="00D86FA3" w:rsidRPr="000D3090">
        <w:instrText xml:space="preserve"> SEQ MTEqn \h \* MERGEFORMAT </w:instrText>
      </w:r>
      <w:r w:rsidR="00D86FA3" w:rsidRPr="000D3090">
        <w:fldChar w:fldCharType="end"/>
      </w:r>
      <w:r w:rsidR="00D86FA3" w:rsidRPr="000D3090">
        <w:instrText>(</w:instrText>
      </w:r>
      <w:r w:rsidR="00FF26D4">
        <w:fldChar w:fldCharType="begin"/>
      </w:r>
      <w:r w:rsidR="00FF26D4">
        <w:instrText xml:space="preserve"> SEQ MTEqn \c \* Arabic \* MERGEFORMAT </w:instrText>
      </w:r>
      <w:r w:rsidR="00FF26D4">
        <w:fldChar w:fldCharType="separate"/>
      </w:r>
      <w:r w:rsidR="00D2784C" w:rsidRPr="000D3090">
        <w:instrText>2</w:instrText>
      </w:r>
      <w:r w:rsidR="00FF26D4">
        <w:fldChar w:fldCharType="end"/>
      </w:r>
      <w:r w:rsidR="00D86FA3" w:rsidRPr="000D3090">
        <w:instrText>)</w:instrText>
      </w:r>
      <w:r w:rsidR="00D86FA3" w:rsidRPr="000D3090">
        <w:fldChar w:fldCharType="end"/>
      </w:r>
    </w:p>
    <w:p w14:paraId="41D675E7" w14:textId="45F115CF" w:rsidR="00894082" w:rsidRPr="000D3090" w:rsidRDefault="004D78E6" w:rsidP="001F65A6">
      <w:pPr>
        <w:spacing w:after="0" w:line="240" w:lineRule="auto"/>
        <w:jc w:val="both"/>
      </w:pPr>
      <w:r w:rsidRPr="000D3090">
        <w:t xml:space="preserve">The off-diagonal terms of </w:t>
      </w:r>
      <w:r w:rsidR="004A0C3F" w:rsidRPr="004A0C3F">
        <w:rPr>
          <w:b/>
          <w:bCs/>
        </w:rPr>
        <w:t>Σ</w:t>
      </w:r>
      <w:r w:rsidR="00225E4D" w:rsidRPr="000D3090">
        <w:t xml:space="preserve"> capture </w:t>
      </w:r>
      <w:r w:rsidR="00E7524D" w:rsidRPr="000D3090">
        <w:t xml:space="preserve">error </w:t>
      </w:r>
      <w:r w:rsidR="00523732" w:rsidRPr="000D3090">
        <w:t>correlations</w:t>
      </w:r>
      <w:r w:rsidR="00E7524D" w:rsidRPr="000D3090">
        <w:t xml:space="preserve"> </w:t>
      </w:r>
      <w:r w:rsidR="00E64FDB" w:rsidRPr="000D3090">
        <w:t>among</w:t>
      </w:r>
      <w:r w:rsidR="00E7524D" w:rsidRPr="000D3090">
        <w:t xml:space="preserve"> the underlying latent </w:t>
      </w:r>
      <w:r w:rsidR="00E64FDB" w:rsidRPr="000D3090">
        <w:t>propensities of the endogenous outcomes</w:t>
      </w:r>
      <w:r w:rsidR="00E7524D" w:rsidRPr="000D3090">
        <w:t xml:space="preserve">, accommodating the presence of unobserved </w:t>
      </w:r>
      <w:r w:rsidR="002979FC" w:rsidRPr="000D3090">
        <w:t>variables</w:t>
      </w:r>
      <w:r w:rsidR="00E7524D" w:rsidRPr="000D3090">
        <w:t xml:space="preserve"> that </w:t>
      </w:r>
      <w:r w:rsidR="002979FC" w:rsidRPr="000D3090">
        <w:t xml:space="preserve">jointly influence </w:t>
      </w:r>
      <w:r w:rsidR="003D0134" w:rsidRPr="000D3090">
        <w:t xml:space="preserve">multiple outcomes. </w:t>
      </w:r>
      <w:r w:rsidR="0020340F" w:rsidRPr="000D3090">
        <w:t xml:space="preserve">If all the correlation terms </w:t>
      </w:r>
      <w:r w:rsidR="003D135C" w:rsidRPr="000D3090">
        <w:rPr>
          <w:position w:val="-14"/>
        </w:rPr>
        <w:object w:dxaOrig="300" w:dyaOrig="380" w14:anchorId="24902216">
          <v:shape id="_x0000_i1051" type="#_x0000_t75" alt="P93#yIS2" style="width:15pt;height:18.85pt" o:ole="" o:preferrelative="f">
            <v:imagedata r:id="rId59" o:title=""/>
            <o:lock v:ext="edit" aspectratio="f"/>
          </v:shape>
          <o:OLEObject Type="Embed" ProgID="Equation.DSMT4" ShapeID="_x0000_i1051" DrawAspect="Content" ObjectID="_1818587431" r:id="rId60"/>
        </w:object>
      </w:r>
      <w:r w:rsidR="006A2270" w:rsidRPr="000D3090">
        <w:t xml:space="preserve"> </w:t>
      </w:r>
      <w:r w:rsidR="00152FC2" w:rsidRPr="000D3090">
        <w:t xml:space="preserve">are zero, </w:t>
      </w:r>
      <w:r w:rsidR="006E68F6" w:rsidRPr="000D3090">
        <w:t>then</w:t>
      </w:r>
      <w:r w:rsidR="00152FC2" w:rsidRPr="000D3090">
        <w:t xml:space="preserve"> this modeling system collapses to a series of independent </w:t>
      </w:r>
      <w:r w:rsidR="00894082" w:rsidRPr="000D3090">
        <w:t>ordered response</w:t>
      </w:r>
      <w:r w:rsidR="00152FC2" w:rsidRPr="000D3090">
        <w:t xml:space="preserve"> models. </w:t>
      </w:r>
      <w:r w:rsidR="00A50DBC" w:rsidRPr="000D3090">
        <w:t xml:space="preserve">Now, define a vector </w:t>
      </w:r>
      <w:r w:rsidR="002C2069" w:rsidRPr="000D3090">
        <w:rPr>
          <w:position w:val="-6"/>
        </w:rPr>
        <w:object w:dxaOrig="200" w:dyaOrig="279" w14:anchorId="4CF75648">
          <v:shape id="_x0000_i1052" type="#_x0000_t75" style="width:9.45pt;height:12.85pt" o:ole="" o:preferrelative="f">
            <v:imagedata r:id="rId61" o:title=""/>
            <o:lock v:ext="edit" aspectratio="f"/>
          </v:shape>
          <o:OLEObject Type="Embed" ProgID="Equation.DSMT4" ShapeID="_x0000_i1052" DrawAspect="Content" ObjectID="_1818587432" r:id="rId62"/>
        </w:object>
      </w:r>
      <w:r w:rsidR="00A50DBC" w:rsidRPr="000D3090">
        <w:t xml:space="preserve"> that collects the parameters to be estimated: </w:t>
      </w:r>
      <w:r w:rsidR="003D135C" w:rsidRPr="000D3090">
        <w:rPr>
          <w:position w:val="-26"/>
        </w:rPr>
        <w:object w:dxaOrig="3560" w:dyaOrig="740" w14:anchorId="47B5E691">
          <v:shape id="_x0000_i1053" type="#_x0000_t75" style="width:177.85pt;height:36.45pt" o:ole="" o:preferrelative="f">
            <v:imagedata r:id="rId63" o:title=""/>
            <o:lock v:ext="edit" aspectratio="f"/>
          </v:shape>
          <o:OLEObject Type="Embed" ProgID="Equation.DSMT4" ShapeID="_x0000_i1053" DrawAspect="Content" ObjectID="_1818587433" r:id="rId64"/>
        </w:object>
      </w:r>
      <w:r w:rsidR="00A50DBC" w:rsidRPr="000D3090">
        <w:t xml:space="preserve"> where the operator “Vech(.)” row-vectorizes all the non-zero elements of the matrix/vector on which it operates, and the operator Vechup(.) row-vectorizes the upper diagonal elements of a matrix.</w:t>
      </w:r>
    </w:p>
    <w:p w14:paraId="78479A57" w14:textId="77BA8891" w:rsidR="001F65A6" w:rsidRPr="000D3090" w:rsidRDefault="009A334E" w:rsidP="002C2069">
      <w:pPr>
        <w:spacing w:after="0" w:line="276" w:lineRule="auto"/>
        <w:ind w:firstLine="720"/>
        <w:jc w:val="both"/>
      </w:pPr>
      <w:r w:rsidRPr="000D3090">
        <w:t xml:space="preserve">Let the individual under consideration select level </w:t>
      </w:r>
      <w:r w:rsidRPr="000D3090">
        <w:rPr>
          <w:i/>
          <w:iCs/>
        </w:rPr>
        <w:t>m</w:t>
      </w:r>
      <w:r w:rsidRPr="000D3090">
        <w:rPr>
          <w:i/>
          <w:iCs/>
          <w:vertAlign w:val="subscript"/>
        </w:rPr>
        <w:t>i</w:t>
      </w:r>
      <w:r w:rsidRPr="000D3090">
        <w:t xml:space="preserve"> </w:t>
      </w:r>
      <w:r w:rsidR="004A0C3F" w:rsidRPr="000D3090">
        <w:rPr>
          <w:position w:val="-10"/>
        </w:rPr>
        <w:object w:dxaOrig="1280" w:dyaOrig="320" w14:anchorId="0E36D41E">
          <v:shape id="_x0000_i1054" type="#_x0000_t75" alt="P87#yIS4" style="width:64.3pt;height:15.85pt" o:ole="" o:preferrelative="f">
            <v:imagedata r:id="rId10" o:title=""/>
            <o:lock v:ext="edit" aspectratio="f"/>
          </v:shape>
          <o:OLEObject Type="Embed" ProgID="Equation.DSMT4" ShapeID="_x0000_i1054" DrawAspect="Content" ObjectID="_1818587434" r:id="rId65"/>
        </w:object>
      </w:r>
      <w:r w:rsidRPr="000D3090">
        <w:t xml:space="preserve">. Stack the lower thresholds </w:t>
      </w:r>
      <w:r w:rsidR="002C2069" w:rsidRPr="000D3090">
        <w:rPr>
          <w:position w:val="-18"/>
        </w:rPr>
        <w:object w:dxaOrig="580" w:dyaOrig="420" w14:anchorId="76A8A95D">
          <v:shape id="_x0000_i1055" type="#_x0000_t75" style="width:29.15pt;height:20.55pt" o:ole="">
            <v:imagedata r:id="rId66" o:title=""/>
          </v:shape>
          <o:OLEObject Type="Embed" ProgID="Equation.DSMT4" ShapeID="_x0000_i1055" DrawAspect="Content" ObjectID="_1818587435" r:id="rId67"/>
        </w:object>
      </w:r>
      <w:r w:rsidRPr="000D3090">
        <w:t xml:space="preserve"> and the upper thresholds </w:t>
      </w:r>
      <w:r w:rsidR="002C2069" w:rsidRPr="000D3090">
        <w:rPr>
          <w:position w:val="-18"/>
        </w:rPr>
        <w:object w:dxaOrig="440" w:dyaOrig="420" w14:anchorId="07FCEC7C">
          <v:shape id="_x0000_i1056" type="#_x0000_t75" style="width:22.7pt;height:20.55pt" o:ole="" o:preferrelative="f">
            <v:imagedata r:id="rId68" o:title=""/>
            <o:lock v:ext="edit" aspectratio="f"/>
          </v:shape>
          <o:OLEObject Type="Embed" ProgID="Equation.DSMT4" ShapeID="_x0000_i1056" DrawAspect="Content" ObjectID="_1818587436" r:id="rId69"/>
        </w:object>
      </w:r>
      <w:r w:rsidRPr="000D3090">
        <w:t>for the individual into</w:t>
      </w:r>
      <w:r w:rsidR="002C2069" w:rsidRPr="000D3090">
        <w:t xml:space="preserve"> </w:t>
      </w:r>
      <w:r w:rsidR="002C2069" w:rsidRPr="000D3090">
        <w:rPr>
          <w:position w:val="-10"/>
        </w:rPr>
        <w:object w:dxaOrig="620" w:dyaOrig="320" w14:anchorId="08CA4B33">
          <v:shape id="_x0000_i1057" type="#_x0000_t75" alt="P89#yIS2" style="width:30.85pt;height:15.85pt" o:ole="" o:preferrelative="f">
            <v:imagedata r:id="rId70" o:title=""/>
            <o:lock v:ext="edit" aspectratio="f"/>
          </v:shape>
          <o:OLEObject Type="Embed" ProgID="Equation.DSMT4" ShapeID="_x0000_i1057" DrawAspect="Content" ObjectID="_1818587437" r:id="rId71"/>
        </w:object>
      </w:r>
      <w:r w:rsidRPr="000D3090">
        <w:t xml:space="preserve"> vectors </w:t>
      </w:r>
      <w:r w:rsidR="004A0C3F" w:rsidRPr="000D3090">
        <w:rPr>
          <w:position w:val="-12"/>
        </w:rPr>
        <w:object w:dxaOrig="400" w:dyaOrig="360" w14:anchorId="3F765091">
          <v:shape id="_x0000_i1058" type="#_x0000_t75" style="width:20.15pt;height:18pt" o:ole="" o:preferrelative="f">
            <v:imagedata r:id="rId72" o:title=""/>
            <o:lock v:ext="edit" aspectratio="f"/>
          </v:shape>
          <o:OLEObject Type="Embed" ProgID="Equation.DSMT4" ShapeID="_x0000_i1058" DrawAspect="Content" ObjectID="_1818587438" r:id="rId73"/>
        </w:object>
      </w:r>
      <w:r w:rsidRPr="000D3090">
        <w:rPr>
          <w:position w:val="-12"/>
        </w:rPr>
        <w:t xml:space="preserve"> </w:t>
      </w:r>
      <w:r w:rsidRPr="000D3090">
        <w:t xml:space="preserve">and </w:t>
      </w:r>
      <w:r w:rsidR="004A0C3F" w:rsidRPr="000D3090">
        <w:rPr>
          <w:position w:val="-14"/>
        </w:rPr>
        <w:object w:dxaOrig="540" w:dyaOrig="380" w14:anchorId="7604A8F7">
          <v:shape id="_x0000_i1059" type="#_x0000_t75" style="width:27.45pt;height:18.85pt" o:ole="" o:preferrelative="f">
            <v:imagedata r:id="rId74" o:title=""/>
            <o:lock v:ext="edit" aspectratio="f"/>
          </v:shape>
          <o:OLEObject Type="Embed" ProgID="Equation.DSMT4" ShapeID="_x0000_i1059" DrawAspect="Content" ObjectID="_1818587439" r:id="rId75"/>
        </w:object>
      </w:r>
      <w:r w:rsidR="00A50DBC" w:rsidRPr="000D3090">
        <w:t>respectively.</w:t>
      </w:r>
      <w:r w:rsidRPr="000D3090">
        <w:t xml:space="preserve"> Then, in matrix form, the latent propensities underlying the observed multivariate outcome for the individual should </w:t>
      </w:r>
      <w:r w:rsidR="0092299E" w:rsidRPr="000D3090">
        <w:t>satisfy:</w:t>
      </w:r>
    </w:p>
    <w:p w14:paraId="09A7F75E" w14:textId="23917248" w:rsidR="001F65A6" w:rsidRPr="000D3090" w:rsidRDefault="004A0C3F" w:rsidP="003D135C">
      <w:pPr>
        <w:spacing w:before="60" w:after="60" w:line="276" w:lineRule="auto"/>
        <w:jc w:val="both"/>
      </w:pPr>
      <w:r w:rsidRPr="000D3090">
        <w:rPr>
          <w:position w:val="-12"/>
        </w:rPr>
        <w:object w:dxaOrig="1160" w:dyaOrig="380" w14:anchorId="55B9E39E">
          <v:shape id="_x0000_i1060" type="#_x0000_t75" style="width:58.3pt;height:18.85pt" o:ole="" o:preferrelative="f">
            <v:imagedata r:id="rId76" o:title=""/>
            <o:lock v:ext="edit" aspectratio="f"/>
          </v:shape>
          <o:OLEObject Type="Embed" ProgID="Equation.DSMT4" ShapeID="_x0000_i1060" DrawAspect="Content" ObjectID="_1818587440" r:id="rId77"/>
        </w:object>
      </w:r>
      <w:r w:rsidR="009A334E" w:rsidRPr="000D3090">
        <w:t xml:space="preserve">, </w:t>
      </w:r>
      <w:r w:rsidRPr="000D3090">
        <w:rPr>
          <w:position w:val="-14"/>
        </w:rPr>
        <w:object w:dxaOrig="1500" w:dyaOrig="400" w14:anchorId="575E05BB">
          <v:shape id="_x0000_i1061" type="#_x0000_t75" style="width:74.55pt;height:20.15pt" o:ole="" o:preferrelative="f">
            <v:imagedata r:id="rId78" o:title=""/>
            <o:lock v:ext="edit" aspectratio="f"/>
          </v:shape>
          <o:OLEObject Type="Embed" ProgID="Equation.DSMT4" ShapeID="_x0000_i1061" DrawAspect="Content" ObjectID="_1818587441" r:id="rId79"/>
        </w:object>
      </w:r>
      <w:r w:rsidR="009A334E" w:rsidRPr="000D3090">
        <w:t xml:space="preserve">,  where </w:t>
      </w:r>
      <w:r w:rsidRPr="000D3090">
        <w:rPr>
          <w:position w:val="-12"/>
        </w:rPr>
        <w:object w:dxaOrig="1939" w:dyaOrig="380" w14:anchorId="4D0EAEE6">
          <v:shape id="_x0000_i1062" type="#_x0000_t75" style="width:97.3pt;height:18.85pt" o:ole="" o:preferrelative="f">
            <v:imagedata r:id="rId80" o:title=""/>
            <o:lock v:ext="edit" aspectratio="f"/>
          </v:shape>
          <o:OLEObject Type="Embed" ProgID="Equation.DSMT4" ShapeID="_x0000_i1062" DrawAspect="Content" ObjectID="_1818587442" r:id="rId81"/>
        </w:object>
      </w:r>
      <w:r w:rsidR="001F65A6" w:rsidRPr="000D3090">
        <w:tab/>
      </w:r>
      <w:r w:rsidR="001F65A6" w:rsidRPr="000D3090">
        <w:tab/>
      </w:r>
      <w:r w:rsidR="001F65A6" w:rsidRPr="000D3090">
        <w:tab/>
      </w:r>
      <w:r w:rsidR="001F65A6" w:rsidRPr="000D3090">
        <w:tab/>
      </w:r>
      <w:r w:rsidR="001F65A6" w:rsidRPr="000D3090">
        <w:tab/>
        <w:t xml:space="preserve">       (3)</w:t>
      </w:r>
    </w:p>
    <w:p w14:paraId="2F7915EE" w14:textId="5A1B8B15" w:rsidR="001F65A6" w:rsidRPr="000D3090" w:rsidRDefault="00A50DBC" w:rsidP="002C2069">
      <w:pPr>
        <w:spacing w:after="0" w:line="240" w:lineRule="auto"/>
        <w:jc w:val="both"/>
      </w:pPr>
      <w:r w:rsidRPr="000D3090">
        <w:t xml:space="preserve">where </w:t>
      </w:r>
      <w:r w:rsidR="002C2069" w:rsidRPr="000D3090">
        <w:rPr>
          <w:position w:val="-12"/>
        </w:rPr>
        <w:object w:dxaOrig="1400" w:dyaOrig="360" w14:anchorId="5AAD350E">
          <v:shape id="_x0000_i1063" type="#_x0000_t75" style="width:69.45pt;height:18.85pt" o:ole="" o:preferrelative="f">
            <v:imagedata r:id="rId82" o:title=""/>
            <o:lock v:ext="edit" aspectratio="f"/>
          </v:shape>
          <o:OLEObject Type="Embed" ProgID="Equation.DSMT4" ShapeID="_x0000_i1063" DrawAspect="Content" ObjectID="_1818587443" r:id="rId83"/>
        </w:object>
      </w:r>
      <w:r w:rsidRPr="000D3090">
        <w:t xml:space="preserve"> stands for the multivariate normal distribution with mean </w:t>
      </w:r>
      <w:r w:rsidR="003D135C" w:rsidRPr="000D3090">
        <w:rPr>
          <w:position w:val="-10"/>
        </w:rPr>
        <w:object w:dxaOrig="380" w:dyaOrig="320" w14:anchorId="4F1A8AE5">
          <v:shape id="_x0000_i1064" type="#_x0000_t75" style="width:18.85pt;height:15.85pt" o:ole="" o:preferrelative="f">
            <v:imagedata r:id="rId84" o:title=""/>
            <o:lock v:ext="edit" aspectratio="f"/>
          </v:shape>
          <o:OLEObject Type="Embed" ProgID="Equation.DSMT4" ShapeID="_x0000_i1064" DrawAspect="Content" ObjectID="_1818587444" r:id="rId85"/>
        </w:object>
      </w:r>
      <w:r w:rsidRPr="000D3090">
        <w:t xml:space="preserve"> and correlation matrix </w:t>
      </w:r>
      <w:r w:rsidR="004A0C3F" w:rsidRPr="004A0C3F">
        <w:rPr>
          <w:b/>
          <w:bCs/>
        </w:rPr>
        <w:t>Σ</w:t>
      </w:r>
      <w:r w:rsidRPr="000D3090">
        <w:t xml:space="preserve">. </w:t>
      </w:r>
      <w:r w:rsidR="009A334E" w:rsidRPr="000D3090">
        <w:t xml:space="preserve"> </w:t>
      </w:r>
      <w:r w:rsidRPr="000D3090">
        <w:t>The individual’s likelihood function may be written as:</w:t>
      </w:r>
    </w:p>
    <w:p w14:paraId="4D734095" w14:textId="0E85DC28" w:rsidR="00A50DBC" w:rsidRPr="000D3090" w:rsidRDefault="004A0C3F" w:rsidP="003D135C">
      <w:pPr>
        <w:tabs>
          <w:tab w:val="right" w:pos="9360"/>
        </w:tabs>
        <w:spacing w:before="60" w:after="0" w:line="276" w:lineRule="auto"/>
        <w:jc w:val="both"/>
      </w:pPr>
      <w:r w:rsidRPr="000D3090">
        <w:rPr>
          <w:position w:val="-16"/>
        </w:rPr>
        <w:object w:dxaOrig="2799" w:dyaOrig="440" w14:anchorId="73AE9577">
          <v:shape id="_x0000_i1065" type="#_x0000_t75" style="width:139.7pt;height:22.3pt" o:ole="" o:preferrelative="f">
            <v:imagedata r:id="rId86" o:title=""/>
            <o:lock v:ext="edit" aspectratio="f"/>
          </v:shape>
          <o:OLEObject Type="Embed" ProgID="Equation.DSMT4" ShapeID="_x0000_i1065" DrawAspect="Content" ObjectID="_1818587445" r:id="rId87"/>
        </w:object>
      </w:r>
      <w:r w:rsidR="00A50DBC" w:rsidRPr="000D3090">
        <w:t xml:space="preserve">                                 </w:t>
      </w:r>
      <w:r w:rsidR="00A50DBC" w:rsidRPr="000D3090">
        <w:rPr>
          <w:lang w:eastAsia="zh-CN"/>
        </w:rPr>
        <w:t xml:space="preserve">                                 </w:t>
      </w:r>
      <w:r w:rsidR="00A50DBC" w:rsidRPr="000D3090">
        <w:rPr>
          <w:b/>
        </w:rPr>
        <w:tab/>
        <w:t xml:space="preserve">   </w:t>
      </w:r>
    </w:p>
    <w:p w14:paraId="6BAC598A" w14:textId="2D4096AF" w:rsidR="001F65A6" w:rsidRPr="000D3090" w:rsidRDefault="004A0C3F" w:rsidP="002C2069">
      <w:pPr>
        <w:spacing w:after="0" w:line="276" w:lineRule="auto"/>
        <w:jc w:val="both"/>
      </w:pPr>
      <w:r w:rsidRPr="000D3090">
        <w:rPr>
          <w:position w:val="-34"/>
        </w:rPr>
        <w:object w:dxaOrig="2480" w:dyaOrig="620" w14:anchorId="0BA8F623">
          <v:shape id="_x0000_i1066" type="#_x0000_t75" style="width:123.85pt;height:30.85pt" o:ole="" o:preferrelative="f">
            <v:imagedata r:id="rId88" o:title=""/>
            <o:lock v:ext="edit" aspectratio="f"/>
          </v:shape>
          <o:OLEObject Type="Embed" ProgID="Equation.DSMT4" ShapeID="_x0000_i1066" DrawAspect="Content" ObjectID="_1818587446" r:id="rId89"/>
        </w:object>
      </w:r>
      <w:r w:rsidR="00A50DBC" w:rsidRPr="000D3090">
        <w:tab/>
      </w:r>
      <w:r w:rsidR="00A50DBC" w:rsidRPr="000D3090">
        <w:tab/>
      </w:r>
      <w:r w:rsidR="00A50DBC" w:rsidRPr="000D3090">
        <w:tab/>
      </w:r>
      <w:r w:rsidR="00A50DBC" w:rsidRPr="000D3090">
        <w:tab/>
      </w:r>
      <w:r w:rsidR="00A50DBC" w:rsidRPr="000D3090">
        <w:tab/>
      </w:r>
      <w:r w:rsidR="00A50DBC" w:rsidRPr="000D3090">
        <w:tab/>
      </w:r>
      <w:r w:rsidR="00A50DBC" w:rsidRPr="000D3090">
        <w:tab/>
      </w:r>
      <w:r w:rsidR="00A50DBC" w:rsidRPr="000D3090">
        <w:tab/>
      </w:r>
      <w:r w:rsidR="00A50DBC" w:rsidRPr="000D3090">
        <w:tab/>
        <w:t xml:space="preserve">       (</w:t>
      </w:r>
      <w:r w:rsidR="001F65A6" w:rsidRPr="000D3090">
        <w:t>4</w:t>
      </w:r>
      <w:r w:rsidR="00A50DBC" w:rsidRPr="000D3090">
        <w:t>)</w:t>
      </w:r>
    </w:p>
    <w:p w14:paraId="2A7531FC" w14:textId="635ADDF2" w:rsidR="001245FB" w:rsidRPr="000D3090" w:rsidRDefault="00A50DBC" w:rsidP="001F65A6">
      <w:pPr>
        <w:spacing w:after="0" w:line="240" w:lineRule="auto"/>
        <w:jc w:val="both"/>
      </w:pPr>
      <w:r w:rsidRPr="000D3090">
        <w:t xml:space="preserve">where the integration domain </w:t>
      </w:r>
      <w:r w:rsidR="003D135C" w:rsidRPr="000D3090">
        <w:rPr>
          <w:position w:val="-14"/>
        </w:rPr>
        <w:object w:dxaOrig="2340" w:dyaOrig="380" w14:anchorId="6BF75296">
          <v:shape id="_x0000_i1067" type="#_x0000_t75" style="width:117.45pt;height:18.85pt" o:ole="" o:preferrelative="f">
            <v:imagedata r:id="rId90" o:title=""/>
            <o:lock v:ext="edit" aspectratio="f"/>
          </v:shape>
          <o:OLEObject Type="Embed" ProgID="Equation.DSMT4" ShapeID="_x0000_i1067" DrawAspect="Content" ObjectID="_1818587447" r:id="rId91"/>
        </w:object>
      </w:r>
      <w:r w:rsidRPr="000D3090">
        <w:t xml:space="preserve"> is simply the multivariate region of the </w:t>
      </w:r>
      <w:r w:rsidR="004A0C3F" w:rsidRPr="000D3090">
        <w:rPr>
          <w:position w:val="-12"/>
        </w:rPr>
        <w:object w:dxaOrig="279" w:dyaOrig="380" w14:anchorId="0A283556">
          <v:shape id="_x0000_i1068" type="#_x0000_t75" style="width:13.7pt;height:18.85pt" o:ole="" o:preferrelative="f">
            <v:imagedata r:id="rId92" o:title=""/>
            <o:lock v:ext="edit" aspectratio="f"/>
          </v:shape>
          <o:OLEObject Type="Embed" ProgID="Equation.DSMT4" ShapeID="_x0000_i1068" DrawAspect="Content" ObjectID="_1818587448" r:id="rId93"/>
        </w:object>
      </w:r>
      <w:r w:rsidRPr="000D3090">
        <w:t xml:space="preserve"> vector truncated by the upper and lower thresholds. </w:t>
      </w:r>
      <w:r w:rsidR="002C2069" w:rsidRPr="000D3090">
        <w:rPr>
          <w:position w:val="-12"/>
        </w:rPr>
        <w:object w:dxaOrig="1240" w:dyaOrig="360" w14:anchorId="4392ECFF">
          <v:shape id="_x0000_i1069" type="#_x0000_t75" style="width:61.7pt;height:18.85pt" o:ole="" o:preferrelative="f">
            <v:imagedata r:id="rId94" o:title=""/>
            <o:lock v:ext="edit" aspectratio="f"/>
          </v:shape>
          <o:OLEObject Type="Embed" ProgID="Equation.DSMT4" ShapeID="_x0000_i1069" DrawAspect="Content" ObjectID="_1818587449" r:id="rId95"/>
        </w:object>
      </w:r>
      <w:r w:rsidRPr="000D3090">
        <w:t xml:space="preserve"> is the MVN density function of dimension </w:t>
      </w:r>
      <w:r w:rsidRPr="000D3090">
        <w:rPr>
          <w:i/>
          <w:iCs/>
        </w:rPr>
        <w:t>I</w:t>
      </w:r>
      <w:r w:rsidRPr="000D3090">
        <w:t xml:space="preserve"> with a mean of </w:t>
      </w:r>
      <w:r w:rsidR="002C2069" w:rsidRPr="000D3090">
        <w:rPr>
          <w:position w:val="-10"/>
        </w:rPr>
        <w:object w:dxaOrig="360" w:dyaOrig="320" w14:anchorId="769ADAC9">
          <v:shape id="_x0000_i1070" type="#_x0000_t75" style="width:18.85pt;height:15.85pt" o:ole="" o:preferrelative="f">
            <v:imagedata r:id="rId96" o:title=""/>
            <o:lock v:ext="edit" aspectratio="f"/>
          </v:shape>
          <o:OLEObject Type="Embed" ProgID="Equation.DSMT4" ShapeID="_x0000_i1070" DrawAspect="Content" ObjectID="_1818587450" r:id="rId97"/>
        </w:object>
      </w:r>
      <w:r w:rsidRPr="000D3090">
        <w:t xml:space="preserve"> and a correlation matrix </w:t>
      </w:r>
      <w:r w:rsidR="004A0C3F" w:rsidRPr="004A0C3F">
        <w:rPr>
          <w:b/>
          <w:bCs/>
        </w:rPr>
        <w:t>Σ</w:t>
      </w:r>
      <w:r w:rsidRPr="000D3090">
        <w:t xml:space="preserve">. The log-likelihood function for a sample of </w:t>
      </w:r>
      <w:r w:rsidRPr="000D3090">
        <w:rPr>
          <w:i/>
          <w:iCs/>
        </w:rPr>
        <w:t>Q</w:t>
      </w:r>
      <w:r w:rsidRPr="000D3090">
        <w:t xml:space="preserve"> decision-makers is the sum of the individual-level log-likelihood functions. </w:t>
      </w:r>
      <w:r w:rsidR="002C4C66" w:rsidRPr="000D3090">
        <w:t>The integral in Equation (</w:t>
      </w:r>
      <w:r w:rsidR="001F65A6" w:rsidRPr="000D3090">
        <w:t>4</w:t>
      </w:r>
      <w:r w:rsidR="002C4C66" w:rsidRPr="000D3090">
        <w:t xml:space="preserve">) </w:t>
      </w:r>
      <w:r w:rsidR="00401C00" w:rsidRPr="000D3090">
        <w:t xml:space="preserve">involves up to a 11-dimensional integral, which </w:t>
      </w:r>
      <w:r w:rsidR="002C4C66" w:rsidRPr="000D3090">
        <w:t xml:space="preserve">is evaluated using recent matrix-based analytic approximation approaches </w:t>
      </w:r>
      <w:r w:rsidR="00D51EBB" w:rsidRPr="000D3090">
        <w:fldChar w:fldCharType="begin"/>
      </w:r>
      <w:r w:rsidR="00BE586B" w:rsidRPr="000D3090">
        <w:instrText xml:space="preserve"> ADDIN ZOTERO_ITEM CSL_CITATION {"citationID":"GLCDYNrs","properties":{"formattedCitation":"(Bhat, 2018)","plainCitation":"(Bhat, 2018)","dontUpdate":true,"noteIndex":0},"citationItems":[{"id":2026,"uris":["http://zotero.org/users/12832277/items/SHBDR4NL"],"itemData":{"id":2026,"type":"article-journal","abstract":"In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evaluation.","container-title":"Transportation Research Part B: Methodological","DOI":"10.1016/j.trb.2018.01.011","ISSN":"0191-2615","page":"238-256","source":"ScienceDirect","title":"New Matrix-Based Methods for the Analytic Evaluation of the Multivariate Cumulative Normal Distribution Function","volume":"109","author":[{"family":"Bhat","given":"Chandra R."}],"issued":{"date-parts":[["2018",3,1]]}}}],"schema":"https://github.com/citation-style-language/schema/raw/master/csl-citation.json"} </w:instrText>
      </w:r>
      <w:r w:rsidR="00D51EBB" w:rsidRPr="000D3090">
        <w:fldChar w:fldCharType="separate"/>
      </w:r>
      <w:r w:rsidR="00D51EBB" w:rsidRPr="000D3090">
        <w:t>(</w:t>
      </w:r>
      <w:r w:rsidR="00BD2552" w:rsidRPr="000D3090">
        <w:t xml:space="preserve">see </w:t>
      </w:r>
      <w:r w:rsidR="00D51EBB" w:rsidRPr="000D3090">
        <w:t>Bhat, 2018)</w:t>
      </w:r>
      <w:r w:rsidR="00D51EBB" w:rsidRPr="000D3090">
        <w:fldChar w:fldCharType="end"/>
      </w:r>
      <w:r w:rsidR="00D51EBB" w:rsidRPr="000D3090">
        <w:t xml:space="preserve">. </w:t>
      </w:r>
    </w:p>
    <w:p w14:paraId="24DA78AA" w14:textId="62AD5A80" w:rsidR="00F714E8" w:rsidRPr="000D3090" w:rsidRDefault="000812C0" w:rsidP="001F65A6">
      <w:pPr>
        <w:spacing w:after="0" w:line="240" w:lineRule="auto"/>
        <w:ind w:firstLine="720"/>
        <w:jc w:val="both"/>
      </w:pPr>
      <w:r w:rsidRPr="000D3090">
        <w:t>As part of our joint system, and after controlling for unobserved correlation in the</w:t>
      </w:r>
      <w:r w:rsidR="004A0C3F">
        <w:t xml:space="preserve"> </w:t>
      </w:r>
      <w:r w:rsidR="004A0C3F" w:rsidRPr="004A0C3F">
        <w:rPr>
          <w:b/>
          <w:bCs/>
        </w:rPr>
        <w:t>Σ</w:t>
      </w:r>
      <w:r w:rsidRPr="000D3090">
        <w:t xml:space="preserve"> matrix, we can also incorporate the </w:t>
      </w:r>
      <w:r w:rsidR="001D51DA" w:rsidRPr="000D3090">
        <w:t xml:space="preserve">direct </w:t>
      </w:r>
      <w:r w:rsidRPr="000D3090">
        <w:t>effect</w:t>
      </w:r>
      <w:r w:rsidR="001D51DA" w:rsidRPr="000D3090">
        <w:t>s</w:t>
      </w:r>
      <w:r w:rsidRPr="000D3090">
        <w:t xml:space="preserve"> </w:t>
      </w:r>
      <w:r w:rsidR="0019104F" w:rsidRPr="000D3090">
        <w:t xml:space="preserve">of </w:t>
      </w:r>
      <w:r w:rsidR="001D51DA" w:rsidRPr="000D3090">
        <w:t>PPD</w:t>
      </w:r>
      <w:r w:rsidR="00D24539" w:rsidRPr="000D3090">
        <w:t>/PPD reasons</w:t>
      </w:r>
      <w:r w:rsidR="001D51DA" w:rsidRPr="000D3090">
        <w:t xml:space="preserve"> </w:t>
      </w:r>
      <w:r w:rsidR="0019104F" w:rsidRPr="000D3090">
        <w:t xml:space="preserve">on </w:t>
      </w:r>
      <w:r w:rsidR="001D51DA" w:rsidRPr="000D3090">
        <w:t xml:space="preserve">virtual participation </w:t>
      </w:r>
      <w:r w:rsidR="0019104F" w:rsidRPr="000D3090">
        <w:t>and virtual participation on PPD</w:t>
      </w:r>
      <w:r w:rsidR="00D24539" w:rsidRPr="000D3090">
        <w:t>/PPD reasons</w:t>
      </w:r>
      <w:r w:rsidR="001D51DA" w:rsidRPr="000D3090">
        <w:t xml:space="preserve">. </w:t>
      </w:r>
      <w:r w:rsidRPr="000D3090">
        <w:t xml:space="preserve">However, in joint limited dependent outcome models of the type estimated in the current paper, it is possible only to identify one-way recursive effects </w:t>
      </w:r>
      <w:r w:rsidR="00867E2C" w:rsidRPr="000D3090">
        <w:fldChar w:fldCharType="begin"/>
      </w:r>
      <w:r w:rsidR="00374A3B" w:rsidRPr="000D3090">
        <w:instrText xml:space="preserve"> ADDIN ZOTERO_ITEM CSL_CITATION {"citationID":"laaGYBRO","properties":{"formattedCitation":"(Bhat, 2015)","plainCitation":"(Bhat, 2015)","dontUpdate":true,"noteIndex":0},"citationItems":[{"id":675,"uris":["http://zotero.org/users/12832277/items/E2IK5TA3"],"itemData":{"id":675,"type":"article-journal","abstract":"This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R."}],"issued":{"date-parts":[["2015",9,1]]}}}],"schema":"https://github.com/citation-style-language/schema/raw/master/csl-citation.json"} </w:instrText>
      </w:r>
      <w:r w:rsidR="00867E2C" w:rsidRPr="000D3090">
        <w:fldChar w:fldCharType="separate"/>
      </w:r>
      <w:r w:rsidR="00867E2C" w:rsidRPr="000D3090">
        <w:t>(see Bhat, 2015)</w:t>
      </w:r>
      <w:r w:rsidR="00867E2C" w:rsidRPr="000D3090">
        <w:fldChar w:fldCharType="end"/>
      </w:r>
      <w:r w:rsidRPr="000D3090">
        <w:t xml:space="preserve">. In our empirical analysis, we tested </w:t>
      </w:r>
      <w:r w:rsidR="001D51DA" w:rsidRPr="000D3090">
        <w:t>both directionalities of effects; from PPD</w:t>
      </w:r>
      <w:r w:rsidR="00D24539" w:rsidRPr="000D3090">
        <w:t>/PPD reasons</w:t>
      </w:r>
      <w:r w:rsidR="001D51DA" w:rsidRPr="000D3090">
        <w:t xml:space="preserve"> to virtual participation and from virtual participation to PPD</w:t>
      </w:r>
      <w:r w:rsidR="00D24539" w:rsidRPr="000D3090">
        <w:t>/PPD reasons</w:t>
      </w:r>
      <w:r w:rsidR="001D51DA" w:rsidRPr="000D3090">
        <w:t xml:space="preserve">; </w:t>
      </w:r>
      <w:r w:rsidRPr="000D3090">
        <w:t>and selected the one that outperforms the other based on data fit considerations. In our final recursive configuration, both types of virtual participation (telework and deliveries) influenc</w:t>
      </w:r>
      <w:r w:rsidR="001D51DA" w:rsidRPr="000D3090">
        <w:t>ed</w:t>
      </w:r>
      <w:r w:rsidRPr="000D3090">
        <w:t xml:space="preserve"> PPD</w:t>
      </w:r>
      <w:r w:rsidR="001D51DA" w:rsidRPr="000D3090">
        <w:t xml:space="preserve"> </w:t>
      </w:r>
      <w:r w:rsidR="00D24539" w:rsidRPr="000D3090">
        <w:t xml:space="preserve">and PPD reasons </w:t>
      </w:r>
      <w:r w:rsidR="001D51DA" w:rsidRPr="000D3090">
        <w:t>(however, note that the PPD</w:t>
      </w:r>
      <w:r w:rsidR="00D24539" w:rsidRPr="000D3090">
        <w:t>/PPD reasons</w:t>
      </w:r>
      <w:r w:rsidR="001D51DA" w:rsidRPr="000D3090">
        <w:t xml:space="preserve"> and virtual participation outcomes are jointly modeled as a package because of the correlation in unobserved factors)</w:t>
      </w:r>
      <w:r w:rsidRPr="000D3090">
        <w:t xml:space="preserve">. </w:t>
      </w:r>
    </w:p>
    <w:p w14:paraId="409EF544" w14:textId="77777777" w:rsidR="001F65A6" w:rsidRPr="000D3090" w:rsidRDefault="001F65A6" w:rsidP="001F65A6">
      <w:pPr>
        <w:spacing w:after="0" w:line="240" w:lineRule="auto"/>
        <w:ind w:firstLine="720"/>
        <w:jc w:val="both"/>
        <w:rPr>
          <w:rFonts w:eastAsiaTheme="minorEastAsia"/>
          <w:lang w:eastAsia="ko-KR"/>
        </w:rPr>
      </w:pPr>
    </w:p>
    <w:p w14:paraId="0EEA98F8" w14:textId="77777777" w:rsidR="00DC7402" w:rsidRPr="000D3090" w:rsidRDefault="00DC7402" w:rsidP="001F65A6">
      <w:pPr>
        <w:spacing w:after="0" w:line="240" w:lineRule="auto"/>
        <w:jc w:val="both"/>
      </w:pPr>
      <w:r w:rsidRPr="000D3090">
        <w:rPr>
          <w:b/>
          <w:bCs/>
        </w:rPr>
        <w:t>4. RESULTS</w:t>
      </w:r>
    </w:p>
    <w:p w14:paraId="12B0A2B9" w14:textId="0B142D11" w:rsidR="00650CB5" w:rsidRPr="000D3090" w:rsidRDefault="00F91A7A" w:rsidP="003B4138">
      <w:pPr>
        <w:spacing w:after="0" w:line="240" w:lineRule="auto"/>
        <w:jc w:val="both"/>
        <w:rPr>
          <w:bCs/>
        </w:rPr>
      </w:pPr>
      <w:r w:rsidRPr="000D3090">
        <w:rPr>
          <w:bCs/>
        </w:rPr>
        <w:t>The final model specification was developed through an iterative process of including exogenous variables in various</w:t>
      </w:r>
      <w:r w:rsidR="0019104F" w:rsidRPr="000D3090">
        <w:rPr>
          <w:bCs/>
        </w:rPr>
        <w:t xml:space="preserve"> functional</w:t>
      </w:r>
      <w:r w:rsidRPr="000D3090">
        <w:rPr>
          <w:bCs/>
        </w:rPr>
        <w:t xml:space="preserve"> forms</w:t>
      </w:r>
      <w:r w:rsidR="0019104F" w:rsidRPr="000D3090">
        <w:rPr>
          <w:bCs/>
        </w:rPr>
        <w:t>/</w:t>
      </w:r>
      <w:r w:rsidR="00E65FFF" w:rsidRPr="000D3090">
        <w:rPr>
          <w:bCs/>
        </w:rPr>
        <w:t xml:space="preserve">combinations </w:t>
      </w:r>
      <w:r w:rsidRPr="000D3090">
        <w:rPr>
          <w:bCs/>
        </w:rPr>
        <w:t>and testing the statistical fit. Categorical variables were initially included in their most disaggregate form and progressively combined based on statistical tests to yield a parsimonious specification. Additionally, in the model estimation process</w:t>
      </w:r>
      <w:r w:rsidR="003F77D0" w:rsidRPr="000D3090">
        <w:rPr>
          <w:bCs/>
        </w:rPr>
        <w:t>,</w:t>
      </w:r>
      <w:r w:rsidRPr="000D3090">
        <w:rPr>
          <w:bCs/>
        </w:rPr>
        <w:t xml:space="preserve"> </w:t>
      </w:r>
      <w:r w:rsidR="00A3757E" w:rsidRPr="000D3090">
        <w:rPr>
          <w:bCs/>
        </w:rPr>
        <w:t xml:space="preserve">variables were retained or removed based on </w:t>
      </w:r>
      <w:bookmarkStart w:id="11" w:name="_Hlk196207551"/>
      <w:r w:rsidR="00A3757E" w:rsidRPr="000D3090">
        <w:rPr>
          <w:bCs/>
        </w:rPr>
        <w:t>a t-statistic threshold of 1.</w:t>
      </w:r>
      <w:r w:rsidR="00A571FF" w:rsidRPr="000D3090">
        <w:rPr>
          <w:bCs/>
        </w:rPr>
        <w:t>65</w:t>
      </w:r>
      <w:r w:rsidR="00C10F70" w:rsidRPr="000D3090">
        <w:rPr>
          <w:bCs/>
        </w:rPr>
        <w:t xml:space="preserve"> (</w:t>
      </w:r>
      <w:r w:rsidR="00A3757E" w:rsidRPr="000D3090">
        <w:rPr>
          <w:bCs/>
        </w:rPr>
        <w:t>corresponding to a 90% confidence level</w:t>
      </w:r>
      <w:r w:rsidR="00C10F70" w:rsidRPr="000D3090">
        <w:rPr>
          <w:bCs/>
        </w:rPr>
        <w:t>)</w:t>
      </w:r>
      <w:bookmarkEnd w:id="11"/>
      <w:r w:rsidR="00A571FF" w:rsidRPr="000D3090">
        <w:rPr>
          <w:bCs/>
        </w:rPr>
        <w:t xml:space="preserve"> for the </w:t>
      </w:r>
      <w:r w:rsidR="001D51DA" w:rsidRPr="000D3090">
        <w:rPr>
          <w:bCs/>
        </w:rPr>
        <w:t>PPD outcome</w:t>
      </w:r>
      <w:r w:rsidR="000E3DB5" w:rsidRPr="000D3090">
        <w:rPr>
          <w:bCs/>
        </w:rPr>
        <w:t xml:space="preserve"> and the </w:t>
      </w:r>
      <w:r w:rsidR="001D51DA" w:rsidRPr="000D3090">
        <w:rPr>
          <w:bCs/>
        </w:rPr>
        <w:t>two virtual participation outcomes</w:t>
      </w:r>
      <w:r w:rsidR="00A3757E" w:rsidRPr="000D3090">
        <w:rPr>
          <w:bCs/>
        </w:rPr>
        <w:t>.</w:t>
      </w:r>
      <w:r w:rsidR="000E3DB5" w:rsidRPr="000D3090">
        <w:rPr>
          <w:bCs/>
        </w:rPr>
        <w:t xml:space="preserve"> </w:t>
      </w:r>
      <w:bookmarkStart w:id="12" w:name="_Hlk197157182"/>
      <w:r w:rsidR="000E3DB5" w:rsidRPr="000D3090">
        <w:rPr>
          <w:bCs/>
        </w:rPr>
        <w:t xml:space="preserve">Due to the smaller number of participants with responses for the </w:t>
      </w:r>
      <w:r w:rsidR="001D51DA" w:rsidRPr="000D3090">
        <w:rPr>
          <w:bCs/>
        </w:rPr>
        <w:t xml:space="preserve">PPD </w:t>
      </w:r>
      <w:r w:rsidR="000E3DB5" w:rsidRPr="000D3090">
        <w:rPr>
          <w:bCs/>
        </w:rPr>
        <w:t xml:space="preserve">reasons, </w:t>
      </w:r>
      <w:r w:rsidR="003B4138" w:rsidRPr="000D3090">
        <w:rPr>
          <w:bCs/>
        </w:rPr>
        <w:t>and</w:t>
      </w:r>
      <w:r w:rsidR="00C714CB" w:rsidRPr="000D3090">
        <w:rPr>
          <w:bCs/>
        </w:rPr>
        <w:t>, in particular,</w:t>
      </w:r>
      <w:r w:rsidR="003B4138" w:rsidRPr="000D3090">
        <w:t xml:space="preserve"> the relatively small share of individuals picking some of the PPD reason categories (such as transportation did not feel “safe” or ”reliable” or “clean” (see Section 3.1.1), </w:t>
      </w:r>
      <w:r w:rsidR="000E3DB5" w:rsidRPr="000D3090">
        <w:rPr>
          <w:bCs/>
        </w:rPr>
        <w:t>a lower t-statistic threshold of 1.28</w:t>
      </w:r>
      <w:r w:rsidR="00C10F70" w:rsidRPr="000D3090">
        <w:rPr>
          <w:bCs/>
        </w:rPr>
        <w:t xml:space="preserve"> (</w:t>
      </w:r>
      <w:r w:rsidR="000E3DB5" w:rsidRPr="000D3090">
        <w:rPr>
          <w:bCs/>
        </w:rPr>
        <w:t>corresponding to an 80% confidence level</w:t>
      </w:r>
      <w:r w:rsidR="00C10F70" w:rsidRPr="000D3090">
        <w:rPr>
          <w:bCs/>
        </w:rPr>
        <w:t>)</w:t>
      </w:r>
      <w:r w:rsidR="000E3DB5" w:rsidRPr="000D3090">
        <w:rPr>
          <w:bCs/>
        </w:rPr>
        <w:t xml:space="preserve"> was used</w:t>
      </w:r>
      <w:r w:rsidR="003B4138" w:rsidRPr="000D3090">
        <w:rPr>
          <w:bCs/>
        </w:rPr>
        <w:t xml:space="preserve"> for the PPD reason outcome</w:t>
      </w:r>
      <w:r w:rsidR="0092299E" w:rsidRPr="000D3090">
        <w:rPr>
          <w:bCs/>
        </w:rPr>
        <w:t>s</w:t>
      </w:r>
      <w:r w:rsidR="00003531" w:rsidRPr="000D3090">
        <w:rPr>
          <w:bCs/>
        </w:rPr>
        <w:t>.</w:t>
      </w:r>
      <w:r w:rsidR="003F77D0" w:rsidRPr="000D3090">
        <w:rPr>
          <w:rStyle w:val="FootnoteReference"/>
        </w:rPr>
        <w:footnoteReference w:id="5"/>
      </w:r>
      <w:r w:rsidR="00A3757E" w:rsidRPr="000D3090">
        <w:rPr>
          <w:bCs/>
        </w:rPr>
        <w:t xml:space="preserve"> </w:t>
      </w:r>
    </w:p>
    <w:bookmarkEnd w:id="12"/>
    <w:p w14:paraId="242837F2" w14:textId="4596CC27" w:rsidR="008B70FE" w:rsidRPr="000D3090" w:rsidRDefault="00FF6F4D">
      <w:pPr>
        <w:spacing w:after="0" w:line="240" w:lineRule="auto"/>
        <w:ind w:firstLine="720"/>
        <w:jc w:val="both"/>
        <w:rPr>
          <w:rFonts w:eastAsiaTheme="minorEastAsia"/>
          <w:lang w:eastAsia="ko-KR"/>
        </w:rPr>
      </w:pPr>
      <w:r w:rsidRPr="000D3090">
        <w:rPr>
          <w:bCs/>
        </w:rPr>
        <w:lastRenderedPageBreak/>
        <w:t>The model results</w:t>
      </w:r>
      <w:r w:rsidR="008E465E" w:rsidRPr="000D3090">
        <w:rPr>
          <w:bCs/>
        </w:rPr>
        <w:t xml:space="preserve"> </w:t>
      </w:r>
      <w:r w:rsidR="00B51186" w:rsidRPr="000D3090">
        <w:rPr>
          <w:bCs/>
        </w:rPr>
        <w:t xml:space="preserve">are shown in </w:t>
      </w:r>
      <w:r w:rsidR="005A170B" w:rsidRPr="000D3090">
        <w:rPr>
          <w:bCs/>
        </w:rPr>
        <w:t xml:space="preserve">Table </w:t>
      </w:r>
      <w:r w:rsidR="00B51186" w:rsidRPr="000D3090">
        <w:rPr>
          <w:bCs/>
        </w:rPr>
        <w:t>3</w:t>
      </w:r>
      <w:r w:rsidR="005A170B" w:rsidRPr="000D3090">
        <w:rPr>
          <w:bCs/>
        </w:rPr>
        <w:t xml:space="preserve"> </w:t>
      </w:r>
      <w:r w:rsidRPr="000D3090">
        <w:rPr>
          <w:bCs/>
        </w:rPr>
        <w:t xml:space="preserve">(a </w:t>
      </w:r>
      <w:r w:rsidR="00D24539" w:rsidRPr="000D3090">
        <w:rPr>
          <w:bCs/>
        </w:rPr>
        <w:t>“--</w:t>
      </w:r>
      <w:r w:rsidRPr="000D3090">
        <w:rPr>
          <w:bCs/>
        </w:rPr>
        <w:t>” entry in the</w:t>
      </w:r>
      <w:r w:rsidR="005A170B" w:rsidRPr="000D3090">
        <w:rPr>
          <w:bCs/>
        </w:rPr>
        <w:t>se</w:t>
      </w:r>
      <w:r w:rsidRPr="000D3090">
        <w:rPr>
          <w:bCs/>
        </w:rPr>
        <w:t xml:space="preserve"> table</w:t>
      </w:r>
      <w:r w:rsidR="005A170B" w:rsidRPr="000D3090">
        <w:rPr>
          <w:bCs/>
        </w:rPr>
        <w:t>s</w:t>
      </w:r>
      <w:r w:rsidRPr="000D3090">
        <w:rPr>
          <w:bCs/>
        </w:rPr>
        <w:t xml:space="preserve"> indicates that the row exogenous variable does not have any statistically significant impact on the column outcome </w:t>
      </w:r>
      <w:r w:rsidR="005A170B" w:rsidRPr="000D3090">
        <w:rPr>
          <w:bCs/>
        </w:rPr>
        <w:t>variable</w:t>
      </w:r>
      <w:r w:rsidRPr="000D3090">
        <w:rPr>
          <w:bCs/>
        </w:rPr>
        <w:t>).</w:t>
      </w:r>
      <w:r w:rsidR="008B70FE" w:rsidRPr="000D3090">
        <w:rPr>
          <w:bCs/>
        </w:rPr>
        <w:t xml:space="preserve"> The</w:t>
      </w:r>
      <w:r w:rsidR="00776F23" w:rsidRPr="000D3090">
        <w:rPr>
          <w:bCs/>
        </w:rPr>
        <w:t xml:space="preserve"> first row</w:t>
      </w:r>
      <w:r w:rsidR="00ED2D83" w:rsidRPr="000D3090">
        <w:rPr>
          <w:bCs/>
        </w:rPr>
        <w:t>-</w:t>
      </w:r>
      <w:r w:rsidR="00776F23" w:rsidRPr="000D3090">
        <w:rPr>
          <w:bCs/>
        </w:rPr>
        <w:t xml:space="preserve">panel of </w:t>
      </w:r>
      <w:r w:rsidR="008B70FE" w:rsidRPr="000D3090">
        <w:rPr>
          <w:bCs/>
        </w:rPr>
        <w:t xml:space="preserve">threshold values </w:t>
      </w:r>
      <w:r w:rsidR="00776F23" w:rsidRPr="000D3090">
        <w:rPr>
          <w:bCs/>
        </w:rPr>
        <w:t xml:space="preserve">in Table 3 </w:t>
      </w:r>
      <w:r w:rsidR="008B70FE" w:rsidRPr="000D3090">
        <w:rPr>
          <w:bCs/>
        </w:rPr>
        <w:t xml:space="preserve">do not have any substantive interpretations and serve the sole (but important) purpose of translating the underlying latent propensities into actual observed ordinal values. The effects of the exogenous variables correspond to their impact on the underlying propensities of each endogenous outcome (these are the </w:t>
      </w:r>
      <w:r w:rsidR="004A0C3F" w:rsidRPr="000D3090">
        <w:rPr>
          <w:position w:val="-10"/>
        </w:rPr>
        <w:object w:dxaOrig="200" w:dyaOrig="320" w14:anchorId="53DB6E6D">
          <v:shape id="_x0000_i1071" type="#_x0000_t75" style="width:10.3pt;height:15.85pt" o:ole="" o:preferrelative="f">
            <v:imagedata r:id="rId98" o:title=""/>
            <o:lock v:ext="edit" aspectratio="f"/>
          </v:shape>
          <o:OLEObject Type="Embed" ProgID="Equation.DSMT4" ShapeID="_x0000_i1071" DrawAspect="Content" ObjectID="_1818587451" r:id="rId99"/>
        </w:object>
      </w:r>
      <w:r w:rsidR="008B70FE" w:rsidRPr="000D3090">
        <w:t xml:space="preserve"> </w:t>
      </w:r>
      <w:r w:rsidR="001D51DA" w:rsidRPr="000D3090">
        <w:t xml:space="preserve">matrix </w:t>
      </w:r>
      <w:r w:rsidR="008B70FE" w:rsidRPr="000D3090">
        <w:t>elements). For the binary PPD and PPD reasons, these effects also immediately carry over to the binary outcome</w:t>
      </w:r>
      <w:r w:rsidR="001D51DA" w:rsidRPr="000D3090">
        <w:t xml:space="preserve"> probability effects</w:t>
      </w:r>
      <w:r w:rsidR="008B70FE" w:rsidRPr="000D3090">
        <w:t xml:space="preserve">. </w:t>
      </w:r>
      <w:r w:rsidR="00776F23" w:rsidRPr="000D3090">
        <w:t xml:space="preserve">The parameters corresponding to “Census Division of Household Residence” </w:t>
      </w:r>
      <w:r w:rsidR="00D24539" w:rsidRPr="000D3090">
        <w:t>(second row</w:t>
      </w:r>
      <w:r w:rsidR="00ED2D83" w:rsidRPr="000D3090">
        <w:t>-</w:t>
      </w:r>
      <w:r w:rsidR="00D24539" w:rsidRPr="000D3090">
        <w:t xml:space="preserve">panel of Table 3) </w:t>
      </w:r>
      <w:r w:rsidR="00776F23" w:rsidRPr="000D3090">
        <w:t>accommodate for overall geographic variations in the endogenous outcomes</w:t>
      </w:r>
      <w:r w:rsidR="001E5A6F" w:rsidRPr="000D3090">
        <w:t xml:space="preserve"> and are included to account for sampling differences across geographic regions</w:t>
      </w:r>
      <w:r w:rsidR="00776F23" w:rsidRPr="000D3090">
        <w:t>. As such, they are difficult to interpret, though the</w:t>
      </w:r>
      <w:r w:rsidR="008C7E00" w:rsidRPr="000D3090">
        <w:t>y suggest an overall higher PPD (lower</w:t>
      </w:r>
      <w:r w:rsidR="00776F23" w:rsidRPr="000D3090">
        <w:t xml:space="preserve"> satisfaction with accessing OH activities) among households residing in the New England </w:t>
      </w:r>
      <w:r w:rsidR="008C7E00" w:rsidRPr="000D3090">
        <w:t>and Pacific Census divisions</w:t>
      </w:r>
      <w:r w:rsidR="00776F23" w:rsidRPr="000D3090">
        <w:t xml:space="preserve">. The effects of other exogenous variables are discussed below. </w:t>
      </w:r>
      <w:r w:rsidR="00776F23" w:rsidRPr="000D3090">
        <w:rPr>
          <w:rFonts w:eastAsiaTheme="minorEastAsia"/>
          <w:lang w:eastAsia="ko-KR"/>
        </w:rPr>
        <w:t xml:space="preserve">Also to be noted is that </w:t>
      </w:r>
      <w:r w:rsidR="008B70FE" w:rsidRPr="000D3090">
        <w:rPr>
          <w:rFonts w:eastAsiaTheme="minorEastAsia"/>
          <w:lang w:eastAsia="ko-KR"/>
        </w:rPr>
        <w:t xml:space="preserve">the effects of exogenous variables on PPD </w:t>
      </w:r>
      <w:r w:rsidR="00776F23" w:rsidRPr="000D3090">
        <w:rPr>
          <w:rFonts w:eastAsiaTheme="minorEastAsia"/>
          <w:lang w:eastAsia="ko-KR"/>
        </w:rPr>
        <w:t xml:space="preserve">in Table 3 </w:t>
      </w:r>
      <w:r w:rsidR="008B70FE" w:rsidRPr="000D3090">
        <w:rPr>
          <w:rFonts w:eastAsiaTheme="minorEastAsia"/>
          <w:lang w:eastAsia="ko-KR"/>
        </w:rPr>
        <w:t>refer to the direct effects after accommodating the indirect effects through the endogenous telework/deliveries effects on PPD</w:t>
      </w:r>
      <w:r w:rsidR="00776F23" w:rsidRPr="000D3090">
        <w:rPr>
          <w:rFonts w:eastAsiaTheme="minorEastAsia"/>
          <w:lang w:eastAsia="ko-KR"/>
        </w:rPr>
        <w:t xml:space="preserve"> (we discuss this issue more in Section 5)</w:t>
      </w:r>
      <w:r w:rsidR="008B70FE" w:rsidRPr="000D3090">
        <w:rPr>
          <w:rFonts w:eastAsiaTheme="minorEastAsia"/>
          <w:lang w:eastAsia="ko-KR"/>
        </w:rPr>
        <w:t xml:space="preserve">. </w:t>
      </w:r>
    </w:p>
    <w:p w14:paraId="05C5167C" w14:textId="77777777" w:rsidR="00D3089B" w:rsidRPr="000D3090" w:rsidRDefault="00D3089B" w:rsidP="00D3089B">
      <w:pPr>
        <w:spacing w:after="0" w:line="240" w:lineRule="auto"/>
        <w:jc w:val="both"/>
      </w:pPr>
    </w:p>
    <w:p w14:paraId="07DAB2ED" w14:textId="57CBDD05" w:rsidR="00D3089B" w:rsidRPr="000D3090" w:rsidRDefault="00D3089B" w:rsidP="00D3089B">
      <w:pPr>
        <w:spacing w:after="0" w:line="240" w:lineRule="auto"/>
        <w:jc w:val="both"/>
        <w:rPr>
          <w:b/>
          <w:bCs/>
        </w:rPr>
      </w:pPr>
      <w:r w:rsidRPr="000D3090">
        <w:rPr>
          <w:b/>
          <w:bCs/>
        </w:rPr>
        <w:t xml:space="preserve">4.1 </w:t>
      </w:r>
      <w:r w:rsidR="0026184C" w:rsidRPr="000D3090">
        <w:rPr>
          <w:b/>
          <w:bCs/>
        </w:rPr>
        <w:t>P</w:t>
      </w:r>
      <w:r w:rsidR="008B70FE" w:rsidRPr="000D3090">
        <w:rPr>
          <w:b/>
          <w:bCs/>
        </w:rPr>
        <w:t>PD Outcome</w:t>
      </w:r>
      <w:r w:rsidRPr="000D3090">
        <w:rPr>
          <w:b/>
          <w:bCs/>
        </w:rPr>
        <w:t xml:space="preserve"> </w:t>
      </w:r>
    </w:p>
    <w:p w14:paraId="71839B85" w14:textId="2C1922CC" w:rsidR="001E1038" w:rsidRPr="000D3090" w:rsidRDefault="004F3BBC">
      <w:pPr>
        <w:tabs>
          <w:tab w:val="left" w:pos="3600"/>
        </w:tabs>
        <w:spacing w:after="0" w:line="240" w:lineRule="auto"/>
        <w:jc w:val="both"/>
      </w:pPr>
      <w:r w:rsidRPr="000D3090">
        <w:t xml:space="preserve">The results for the </w:t>
      </w:r>
      <w:r w:rsidR="008B70FE" w:rsidRPr="000D3090">
        <w:t xml:space="preserve">PPD outcome </w:t>
      </w:r>
      <w:r w:rsidRPr="000D3090">
        <w:t>are shown in</w:t>
      </w:r>
      <w:r w:rsidR="00B51186" w:rsidRPr="000D3090">
        <w:t xml:space="preserve"> the first </w:t>
      </w:r>
      <w:r w:rsidR="001D51DA" w:rsidRPr="000D3090">
        <w:t xml:space="preserve">numeric </w:t>
      </w:r>
      <w:r w:rsidR="00B51186" w:rsidRPr="000D3090">
        <w:t>column of</w:t>
      </w:r>
      <w:r w:rsidRPr="000D3090">
        <w:t xml:space="preserve"> Table 3</w:t>
      </w:r>
      <w:r w:rsidR="00B11D35" w:rsidRPr="000D3090">
        <w:t>, followed in the</w:t>
      </w:r>
      <w:r w:rsidR="0019104F" w:rsidRPr="000D3090">
        <w:t xml:space="preserve"> </w:t>
      </w:r>
      <w:r w:rsidR="00B11D35" w:rsidRPr="000D3090">
        <w:t xml:space="preserve">next </w:t>
      </w:r>
      <w:r w:rsidR="0019104F" w:rsidRPr="000D3090">
        <w:t xml:space="preserve">immediate </w:t>
      </w:r>
      <w:r w:rsidR="00B11D35" w:rsidRPr="000D3090">
        <w:t xml:space="preserve">eight columns by the </w:t>
      </w:r>
      <w:r w:rsidR="008B70FE" w:rsidRPr="000D3090">
        <w:t xml:space="preserve">PPD </w:t>
      </w:r>
      <w:r w:rsidR="00B11D35" w:rsidRPr="000D3090">
        <w:t>reasons</w:t>
      </w:r>
      <w:r w:rsidRPr="000D3090">
        <w:t xml:space="preserve">. </w:t>
      </w:r>
      <w:r w:rsidR="008B70FE" w:rsidRPr="000D3090">
        <w:t>The discussion below should be interpreted as general (average) tendencies; deviations from these general tendencies will always be present.</w:t>
      </w:r>
      <w:r w:rsidR="001E1038" w:rsidRPr="000D3090">
        <w:t xml:space="preserve"> Those living in rural locations exhibit higher PPD relative to those residing in urban areas, primarily due to lack of affordability, which is not an unsurprising result given the longer trip distances in low-density areas </w:t>
      </w:r>
      <w:r w:rsidR="001E1038" w:rsidRPr="000D3090">
        <w:fldChar w:fldCharType="begin"/>
      </w:r>
      <w:r w:rsidR="001E1038" w:rsidRPr="000D3090">
        <w:instrText xml:space="preserve"> ADDIN ZOTERO_ITEM CSL_CITATION {"citationID":"TT39cGpR","properties":{"formattedCitation":"(McGrail et al., 2015)","plainCitation":"(McGrail et al., 2015)","noteIndex":0},"citationItems":[{"id":2848,"uris":["http://zotero.org/users/12832277/items/PMPDKF97"],"itemData":{"id":2848,"type":"article-journal","abstract":"Poor access to doctors at times of need remains a significant impediment to achieving good health for many rural residents. The two-step floating catchment area (2SFCA) method has emerged as a key tool for measuring healthcare access in rural areas. However, the choice of catchment size, a key component of the 2SFCA method, is problematic because little is known about the distance tolerance of rural residents for health-related travel. Our study sought new evidence to test the hypothesis that residents of sparsely settled rural areas are prepared to travel further than residents of closely settled rural areas when accessing primary health care at times of need.","container-title":"BMC Health Services Research","DOI":"10.1186/s12913-015-0880-6","ISSN":"1472-6963","issue":"1","language":"en","page":"212","source":"Springer Link","title":"Accessing Doctors at Times of Need–Measuring the Distance Tolerance of Rural Residents for Health-Related Travel","volume":"15","author":[{"family":"McGrail","given":"Matthew Richard"},{"family":"Humphreys","given":"John Stirling"},{"family":"Ward","given":"Bernadette"}],"issued":{"date-parts":[["2015",5,29]]}}}],"schema":"https://github.com/citation-style-language/schema/raw/master/csl-citation.json"} </w:instrText>
      </w:r>
      <w:r w:rsidR="001E1038" w:rsidRPr="000D3090">
        <w:fldChar w:fldCharType="separate"/>
      </w:r>
      <w:r w:rsidR="001E1038" w:rsidRPr="000D3090">
        <w:t>(McGrail et al., 2015)</w:t>
      </w:r>
      <w:r w:rsidR="001E1038" w:rsidRPr="000D3090">
        <w:fldChar w:fldCharType="end"/>
      </w:r>
      <w:r w:rsidR="001E1038" w:rsidRPr="000D3090">
        <w:t xml:space="preserve">. In urban areas, individuals suppress trips (even though not at the same intensity as rural residents) due to concerns of safety, cleanliness, and health, most possibly because of the higher population densities, and the higher shares of travel by public transit and active modes (essentially, tight spaces and high occupancy travel compared to rural areas). While employment density does not seem to impact experience of PPD overall, those living in areas with high employment density are more likely to experience PPD due to concerns of safety, cleanliness, destination access, and lack of time. As expected, those living in more walkable neighborhoods tend to have lower PPD relative to those in less walkable neighborhoods, primarily due to reduced safety concerns and fewer concerns about time. However, these individuals are also more likely to say that their transportation is unreliable. This finding highlights the importance of developing safe and walkable neighborhood environments that encourage the use of walking as an alternative to other modes but highlights that overreliance on walking may lead to challenges since it may not be physically available to everyone and may not always be considered reliable. Finally, those living in areas with high transit accessibility report experiencing higher levels of PPD, largely due to safety concerns, although transit accessibility seems to alleviate health-related concerns. This finding presumably reflects that, although public transit offers an additional transportation mode, many individuals living in these areas may be more constrained to using transit despite any accessibility or safety-related concerns they have. This finding may also reflect that individuals who use transit tend to have higher expectations for </w:t>
      </w:r>
      <w:r w:rsidR="001E1038" w:rsidRPr="000D3090">
        <w:lastRenderedPageBreak/>
        <w:t xml:space="preserve">accessibility </w:t>
      </w:r>
      <w:r w:rsidR="00ED2D83" w:rsidRPr="000D3090">
        <w:t>than</w:t>
      </w:r>
      <w:r w:rsidR="001E1038" w:rsidRPr="000D3090">
        <w:t xml:space="preserve"> they are actually able to realize on transit, leading to a mismatch between their plans and behaviors that is less likely to reduce over time</w:t>
      </w:r>
      <w:r w:rsidR="00ED2D83" w:rsidRPr="000D3090">
        <w:t xml:space="preserve">. </w:t>
      </w:r>
    </w:p>
    <w:p w14:paraId="2EACF3FF" w14:textId="5321CA8A" w:rsidR="008B70FE" w:rsidRPr="000D3090" w:rsidRDefault="001E1038" w:rsidP="0092299E">
      <w:pPr>
        <w:spacing w:after="0" w:line="240" w:lineRule="auto"/>
        <w:jc w:val="both"/>
      </w:pPr>
      <w:r w:rsidRPr="000D3090">
        <w:tab/>
      </w:r>
      <w:r w:rsidR="00523928" w:rsidRPr="000D3090">
        <w:t xml:space="preserve">Single </w:t>
      </w:r>
      <w:r w:rsidR="00C10F70" w:rsidRPr="000D3090">
        <w:t>adults</w:t>
      </w:r>
      <w:r w:rsidR="00523928" w:rsidRPr="000D3090">
        <w:t xml:space="preserve"> </w:t>
      </w:r>
      <w:r w:rsidR="008B70FE" w:rsidRPr="000D3090">
        <w:t>have a higher PPD relative to households with 2+ adults, attributable to poorer destination access, though s</w:t>
      </w:r>
      <w:r w:rsidR="00523928" w:rsidRPr="000D3090">
        <w:t>ingle</w:t>
      </w:r>
      <w:r w:rsidR="007745B8" w:rsidRPr="000D3090">
        <w:t xml:space="preserve"> </w:t>
      </w:r>
      <w:r w:rsidR="008B70FE" w:rsidRPr="000D3090">
        <w:t xml:space="preserve">adults also appear to be less COVID-concerned. The latter result presumably </w:t>
      </w:r>
      <w:r w:rsidR="00D14381" w:rsidRPr="000D3090">
        <w:t>reflects</w:t>
      </w:r>
      <w:r w:rsidR="008B70FE" w:rsidRPr="000D3090">
        <w:t xml:space="preserve"> potential contagion concerns in multi-adult households. There is no PPD disparity based on </w:t>
      </w:r>
      <w:r w:rsidR="00ED2D83" w:rsidRPr="000D3090">
        <w:t>the presence</w:t>
      </w:r>
      <w:r w:rsidR="008B70FE" w:rsidRPr="000D3090">
        <w:t xml:space="preserve"> of children, though individuals in households with children are generally more concerned with affordability</w:t>
      </w:r>
      <w:r w:rsidR="001D51DA" w:rsidRPr="000D3090">
        <w:t xml:space="preserve"> of physical travel</w:t>
      </w:r>
      <w:r w:rsidR="008B70FE" w:rsidRPr="000D3090">
        <w:t xml:space="preserve">, and much less with reliability or the ability to reach specific destinations of interest. </w:t>
      </w:r>
      <w:r w:rsidR="001D51DA" w:rsidRPr="000D3090">
        <w:t xml:space="preserve">This result is intuitive, as individuals </w:t>
      </w:r>
      <w:r w:rsidR="008B70FE" w:rsidRPr="000D3090">
        <w:t xml:space="preserve">with children face particular economic challenges, though they are generally less deterred by activity-reach problems in their quest to facilitate </w:t>
      </w:r>
      <w:r w:rsidR="0019104F" w:rsidRPr="000D3090">
        <w:t xml:space="preserve">OH </w:t>
      </w:r>
      <w:r w:rsidR="008B70FE" w:rsidRPr="000D3090">
        <w:t xml:space="preserve">activity participation of their children </w:t>
      </w:r>
      <w:r w:rsidR="008B70FE" w:rsidRPr="000D3090">
        <w:fldChar w:fldCharType="begin"/>
      </w:r>
      <w:r w:rsidR="00397C46" w:rsidRPr="000D3090">
        <w:instrText xml:space="preserve"> ADDIN ZOTERO_ITEM CSL_CITATION {"citationID":"xHTPeSqy","properties":{"formattedCitation":"(Lee et al., 2007; Mackett, 2013)","plainCitation":"(Lee et al., 2007; Mackett, 2013)","dontUpdate":true,"noteIndex":0},"citationItems":[{"id":3447,"uris":["http://zotero.org/users/12832277/items/N9KGKUC2"],"itemData":{"id":3447,"type":"article-journal","abstract":"In order to examine time allocation patterns within household-level trip-chaining, simultaneous doubly-censored Tobit models are applied to model time-use behavior within the context of household activity participation. Using the entire sample and a sub-sample of worker households from Tucson’s Household Travel Survey, two sets of models are developed to better understand the phenomena of trip-chaining behavior among five types of households: single non-worker households, single worker households, couple non-worker households, couple one-worker households, and couple two-worker households. Durations of out-of-home subsistence, maintenance, and discretionary activities within trip chains are examined. Factors found to be associated with trip-chaining behavior include intra-household interactions with the household types and their structure and household head attributes.","container-title":"Transportation Research Part A: Policy and Practice","DOI":"10.1016/j.tra.2007.06.007","ISSN":"0965-8564","issue":"10","page":"1004-1020","source":"ScienceDirect","title":"Household Type and Structure, Time-Use Pattern, and Trip-Chaining Behavior","volume":"41","author":[{"family":"Lee","given":"Yuhwa"},{"family":"Hickman","given":"Mark"},{"family":"Washington","given":"Simon"}],"issued":{"date-parts":[["2007",12,1]]}}},{"id":3444,"uris":["http://zotero.org/users/12832277/items/3Z8NSQWM"],"itemData":{"id":3444,"type":"article-journal","abstract":"Children’s travel behaviour varies from that of adults in several ways: they have less choice about where they go and often they are not allowed to travel unescorted by an older person. The factors that influence children’s travel behaviour have changed in recent years, with the development of car-oriented lifestyles, increased numbers of mothers in employment and changes in attitudes towards children’s independent mobility. The purpose of this paper is to examine the nature of children’s travel behaviour and its implications for their volumes of physical activity and so for their health. After considering the nature of children’s travel behaviour and the factors that influence it, the effects of children’s travel behaviour on their volumes of physical activity are discussed; then some measures being adopted in Britain to reverse the adverse trends are described. Conclusions are drawn in terms of the policy implications.","collection-title":"“Understanding Behavioural Change: An International Perspective on Sustainable Travel Behaviours and Their Motivations”: Selected Papers from the 12th World Conference on Transportation Research","container-title":"Transport Policy","DOI":"10.1016/j.tranpol.2012.01.002","ISSN":"0967-070X","page":"66-72","source":"ScienceDirect","title":"Children’s Travel Behaviour and Its Health Implications","volume":"26","author":[{"family":"Mackett","given":"Roger L."}],"issued":{"date-parts":[["2013",3,1]]}}}],"schema":"https://github.com/citation-style-language/schema/raw/master/csl-citation.json"} </w:instrText>
      </w:r>
      <w:r w:rsidR="008B70FE" w:rsidRPr="000D3090">
        <w:fldChar w:fldCharType="separate"/>
      </w:r>
      <w:r w:rsidR="008B70FE" w:rsidRPr="000D3090">
        <w:t>(see Lee et al., 2007; Mackett, 2013)</w:t>
      </w:r>
      <w:r w:rsidR="008B70FE" w:rsidRPr="000D3090">
        <w:fldChar w:fldCharType="end"/>
      </w:r>
      <w:r w:rsidR="008B70FE" w:rsidRPr="000D3090">
        <w:t>.</w:t>
      </w:r>
      <w:r w:rsidR="008B70FE" w:rsidRPr="000D3090">
        <w:rPr>
          <w:b/>
          <w:bCs/>
        </w:rPr>
        <w:t xml:space="preserve"> </w:t>
      </w:r>
      <w:r w:rsidR="008B70FE" w:rsidRPr="000D3090">
        <w:t>Individuals from worker</w:t>
      </w:r>
      <w:r w:rsidR="00A532C9" w:rsidRPr="000D3090">
        <w:t>-</w:t>
      </w:r>
      <w:r w:rsidR="008B70FE" w:rsidRPr="000D3090">
        <w:t>households</w:t>
      </w:r>
      <w:r w:rsidR="00A532C9" w:rsidRPr="000D3090">
        <w:t xml:space="preserve"> (households in which at least one individual works) do not show any differences from those in zero-worker households in terms of PPD</w:t>
      </w:r>
      <w:r w:rsidR="008B70FE" w:rsidRPr="000D3090">
        <w:t xml:space="preserve">, but </w:t>
      </w:r>
      <w:r w:rsidR="008C7E00" w:rsidRPr="000D3090">
        <w:t xml:space="preserve">those from two or three-worker households </w:t>
      </w:r>
      <w:r w:rsidR="008B70FE" w:rsidRPr="000D3090">
        <w:t>are more likely to cite poor reliability and poor destination access of the transportation system</w:t>
      </w:r>
      <w:r w:rsidR="008C7E00" w:rsidRPr="000D3090">
        <w:t xml:space="preserve"> as PPD reasons</w:t>
      </w:r>
      <w:r w:rsidR="008B70FE" w:rsidRPr="000D3090">
        <w:t xml:space="preserve">, potentially due to the narrower space-time windows to pursue </w:t>
      </w:r>
      <w:r w:rsidR="001D51DA" w:rsidRPr="000D3090">
        <w:t xml:space="preserve">joint </w:t>
      </w:r>
      <w:r w:rsidR="008B70FE" w:rsidRPr="000D3090">
        <w:t xml:space="preserve">OH activities outside of </w:t>
      </w:r>
      <w:r w:rsidR="001D51DA" w:rsidRPr="000D3090">
        <w:t xml:space="preserve">the </w:t>
      </w:r>
      <w:r w:rsidR="008B70FE" w:rsidRPr="000D3090">
        <w:t xml:space="preserve">work schedules </w:t>
      </w:r>
      <w:r w:rsidR="001D51DA" w:rsidRPr="000D3090">
        <w:t>of the multiple workers</w:t>
      </w:r>
      <w:r w:rsidR="008B70FE" w:rsidRPr="000D3090">
        <w:t xml:space="preserve"> </w:t>
      </w:r>
      <w:r w:rsidR="008B70FE" w:rsidRPr="000D3090">
        <w:fldChar w:fldCharType="begin"/>
      </w:r>
      <w:r w:rsidR="008D69D1" w:rsidRPr="000D3090">
        <w:instrText xml:space="preserve"> ADDIN ZOTERO_ITEM CSL_CITATION {"citationID":"qnnW6nHJ","properties":{"formattedCitation":"(Gliebe and Koppelman, 2005; Neutens et al., 2012)","plainCitation":"(Gliebe and Koppelman, 2005; Neutens et al., 2012)","noteIndex":0},"citationItems":[{"id":2936,"uris":["http://zotero.org/users/12832277/items/U7PUQKI7"],"itemData":{"id":2936,"type":"article-journal","abstract":"The daily activity-travel patterns of individuals often include interactions with other household members, which we observe in the form of joint activity participation and shared rides. Explicit representation of joint activity patterns is a widespread deficiency in extant travel forecasting models and remains a relatively under-developed area of travel behavior research. In this paper, we identify several spatially defined tour patterns found in weekday household survey data that describe this form of interpersonal decision-making. Using pairs of household decision makers as our subjects, we develop a structural discrete choice model that predicts the separate, parallel choices of full-day tour patterns by both persons, subject to the higher level constraint imposed by their joint selection of one of several spatial interaction patterns, one of which may be no interaction. We apply this model to the household survey data, drawing inferences from the household and person attributes that prove to be significant predictors of pattern choices, such as commitment to work schedules, auto availability, commuting distance and the presence of children in the household. Parameterization of an importance function in the models shows that in making joint activity-travel decisions significantly greater emphasis is placed on the individual utilities of workers relative to non-workers and on the utilities of women in households with very young children. The model and methods are prototypes for tour-based travel forecasting systems that seek to represent the complex interaction between household members in an integrated model structure.","container-title":"Transportation","DOI":"10.1007/s11116-005-5328-0","ISSN":"1572-9435","issue":"5","language":"en","page":"449-471","source":"Springer Link","title":"Modeling Household Activity–Travel Interactions as Parallel Constrained Choices","volume":"32","author":[{"family":"Gliebe","given":"John P."},{"family":"Koppelman","given":"Frank S."}],"issued":{"date-parts":[["2005",9,1]]}}},{"id":2938,"uris":["http://zotero.org/users/12832277/items/32RJLMDJ"],"itemData":{"id":2938,"type":"article-journal","abstract":"Traditional studies about the planning and equality of public service delivery have treated accessibility of services as if it were a static concept of physical proximity. This paper extends and empirically substantiates the conceptual argument for the incorporation of time in measures of accessibility. It does so by examining the variability in person-based accessibility to urban opportunities over a 1-week period. Accessibility is specified on the basis of persons rather than places and measured for each day of the week rather than for a single day. An empirical case of government offices in the city of Ghent (Belgium) is used to demonstrate how space–time accessibility may fluctuate between persons and per person from day to day. The case study provides evidence that, even for fulltime workers on weekdays, considerable day-to-day variability in the accessibility level of a single person can exist as a consequence of differences in space–time constraints.","container-title":"Journal of Transport Geography","DOI":"10.1016/j.jtrangeo.2012.04.001","ISSN":"0966-6923","page":"81-91","source":"ScienceDirect","title":"An Analysis of Day-to-Day Variations in Individual Space–Time Accessibility","volume":"23","author":[{"family":"Neutens","given":"Tijs"},{"family":"Delafontaine","given":"Matthias"},{"family":"Scott","given":"Darren M."},{"family":"De Maeyer","given":"Philippe"}],"issued":{"date-parts":[["2012",7,1]]}}}],"schema":"https://github.com/citation-style-language/schema/raw/master/csl-citation.json"} </w:instrText>
      </w:r>
      <w:r w:rsidR="008B70FE" w:rsidRPr="000D3090">
        <w:fldChar w:fldCharType="separate"/>
      </w:r>
      <w:r w:rsidR="008B70FE" w:rsidRPr="000D3090">
        <w:t>(Gliebe and Koppelman, 2005; Neutens et al., 2012)</w:t>
      </w:r>
      <w:r w:rsidR="008B70FE" w:rsidRPr="000D3090">
        <w:fldChar w:fldCharType="end"/>
      </w:r>
      <w:r w:rsidR="008B70FE" w:rsidRPr="000D3090">
        <w:t>.</w:t>
      </w:r>
    </w:p>
    <w:p w14:paraId="23CDCFF3" w14:textId="20351728" w:rsidR="00A532C9" w:rsidRPr="000D3090" w:rsidRDefault="008B70FE" w:rsidP="008B70FE">
      <w:pPr>
        <w:spacing w:after="0" w:line="240" w:lineRule="auto"/>
        <w:jc w:val="both"/>
      </w:pPr>
      <w:r w:rsidRPr="000D3090">
        <w:tab/>
        <w:t>As expected, vehicle</w:t>
      </w:r>
      <w:r w:rsidR="004839E5" w:rsidRPr="000D3090">
        <w:t>-</w:t>
      </w:r>
      <w:r w:rsidRPr="000D3090">
        <w:t xml:space="preserve">constrained households (those with fewer vehicles than drivers) experience higher PPD relative to other households (that is households with equal or more vehicles than drivers) </w:t>
      </w:r>
      <w:r w:rsidRPr="000D3090">
        <w:fldChar w:fldCharType="begin"/>
      </w:r>
      <w:r w:rsidRPr="000D3090">
        <w:instrText xml:space="preserve"> ADDIN ZOTERO_ITEM CSL_CITATION {"citationID":"gD4acC6J","properties":{"formattedCitation":"(Blumenberg et al., 2020)","plainCitation":"(Blumenberg et al., 2020)","dontUpdate":true,"noteIndex":0},"citationItems":[{"id":2832,"uris":["http://zotero.org/users/12832277/items/V7TLV7LS"],"itemData":{"id":2832,"type":"article-journal","abstract":"In the U.S., households with less than one car per driver (auto-deficit households) are more than twice as common as zero-vehicle households. Yet we know very little about these households and their travel behavior. In this study, therefore, we examine whether car deficits, like carlessness, are largely a result of financial constraint or of other factors such as built environment characteristics, household structure, or household resources. We then analyze the mobility outcomes of car-deficit households compared to the severely restricted mobility of carless households and the largely uninhibited movement of fully-equipped households, households with at least one car per driver. Data from the California Household Travel Survey show that car-deficit households are different than fully-equipped households. They have different household characteristics, travel less, and are more likely to use public transit. While many auto-deficit households have incomes that presumably enable them to successfully manage with fewer cars than adults, low-income auto-deficit households are—by definition—income constrained. Our analysis suggests that low-income car-deficit households manage their travel needs by carefully negotiating the use of household vehicles. In so doing, they travel far more than carless households and use their household vehicles almost as much as low-income households with at least one car per driver. These results suggest that the mobility benefits of having at least one car per driver are more limited than we had anticipated. Results also indicate the importance of transportation and employment programs to ease the potential difficulties associated with sharing cars among household drivers.","container-title":"Transportation","DOI":"10.1007/s11116-018-9956-6","ISSN":"1572-9435","issue":"3","language":"en","page":"1103-1125","source":"Springer Link","title":"Car-Deficit Households: Determinants and Implications for Household Travel in the U.S.","volume":"47","author":[{"family":"Blumenberg","given":"Evelyn"},{"family":"Brown","given":"Anne"},{"family":"Schouten","given":"Andrew"}],"issued":{"date-parts":[["2020",6,1]]}}}],"schema":"https://github.com/citation-style-language/schema/raw/master/csl-citation.json"} </w:instrText>
      </w:r>
      <w:r w:rsidRPr="000D3090">
        <w:fldChar w:fldCharType="separate"/>
      </w:r>
      <w:r w:rsidRPr="000D3090">
        <w:t>(see Blumenberg et al., 2020)</w:t>
      </w:r>
      <w:r w:rsidRPr="000D3090">
        <w:fldChar w:fldCharType="end"/>
      </w:r>
      <w:r w:rsidRPr="000D3090">
        <w:t xml:space="preserve">. Vehicle-constrained households tend to suppress trips due to concerns of safety, destination access, and COVID contagion, reflecting the unease commonly associated with shared modes such as public transportation. Similarly, PPD is much more common among individuals in lower income households relative to individuals in higher income households, particularly due to concerns of </w:t>
      </w:r>
      <w:r w:rsidR="00A532C9" w:rsidRPr="000D3090">
        <w:t xml:space="preserve">reliability, destination access, and </w:t>
      </w:r>
      <w:r w:rsidRPr="000D3090">
        <w:t xml:space="preserve">affordability. These results are aligned with a large body of existing literature showing that low-income households have less access to affordable and reliable transportation </w:t>
      </w:r>
      <w:r w:rsidRPr="000D3090">
        <w:fldChar w:fldCharType="begin"/>
      </w:r>
      <w:r w:rsidRPr="000D3090">
        <w:instrText xml:space="preserve"> ADDIN ZOTERO_ITEM CSL_CITATION {"citationID":"OPkpbKyX","properties":{"formattedCitation":"(Lovejoy and Handy, 2008; Makarewicz et al., 2020; Tiznado-Aitken et al., 2022)","plainCitation":"(Lovejoy and Handy, 2008; Makarewicz et al., 2020; Tiznado-Aitken et al., 2022)","noteIndex":0},"citationItems":[{"id":2890,"uris":["http://zotero.org/users/12832277/items/EXDA9SHJ"],"itemData":{"id":2890,"type":"article-journal","abstract":"In auto-oriented communities, access to an automobile is essential for good mobility, but not everyone owns a car or is able to drive. Little is known about how individuals in these circumstances might still use vehicles for transportation. To provide insight on the nature of vehicle use by those with potentially limited vehicle access, we present qualitative findings from focus groups with recent Mexican immigrants living in California, half of whom owned no cars. Our results demonstrate varying degrees of participants’ access to vehicle travel not always corresponding to auto ownership, with extensive sharing of cars, borrowing of cars, and getting rides. We describe the different dimensions of vehicle access that participants experienced and identify specific factors that seemed to influence their access levels. We discuss the implications of our findings for transportation policy and future research.","container-title":"Transportation","DOI":"10.1007/s11116-008-9169-5","ISSN":"1572-9435","issue":"5","language":"en","page":"601-612","source":"Springer Link","title":"A Case for Measuring Individuals’ Access to Private-Vehicle Travel as a Matter of Degrees: Lessons from Focus Groups with Mexican Immigrants in California","volume":"35","author":[{"family":"Lovejoy","given":"Kristin"},{"family":"Handy","given":"Susan"}],"issued":{"date-parts":[["2008",8,1]]}}},{"id":2892,"uris":["http://zotero.org/users/12832277/items/ER57TYLI"],"itemData":{"id":2892,"type":"article-journal","abstract":"Findings from a study using the Panel Survey of Income Dynamics (PSID) and detailed urban environment and transit data support the location affordability hypothesis. Households in location-efficient places spent significantly less on household transportation, enough to offset high housing costs. Walkable blocks and good transit especially contribute to these savings. But households with very low incomes (below 35% AMI) do not see significant enough savings. Authors recommend investments in transit, sidewalks, and economic development in disinvested areas; the preservation and creation of affordable housing of all types and tenures; and more supports for households with very low incomes. For decades, researchers have explored how location efficiency (LE) affects housing affordability, including incorporating transportation costs into a holistic housing affordability measure known as location affordability. Others have argued that estimated transportation savings from LE may be overstated because of limits in data and methods. Smart and Klein’s 2018 article in Housing Policy Debate analyzed the PSID and found “no evidence to support the location affordability hypothesis.” Considering their study’s policy implications, as well as its methodological limitations, we tested the PSID data at a smaller geography using more detailed household and urban form variables, per the LE literature. With this approach, we find statistically significant and meaningful transportation cost differences that are enough to offset higher housing prices for several income groups. However, the transportation savings for households in the lowest-income group in urban areas do not offset high housing costs. Because location-affordable places are in short supply, and the extreme shortage of affordable housing, both housing and transportation investments are needed to support households with low and moderate incomes. Expanding location affordability regionally will also help to address climate change and expand access to job opportunities, goods, services, and other amenities.","container-title":"Housing Policy Debate","DOI":"10.1080/10511482.2020.1792528","ISSN":"1051-1482","issue":"6","note":"publisher: Routledge\n_eprint: https://doi.org/10.1080/10511482.2020.1792528","page":"1033-1055","source":"Taylor and Francis+NEJM","title":"Another Look at Location Affordability: Understanding the Detailed Effects of Income and Urban Form on Housing and Transportation Expenditures","volume":"30","author":[{"family":"Makarewicz","given":"Carrie"},{"family":"Dantzler","given":"Prentiss"},{"family":"Adkins","given":"Arlie"}],"issued":{"date-parts":[["2020",11,1]]}},"label":"page"},{"id":2894,"uris":["http://zotero.org/users/12832277/items/NLMB8X6Y"],"itemData":{"id":2894,"type":"article-journal","abstract":"Housing and transport affordability (H + TA) analysis has been receiving increasing attention among academics and practitioners worldwide, particularly in Global North settings. These studies usually overlook spatial and socioeconomic distributional considerations that potentially underestimate the simultaneous impact of transport and housing costs on lower-income family budgets. Our work seeks to address these knowledge gaps by understanding and measuring H + TA, considering different types of households in Santiago, Chile. Combining income, housing, transport, and census data, we estimate H + TA costs using spatial clusters and probability distribution functions, analyzing the “degree of choice” that socially disadvantaged groups have given their financial constraints. The results show that families with children, the elderly, and immigrants are among the most limited in their choices. Most central and eastern sectors of the city which provide the highest density of work opportunities are out of reach for the three lowest-income deciles given the high combined costs of H + TA, being dependents on government benefits and/or social housing. Middle class, from the 4th to 6th income deciles, can choose from between 30% and 65% of all housing and transport combinations, but from less than 6% of those offered on the two clusters with the best transport and urban conditions. These findings bring into question current inter-sectoral policies to alleviate the “cost pressure” of Santiago's lower- and middle-income households.","container-title":"Transport Policy","DOI":"10.1016/j.tranpol.2022.04.005","ISSN":"0967-070X","page":"39-53","source":"ScienceDirect","title":"Freedom of Choice? Social and Spatial Disparities on Combined Housing and Transport Affordability","volume":"122","author":[{"family":"Tiznado-Aitken","given":"Ignacio"},{"family":"Lucas","given":"Karen"},{"family":"Muñoz","given":"Juan Carlos"},{"family":"Hurtubia","given":"Ricardo"}],"issued":{"date-parts":[["2022",6,1]]}}}],"schema":"https://github.com/citation-style-language/schema/raw/master/csl-citation.json"} </w:instrText>
      </w:r>
      <w:r w:rsidRPr="000D3090">
        <w:fldChar w:fldCharType="separate"/>
      </w:r>
      <w:r w:rsidRPr="000D3090">
        <w:t>(Lovejoy and Handy, 2008; Makarewicz et al., 2020; Tiznado-Aitken et al., 2022)</w:t>
      </w:r>
      <w:r w:rsidRPr="000D3090">
        <w:fldChar w:fldCharType="end"/>
      </w:r>
      <w:r w:rsidRPr="000D3090">
        <w:t>. Higher-income households, however, are more likely to suppress trips due to health problems</w:t>
      </w:r>
      <w:r w:rsidR="001D51DA" w:rsidRPr="000D3090">
        <w:t>; h</w:t>
      </w:r>
      <w:r w:rsidR="00003531" w:rsidRPr="000D3090">
        <w:t>owever, the</w:t>
      </w:r>
      <w:r w:rsidR="001D51DA" w:rsidRPr="000D3090">
        <w:t>se</w:t>
      </w:r>
      <w:r w:rsidR="00003531" w:rsidRPr="000D3090">
        <w:t xml:space="preserve"> income effects on “health problems” are statistically significant at only the 85% significance level.</w:t>
      </w:r>
    </w:p>
    <w:p w14:paraId="220E8A33" w14:textId="747B91CE" w:rsidR="001A784F" w:rsidRPr="000D3090" w:rsidRDefault="00E347BD" w:rsidP="00C4629A">
      <w:pPr>
        <w:spacing w:after="0" w:line="240" w:lineRule="auto"/>
        <w:ind w:firstLine="720"/>
        <w:jc w:val="both"/>
      </w:pPr>
      <w:r w:rsidRPr="000D3090">
        <w:t>Compared with homeowners, renters</w:t>
      </w:r>
      <w:r w:rsidR="004F3BBC" w:rsidRPr="000D3090">
        <w:t xml:space="preserve"> </w:t>
      </w:r>
      <w:r w:rsidR="00613104" w:rsidRPr="000D3090">
        <w:t xml:space="preserve">exhibit a </w:t>
      </w:r>
      <w:r w:rsidR="008B70FE" w:rsidRPr="000D3090">
        <w:t>higher</w:t>
      </w:r>
      <w:r w:rsidR="00613104" w:rsidRPr="000D3090">
        <w:t xml:space="preserve"> </w:t>
      </w:r>
      <w:r w:rsidR="008B70FE" w:rsidRPr="000D3090">
        <w:t xml:space="preserve">PPD </w:t>
      </w:r>
      <w:r w:rsidR="00613104" w:rsidRPr="000D3090">
        <w:t>tendency</w:t>
      </w:r>
      <w:r w:rsidR="008B70FE" w:rsidRPr="000D3090">
        <w:t xml:space="preserve"> (more likely to suppress planned trips)</w:t>
      </w:r>
      <w:r w:rsidR="00613104" w:rsidRPr="000D3090">
        <w:t>, largely due to concerns of safety, reliability, destination access, and affordability</w:t>
      </w:r>
      <w:r w:rsidR="00003531" w:rsidRPr="000D3090">
        <w:t xml:space="preserve">. </w:t>
      </w:r>
      <w:r w:rsidR="00FB1D4D" w:rsidRPr="000D3090">
        <w:t xml:space="preserve">This is consistent with findings suggesting that renters, particularly lower-income renters, </w:t>
      </w:r>
      <w:r w:rsidR="001D6A8D" w:rsidRPr="000D3090">
        <w:t>have challenges finding affordable housing in areas that also have high levels of accessible and affordable transportation</w:t>
      </w:r>
      <w:r w:rsidR="00955ADE" w:rsidRPr="000D3090">
        <w:t xml:space="preserve"> </w:t>
      </w:r>
      <w:r w:rsidR="00955ADE" w:rsidRPr="000D3090">
        <w:fldChar w:fldCharType="begin"/>
      </w:r>
      <w:r w:rsidR="00397C46" w:rsidRPr="000D3090">
        <w:instrText xml:space="preserve"> ADDIN ZOTERO_ITEM CSL_CITATION {"citationID":"VSmgKY5F","properties":{"formattedCitation":"(Makarewicz et al., 2020)","plainCitation":"(Makarewicz et al., 2020)","dontUpdate":true,"noteIndex":0},"citationItems":[{"id":2892,"uris":["http://zotero.org/users/12832277/items/ER57TYLI"],"itemData":{"id":2892,"type":"article-journal","abstract":"Findings from a study using the Panel Survey of Income Dynamics (PSID) and detailed urban environment and transit data support the location affordability hypothesis. Households in location-efficient places spent significantly less on household transportation, enough to offset high housing costs. Walkable blocks and good transit especially contribute to these savings. But households with very low incomes (below 35% AMI) do not see significant enough savings. Authors recommend investments in transit, sidewalks, and economic development in disinvested areas; the preservation and creation of affordable housing of all types and tenures; and more supports for households with very low incomes. For decades, researchers have explored how location efficiency (LE) affects housing affordability, including incorporating transportation costs into a holistic housing affordability measure known as location affordability. Others have argued that estimated transportation savings from LE may be overstated because of limits in data and methods. Smart and Klein’s 2018 article in Housing Policy Debate analyzed the PSID and found “no evidence to support the location affordability hypothesis.” Considering their study’s policy implications, as well as its methodological limitations, we tested the PSID data at a smaller geography using more detailed household and urban form variables, per the LE literature. With this approach, we find statistically significant and meaningful transportation cost differences that are enough to offset higher housing prices for several income groups. However, the transportation savings for households in the lowest-income group in urban areas do not offset high housing costs. Because location-affordable places are in short supply, and the extreme shortage of affordable housing, both housing and transportation investments are needed to support households with low and moderate incomes. Expanding location affordability regionally will also help to address climate change and expand access to job opportunities, goods, services, and other amenities.","container-title":"Housing Policy Debate","DOI":"10.1080/10511482.2020.1792528","ISSN":"1051-1482","issue":"6","note":"publisher: Routledge\n_eprint: https://doi.org/10.1080/10511482.2020.1792528","page":"1033-1055","source":"Taylor and Francis+NEJM","title":"Another Look at Location Affordability: Understanding the Detailed Effects of Income and Urban Form on Housing and Transportation Expenditures","volume":"30","author":[{"family":"Makarewicz","given":"Carrie"},{"family":"Dantzler","given":"Prentiss"},{"family":"Adkins","given":"Arlie"}],"issued":{"date-parts":[["2020",11,1]]}}}],"schema":"https://github.com/citation-style-language/schema/raw/master/csl-citation.json"} </w:instrText>
      </w:r>
      <w:r w:rsidR="00955ADE" w:rsidRPr="000D3090">
        <w:fldChar w:fldCharType="separate"/>
      </w:r>
      <w:r w:rsidR="00955ADE" w:rsidRPr="000D3090">
        <w:t>(</w:t>
      </w:r>
      <w:r w:rsidR="00883519" w:rsidRPr="000D3090">
        <w:t xml:space="preserve">see </w:t>
      </w:r>
      <w:r w:rsidR="00955ADE" w:rsidRPr="000D3090">
        <w:t>Makarewicz et al., 2020)</w:t>
      </w:r>
      <w:r w:rsidR="00955ADE" w:rsidRPr="000D3090">
        <w:fldChar w:fldCharType="end"/>
      </w:r>
      <w:r w:rsidR="001D6A8D" w:rsidRPr="000D3090">
        <w:t>.</w:t>
      </w:r>
      <w:r w:rsidR="00003531" w:rsidRPr="000D3090">
        <w:t xml:space="preserve"> Renters seem less concerned about time considerations relative to </w:t>
      </w:r>
      <w:r w:rsidR="00F94EF6" w:rsidRPr="000D3090">
        <w:t>homeowners</w:t>
      </w:r>
      <w:r w:rsidR="00003531" w:rsidRPr="000D3090">
        <w:t>, though this effect is statistically significant at only the 8</w:t>
      </w:r>
      <w:r w:rsidR="00A532C9" w:rsidRPr="000D3090">
        <w:t>1</w:t>
      </w:r>
      <w:r w:rsidR="00003531" w:rsidRPr="000D3090">
        <w:t>% level)</w:t>
      </w:r>
      <w:r w:rsidR="00ED2D83" w:rsidRPr="000D3090">
        <w:t xml:space="preserve">. </w:t>
      </w:r>
    </w:p>
    <w:p w14:paraId="1774C8F4" w14:textId="1CEC8E73" w:rsidR="001F116E" w:rsidRPr="000D3090" w:rsidRDefault="004F3BBC" w:rsidP="00E71E8A">
      <w:pPr>
        <w:spacing w:after="0" w:line="240" w:lineRule="auto"/>
        <w:jc w:val="both"/>
        <w:rPr>
          <w:b/>
          <w:bCs/>
        </w:rPr>
      </w:pPr>
      <w:r w:rsidRPr="000D3090">
        <w:tab/>
        <w:t xml:space="preserve">As far as individual level characteristics, women experience </w:t>
      </w:r>
      <w:r w:rsidR="00F35B8A" w:rsidRPr="000D3090">
        <w:t xml:space="preserve">more </w:t>
      </w:r>
      <w:r w:rsidR="00C109FA" w:rsidRPr="000D3090">
        <w:t xml:space="preserve">PPD </w:t>
      </w:r>
      <w:r w:rsidRPr="000D3090">
        <w:t>th</w:t>
      </w:r>
      <w:r w:rsidR="00C109FA" w:rsidRPr="000D3090">
        <w:t>a</w:t>
      </w:r>
      <w:r w:rsidRPr="000D3090">
        <w:t xml:space="preserve">n </w:t>
      </w:r>
      <w:r w:rsidR="00C109FA" w:rsidRPr="000D3090">
        <w:t xml:space="preserve">do </w:t>
      </w:r>
      <w:r w:rsidRPr="000D3090">
        <w:t xml:space="preserve">men, </w:t>
      </w:r>
      <w:r w:rsidR="00387B55" w:rsidRPr="000D3090">
        <w:t xml:space="preserve">particularly due to </w:t>
      </w:r>
      <w:r w:rsidR="00C109FA" w:rsidRPr="000D3090">
        <w:t xml:space="preserve">health problems </w:t>
      </w:r>
      <w:r w:rsidR="00387B55" w:rsidRPr="000D3090">
        <w:t>and COVID</w:t>
      </w:r>
      <w:r w:rsidR="00C109FA" w:rsidRPr="000D3090">
        <w:t xml:space="preserve"> concerns</w:t>
      </w:r>
      <w:r w:rsidR="00387B55" w:rsidRPr="000D3090">
        <w:t>. Th</w:t>
      </w:r>
      <w:r w:rsidR="00836363" w:rsidRPr="000D3090">
        <w:t xml:space="preserve">e COVID concern </w:t>
      </w:r>
      <w:r w:rsidR="00387B55" w:rsidRPr="000D3090">
        <w:t xml:space="preserve">is consistent with findings </w:t>
      </w:r>
      <w:r w:rsidR="000963C7" w:rsidRPr="000D3090">
        <w:t xml:space="preserve">suggesting that women </w:t>
      </w:r>
      <w:r w:rsidR="00836363" w:rsidRPr="000D3090">
        <w:t xml:space="preserve">tend to be more health-conscious </w:t>
      </w:r>
      <w:r w:rsidR="00836363" w:rsidRPr="000D3090">
        <w:rPr>
          <w:color w:val="222222"/>
        </w:rPr>
        <w:fldChar w:fldCharType="begin"/>
      </w:r>
      <w:r w:rsidR="001D1BB9" w:rsidRPr="000D3090">
        <w:rPr>
          <w:color w:val="222222"/>
        </w:rPr>
        <w:instrText xml:space="preserve"> ADDIN ZOTERO_ITEM CSL_CITATION {"citationID":"54w0ZKTk","properties":{"unsorted":true,"formattedCitation":"(Feraco et al., 2024; Maslak\\uc0\\u231{}\\uc0\\u305{} and S\\uc0\\u252{}r\\uc0\\u252{}c\\uc0\\u252{}, 2024)","plainCitation":"(Feraco et al., 2024; Maslakçı and Sürücü, 2024)","noteIndex":0},"citationItems":[{"id":3388,"uris":["http://zotero.org/groups/5345474/items/GXRSU8SS"],"itemData":{"id":3388,"type":"article-journal","abstract":"The relationship between food tastes, meal preferences, and eating habits has been studied extensively in recent years; however, research on gender differences in these fields still needs to be addressed. The aim of this study was to investigate gender differences in food preferences and eating habits through self-administered questionnaires in a large Italian population sample. The online survey included questions on food tastes, meal preferences, eating habits, and sport involvement.The results of the study underline significant gender-specific dietary tendencies among the 2198 participants (1314 females and 884 males, average age 41.1 ± 12.7 yrs). Our analysis reveals significant gender differences in dietary preferences and eating habits. Men prefer red and processed meat, with significantly higher consumption rates than women. Women, on the other hand, show a greater inclination towards vegetables, whole grains, tofu, and high-cocoa-content dark chocolate, aligning with healthier food choices. The study also found differences in eating behaviors, including the frequency of meals, snacking habits, and hunger pa erns: women tend to eat more frequently and report higher levels of hunger in the morning, while men tend to skip snacks. Furthermore, differences extend to eating contexts, such as the speed of eating, eating out, and eating alone, with men more likely to eat quickly and dine out. Episodes of uncontrolled eating without hunger also differ, with women reporting these behaviors more frequently than men. In addition, the analysis of sports preferences showed distinct pa erns, with a lower percentage of women playing sports and those who do play sports preferring endurance and strength training, while men prefer strength training and endurance sports.These findings elucidate the complex interplay of biological, cultural, and gender-based factors in shaping dietary preferences and eating behaviors. In particular, our study reveals that gender dynamics significantly influence food choice and eating habits: women tend to choose healthier foods and eat regular meals, while men show preferences for specific tastes and meal-related behaviors. Taken together, our results highlight the importance of integrating different perspectives, thus providing valuable insights into the development of public health strategies and tailored nutrition interventions aimed at chronic disease prevention.","container-title":"Frontiers in Nutrition","DOI":"10.3389/fnut.2024.1348456","ISSN":"2296-861X","journalAbbreviation":"Front. Nutr.","language":"English","note":"publisher: Frontiers","source":"Frontiers","title":"Assessing gender differences in food preferences and physical activity: a population-based survey","title-short":"Assessing gender differences in food preferences and physical activity","URL":"https://www.frontiersin.org/articles/10.3389/fnut.2024.1348456","volume":"11","author":[{"family":"Feraco","given":"Alessandra"},{"family":"Armani","given":"Andrea"},{"family":"Amoah","given":"Isaac"},{"family":"Guseva","given":"Elena"},{"family":"Camajani","given":"Elisabetta"},{"family":"Gorini","given":"Stefania"},{"family":"Strollo","given":"Rocky"},{"family":"Padua","given":"Elvira"},{"family":"Caprio","given":"Massimiliano"},{"family":"Lombardo","given":"Mauro"}],"accessed":{"date-parts":[["2024",6,1]]},"issued":{"date-parts":[["2024",2,20]]}}},{"id":3396,"uris":["http://zotero.org/groups/5345474/items/T4EHBIXH"],"itemData":{"id":3396,"type":"article-journal","abstract":"The fear of the COVID-19 pandemic is associated with negative effects on mental health. The study investigates depression, anxiety, and stress and their relationship to gender among hospitality sector employees in the USA during COVID-19. Fear has been one of the most common psychological responses in the population during the COVID-19 pandemic. The aim of this study is to examine its relationship with depression, anxiety, and stress to combat the fear of COVID-19 between the gender. The study was conducted using an online questionnaire. A sociodemographic data form, the Fear of COVID-19 scale, and the Depression, Anxiety and Stress Scale (DASS-21) were used for data collection. In total, 341 valid questionnaires were analyzed using SPSS version 24. The results showed that the fear of COVID-19 positively and significantly impacted stress (Coeff = .4992, 95% confidence interval (CI): .4409–.5575), anxiety (Coeff = .4825, 95% CI: .4245–.5405), and depression (Coeff = . 4601, 95% CI: .3992–.5210), and these effects differed according to gender. The effects of the fear of COVID-19 on stress and anxiety were higher in women compared with men. This cross-sectional study shows that the psychological effects of the fear of COVID-19 are more significant in women than in men. The study makes significant contributions to the literature in terms of showing the gender differences related to COVID-19 within the hospitality sector. Therefore, women should be prioritized in future psychiatric recovery plans.","container-title":"Trends in Psychology","DOI":"10.1007/s43076-022-00227-x","ISSN":"2358-1883","issue":"1","journalAbbreviation":"Trends in Psychol.","language":"en","page":"152-164","source":"Springer Link","title":"Gender Effects on Depression, Anxiety, and Stress Regarding the Fear of COVID-19","volume":"32","author":[{"family":"Maslakçı","given":"Ahmet"},{"family":"Sürücü","given":"Lütfi"}],"issued":{"date-parts":[["2024",3,1]]}}}],"schema":"https://github.com/citation-style-language/schema/raw/master/csl-citation.json"} </w:instrText>
      </w:r>
      <w:r w:rsidR="00836363" w:rsidRPr="000D3090">
        <w:rPr>
          <w:color w:val="222222"/>
        </w:rPr>
        <w:fldChar w:fldCharType="separate"/>
      </w:r>
      <w:r w:rsidR="001D1BB9" w:rsidRPr="000D3090">
        <w:t>(Feraco et al., 2024; Maslakçı and Sürücü, 2024)</w:t>
      </w:r>
      <w:r w:rsidR="00836363" w:rsidRPr="000D3090">
        <w:rPr>
          <w:color w:val="222222"/>
        </w:rPr>
        <w:fldChar w:fldCharType="end"/>
      </w:r>
      <w:r w:rsidR="00FD4C8F" w:rsidRPr="000D3090">
        <w:rPr>
          <w:color w:val="222222"/>
        </w:rPr>
        <w:t xml:space="preserve">. </w:t>
      </w:r>
      <w:r w:rsidR="00836363" w:rsidRPr="000D3090">
        <w:rPr>
          <w:color w:val="222222"/>
        </w:rPr>
        <w:t xml:space="preserve"> </w:t>
      </w:r>
      <w:r w:rsidR="00725221" w:rsidRPr="000D3090">
        <w:t>Men, in</w:t>
      </w:r>
      <w:r w:rsidR="001E7ADB" w:rsidRPr="000D3090">
        <w:t xml:space="preserve"> contrast</w:t>
      </w:r>
      <w:r w:rsidR="00725221" w:rsidRPr="000D3090">
        <w:t>,</w:t>
      </w:r>
      <w:r w:rsidR="00FE7FEF" w:rsidRPr="000D3090">
        <w:t xml:space="preserve"> seem to be more concerned with affordability</w:t>
      </w:r>
      <w:r w:rsidR="00B41317" w:rsidRPr="000D3090">
        <w:t xml:space="preserve"> relative to women, perhaps a </w:t>
      </w:r>
      <w:r w:rsidR="0025002F" w:rsidRPr="000D3090">
        <w:t>reflect</w:t>
      </w:r>
      <w:r w:rsidR="00B41317" w:rsidRPr="000D3090">
        <w:t xml:space="preserve">ion of </w:t>
      </w:r>
      <w:r w:rsidR="0025002F" w:rsidRPr="000D3090">
        <w:t>th</w:t>
      </w:r>
      <w:r w:rsidR="00FD4C8F" w:rsidRPr="000D3090">
        <w:t xml:space="preserve">e fact that </w:t>
      </w:r>
      <w:r w:rsidR="0025002F" w:rsidRPr="000D3090">
        <w:t xml:space="preserve">women </w:t>
      </w:r>
      <w:r w:rsidR="00CB52CE" w:rsidRPr="000D3090">
        <w:t>generally face more economic disadvantage</w:t>
      </w:r>
      <w:r w:rsidR="00FD4C8F" w:rsidRPr="000D3090">
        <w:t xml:space="preserve"> and </w:t>
      </w:r>
      <w:r w:rsidR="00CB52CE" w:rsidRPr="000D3090">
        <w:t>have less control over household finances</w:t>
      </w:r>
      <w:r w:rsidR="00B41317" w:rsidRPr="000D3090">
        <w:t xml:space="preserve">; </w:t>
      </w:r>
      <w:r w:rsidR="00CB52CE" w:rsidRPr="000D3090">
        <w:t xml:space="preserve">so </w:t>
      </w:r>
      <w:r w:rsidR="00B41317" w:rsidRPr="000D3090">
        <w:t xml:space="preserve">they may </w:t>
      </w:r>
      <w:r w:rsidR="00CB52CE" w:rsidRPr="000D3090">
        <w:t xml:space="preserve">adapt more </w:t>
      </w:r>
      <w:r w:rsidR="00B41317" w:rsidRPr="000D3090">
        <w:t xml:space="preserve">to the conditions surrounding their </w:t>
      </w:r>
      <w:r w:rsidR="001D51DA" w:rsidRPr="000D3090">
        <w:t>physical participation</w:t>
      </w:r>
      <w:r w:rsidR="00B41317" w:rsidRPr="000D3090">
        <w:t>, including greater</w:t>
      </w:r>
      <w:r w:rsidR="006C0BB1" w:rsidRPr="000D3090">
        <w:t xml:space="preserve"> use of shared and less expensive modes </w:t>
      </w:r>
      <w:r w:rsidR="006C0BB1" w:rsidRPr="000D3090">
        <w:fldChar w:fldCharType="begin"/>
      </w:r>
      <w:r w:rsidR="006C0BB1" w:rsidRPr="000D3090">
        <w:instrText xml:space="preserve"> ADDIN ZOTERO_ITEM CSL_CITATION {"citationID":"MhoEy07O","properties":{"formattedCitation":"(Kunieda and Gauthier, 2007; Priya Uteng and Turner, 2019)","plainCitation":"(Kunieda and Gauthier, 2007; Priya Uteng and Turner, 2019)","noteIndex":0},"citationItems":[{"id":3452,"uris":["http://zotero.org/users/12832277/items/CVJMT7WH"],"itemData":{"id":3452,"type":"chapter","container-title":"Sustainable Transport: A Sourcebook for Poliymakers in Developing Cities","publisher":"Federal Ministry for Economic Cooperation and Development","title":"Gender and Urban Transport: Smart and Affordable","author":[{"family":"Kunieda","given":"Mika"},{"family":"Gauthier","given":"Aimee"}],"issued":{"date-parts":[["2007",9]]}}},{"id":3449,"uris":["http://zotero.org/users/12832277/items/R73E3S8B"],"itemData":{"id":3449,"type":"article-journal","abstract":"The Millennium Development Goals (MDGs) specifies gender equality and sustainable development as their two central priorities. An area of critical importance for sustainable and gender-fair development is mobility and transport, which has so far been neglected and downplayed in research and policy making both at the national and global levels. Rooted in the history of the topic and the emerging ideas on smart, green and integrated transport, this paper presents a literature review of on gender and transport in the low- and middle-income countries. The paper presents a host of cross-cutting topics with a concentrated focus on spatial and transport planning. The paper further identifies existing research gaps and comments on the new conceptualizations on smart cities and smart mobilities in the Global South. Due attention is paid to intersections and synergies that can be created between different development sectors, emerging transport modes, data and modeling exercises, gender equality and sustainability.","container-title":"Sustainability","DOI":"10.3390/su11174555","ISSN":"2071-1050","issue":"17","language":"en","license":"http://creativecommons.org/licenses/by/3.0/","note":"number: 17\npublisher: Multidisciplinary Digital Publishing Institute","source":"www.mdpi.com","title":"Addressing the Linkages Between Gender and Transport in Low- and Middle-Income Countries","URL":"https://www.mdpi.com/2071-1050/11/17/4555","volume":"11","author":[{"family":"Priya Uteng","given":"Tanu"},{"family":"Turner","given":"Jeff"}],"accessed":{"date-parts":[["2024",6,6]]},"issued":{"date-parts":[["2019",1]]}}}],"schema":"https://github.com/citation-style-language/schema/raw/master/csl-citation.json"} </w:instrText>
      </w:r>
      <w:r w:rsidR="006C0BB1" w:rsidRPr="000D3090">
        <w:fldChar w:fldCharType="separate"/>
      </w:r>
      <w:r w:rsidR="006C0BB1" w:rsidRPr="000D3090">
        <w:t>(Kunieda and Gauthier, 2007; Priya Uteng and Turner, 2019)</w:t>
      </w:r>
      <w:r w:rsidR="006C0BB1" w:rsidRPr="000D3090">
        <w:fldChar w:fldCharType="end"/>
      </w:r>
      <w:r w:rsidR="00CB52CE" w:rsidRPr="000D3090">
        <w:t xml:space="preserve">. </w:t>
      </w:r>
      <w:r w:rsidR="00FD4C8F" w:rsidRPr="000D3090">
        <w:t xml:space="preserve">On the other hand, </w:t>
      </w:r>
      <w:r w:rsidR="00CB52CE" w:rsidRPr="000D3090">
        <w:t xml:space="preserve">men, who have more financial control, </w:t>
      </w:r>
      <w:r w:rsidR="00FD4C8F" w:rsidRPr="000D3090">
        <w:t xml:space="preserve">may </w:t>
      </w:r>
      <w:r w:rsidR="00B41317" w:rsidRPr="000D3090">
        <w:t>perceive greater lack of affordability because of higher expectations of what they believe the transportation system should provide</w:t>
      </w:r>
      <w:r w:rsidR="00690F4D" w:rsidRPr="000D3090">
        <w:t xml:space="preserve"> to accommodate their more expensive travel “needs</w:t>
      </w:r>
      <w:r w:rsidR="006C0BB1" w:rsidRPr="000D3090">
        <w:t>,</w:t>
      </w:r>
      <w:r w:rsidR="00690F4D" w:rsidRPr="000D3090">
        <w:t>”</w:t>
      </w:r>
      <w:r w:rsidR="00B41317" w:rsidRPr="000D3090">
        <w:t xml:space="preserve"> including </w:t>
      </w:r>
      <w:r w:rsidR="00690F4D" w:rsidRPr="000D3090">
        <w:t xml:space="preserve">the </w:t>
      </w:r>
      <w:r w:rsidR="00B41317" w:rsidRPr="000D3090">
        <w:t>use of private vehicles</w:t>
      </w:r>
      <w:r w:rsidR="00690F4D" w:rsidRPr="000D3090">
        <w:t xml:space="preserve"> for much of their travel</w:t>
      </w:r>
      <w:r w:rsidR="00B41317" w:rsidRPr="000D3090">
        <w:t xml:space="preserve">. </w:t>
      </w:r>
      <w:r w:rsidR="00752203" w:rsidRPr="000D3090">
        <w:t xml:space="preserve">Older </w:t>
      </w:r>
      <w:r w:rsidR="00752203" w:rsidRPr="000D3090">
        <w:lastRenderedPageBreak/>
        <w:t>individuals also tend to experience more</w:t>
      </w:r>
      <w:r w:rsidR="00FD4C8F" w:rsidRPr="000D3090">
        <w:t xml:space="preserve"> PPD</w:t>
      </w:r>
      <w:r w:rsidR="00752203" w:rsidRPr="000D3090">
        <w:t>, due in large part to health problems and concerns about COVID</w:t>
      </w:r>
      <w:r w:rsidR="00690F4D" w:rsidRPr="000D3090">
        <w:t>. This may be explained by</w:t>
      </w:r>
      <w:r w:rsidR="00FD4C8F" w:rsidRPr="000D3090">
        <w:t xml:space="preserve"> </w:t>
      </w:r>
      <w:r w:rsidR="00690F4D" w:rsidRPr="000D3090">
        <w:t xml:space="preserve">their </w:t>
      </w:r>
      <w:r w:rsidR="00FD4C8F" w:rsidRPr="000D3090">
        <w:t xml:space="preserve">increasing physical frailty and </w:t>
      </w:r>
      <w:r w:rsidR="00690F4D" w:rsidRPr="000D3090">
        <w:t xml:space="preserve">their higher </w:t>
      </w:r>
      <w:r w:rsidR="00FD4C8F" w:rsidRPr="000D3090">
        <w:t xml:space="preserve">likelihood of </w:t>
      </w:r>
      <w:r w:rsidR="00690F4D" w:rsidRPr="000D3090">
        <w:t xml:space="preserve">actually </w:t>
      </w:r>
      <w:r w:rsidR="00FD4C8F" w:rsidRPr="000D3090">
        <w:t>contractin</w:t>
      </w:r>
      <w:r w:rsidR="00690F4D" w:rsidRPr="000D3090">
        <w:t xml:space="preserve">g </w:t>
      </w:r>
      <w:r w:rsidR="00FD4C8F" w:rsidRPr="000D3090">
        <w:t xml:space="preserve">contagious illnesses </w:t>
      </w:r>
      <w:r w:rsidR="007F2389" w:rsidRPr="000D3090">
        <w:fldChar w:fldCharType="begin"/>
      </w:r>
      <w:r w:rsidR="007F2389" w:rsidRPr="000D3090">
        <w:instrText xml:space="preserve"> ADDIN ZOTERO_ITEM CSL_CITATION {"citationID":"03zKW2Mw","properties":{"formattedCitation":"(Roe et al., 2021)","plainCitation":"(Roe et al., 2021)","noteIndex":0},"citationItems":[{"id":2909,"uris":["http://zotero.org/users/12832277/items/YYN43EDS"],"itemData":{"id":2909,"type":"article-journal","abstract":"Coronavirus disease 2019 (COVID-19) has produced considerable morbidity and mortality worldwide, and older adults are at especially high risk for developing severe COVID-19. A cohort study of driving behavior from January 1, 2019, to April 25, 2019, and January 1, 2020, to April 25, 2020, was conducted. We hypothesized that older adults would reduce the number of days driving and number of trips/day they make after COVID-19 case acceleration. Data from 214 adults aged 66.5 to 92.8 years were used. Women comprised 47.6% of the sample and 15.4% were African American. Participants reduced the proportion of days driven during the pandemic (.673 vs. .382 [p &lt; .001]) compared with same period the year before (.695 vs. .749). Trips/day showed a similar decline (p &lt; .001). Participants also took shorter trips (p = .02), drove slower (p &lt; .001), had fewer speeding incidents (p &lt; .001), and had different trip destinations (p &lt; .001). These results indicate that older adults reduce their driving behavior when faced with a pandemic.","container-title":"Journal of Applied Gerontology","DOI":"10.1177/0733464820966516","ISSN":"0733-4648","issue":"3","language":"en","note":"publisher: SAGE Publications Inc","page":"263-267","source":"SAGE Journals","title":"Reaction to a Pandemic: Social Distancing and Driving Among Older Adults During COVID-19","volume":"40","author":[{"family":"Roe","given":"Catherine M."},{"family":"Rosnick","given":"Christopher B."},{"family":"Colletta","given":"Angela"},{"family":"Babulal","given":"Ganesh M."}],"issued":{"date-parts":[["2021",3,1]]}}}],"schema":"https://github.com/citation-style-language/schema/raw/master/csl-citation.json"} </w:instrText>
      </w:r>
      <w:r w:rsidR="007F2389" w:rsidRPr="000D3090">
        <w:fldChar w:fldCharType="separate"/>
      </w:r>
      <w:r w:rsidR="007F2389" w:rsidRPr="000D3090">
        <w:t>(Roe et al., 2021)</w:t>
      </w:r>
      <w:r w:rsidR="007F2389" w:rsidRPr="000D3090">
        <w:fldChar w:fldCharType="end"/>
      </w:r>
      <w:r w:rsidR="007F2389" w:rsidRPr="000D3090">
        <w:t xml:space="preserve">. </w:t>
      </w:r>
      <w:r w:rsidR="006E1C29" w:rsidRPr="000D3090">
        <w:t xml:space="preserve">Reliability and time-related considerations are less of an issue for older adults, particularly individuals 55+ years of age. </w:t>
      </w:r>
    </w:p>
    <w:p w14:paraId="00AD89F7" w14:textId="14A4BA5A" w:rsidR="000A7721" w:rsidRPr="000D3090" w:rsidRDefault="003923CA" w:rsidP="0092299E">
      <w:pPr>
        <w:pStyle w:val="ListParagraph"/>
        <w:spacing w:after="0" w:line="240" w:lineRule="auto"/>
        <w:ind w:left="0" w:firstLine="720"/>
        <w:jc w:val="both"/>
      </w:pPr>
      <w:r w:rsidRPr="000D3090">
        <w:t xml:space="preserve">While </w:t>
      </w:r>
      <w:r w:rsidR="00A12F4A" w:rsidRPr="000D3090">
        <w:t xml:space="preserve">those employed are no different than those retired or unemployed in terms of experiencing PPD, employed individuals are more likely to </w:t>
      </w:r>
      <w:r w:rsidR="00010501" w:rsidRPr="000D3090">
        <w:t xml:space="preserve">identify “no time” as </w:t>
      </w:r>
      <w:r w:rsidR="006E1C29" w:rsidRPr="000D3090">
        <w:t xml:space="preserve">a </w:t>
      </w:r>
      <w:r w:rsidR="00010501" w:rsidRPr="000D3090">
        <w:t xml:space="preserve">reason </w:t>
      </w:r>
      <w:r w:rsidR="006E1C29" w:rsidRPr="000D3090">
        <w:t xml:space="preserve">for </w:t>
      </w:r>
      <w:r w:rsidR="00010501" w:rsidRPr="000D3090">
        <w:t>PPD, presumably due to space-</w:t>
      </w:r>
      <w:r w:rsidR="009818DF" w:rsidRPr="000D3090">
        <w:t>time</w:t>
      </w:r>
      <w:r w:rsidR="002212B3" w:rsidRPr="000D3090">
        <w:t xml:space="preserve"> </w:t>
      </w:r>
      <w:r w:rsidR="009818DF" w:rsidRPr="000D3090">
        <w:t>constraints from work schedules</w:t>
      </w:r>
      <w:r w:rsidR="006E1C29" w:rsidRPr="000D3090">
        <w:t>.</w:t>
      </w:r>
      <w:r w:rsidR="009818DF" w:rsidRPr="000D3090">
        <w:t xml:space="preserve"> </w:t>
      </w:r>
      <w:r w:rsidR="006E1C29" w:rsidRPr="000D3090">
        <w:t>R</w:t>
      </w:r>
      <w:r w:rsidR="008F7FD2" w:rsidRPr="000D3090">
        <w:t>etired individuals</w:t>
      </w:r>
      <w:r w:rsidR="006E1C29" w:rsidRPr="000D3090">
        <w:t>, not surprisingly, are less concerned about reliability, though</w:t>
      </w:r>
      <w:r w:rsidR="008F7FD2" w:rsidRPr="000D3090">
        <w:t xml:space="preserve"> </w:t>
      </w:r>
      <w:r w:rsidR="00931E2D" w:rsidRPr="000D3090">
        <w:t xml:space="preserve">report experiencing </w:t>
      </w:r>
      <w:r w:rsidR="00010501" w:rsidRPr="000D3090">
        <w:t xml:space="preserve">PPD </w:t>
      </w:r>
      <w:r w:rsidR="008F7FD2" w:rsidRPr="000D3090">
        <w:t xml:space="preserve">due to </w:t>
      </w:r>
      <w:r w:rsidR="00010501" w:rsidRPr="000D3090">
        <w:t>“health problems</w:t>
      </w:r>
      <w:r w:rsidR="006C0BB1" w:rsidRPr="000D3090">
        <w:t>,</w:t>
      </w:r>
      <w:r w:rsidR="00010501" w:rsidRPr="000D3090">
        <w:t>”</w:t>
      </w:r>
      <w:r w:rsidR="008F7FD2" w:rsidRPr="000D3090">
        <w:t xml:space="preserve"> likely due to physical mobility constraints</w:t>
      </w:r>
      <w:r w:rsidR="006E1C29" w:rsidRPr="000D3090">
        <w:t xml:space="preserve"> </w:t>
      </w:r>
      <w:r w:rsidR="008F7FD2" w:rsidRPr="000D3090">
        <w:t>limit</w:t>
      </w:r>
      <w:r w:rsidR="006E1C29" w:rsidRPr="000D3090">
        <w:t>ing</w:t>
      </w:r>
      <w:r w:rsidR="008F7FD2" w:rsidRPr="000D3090">
        <w:t xml:space="preserve"> </w:t>
      </w:r>
      <w:r w:rsidR="006C0BB1" w:rsidRPr="000D3090">
        <w:t xml:space="preserve">their </w:t>
      </w:r>
      <w:r w:rsidR="008F7FD2" w:rsidRPr="000D3090">
        <w:t xml:space="preserve">travel alternatives </w:t>
      </w:r>
      <w:r w:rsidR="008F7FD2" w:rsidRPr="000D3090">
        <w:fldChar w:fldCharType="begin"/>
      </w:r>
      <w:r w:rsidR="007C3A08" w:rsidRPr="000D3090">
        <w:instrText xml:space="preserve"> ADDIN ZOTERO_ITEM CSL_CITATION {"citationID":"LStc3NTd","properties":{"formattedCitation":"(Dabelko-Schoeny et al., 2021)","plainCitation":"(Dabelko-Schoeny et al., 2021)","noteIndex":0},"citationItems":[{"id":2491,"uris":["http://zotero.org/users/12832277/items/87FBAERG"],"itemData":{"id":2491,"type":"article-journal","abstract":"Introduction\nTransportation plays an important role in the social connectedness and quality of life among older adults (Black et al., 2015). Despite the increasing number of culturally and linguistically diverse older adults in the U.S. (Scommegna, 2016), studies that comprehensively investigate factors influencing their transportation use are sparse and fragmented.\nMethods\nGuided by the socio-ecological lens, we explored multi-level barriers and facilitators of transportation among diverse older adults with a specific focus on older immigrants and refugees living in a Midwestern U.S. metropolitan city. The research team conducted eight 90-min focus groups in six languages (English, Nepali, Khmer, Somali, Russian and Mandarin) with diverse older volunteers N = 70 (Male = 40%, Women = 60%). The mean age of participants was 76.81 (SD = 8.51). Data analysis followed the Rapid and Rigorous Qualitative Data Analysis (RADaR) technique (Watkins, 2017) and thematic analysis (Nowell et al., 2017) with an interactive team approach.\nResults\nFour major transportation determinants emerged: (1) transportation service: affordability, accessibility, availability and acceptability, lack of transportation options, service coordination; (2) built environment: safety and walkability; (3) social environment: language barriers and lack of information; and (4) individual attributes: being able to drive, walk, and “ask someone for a ride”.\nConclusion\nThe interconnectedness of multi-level determinants provides implications for a systematic approach to improving transportation services for diverse older adults supporting a more age-friendly community.","container-title":"Journal of Transport &amp; Health","DOI":"10.1016/j.jth.2020.100994","ISSN":"2214-1405","source":"ScienceDirect","title":"“We Want to Go, but There Are No Options”: Exploring Barriers and Facilitators of Transportation Among Diverse Older Adults","URL":"https://www.sciencedirect.com/science/article/pii/S2214140520301985","volume":"20","author":[{"family":"Dabelko-Schoeny","given":"Holly"},{"family":"Maleku","given":"Arati"},{"family":"Cao","given":"Qiuchang"},{"family":"White","given":"Katie"},{"family":"Ozbilen","given":"Basar"}],"accessed":{"date-parts":[["2024",2,15]]},"issued":{"date-parts":[["2021",3,1]]}}}],"schema":"https://github.com/citation-style-language/schema/raw/master/csl-citation.json"} </w:instrText>
      </w:r>
      <w:r w:rsidR="008F7FD2" w:rsidRPr="000D3090">
        <w:fldChar w:fldCharType="separate"/>
      </w:r>
      <w:r w:rsidR="007C3A08" w:rsidRPr="000D3090">
        <w:t>(Dabelko-Schoeny et al., 2021)</w:t>
      </w:r>
      <w:r w:rsidR="008F7FD2" w:rsidRPr="000D3090">
        <w:fldChar w:fldCharType="end"/>
      </w:r>
      <w:r w:rsidR="008F7FD2" w:rsidRPr="000D3090">
        <w:t xml:space="preserve">. </w:t>
      </w:r>
      <w:r w:rsidR="006E1C29" w:rsidRPr="000D3090">
        <w:t xml:space="preserve">In terms of race effects, </w:t>
      </w:r>
      <w:r w:rsidR="00865322" w:rsidRPr="000D3090">
        <w:t>individuals identifying as non-white report more PPD than those identifying as white, attributing the PPD to transportation unreliability, poor destination access, and COVID concerns. These results align with the existing literature showing that minority racial groups, particularly Black Americans, face significant</w:t>
      </w:r>
      <w:r w:rsidR="001E7ADB" w:rsidRPr="000D3090">
        <w:t>ly more</w:t>
      </w:r>
      <w:r w:rsidR="00865322" w:rsidRPr="000D3090">
        <w:t xml:space="preserve"> economic and temporal constraints, live in areas with less developed transportation infrastructure, are more likely to use public transportation, and have increased safety concerns largely related to discrimination and policing </w:t>
      </w:r>
      <w:r w:rsidR="00865322" w:rsidRPr="000D3090">
        <w:fldChar w:fldCharType="begin"/>
      </w:r>
      <w:r w:rsidR="001D1BB9" w:rsidRPr="000D3090">
        <w:instrText xml:space="preserve"> ADDIN ZOTERO_ITEM CSL_CITATION {"citationID":"LMuVQkUb","properties":{"formattedCitation":"(Barajas, 2021; Haddad et al., 2023)","plainCitation":"(Barajas, 2021; Haddad et al., 2023)","noteIndex":0},"citationItems":[{"id":2414,"uris":["http://zotero.org/users/12832277/items/IMNMKRME"],"itemData":{"id":2414,"type":"article-journal","abstract":"This study asks whether deficiencies in transportation are associated with disproportionate policing in Chicago using the case of cycling. I examine how the number of bicycle citations issued per street segment are influenced by the availability of bicycle facilities and street characteristics, controlling for crash incidence, police presence, and neighborhood characteristics. Tickets were issued 8 times more often per capita in majority Black tracts and 3 times more often in majority Latino tracts compared to majority white tracts. More tickets were issued on major streets, but up to 85% fewer were issued when those streets had bike facilities, which were less prevalent in Black and Latino neighborhoods. Tickets were not associated with bicycle injury-crashes and inversely associated with vehicle injury-crashes. Infrastructure inequities compound the effects of racially-biased policing in the context of transportation safety strategies. Remedies include the removal of traffic enforcement from safe systems strategies and equitable investment in cycling.","container-title":"Transportation Research Part D: Transport and Environment","DOI":"10.1016/j.trd.2021.103027","ISSN":"1361-9209","page":"103027","source":"ScienceDirect","title":"Biking Where Black: Connecting Transportation Planning and Infrastructure to Disproportionate Policing","volume":"99","author":[{"family":"Barajas","given":"Jesus M."}],"issued":{"date-parts":[["2021",10,1]]}}},{"id":3546,"uris":["http://zotero.org/users/12832277/items/DNAGXHV3"],"itemData":{"id":3546,"type":"article-journal","abstract":"In this paper, we unpack the magnitude effects of the determinants of pedestrian crashes using a multivariate analysis approach. We consider four sets of exogenous factors that characterize residential neighborhoods as well as potentially affect pedestrian crashes and the racial composition of such crashes: (1) crash risk exposure (CE) attributes, (2) cultural variables, (3) built environment (BE) features, and (4) sociodemographic (SD) factors. Our investigation uses pedestrian crash and related data from the City of Houston, Texas, which we analyze at the spatial Census Block Group (CBG) level. Our results indicate that social resistance considerations (that is, minorities resisting norms as they are perceived as being set by the majority group), density of transit stops, and road design considerations (in particular in and around areas with high land-use diversity) are the three strongest determinants of pedestrian crashes, particularly in CBGs with a majority of the resident population being Black. The findings of this study can enable policymakers and planners to develop more effective countermeasures and interventions to contain the growing number of pedestrian crashes in recent years, as well as racial disparities in pedestrian crashes. Importantly, transportation safety engineers need to work with social scientists and engage with community leaders to build trust before leaping into implementing planning countermeasures and interventions. Issues of social resistance, in particular, need to be kept in mind.","container-title":"Accident Analysis &amp; Prevention","DOI":"10.1016/j.aap.2023.106954","ISSN":"0001-4575","journalAbbreviation":"Accident Analysis &amp; Prevention","source":"ScienceDirect","title":"Pedestrian Crash Frequency: Unpacking the Effects of Contributing Factors and Racial Disparities","title-short":"Pedestrian Crash Frequency","URL":"https://www.sciencedirect.com/science/article/pii/S0001457523000015","volume":"182","author":[{"family":"Haddad","given":"Angela J."},{"family":"Mondal","given":"Aupal"},{"family":"Bhat","given":"Chandra R."},{"family":"Zhang","given":"Angie"},{"family":"Liao","given":"Madison C."},{"family":"Macias","given":"Lisa J."},{"family":"Lee","given":"Min Kyung"},{"family":"Watkins","given":"S. Craig"}],"accessed":{"date-parts":[["2024",6,23]]},"issued":{"date-parts":[["2023",3,1]]}}}],"schema":"https://github.com/citation-style-language/schema/raw/master/csl-citation.json"} </w:instrText>
      </w:r>
      <w:r w:rsidR="00865322" w:rsidRPr="000D3090">
        <w:fldChar w:fldCharType="separate"/>
      </w:r>
      <w:r w:rsidR="001D1BB9" w:rsidRPr="000D3090">
        <w:t>(Barajas, 2021; Haddad et al., 2023)</w:t>
      </w:r>
      <w:r w:rsidR="00865322" w:rsidRPr="000D3090">
        <w:fldChar w:fldCharType="end"/>
      </w:r>
      <w:r w:rsidR="00865322" w:rsidRPr="000D3090">
        <w:t xml:space="preserve">. </w:t>
      </w:r>
      <w:bookmarkStart w:id="13" w:name="_Hlk197176322"/>
      <w:r w:rsidR="000A7721" w:rsidRPr="000D3090">
        <w:t xml:space="preserve">As far as educational attainment, those with higher levels of formal education are predisposed more to PPD, largely due to transportation systems being “not clean,” having “no time,” and being COVID contagion concerned. These PPD reasons reflect broad trends of greater health concern and more time constraints among those with high formal education </w:t>
      </w:r>
      <w:r w:rsidR="000A7721" w:rsidRPr="000D3090">
        <w:fldChar w:fldCharType="begin"/>
      </w:r>
      <w:r w:rsidR="000A7721" w:rsidRPr="000D3090">
        <w:instrText xml:space="preserve"> ADDIN ZOTERO_ITEM CSL_CITATION {"citationID":"qo06KP5p","properties":{"formattedCitation":"(Jacobs and Burch, 2021)","plainCitation":"(Jacobs and Burch, 2021)","noteIndex":0},"citationItems":[{"id":2921,"uris":["http://zotero.org/users/12832277/items/EBLTB9NC"],"itemData":{"id":2921,"type":"article-journal","abstract":"Background\nIn addition to the threat of serious illness, COVID-19 brought abrupt changes in lifestyle resulting in widespread fear among many Americans. This study examines the evolution of anxiety over the first months of the COVID-19 pandemic, testing for differential experiences among vulnerable populations.\nMethods\nPhase 1 of the Census Bureau's Household Pulse Survey details the frequency of anxiety among a nationally representative sample of adults from April 23, 2020 through July 21, 2020. Negative binomial regression assessed differences in the frequency of anxiety among demographic, income, health and employment status cohorts. Propensity score matching to the 2019 National Health Interview Survey allowed previous anxiety and health status to be included in the model.\nResults\nAnxiety frequency for 944,719 individuals was observed over three months. Whites, blacks and Hispanics showed increasing frequency of anxiety over the time period, particularly blacks. Prior to COVID-19, 13% of respondents reported regular or semiregular anxiety, compared to 25–35% during the pandemic. Regression analysis suggests that frequent anxiety was highly and positively correlated with COVID-19 case fatality rate and higher levels of frequency were observed among those with poor health, incomes below $25,000, and without paid employment.\nLimitations\nCausal inference was not able to be investigated due to the cross-sectional study design.\nConclusions\nWhile blacks showed lower levels of anxiety initially, the proportion of the population experiencing regular anxiety increased nearly 20% over the first months of the COVID-19 pandemic. This rapid increase in anxiety could be due to inequity in health and economic outcomes among blacks.","container-title":"Journal of Affective Disorders","DOI":"10.1016/j.jad.2021.05.027","ISSN":"0165-0327","page":"58-66","source":"ScienceDirect","title":"Anxiety During the Pandemic: Racial and Ethnic Differences in the Trajectory of Fear","volume":"292","author":[{"family":"Jacobs","given":"Molly"},{"family":"Burch","given":"Ashley E."}],"issued":{"date-parts":[["2021",9,1]]}}}],"schema":"https://github.com/citation-style-language/schema/raw/master/csl-citation.json"} </w:instrText>
      </w:r>
      <w:r w:rsidR="000A7721" w:rsidRPr="000D3090">
        <w:fldChar w:fldCharType="separate"/>
      </w:r>
      <w:r w:rsidR="000A7721" w:rsidRPr="000D3090">
        <w:t>(Jacobs and Burch, 2021)</w:t>
      </w:r>
      <w:r w:rsidR="000A7721" w:rsidRPr="000D3090">
        <w:fldChar w:fldCharType="end"/>
      </w:r>
      <w:r w:rsidR="000A7721" w:rsidRPr="000D3090">
        <w:t xml:space="preserve">. At the same time, this result contrasts with existing research </w:t>
      </w:r>
      <w:r w:rsidR="000A7721" w:rsidRPr="000D3090">
        <w:fldChar w:fldCharType="begin"/>
      </w:r>
      <w:r w:rsidR="000A7721" w:rsidRPr="000D3090">
        <w:instrText xml:space="preserve"> ADDIN ZOTERO_ITEM CSL_CITATION {"citationID":"I27vqT8i","properties":{"formattedCitation":"(Brown, 2017; Xiao et al., 2018)","plainCitation":"(Brown, 2017; Xiao et al., 2018)","noteIndex":0},"citationItems":[{"id":2206,"uris":["http://zotero.org/users/12832277/items/NQUIR5VR"],"itemData":{"id":2206,"type":"article-journal","abstract":"Transportation professionals have long identified the important division between choice and constraint in modal decision-making. However, while heterogeneity within some modal groups such as transit riders is well documented, intragroup differences in other groups have been largely ignored. In particular, significant heterogeneity exists among zero-car households, who may not own a car due to choice (car-free) or constraint (car-less). Recognition of intragroup heterogeneity among zero-car households yields policy implications as cities consider where to invest their ever more precious and more limited transportation resources. Using activity diary data from the 2012 California Household Travel Survey, I investigate two research questions: first, how do car-less households compare to car-free households in terms of both their socioeconomic characteristics and their relative share of zero-car households? Second, how do motivations behind not owning a car translate into mobility differences - including daily trip counts and miles traveled? I find that, contrary to media reports that the number of car-free households—that is, households that choose not to own a car—is “booming”, 79 percent of zero-car households do not own a car because of economic or physical constraints. Car-less households in many ways mirror the captive transit population, in that they have significantly lower household incomes, lower educational attainments, and are disproportionately non-white compared to car-free households. Observed socioeconomic variations translate into mobility differences, with car-free travelers taking more trips and traveling more miles per day. Policy makers should consider extending access to carshare services, which are positively associated with more trips and miles traveled among both car-free and car-less households.","container-title":"Transport Policy","DOI":"10.1016/j.tranpol.2017.09.016","ISSN":"0967-070X","page":"152-159","source":"ScienceDirect","title":"Car-Less or Car-Free? Socioeconomic and Mobility Differences Among Zero-Car Households","volume":"60","author":[{"family":"Brown","given":"Anne E."}],"issued":{"date-parts":[["2017",11,1]]}}},{"id":4320,"uris":["http://zotero.org/users/12832277/items/37E2CSGF"],"itemData":{"id":4320,"type":"article-journal","abstract":"Transportation disadvantage refers to the barriers to or limits on the participation in daily socioeconomic and political life due to the reduced physical accessibility to services and opportunities. The transportation disadvantaged groups not only face the problems of social exclusion in location, but also experience greater exposure to a diversity of social and environmental threat. Under this context, identifying the transportation disadvantaged neighborhoods is of great interest for urban planners. This paper examines the transportation disadvantage in association with neighborhood sociodemographics in Shenzhen, China. A set of multidimensional indicators are initially selected to measure the transportation disadvantage (physical conditions, public transport services, education opportunity, employment opportunity, medical care opportunity, food opportunity, and commercial opportunity). Based on these indicators, principal component analysis produces four composite indicators of different types of transportation disadvantage: transportation disadvantage in physical infrastructure and public services, transportation disadvantage in food and education accessibility, transportation disadvantage in medical care accessibility, and transportation disadvantage in commercial and employment accessibility. In space, the transportation disadvantaged neighborhoods are generally located in the outskirts. Transportation disadvantage is more likely to be observed in neighborhoods that are economically, educationally, residentially and occupationally disadvantaged. These findings reveal significant inequalities in transportation opportunity.","container-title":"Social Indicators Research","DOI":"10.1007/s11205-017-1616-2","ISSN":"1573-0921","issue":"1","language":"en","page":"29-43","source":"Springer Link","title":"Transportation Disadvantage and Neighborhood Sociodemographics: A Composite Indicator Approach to Examining Social Inequalities","volume":"137","author":[{"family":"Xiao","given":"Rui"},{"family":"Wang","given":"Guofeng"},{"family":"Wang","given":"Meng"}],"issued":{"date-parts":[["2018",5,1]]}}}],"schema":"https://github.com/citation-style-language/schema/raw/master/csl-citation.json"} </w:instrText>
      </w:r>
      <w:r w:rsidR="000A7721" w:rsidRPr="000D3090">
        <w:fldChar w:fldCharType="separate"/>
      </w:r>
      <w:r w:rsidR="000A7721" w:rsidRPr="000D3090">
        <w:t>(Brown, 2017; Xiao et al., 2018)</w:t>
      </w:r>
      <w:r w:rsidR="000A7721" w:rsidRPr="000D3090">
        <w:fldChar w:fldCharType="end"/>
      </w:r>
      <w:r w:rsidR="000A7721" w:rsidRPr="000D3090">
        <w:t xml:space="preserve"> observing that individuals with lower levels of formal educational attainment face more significant transportation challenges compared to those with higher levels of formal educational attainment. Taken together, our result suggests that individuals with lower levels of educational attainment reduce their travel expectations due to travel constraints, thus reducing their PPD even if they experience more transportation challenges </w:t>
      </w:r>
      <w:r w:rsidR="000A7721" w:rsidRPr="000D3090">
        <w:fldChar w:fldCharType="begin"/>
      </w:r>
      <w:r w:rsidR="000A7721" w:rsidRPr="000D3090">
        <w:instrText xml:space="preserve"> ADDIN ZOTERO_ITEM CSL_CITATION {"citationID":"WxDiEMhl","properties":{"formattedCitation":"(Har-Tal and Martens, 2025)","plainCitation":"(Har-Tal and Martens, 2025)","noteIndex":0},"citationItems":[{"id":4318,"uris":["http://zotero.org/users/12832277/items/IQ6E4TMP"],"itemData":{"id":4318,"type":"paper-conference","event-place":"Da Nang, Vietnam","event-title":"13th International Conference on Transport Survey Methods (ISCTSC)","publisher-place":"Da Nang, Vietnam","title":"Measuring Travel Problems: Towards a More Robust Measurement Tool","author":[{"family":"Har-Tal","given":"Ilana"},{"family":"Martens","given":"Karel"}],"issued":{"date-parts":[["2025",4]]}}}],"schema":"https://github.com/citation-style-language/schema/raw/master/csl-citation.json"} </w:instrText>
      </w:r>
      <w:r w:rsidR="000A7721" w:rsidRPr="000D3090">
        <w:fldChar w:fldCharType="separate"/>
      </w:r>
      <w:r w:rsidR="000A7721" w:rsidRPr="000D3090">
        <w:t>(Har-Tal and Martens, 2025)</w:t>
      </w:r>
      <w:r w:rsidR="000A7721" w:rsidRPr="000D3090">
        <w:fldChar w:fldCharType="end"/>
      </w:r>
      <w:r w:rsidR="000A7721" w:rsidRPr="000D3090">
        <w:t>.</w:t>
      </w:r>
    </w:p>
    <w:bookmarkEnd w:id="13"/>
    <w:p w14:paraId="14ECBEDC" w14:textId="478442B3" w:rsidR="00F43F62" w:rsidRPr="000D3090" w:rsidRDefault="00F27478" w:rsidP="00502EEE">
      <w:pPr>
        <w:spacing w:after="0" w:line="240" w:lineRule="auto"/>
        <w:ind w:firstLine="720"/>
        <w:jc w:val="both"/>
      </w:pPr>
      <w:r w:rsidRPr="000D3090">
        <w:t>Finally</w:t>
      </w:r>
      <w:r w:rsidR="004F3BBC" w:rsidRPr="000D3090">
        <w:t xml:space="preserve">, individuals without </w:t>
      </w:r>
      <w:r w:rsidR="00931E2D" w:rsidRPr="000D3090">
        <w:t xml:space="preserve">a </w:t>
      </w:r>
      <w:r w:rsidR="004F3BBC" w:rsidRPr="000D3090">
        <w:t>driver’s license</w:t>
      </w:r>
      <w:r w:rsidR="001E7ADB" w:rsidRPr="000D3090">
        <w:t>,</w:t>
      </w:r>
      <w:r w:rsidR="004F3BBC" w:rsidRPr="000D3090">
        <w:t xml:space="preserve"> and those who have medical conditions that hinder their travel</w:t>
      </w:r>
      <w:r w:rsidR="001E7ADB" w:rsidRPr="000D3090">
        <w:t>,</w:t>
      </w:r>
      <w:r w:rsidR="004F3BBC" w:rsidRPr="000D3090">
        <w:t xml:space="preserve"> experience more </w:t>
      </w:r>
      <w:r w:rsidR="00931E2D" w:rsidRPr="000D3090">
        <w:t>PPD</w:t>
      </w:r>
      <w:r w:rsidR="004F3BBC" w:rsidRPr="000D3090">
        <w:t xml:space="preserve">, reflecting the burdens of the travel constraints these groups face. </w:t>
      </w:r>
      <w:r w:rsidR="00F43F62" w:rsidRPr="000D3090">
        <w:t>Respondents</w:t>
      </w:r>
      <w:r w:rsidR="00931E2D" w:rsidRPr="000D3090">
        <w:t xml:space="preserve"> without a </w:t>
      </w:r>
      <w:r w:rsidR="00F43F62" w:rsidRPr="000D3090">
        <w:t>driver</w:t>
      </w:r>
      <w:r w:rsidR="00931E2D" w:rsidRPr="000D3090">
        <w:t>’s license</w:t>
      </w:r>
      <w:r w:rsidR="00F43F62" w:rsidRPr="000D3090">
        <w:t xml:space="preserve"> </w:t>
      </w:r>
      <w:r w:rsidR="00931E2D" w:rsidRPr="000D3090">
        <w:t xml:space="preserve">are </w:t>
      </w:r>
      <w:r w:rsidR="00F43F62" w:rsidRPr="000D3090">
        <w:t>less likely to attribute</w:t>
      </w:r>
      <w:r w:rsidR="00F57FF8" w:rsidRPr="000D3090">
        <w:t xml:space="preserve"> </w:t>
      </w:r>
      <w:r w:rsidR="00931E2D" w:rsidRPr="000D3090">
        <w:t xml:space="preserve">PPD </w:t>
      </w:r>
      <w:r w:rsidR="00F57FF8" w:rsidRPr="000D3090">
        <w:t xml:space="preserve">to </w:t>
      </w:r>
      <w:r w:rsidR="00F43F62" w:rsidRPr="000D3090">
        <w:t>health factors, instead citing time constraint</w:t>
      </w:r>
      <w:r w:rsidR="00931E2D" w:rsidRPr="000D3090">
        <w:t>s</w:t>
      </w:r>
      <w:r w:rsidR="00F43F62" w:rsidRPr="000D3090">
        <w:t xml:space="preserve">. </w:t>
      </w:r>
      <w:r w:rsidRPr="000D3090">
        <w:t>These individuals</w:t>
      </w:r>
      <w:r w:rsidR="00F43F62" w:rsidRPr="000D3090">
        <w:t xml:space="preserve"> are more reliant on rides from others, active modes, and public tran</w:t>
      </w:r>
      <w:r w:rsidR="00FE22DA" w:rsidRPr="000D3090">
        <w:t>sportation</w:t>
      </w:r>
      <w:r w:rsidR="00F43F62" w:rsidRPr="000D3090">
        <w:t xml:space="preserve">, all of which are </w:t>
      </w:r>
      <w:r w:rsidR="00FE22DA" w:rsidRPr="000D3090">
        <w:t xml:space="preserve">typically </w:t>
      </w:r>
      <w:r w:rsidR="00F43F62" w:rsidRPr="000D3090">
        <w:t>more time consumi</w:t>
      </w:r>
      <w:r w:rsidR="00FE22DA" w:rsidRPr="000D3090">
        <w:t xml:space="preserve">ng (than driving) </w:t>
      </w:r>
      <w:r w:rsidR="00651A40" w:rsidRPr="000D3090">
        <w:fldChar w:fldCharType="begin"/>
      </w:r>
      <w:r w:rsidR="00651A40" w:rsidRPr="000D3090">
        <w:instrText xml:space="preserve"> ADDIN ZOTERO_ITEM CSL_CITATION {"citationID":"hgnYxbd3","properties":{"formattedCitation":"(Haustein and Siren, 2014)","plainCitation":"(Haustein and Siren, 2014)","noteIndex":0},"citationItems":[{"id":2850,"uris":["http://zotero.org/users/12832277/items/RBJXXRHB"],"itemData":{"id":2850,"type":"article-journal","abstract":"Previous studies have come to different conclusions regarding how important a driving licence is for seniors to fulfil their mobility needs. We investigated this question based on three groups of Danish seniors: persons who were licensed as drivers (“drivers”); persons who have never been licensed drivers (“never-drivers”); and persons who recently gave up their licence (“ex-drivers”). Data were collected via standardised telephone interviews in 2012 among 863 individuals born in 1939/40. The three groups differed significantly in socio-demographics and health; never-drivers had the least resources, and ex-drivers the poorest health. Moreover, the two unlicensed groups had more unmet mobility needs than drivers. In ordinal regression models, both never having had a licence and having given up a licence significantly affected unmet mobility needs. Among the background variables, which were successively added to the models, health variables were most relevant, while socio-demographics and infrastructure played a minor role. When entering the health variables to the models, the effect of giving up a licence decreased but remained significant for unmet leisure needs, while it became insignificant for unmet shopping needs. The effect of never having had a licence was hardly affected by the inclusion of control variables. The results emphasise the importance of a driving licence in fulfilling seniors’ mobility needs. Contrary to our hypotheses, more experience with, and better access to alternative transport modes cannot sufficiently compensate for mobility problems due to the lack of the option to drive.","container-title":"Journal of Transport Geography","DOI":"10.1016/j.jtrangeo.2014.08.001","ISSN":"0966-6923","page":"45-52","source":"ScienceDirect","title":"Seniors’ Unmet Mobility Needs – How Important Is a Driving Licence?","volume":"41","author":[{"family":"Haustein","given":"Sonja"},{"family":"Siren","given":"Anu"}],"issued":{"date-parts":[["2014",12,1]]}}}],"schema":"https://github.com/citation-style-language/schema/raw/master/csl-citation.json"} </w:instrText>
      </w:r>
      <w:r w:rsidR="00651A40" w:rsidRPr="000D3090">
        <w:fldChar w:fldCharType="separate"/>
      </w:r>
      <w:r w:rsidR="00651A40" w:rsidRPr="000D3090">
        <w:t>(Haustein and Siren, 2014)</w:t>
      </w:r>
      <w:r w:rsidR="00651A40" w:rsidRPr="000D3090">
        <w:fldChar w:fldCharType="end"/>
      </w:r>
      <w:r w:rsidR="00F43F62" w:rsidRPr="000D3090">
        <w:t xml:space="preserve">. </w:t>
      </w:r>
      <w:r w:rsidR="00FE22DA" w:rsidRPr="000D3090">
        <w:t>The reverse holds for r</w:t>
      </w:r>
      <w:r w:rsidR="00F43F62" w:rsidRPr="000D3090">
        <w:t>espondents with medical conditions</w:t>
      </w:r>
      <w:r w:rsidR="00FE22DA" w:rsidRPr="000D3090">
        <w:t xml:space="preserve">, who appear to experience PPD less due to time constraints, but more to health problems. </w:t>
      </w:r>
    </w:p>
    <w:p w14:paraId="1631F71E" w14:textId="77777777" w:rsidR="00D91C74" w:rsidRPr="000D3090" w:rsidRDefault="00D91C74" w:rsidP="00651A40">
      <w:pPr>
        <w:spacing w:after="0" w:line="240" w:lineRule="auto"/>
        <w:jc w:val="both"/>
      </w:pPr>
    </w:p>
    <w:p w14:paraId="3B216D6F" w14:textId="278AC459" w:rsidR="00D91C74" w:rsidRPr="000D3090" w:rsidRDefault="00D91C74" w:rsidP="00D91C74">
      <w:pPr>
        <w:spacing w:after="0" w:line="240" w:lineRule="auto"/>
        <w:jc w:val="both"/>
        <w:rPr>
          <w:b/>
          <w:bCs/>
        </w:rPr>
      </w:pPr>
      <w:r w:rsidRPr="000D3090">
        <w:rPr>
          <w:b/>
          <w:bCs/>
        </w:rPr>
        <w:t>4.</w:t>
      </w:r>
      <w:r w:rsidR="002968D4" w:rsidRPr="000D3090">
        <w:rPr>
          <w:b/>
          <w:bCs/>
        </w:rPr>
        <w:t>2</w:t>
      </w:r>
      <w:r w:rsidRPr="000D3090">
        <w:rPr>
          <w:b/>
          <w:bCs/>
        </w:rPr>
        <w:t xml:space="preserve"> Virtual Accessibility</w:t>
      </w:r>
    </w:p>
    <w:p w14:paraId="7D1E186D" w14:textId="172DCB17" w:rsidR="001E1038" w:rsidRPr="000D3090" w:rsidRDefault="007D33EE" w:rsidP="002C2069">
      <w:pPr>
        <w:spacing w:after="0" w:line="240" w:lineRule="auto"/>
        <w:jc w:val="both"/>
      </w:pPr>
      <w:r w:rsidRPr="000D3090">
        <w:t>While the results in the previous section focus</w:t>
      </w:r>
      <w:r w:rsidR="00A4264C" w:rsidRPr="000D3090">
        <w:t>ed</w:t>
      </w:r>
      <w:r w:rsidRPr="000D3090">
        <w:t xml:space="preserve"> on </w:t>
      </w:r>
      <w:r w:rsidR="00690F4D" w:rsidRPr="000D3090">
        <w:t>PPD</w:t>
      </w:r>
      <w:r w:rsidRPr="000D3090">
        <w:t>, t</w:t>
      </w:r>
      <w:r w:rsidR="00624B38" w:rsidRPr="000D3090">
        <w:t>he final set of results</w:t>
      </w:r>
      <w:r w:rsidRPr="000D3090">
        <w:t xml:space="preserve"> (presented in </w:t>
      </w:r>
      <w:r w:rsidR="00502EEE" w:rsidRPr="000D3090">
        <w:t>the last two columns of Table 3</w:t>
      </w:r>
      <w:r w:rsidRPr="000D3090">
        <w:t>)</w:t>
      </w:r>
      <w:r w:rsidR="00624B38" w:rsidRPr="000D3090">
        <w:t xml:space="preserve"> </w:t>
      </w:r>
      <w:r w:rsidR="00A4264C" w:rsidRPr="000D3090">
        <w:t xml:space="preserve">center on </w:t>
      </w:r>
      <w:r w:rsidR="00624B38" w:rsidRPr="000D3090">
        <w:t xml:space="preserve">virtual </w:t>
      </w:r>
      <w:r w:rsidR="00690F4D" w:rsidRPr="000D3090">
        <w:t>participation</w:t>
      </w:r>
      <w:r w:rsidRPr="000D3090">
        <w:t>, including</w:t>
      </w:r>
      <w:r w:rsidR="00690F4D" w:rsidRPr="000D3090">
        <w:t xml:space="preserve"> the propensity to </w:t>
      </w:r>
      <w:r w:rsidRPr="000D3090">
        <w:t xml:space="preserve">telework and use delivery services. </w:t>
      </w:r>
      <w:r w:rsidR="001E1038" w:rsidRPr="000D3090">
        <w:t xml:space="preserve">Individuals living in rural areas (rather than urban areas) have a lower propensity to use both telework and delivery services. The urban effect may be attributed to broader internet access, greater suitability of jobs for telework, and more delivery services with lower costs in urban areas </w:t>
      </w:r>
      <w:r w:rsidR="001E1038" w:rsidRPr="000D3090">
        <w:fldChar w:fldCharType="begin"/>
      </w:r>
      <w:r w:rsidR="001E1038" w:rsidRPr="000D3090">
        <w:instrText xml:space="preserve"> ADDIN ZOTERO_ITEM CSL_CITATION {"citationID":"ud8jPPY2","properties":{"formattedCitation":"(Kaplan et al., 2023)","plainCitation":"(Kaplan et al., 2023)","noteIndex":0},"citationItems":[{"id":2801,"uris":["http://zotero.org/users/12832277/items/J7YFDFMJ"],"itemData":{"id":2801,"type":"article-journal","abstract":"The novel coronavirus (COVID-19) pandemic created an environment where nearly all aspects of mobility changed to ensure the health and safety of the public. The Centers for Disease Control and Prevention (CDC) recommended that people quarantine for 14 days if they were potentially exposed to the virus, stay at least six feet apart from others, and stay at home as much as possible. Delivery via third-party restaurant app, grocery, and package delivery quickly became an essential service. This study assesses customer's changes in use and perceived quality of delivery services in Southwest Virginia, via an online stated-preference survey (n = 423). The responses were analyzed using ordered logit and generalized ordered logit models to identify which population segments had changing delivery behavior and perceptions due to the pandemic. Findings include that before the pandemic, only households with an income greater than $100,000 had a significantly higher demand for package delivery services than those making less than $25,000. During the pandemic, all income brackets had a significantly higher demand for package delivery “weekly” than households with less than a $25,000 income, with a 19.50%, 22.54%, and 45.59% greater chance of use for income levels $25,000 to $50,000, $50,000 to $100,000, and over $100,000, respectively. This trend highlights that package delivery became necessary during the pandemic. Respondents who lived within town limits were statistically significantly more likely to use third-party restaurant delivery apps at least once a week before (3.10%), during (9.20%), and after (4.50%) the pandemic compared to those outside town limits. The results also found people who lived within town limits were 7.77% more likely to be satisfied with delivery services in general than those who lived outside town limits. The findings from this paper identify expanding delivery equity gaps within the population and provide recommendations for policymakers and delivery agencies. Some limitations include that low sample size did not allow for fully segmented models and meant that the study should be considered exploratory in nature.","container-title":"Transport Policy","DOI":"10.1016/j.tranpol.2023.02.020","ISSN":"0967-070X","page":"217-230","source":"ScienceDirect","title":"How Has COVID-19 Impacted Customer Perceptions and Demand for Delivery Services: An Exploratory Analysis","volume":"134","author":[{"family":"Kaplan","given":"Marcella"},{"family":"Hotle","given":"Susan"},{"family":"Heaslip","given":"Kevin"}],"issued":{"date-parts":[["2023",4,1]]}}}],"schema":"https://github.com/citation-style-language/schema/raw/master/csl-citation.json"} </w:instrText>
      </w:r>
      <w:r w:rsidR="001E1038" w:rsidRPr="000D3090">
        <w:fldChar w:fldCharType="separate"/>
      </w:r>
      <w:r w:rsidR="001E1038" w:rsidRPr="000D3090">
        <w:t>(Kaplan et al., 2023)</w:t>
      </w:r>
      <w:r w:rsidR="001E1038" w:rsidRPr="000D3090">
        <w:fldChar w:fldCharType="end"/>
      </w:r>
      <w:r w:rsidR="001E1038" w:rsidRPr="000D3090">
        <w:t xml:space="preserve">. Similarly, individuals living in areas with higher levels of employment density also seem to get delivery services more often, suggesting that there is a close connection between physical and virtual access to these types of services that may represent a complementary rather than substitution effect. Conversely, those living in areas with high road network density, high levels of walkability, and better transit accessibility seem to utilize </w:t>
      </w:r>
      <w:r w:rsidR="001E1038" w:rsidRPr="000D3090">
        <w:lastRenderedPageBreak/>
        <w:t xml:space="preserve">delivery services at lower rates. This indicates that those individuals living in areas with better overall levels of objective physical neighborhood accessibility are more likely to shop in-store rather than online, at least within the broader geographic context that determines the availability of these services. </w:t>
      </w:r>
    </w:p>
    <w:p w14:paraId="04D643C7" w14:textId="7FFACFC5" w:rsidR="001E1038" w:rsidRPr="000D3090" w:rsidRDefault="00922E86" w:rsidP="001E1038">
      <w:pPr>
        <w:spacing w:after="0" w:line="240" w:lineRule="auto"/>
        <w:ind w:firstLine="720"/>
        <w:jc w:val="both"/>
      </w:pPr>
      <w:r w:rsidRPr="000D3090">
        <w:t>Individuals in h</w:t>
      </w:r>
      <w:r w:rsidR="00CC29B3" w:rsidRPr="000D3090">
        <w:t xml:space="preserve">ouseholds with </w:t>
      </w:r>
      <w:r w:rsidRPr="000D3090">
        <w:t>two or more</w:t>
      </w:r>
      <w:r w:rsidR="00CC29B3" w:rsidRPr="000D3090">
        <w:t xml:space="preserve"> adults</w:t>
      </w:r>
      <w:r w:rsidR="007D33EE" w:rsidRPr="000D3090">
        <w:t xml:space="preserve"> </w:t>
      </w:r>
      <w:r w:rsidRPr="000D3090">
        <w:t xml:space="preserve">(relative to sole-adult individuals) </w:t>
      </w:r>
      <w:r w:rsidR="007D33EE" w:rsidRPr="000D3090">
        <w:t>and those with children</w:t>
      </w:r>
      <w:r w:rsidR="00CC29B3" w:rsidRPr="000D3090">
        <w:t xml:space="preserve"> </w:t>
      </w:r>
      <w:r w:rsidRPr="000D3090">
        <w:t xml:space="preserve">in the household (relative to those without children) </w:t>
      </w:r>
      <w:r w:rsidR="00BA2895" w:rsidRPr="000D3090">
        <w:t xml:space="preserve">have a lower propensity </w:t>
      </w:r>
      <w:r w:rsidR="00CC29B3" w:rsidRPr="000D3090">
        <w:t>to telework</w:t>
      </w:r>
      <w:r w:rsidR="007D33EE" w:rsidRPr="000D3090">
        <w:t xml:space="preserve">, </w:t>
      </w:r>
      <w:r w:rsidR="00BA2895" w:rsidRPr="000D3090">
        <w:t xml:space="preserve">perhaps </w:t>
      </w:r>
      <w:r w:rsidR="007D33EE" w:rsidRPr="000D3090">
        <w:t xml:space="preserve">due to the </w:t>
      </w:r>
      <w:r w:rsidR="00922724" w:rsidRPr="000D3090">
        <w:t>greater</w:t>
      </w:r>
      <w:r w:rsidR="007D33EE" w:rsidRPr="000D3090">
        <w:t xml:space="preserve"> number of household distractions among larger families</w:t>
      </w:r>
      <w:r w:rsidR="00D70033" w:rsidRPr="000D3090">
        <w:t xml:space="preserve"> </w:t>
      </w:r>
      <w:r w:rsidR="00D70033" w:rsidRPr="000D3090">
        <w:fldChar w:fldCharType="begin"/>
      </w:r>
      <w:r w:rsidR="008D69D1" w:rsidRPr="000D3090">
        <w:instrText xml:space="preserve"> ADDIN ZOTERO_ITEM CSL_CITATION {"citationID":"yAhckriX","properties":{"formattedCitation":"(Pabilonia and Vernon, 2022)","plainCitation":"(Pabilonia and Vernon, 2022)","noteIndex":0},"citationItems":[{"id":3339,"uris":["http://zotero.org/users/12832277/items/GT9XVE7S"],"itemData":{"id":3339,"type":"article-journal","abstract":"Using data on full-time wage and salary workers from the 2017–2018 American Time Use Survey Leave and Job Flexibilities Module, we estimate hourly wage differentials for teleworkers and compare how workers allocate their time over the day when they work from home rather than the office. We find that some teleworkers earn a wage premium, but it varies by gender, parental status, and teleworking intensity. Fathers who telework earn more than fathers in office-based jobs, regardless of teleworking intensity. Women without children who telework occasionally earn more than their office counterparts. In industries and occupations where telework is more prevalent, mothers who work from home most days of the week pay a wage penalty compared to mothers in office-based jobs. Using time diaries, we find differences in work patterns and hours across worker groups that could drive these teleworker wage differentials. Most teleworkers work less on home days; however, those who earn wage premiums are working longer hours on weekdays, regardless of their work location. When teleworking, mothers experience more interruptions in their workdays than other workers, which could have negative effects on their productivity. We also find that teleworkers spend less time on commuting and grooming activities but more time on leisure activities and with family on work-at-home days than on office days, and female teleworkers spend more time sleeping and on household production activities.","container-title":"Review of Economics of the Household","DOI":"10.1007/s11150-022-09601-1","ISSN":"1573-7152","issue":"3","language":"en","page":"687-734","source":"Springer Link","title":"Telework, Wages, and Time Use in the United States","volume":"20","author":[{"family":"Pabilonia","given":"Sabrina"},{"family":"Vernon","given":"Victoria"}],"issued":{"date-parts":[["2022",9,1]]}}}],"schema":"https://github.com/citation-style-language/schema/raw/master/csl-citation.json"} </w:instrText>
      </w:r>
      <w:r w:rsidR="00D70033" w:rsidRPr="000D3090">
        <w:fldChar w:fldCharType="separate"/>
      </w:r>
      <w:r w:rsidR="00D70033" w:rsidRPr="000D3090">
        <w:t>(Pabilonia and Vernon, 2022)</w:t>
      </w:r>
      <w:r w:rsidR="00D70033" w:rsidRPr="000D3090">
        <w:fldChar w:fldCharType="end"/>
      </w:r>
      <w:r w:rsidR="00CC29B3" w:rsidRPr="000D3090">
        <w:t>.</w:t>
      </w:r>
      <w:r w:rsidR="00D946C0" w:rsidRPr="000D3090">
        <w:t xml:space="preserve"> T</w:t>
      </w:r>
      <w:r w:rsidR="00922724" w:rsidRPr="000D3090">
        <w:t xml:space="preserve">hose with </w:t>
      </w:r>
      <w:r w:rsidR="007D33EE" w:rsidRPr="000D3090">
        <w:t>children</w:t>
      </w:r>
      <w:r w:rsidR="00BA2895" w:rsidRPr="000D3090">
        <w:t xml:space="preserve"> </w:t>
      </w:r>
      <w:r w:rsidR="007D33EE" w:rsidRPr="000D3090">
        <w:t xml:space="preserve">in the home </w:t>
      </w:r>
      <w:r w:rsidR="00D946C0" w:rsidRPr="000D3090">
        <w:t xml:space="preserve">also </w:t>
      </w:r>
      <w:r w:rsidR="00BA2895" w:rsidRPr="000D3090">
        <w:t xml:space="preserve">appear to have a </w:t>
      </w:r>
      <w:r w:rsidR="00690F4D" w:rsidRPr="000D3090">
        <w:t xml:space="preserve">higher </w:t>
      </w:r>
      <w:r w:rsidR="00BA2895" w:rsidRPr="000D3090">
        <w:t>tendency to have deliveries (</w:t>
      </w:r>
      <w:r w:rsidR="007D33EE" w:rsidRPr="000D3090">
        <w:t xml:space="preserve">possibly a mechanism to reduce </w:t>
      </w:r>
      <w:r w:rsidR="00BA2895" w:rsidRPr="000D3090">
        <w:t xml:space="preserve">time spent on OH shopping; </w:t>
      </w:r>
      <w:r w:rsidR="003A63F9" w:rsidRPr="000D3090">
        <w:fldChar w:fldCharType="begin"/>
      </w:r>
      <w:r w:rsidR="00397C46" w:rsidRPr="000D3090">
        <w:instrText xml:space="preserve"> ADDIN ZOTERO_ITEM CSL_CITATION {"citationID":"uBpfiFZg","properties":{"formattedCitation":"(Spurlock et al., 2020)","plainCitation":"(Spurlock et al., 2020)","dontUpdate":true,"noteIndex":0},"citationItems":[{"id":2864,"uris":["http://zotero.org/users/12832277/items/WP4XGZN2"],"itemData":{"id":2864,"type":"article-journal","abstract":"Expanding e-commerce and delivery benefit consumers through increased flexibility and convenience. However, there is a potential impact on vehicle miles traveled (VMT) by delivery and personal vehicles, and the resulting energy consumption, air quality, and congestion. Delivery trips could replace personal vehicle trips, but, if not a replacement, could add to (or supplement) shopping-related VMT for a given household. We examined the benefits of e-commerce to consumers and the impact on personal shopping trips, and how these differed across item types, household child status, and income. We found that high-income households and households with children cared relatively more about time saving from deliveries. We found that, on average, deliveries substituted for 12% of vehicle shopping trips, but supplemented personal shopping trips for 9% of purchase deliveries. Underlying these averages were two main types of households: those for whom all deliveries substitute for trips (between 55% and 70% of households) and those for whom all deliveries supplement trips (between 20% and 35% of households). There was significant heterogeneity across households with and without children and with high or low incomes with respect to the use of delivery. Although time savings were more likely to motivate higher-income households and households with children to use delivery, this did not translate through to these households substituting for more of their trips; deliveries of prepared meals for both these categories of household were relatively more likely (15% for households with children, and 12% for higher-income households) to supplement, and not substitute for, personal trips.","container-title":"Transportation Research Record","DOI":"10.1177/0361198120935113","ISSN":"0361-1981","issue":"10","language":"en","note":"publisher: SAGE Publications Inc","page":"335-350","source":"SAGE Journals","title":"Children, Income, and the Impact of Home Delivery on Household Shopping Trips","volume":"2674","author":[{"family":"Spurlock","given":"C. Anna"},{"family":"Todd-Blick","given":"Annika"},{"family":"Wong-Parodi","given":"Gabrielle"},{"family":"Walker","given":"Victor"}],"issued":{"date-parts":[["2020",10,1]]}}}],"schema":"https://github.com/citation-style-language/schema/raw/master/csl-citation.json"} </w:instrText>
      </w:r>
      <w:r w:rsidR="003A63F9" w:rsidRPr="000D3090">
        <w:fldChar w:fldCharType="separate"/>
      </w:r>
      <w:r w:rsidR="003A63F9" w:rsidRPr="000D3090">
        <w:t>Spurlock et al., 2020)</w:t>
      </w:r>
      <w:r w:rsidR="003A63F9" w:rsidRPr="000D3090">
        <w:fldChar w:fldCharType="end"/>
      </w:r>
      <w:r w:rsidR="00BA2895" w:rsidRPr="000D3090">
        <w:t xml:space="preserve">, while those with a large number of workers are inclined to have </w:t>
      </w:r>
      <w:r w:rsidR="00690F4D" w:rsidRPr="000D3090">
        <w:t>fewer</w:t>
      </w:r>
      <w:r w:rsidR="00BA2895" w:rsidRPr="000D3090">
        <w:t xml:space="preserve"> deliveries (</w:t>
      </w:r>
      <w:r w:rsidR="00D946C0" w:rsidRPr="000D3090">
        <w:t xml:space="preserve">possibly because </w:t>
      </w:r>
      <w:r w:rsidR="00320E73" w:rsidRPr="000D3090">
        <w:t xml:space="preserve">these workers </w:t>
      </w:r>
      <w:r w:rsidR="00BA2895" w:rsidRPr="000D3090">
        <w:t>tend to combine OH shopping activities with the commutes of one or more workers</w:t>
      </w:r>
      <w:r w:rsidR="00690F4D" w:rsidRPr="000D3090">
        <w:t>;</w:t>
      </w:r>
      <w:r w:rsidR="00BA2895" w:rsidRPr="000D3090">
        <w:t xml:space="preserve"> </w:t>
      </w:r>
      <w:r w:rsidR="003A63F9" w:rsidRPr="000D3090">
        <w:fldChar w:fldCharType="begin"/>
      </w:r>
      <w:r w:rsidR="00397C46" w:rsidRPr="000D3090">
        <w:instrText xml:space="preserve"> ADDIN ZOTERO_ITEM CSL_CITATION {"citationID":"8E5rp3LT","properties":{"formattedCitation":"(Dirks et al., 2022)","plainCitation":"(Dirks et al., 2022)","dontUpdate":true,"noteIndex":0},"citationItems":[{"id":2251,"uris":["http://zotero.org/users/12832277/items/6D2MJCJ6"],"itemData":{"id":2251,"type":"article-journal","abstract":"The COVID-19 pandemic has revealed the fault lines in society. Whether it be remote work,\nremote learning, online shopping, grocery and meal deliveries, or medical care, there are disparities\nand inequities among socio-economic and demographic groups that leave some segments of\nsociety more vulnerable and less adaptable. This paper aims to identify vulnerable and less\nadaptable groups in the context of access to food. Using a comprehensive behavioral survey data\nset collected during the height of the pandemic in 2020, this paper aims to provide insights on the\ngroups that may have experienced food access vulnerability during the disruption when businesses\nand establishments were restricted, the risk of contagion was high, and accessing online platforms\nrequired technology-savviness and the ability to afford delivery charges. The paper proposes and\npresents estimation results for a simultaneous equations model of six endogenous choice variables\ndefined by a combination of two food types (groceries and meals) and three access modalities (inperson, online with in-person pickup, and online with delivery). The model estimation results show\nthat attitudes and perceptions play a significant role in shaping pandemic-era access modalities.\nThe model revealed that, even after controlling for a host of attitudinal indicators, minorities, lowincome individuals, and individuals residing in rural low-density areas are particularly vulnerable\nto being left behind and experiencing challenges in accessing food during a severe and prolonged\ndisruption. Social programs should aim to provide these vulnerable groups with tools and financial\nresources to leverage online activity engagement and access modalities.","container-title":"Technical paper, Department of Civil, Architectural and Environmental Engineering, The University of Texas at Austin","source":"Google Scholar","title":"Access to Food in a Severe Prolonged Disruption: The Case of Grocery and Meal Shopping During the COVID-19 Pandemic","title-short":"Access to Food in a Severe Prolonged Disruption","URL":"https://search.proquest.com/openview/25b2deb88b4f42e8b6bde60a1bc9106c/1?pq-origsite=gscholar&amp;cbl=18750&amp;diss=y","author":[{"family":"Dirks","given":"Abbie"},{"family":"Batur","given":"Irfan"},{"family":"Mondal","given":"Aupal"},{"family":"Magassy","given":"Tassio B."},{"family":"Pendyala","given":"Ram M"},{"family":"Haddad","given":"Angela"},{"family":"Bhat","given":"Chandra R."},{"family":"Chen","given":"Cynthia"},{"family":"Salon","given":"Deborah"},{"family":"Bhagat-Conway","given":"Matthew Wigginton"},{"family":"Mohammadi","given":"Motahare"},{"family":"Chauhan","given":"Rishabh"},{"family":"Mohammadian","given":"Abolfazl"},{"family":"Derrible","given":"Sybil"}],"accessed":{"date-parts":[["2024",2,7]]},"issued":{"date-parts":[["2022",8]]}}}],"schema":"https://github.com/citation-style-language/schema/raw/master/csl-citation.json"} </w:instrText>
      </w:r>
      <w:r w:rsidR="003A63F9" w:rsidRPr="000D3090">
        <w:fldChar w:fldCharType="separate"/>
      </w:r>
      <w:r w:rsidR="003A63F9" w:rsidRPr="000D3090">
        <w:t>Dirks et al., 2022)</w:t>
      </w:r>
      <w:r w:rsidR="003A63F9" w:rsidRPr="000D3090">
        <w:fldChar w:fldCharType="end"/>
      </w:r>
      <w:r w:rsidR="007D33EE" w:rsidRPr="000D3090">
        <w:t xml:space="preserve">. </w:t>
      </w:r>
      <w:r w:rsidR="00BA2895" w:rsidRPr="000D3090">
        <w:t xml:space="preserve">Other effects of household characteristics are as follows: (a) </w:t>
      </w:r>
      <w:r w:rsidR="007D33EE" w:rsidRPr="000D3090">
        <w:t>Individuals in v</w:t>
      </w:r>
      <w:r w:rsidR="00CC29B3" w:rsidRPr="000D3090">
        <w:t>ehicle</w:t>
      </w:r>
      <w:r w:rsidR="00D24539" w:rsidRPr="000D3090">
        <w:t>-</w:t>
      </w:r>
      <w:r w:rsidR="00CC29B3" w:rsidRPr="000D3090">
        <w:t>constrained households</w:t>
      </w:r>
      <w:r w:rsidR="00414546" w:rsidRPr="000D3090">
        <w:t xml:space="preserve"> </w:t>
      </w:r>
      <w:r w:rsidR="00BA2895" w:rsidRPr="000D3090">
        <w:t xml:space="preserve">have a higher predilection </w:t>
      </w:r>
      <w:r w:rsidR="00414546" w:rsidRPr="000D3090">
        <w:t>to be teleworkers</w:t>
      </w:r>
      <w:r w:rsidR="00BA2895" w:rsidRPr="000D3090">
        <w:t>,</w:t>
      </w:r>
      <w:r w:rsidR="00414546" w:rsidRPr="000D3090">
        <w:t xml:space="preserve"> but </w:t>
      </w:r>
      <w:r w:rsidR="00BA2895" w:rsidRPr="000D3090">
        <w:t xml:space="preserve">also a lower inclination for </w:t>
      </w:r>
      <w:r w:rsidR="00414546" w:rsidRPr="000D3090">
        <w:t>package deliveries</w:t>
      </w:r>
      <w:r w:rsidR="00BA2895" w:rsidRPr="000D3090">
        <w:t>, (b)</w:t>
      </w:r>
      <w:r w:rsidR="00414546" w:rsidRPr="000D3090">
        <w:t xml:space="preserve"> </w:t>
      </w:r>
      <w:r w:rsidR="00BA2895" w:rsidRPr="000D3090">
        <w:t>A</w:t>
      </w:r>
      <w:r w:rsidR="00303165" w:rsidRPr="000D3090">
        <w:t>s household income increases</w:t>
      </w:r>
      <w:r w:rsidR="003E7555" w:rsidRPr="000D3090">
        <w:t xml:space="preserve"> </w:t>
      </w:r>
      <w:r w:rsidR="00BA2895" w:rsidRPr="000D3090">
        <w:t xml:space="preserve">the propensity of </w:t>
      </w:r>
      <w:r w:rsidR="00303165" w:rsidRPr="000D3090">
        <w:t xml:space="preserve">teleworking and </w:t>
      </w:r>
      <w:r w:rsidR="00C359FB" w:rsidRPr="000D3090">
        <w:t xml:space="preserve">receiving </w:t>
      </w:r>
      <w:r w:rsidR="00303165" w:rsidRPr="000D3090">
        <w:t>deliveries</w:t>
      </w:r>
      <w:r w:rsidR="00BA2895" w:rsidRPr="000D3090">
        <w:t xml:space="preserve"> both increase</w:t>
      </w:r>
      <w:r w:rsidR="003E7555" w:rsidRPr="000D3090">
        <w:t>. These results have been found in many recent studies</w:t>
      </w:r>
      <w:r w:rsidR="007B2E7B" w:rsidRPr="000D3090">
        <w:t xml:space="preserve"> </w:t>
      </w:r>
      <w:r w:rsidR="007B2E7B" w:rsidRPr="000D3090">
        <w:fldChar w:fldCharType="begin"/>
      </w:r>
      <w:r w:rsidR="00EB6B95" w:rsidRPr="000D3090">
        <w:instrText xml:space="preserve"> ADDIN ZOTERO_ITEM CSL_CITATION {"citationID":"Sxt28RI9","properties":{"unsorted":true,"formattedCitation":"(Kaplan et al., 2023; Asmussen et al., 2024a)","plainCitation":"(Kaplan et al., 2023; Asmussen et al., 2024a)","dontUpdate":true,"noteIndex":0},"citationItems":[{"id":2801,"uris":["http://zotero.org/users/12832277/items/J7YFDFMJ"],"itemData":{"id":2801,"type":"article-journal","abstract":"The novel coronavirus (COVID-19) pandemic created an environment where nearly all aspects of mobility changed to ensure the health and safety of the public. The Centers for Disease Control and Prevention (CDC) recommended that people quarantine for 14 days if they were potentially exposed to the virus, stay at least six feet apart from others, and stay at home as much as possible. Delivery via third-party restaurant app, grocery, and package delivery quickly became an essential service. This study assesses customer's changes in use and perceived quality of delivery services in Southwest Virginia, via an online stated-preference survey (n = 423). The responses were analyzed using ordered logit and generalized ordered logit models to identify which population segments had changing delivery behavior and perceptions due to the pandemic. Findings include that before the pandemic, only households with an income greater than $100,000 had a significantly higher demand for package delivery services than those making less than $25,000. During the pandemic, all income brackets had a significantly higher demand for package delivery “weekly” than households with less than a $25,000 income, with a 19.50%, 22.54%, and 45.59% greater chance of use for income levels $25,000 to $50,000, $50,000 to $100,000, and over $100,000, respectively. This trend highlights that package delivery became necessary during the pandemic. Respondents who lived within town limits were statistically significantly more likely to use third-party restaurant delivery apps at least once a week before (3.10%), during (9.20%), and after (4.50%) the pandemic compared to those outside town limits. The results also found people who lived within town limits were 7.77% more likely to be satisfied with delivery services in general than those who lived outside town limits. The findings from this paper identify expanding delivery equity gaps within the population and provide recommendations for policymakers and delivery agencies. Some limitations include that low sample size did not allow for fully segmented models and meant that the study should be considered exploratory in nature.","container-title":"Transport Policy","DOI":"10.1016/j.tranpol.2023.02.020","ISSN":"0967-070X","page":"217-230","source":"ScienceDirect","title":"How Has COVID-19 Impacted Customer Perceptions and Demand for Delivery Services: An Exploratory Analysis","volume":"134","author":[{"family":"Kaplan","given":"Marcella"},{"family":"Hotle","given":"Susan"},{"family":"Heaslip","given":"Kevin"}],"issued":{"date-parts":[["2023",4,1]]}}},{"id":1620,"uris":["http://zotero.org/users/12832277/items/U7G522IF"],"itemData":{"id":1620,"type":"article-journal","abstract":"With work arrangements experiencing dramatic changes over the past three years due to the COVID-19 pandemic, and the possibility that altered work arrangements may persist well into the future, the implications of teleworking on activity-travel behavior are potentially profound. This paper aims to substantially add to the body of knowledge about the present and future of telework in the wake of the pandemic through a rigorous analysis of telework arrangements between two distinct time periods. The paper focuses on three key aspects of telework, including whether to telework or not, frequency of telework, and location of telework. Behavioral data for this study is derived from a workplace location choice survey conducted across Texas in February-March 2022, which included a recall component to obtain workplace location choice information in the pre-pandemic period. The evolution of telework arrangements between the pre-and after-pandemic periods is explored through a joint model system estimated using a joint multivariate methodology. Results show that, After COVID, the population of workers is generally inclined toward a hybrid work arrangement, with an overall tendency to engage in a higher frequency of teleworking than Before COVID. Finally, teleworkers have a higher propensity to work only from home as opposed to working only from a third workplace or from a combination of home and a third workplace. Overall, our results indicate that telework arrangements may remain at an elevated level into the future, with home serving as the dominant telework location. These findings suggest that transportation demand forecasting models need to be updated to reflect higher levels of teleworking, as well as the heterogeneity across individuals in teleworking adoption, frequency, and location.","container-title":"Transportation Research Part A: Policy and Practice","DOI":"10.1016/j.tra.2023.103888","ISSN":"0965-8564","source":"ScienceDirect","title":"An Investigation of Individual-Level Telework Arrangements in the COVID-Era","URL":"https://www.sciencedirect.com/science/article/pii/S0965856423003087","volume":"179","author":[{"family":"Asmussen","given":"Katherine"},{"family":"Mondal","given":"Aupal"},{"family":"Batur","given":"Irfan"},{"family":"Dirks","given":"Abbie"},{"family":"Pendyala","given":"Ram M."},{"family":"Bhat","given":"Chandra R."}],"accessed":{"date-parts":[["2023",12,6]]},"issued":{"date-parts":[["2024",1,1]]}}}],"schema":"https://github.com/citation-style-language/schema/raw/master/csl-citation.json"} </w:instrText>
      </w:r>
      <w:r w:rsidR="007B2E7B" w:rsidRPr="000D3090">
        <w:fldChar w:fldCharType="separate"/>
      </w:r>
      <w:r w:rsidR="00A22CFC" w:rsidRPr="000D3090">
        <w:t>(see, for example, Kaplan et al., 2023; Asmussen et al., 2024</w:t>
      </w:r>
      <w:r w:rsidR="00B46F28">
        <w:t>b</w:t>
      </w:r>
      <w:r w:rsidR="00A22CFC" w:rsidRPr="000D3090">
        <w:t>)</w:t>
      </w:r>
      <w:r w:rsidR="007B2E7B" w:rsidRPr="000D3090">
        <w:fldChar w:fldCharType="end"/>
      </w:r>
      <w:r w:rsidR="003E7555" w:rsidRPr="000D3090">
        <w:t>.</w:t>
      </w:r>
    </w:p>
    <w:p w14:paraId="668DE2AD" w14:textId="3F9FC222" w:rsidR="00865322" w:rsidRPr="000D3090" w:rsidRDefault="00414546" w:rsidP="0092299E">
      <w:pPr>
        <w:spacing w:after="0" w:line="240" w:lineRule="auto"/>
        <w:ind w:firstLine="720"/>
        <w:jc w:val="both"/>
      </w:pPr>
      <w:r w:rsidRPr="000D3090">
        <w:t>As far as i</w:t>
      </w:r>
      <w:r w:rsidR="00303165" w:rsidRPr="000D3090">
        <w:t>ndividual</w:t>
      </w:r>
      <w:r w:rsidR="00486BE6" w:rsidRPr="000D3090">
        <w:t xml:space="preserve"> characteristics</w:t>
      </w:r>
      <w:r w:rsidRPr="000D3090">
        <w:t>, w</w:t>
      </w:r>
      <w:r w:rsidR="00486BE6" w:rsidRPr="000D3090">
        <w:t>omen utilize delivery services</w:t>
      </w:r>
      <w:r w:rsidR="005B5F9C" w:rsidRPr="000D3090">
        <w:t xml:space="preserve"> more than men</w:t>
      </w:r>
      <w:r w:rsidR="00486BE6" w:rsidRPr="000D3090">
        <w:t xml:space="preserve">, </w:t>
      </w:r>
      <w:r w:rsidR="00690F4D" w:rsidRPr="000D3090">
        <w:t xml:space="preserve">perhaps </w:t>
      </w:r>
      <w:r w:rsidR="00486BE6" w:rsidRPr="000D3090">
        <w:t>representing women’s higher level of time consciousness</w:t>
      </w:r>
      <w:r w:rsidRPr="000D3090">
        <w:t xml:space="preserve"> and responsibilities for home maintenance activities</w:t>
      </w:r>
      <w:r w:rsidR="00A80097" w:rsidRPr="000D3090">
        <w:t xml:space="preserve"> </w:t>
      </w:r>
      <w:r w:rsidR="00A80097" w:rsidRPr="000D3090">
        <w:fldChar w:fldCharType="begin"/>
      </w:r>
      <w:r w:rsidR="00A80097" w:rsidRPr="000D3090">
        <w:instrText xml:space="preserve"> ADDIN ZOTERO_ITEM CSL_CITATION {"citationID":"KH5n1us5","properties":{"formattedCitation":"(Young et al., 2022)","plainCitation":"(Young et al., 2022)","noteIndex":0},"citationItems":[{"id":3341,"uris":["http://zotero.org/users/12832277/items/JKSGECN6"],"itemData":{"id":3341,"type":"article-journal","abstract":"The COVID-19 pandemic and ensuing lockdown measures have led to an increase in e-shopping. Using longitudinal data from before and during the pandemic, we find that the number of respondents in our study who shop online at least once per week increased nearly five-fold between fall 2019 (11.6%) and spring 2020 (51.2%). We estimate a series of ordered logit models to establish who is responsible for this recent rise in e-commerce, and to help assess whether it will be temporary or longer lasting. We then discuss the equity implications and urban and regional restructuring that this change in e-shopping behavior may entail.","container-title":"Regional Science Policy &amp; Practice","DOI":"10.1111/rsp3.12514","ISSN":"1757-7802","issue":"S1","language":"en","license":"© 2022 The Authors. Regional Science Policy &amp; Practice © 2022 Regional Science Association International","note":"_eprint: https://onlinelibrary.wiley.com/doi/pdf/10.1111/rsp3.12514","page":"162-178","source":"Wiley Online Library","title":"The Increase in Online Shopping During COVID-19: Who Is Responsible, Will It Last, and What Does It Mean for Cities?","volume":"14","author":[{"family":"Young","given":"Mischa"},{"family":"Soza-Parra","given":"Jaime"},{"family":"Circella","given":"Giovanni"}],"issued":{"date-parts":[["2022"]]}}}],"schema":"https://github.com/citation-style-language/schema/raw/master/csl-citation.json"} </w:instrText>
      </w:r>
      <w:r w:rsidR="00A80097" w:rsidRPr="000D3090">
        <w:fldChar w:fldCharType="separate"/>
      </w:r>
      <w:r w:rsidR="00A80097" w:rsidRPr="000D3090">
        <w:t>(Young et al., 2022)</w:t>
      </w:r>
      <w:r w:rsidR="00A80097" w:rsidRPr="000D3090">
        <w:fldChar w:fldCharType="end"/>
      </w:r>
      <w:r w:rsidRPr="000D3090">
        <w:t>.</w:t>
      </w:r>
      <w:r w:rsidR="00486BE6" w:rsidRPr="000D3090">
        <w:t xml:space="preserve"> </w:t>
      </w:r>
      <w:r w:rsidR="00C359FB" w:rsidRPr="000D3090">
        <w:t xml:space="preserve">Younger individuals </w:t>
      </w:r>
      <w:r w:rsidR="00690F4D" w:rsidRPr="000D3090">
        <w:t xml:space="preserve">are </w:t>
      </w:r>
      <w:r w:rsidR="00C359FB" w:rsidRPr="000D3090">
        <w:t>less</w:t>
      </w:r>
      <w:r w:rsidRPr="000D3090">
        <w:t xml:space="preserve"> </w:t>
      </w:r>
      <w:r w:rsidR="00C12DB4" w:rsidRPr="000D3090">
        <w:t xml:space="preserve">predisposed </w:t>
      </w:r>
      <w:r w:rsidRPr="000D3090">
        <w:t>to telework</w:t>
      </w:r>
      <w:r w:rsidR="00C12DB4" w:rsidRPr="000D3090">
        <w:t xml:space="preserve"> (p</w:t>
      </w:r>
      <w:r w:rsidR="00690F4D" w:rsidRPr="000D3090">
        <w:t>resumably</w:t>
      </w:r>
      <w:r w:rsidR="00C12DB4" w:rsidRPr="000D3090">
        <w:t xml:space="preserve"> </w:t>
      </w:r>
      <w:r w:rsidRPr="000D3090">
        <w:t xml:space="preserve">reflecting greater preferences for </w:t>
      </w:r>
      <w:r w:rsidR="00C359FB" w:rsidRPr="000D3090">
        <w:t>sociability</w:t>
      </w:r>
      <w:r w:rsidRPr="000D3090">
        <w:t xml:space="preserve"> and opportunities for advancement in physical offices</w:t>
      </w:r>
      <w:r w:rsidR="00C12DB4" w:rsidRPr="000D3090">
        <w:t xml:space="preserve">; </w:t>
      </w:r>
      <w:r w:rsidR="00004CBF" w:rsidRPr="000D3090">
        <w:fldChar w:fldCharType="begin"/>
      </w:r>
      <w:r w:rsidR="00397C46" w:rsidRPr="000D3090">
        <w:instrText xml:space="preserve"> ADDIN ZOTERO_ITEM CSL_CITATION {"citationID":"Gu8UAV1H","properties":{"formattedCitation":"(Tagliaro and Migliore, 2021)","plainCitation":"(Tagliaro and Migliore, 2021)","dontUpdate":true,"noteIndex":0},"citationItems":[{"id":3344,"uris":["http://zotero.org/users/12832277/items/BSXP3UDH"],"itemData":{"id":3344,"type":"article-journal","abstract":"Purpose This paper aims to explore the extent to which Covid-19 has challenged work habits and outcomes. The authors argue that after the lockdown period workers have been experiencing a new work mode called “Covid-working”. The aim is to provide a first interpretation of this phaenomenon and elaborate on future real estate strategies and workplace policies based on this experience. Design/methodology/approach Using survey data, this research analyses Covid-working in a large-sized company in Italy. The survey was answered by 90 employees and addresses three domains: locations of work; a comparison between work-from-home (WFH) and work from the office; and outcomes of Covid-working vs office-working. Findings With Covid-working, the workers of the case company drastically changed their traditional work from the office approach to pure WFH. While this abrupt switch might generate difficulties in adaptation, this working practice was generally appreciated by this company’s workers. Positive and negative outcomes of Covid-working confirm previous studies on remote working. Recommendations on multi-location of work, new value for the headquarters and diversity empowerment open up avenues for future real estate strategies. Originality/value Observations on Covid-working are still limited and mainly appear on grey literature, due to the newness of this phaenomenon. Empirical studies such as the proposed one can increase companies’ awareness of the positive and negative outcomes of this experience and support their future workplace strategies.","container-title":"Journal of Corporate Real Estate","DOI":"10.1108/JCRE-10-2020-0053","ISSN":"1463-001X","issue":"2","note":"publisher: Emerald Publishing Limited","page":"76-92","source":"Emerald Insight","title":"“COVID-Working”: What to Keep and What to Leave? Evidence from an Italian Company","volume":"24","author":[{"family":"Tagliaro","given":"Chiara"},{"family":"Migliore","given":"Alessandra"}],"issued":{"date-parts":[["2021",1,1]]}}}],"schema":"https://github.com/citation-style-language/schema/raw/master/csl-citation.json"} </w:instrText>
      </w:r>
      <w:r w:rsidR="00004CBF" w:rsidRPr="000D3090">
        <w:fldChar w:fldCharType="separate"/>
      </w:r>
      <w:r w:rsidR="00004CBF" w:rsidRPr="000D3090">
        <w:t>Tagliaro and Migliore, 2021)</w:t>
      </w:r>
      <w:r w:rsidR="00004CBF" w:rsidRPr="000D3090">
        <w:fldChar w:fldCharType="end"/>
      </w:r>
      <w:r w:rsidR="00C12DB4" w:rsidRPr="000D3090">
        <w:t xml:space="preserve">, while </w:t>
      </w:r>
      <w:r w:rsidR="00A862A4" w:rsidRPr="000D3090">
        <w:t>older individuals</w:t>
      </w:r>
      <w:r w:rsidRPr="000D3090">
        <w:t xml:space="preserve"> </w:t>
      </w:r>
      <w:r w:rsidR="00C12DB4" w:rsidRPr="000D3090">
        <w:t xml:space="preserve">have a lower propensity to </w:t>
      </w:r>
      <w:r w:rsidR="005C218B" w:rsidRPr="000D3090">
        <w:t>use</w:t>
      </w:r>
      <w:r w:rsidRPr="000D3090">
        <w:t xml:space="preserve"> delivery services</w:t>
      </w:r>
      <w:r w:rsidR="005C218B" w:rsidRPr="000D3090">
        <w:t xml:space="preserve"> </w:t>
      </w:r>
      <w:r w:rsidR="00C12DB4" w:rsidRPr="000D3090">
        <w:t xml:space="preserve">(potentially reflecting less technology-savviness and </w:t>
      </w:r>
      <w:r w:rsidR="00B009AD" w:rsidRPr="000D3090">
        <w:t>greater concerns that delivery services will fulfill their needs</w:t>
      </w:r>
      <w:r w:rsidR="00C12DB4" w:rsidRPr="000D3090">
        <w:t>;</w:t>
      </w:r>
      <w:r w:rsidR="00B009AD" w:rsidRPr="000D3090">
        <w:t xml:space="preserve"> </w:t>
      </w:r>
      <w:r w:rsidR="00B009AD" w:rsidRPr="000D3090">
        <w:fldChar w:fldCharType="begin"/>
      </w:r>
      <w:r w:rsidR="00397C46" w:rsidRPr="000D3090">
        <w:instrText xml:space="preserve"> ADDIN ZOTERO_ITEM CSL_CITATION {"citationID":"0SJQjI3h","properties":{"formattedCitation":"(Erjavec and Manfreda, 2022)","plainCitation":"(Erjavec and Manfreda, 2022)","dontUpdate":true,"noteIndex":0},"citationItems":[{"id":3346,"uris":["http://zotero.org/users/12832277/items/XYBQBRRE"],"itemData":{"id":3346,"type":"article-journal","abstract":"The COVID-19 pandemic has created a new reality for consumers all around the globe. To cope, users of digital technologies have faced the necessity of adopting and using specific technologies practically overnight. They are doing this under the condition of social isolation, all while facing the fear of catching the disease. The purpose of the paper is to study the way unexpected circumstances cause disruptions in existing theoretical models and their implications for the post-COVID-19 era. Therefore, the paper examines the unified theory of acceptance and use of technology (UTAUT) model under the circumstances of the COVID-19 pandemic and social isolation, and it identifies herd behavior as a possible new mechanism affecting behavioral intention under these unique decision-making circumstances. Behavioral intention toward online shopping was analyzed using data from 420 individuals aged 60 and older who present an increasingly important potential market for electronic commerce and who are particularly affected by COVID-19. The main results show that performance expectancy still has the most important influence on behavioral intention, whereas the impact of social influence was not supported under these conditions. Rather, herd behavior was identified as particularly influential for behavioral intention. Based on the study results, the option to reconsider the social influence factor in the UTAUT model and its possible complementary mechanisms are discussed.","container-title":"Journal of Retailing and Consumer Services","DOI":"10.1016/j.jretconser.2021.102867","ISSN":"0969-6989","source":"ScienceDirect","title":"Online Shopping Adoption During Covid-19 and Social Isolation: Extending the UTAUT Model with Herd Behavior","URL":"https://www.sciencedirect.com/science/article/pii/S0969698921004331","volume":"65","author":[{"family":"Erjavec","given":"Jure"},{"family":"Manfreda","given":"Anton"}],"accessed":{"date-parts":[["2024",5,22]]},"issued":{"date-parts":[["2022",3,1]]}}}],"schema":"https://github.com/citation-style-language/schema/raw/master/csl-citation.json"} </w:instrText>
      </w:r>
      <w:r w:rsidR="00B009AD" w:rsidRPr="000D3090">
        <w:fldChar w:fldCharType="separate"/>
      </w:r>
      <w:r w:rsidR="00B009AD" w:rsidRPr="000D3090">
        <w:t>see Erjavec and Manfreda, 2022)</w:t>
      </w:r>
      <w:r w:rsidR="00B009AD" w:rsidRPr="000D3090">
        <w:fldChar w:fldCharType="end"/>
      </w:r>
      <w:r w:rsidRPr="000D3090">
        <w:t>.</w:t>
      </w:r>
      <w:r w:rsidR="00A862A4" w:rsidRPr="000D3090">
        <w:t xml:space="preserve"> </w:t>
      </w:r>
      <w:r w:rsidRPr="000D3090">
        <w:t>Similarly, r</w:t>
      </w:r>
      <w:r w:rsidR="00A862A4" w:rsidRPr="000D3090">
        <w:t xml:space="preserve">etired </w:t>
      </w:r>
      <w:r w:rsidR="00865322" w:rsidRPr="000D3090">
        <w:t xml:space="preserve">individuals, </w:t>
      </w:r>
      <w:r w:rsidR="00A862A4" w:rsidRPr="000D3090">
        <w:t xml:space="preserve">unemployed </w:t>
      </w:r>
      <w:r w:rsidR="00865322" w:rsidRPr="000D3090">
        <w:t>individuals, and those identifying as non-white</w:t>
      </w:r>
      <w:r w:rsidR="00A862A4" w:rsidRPr="000D3090">
        <w:t xml:space="preserve"> </w:t>
      </w:r>
      <w:r w:rsidR="00C12DB4" w:rsidRPr="000D3090">
        <w:t xml:space="preserve">have a lower generic tendency for </w:t>
      </w:r>
      <w:r w:rsidR="00A862A4" w:rsidRPr="000D3090">
        <w:t>deliveries</w:t>
      </w:r>
      <w:r w:rsidR="00865322" w:rsidRPr="000D3090">
        <w:t xml:space="preserve">. The latter result may be associated with inequities in delivery service provision, wherein delivery providers, driven by profit maximization associated with the amount of consumption of consumer goods, locate themselves to serve geographic areas with white majority populations </w:t>
      </w:r>
      <w:r w:rsidR="00AA7E2C" w:rsidRPr="000D3090">
        <w:fldChar w:fldCharType="begin"/>
      </w:r>
      <w:r w:rsidR="008D69D1" w:rsidRPr="000D3090">
        <w:instrText xml:space="preserve"> ADDIN ZOTERO_ITEM CSL_CITATION {"citationID":"YplTXNCk","properties":{"unsorted":true,"formattedCitation":"(Saphores and Xu, 2021; Hicks et al., 2022)","plainCitation":"(Saphores and Xu, 2021; Hicks et al., 2022)","noteIndex":0},"citationItems":[{"id":3351,"uris":["http://zotero.org/users/12832277/items/YXH5X4IM"],"itemData":{"id":3351,"type":"article-journal","abstract":"In spite of the popularity of e-shopping, only 16% of US adults have ordered groceries online, and 7 out of 10 of those who currently buy groceries online do so at most twice a month. Understanding the determinants of e-grocery shopping is important for grocers, supply chain managers, and urban planners. In this context, we first explore how deliveries from online shopping have been changing over time. From our analysis of the 2009 and 2017 National Household Travel Surveys, we found that online shopping has been embraced by increasingly diverse households, although income, education, and some racial/ethnic differences persist. Our analysis of the 2017 American Time Use Survey shows that Americans are 24 times more likely to shop for groceries in stores than online. Moreover, in-store grocery shoppers are more likely to be female and unemployed, but less likely to belong to younger generations, to have less than a college degree, or to be African American. The gender imbalance in grocery shopping is larger online than in stores, but e-grocery shoppers do not otherwise differ from the general population. Future travel and e-shopping surveys (especially for e-grocery) should combine time use and travel questions with retrospective questions about online purchases.","container-title":"Research in Transportation Economics","DOI":"10.1016/j.retrec.2020.100864","ISSN":"0739-8859","source":"ScienceDirect","title":"E-Shopping Changes and the State of E-Grocery Shopping in the US - Evidence from National Travel and Time Use Surveys","URL":"https://www.sciencedirect.com/science/article/pii/S0739885920300627","volume":"87","author":[{"family":"Saphores","given":"Jean-Daniel"},{"family":"Xu","given":"Lu"}],"accessed":{"date-parts":[["2024",5,22]]},"issued":{"date-parts":[["2021",6,1]]}}},{"id":3349,"uris":["http://zotero.org/users/12832277/items/BXSLTVCA"],"itemData":{"id":3349,"type":"article-journal","abstract":"A rapidly growing crime problem in the United States and abroad, package theft is a phenomenon that is of persistent and significant concern to the public. However, the academic study on the subject has been neglected. Because package theft is understudied, the impact it has is difficult to understand, and the crime itself is hard to address. This present study defines package theft and informs readers about package theft and examines online retail consumers’ fear of the crime. Fear of crime research has typically focused on the fear of violent crime, or it has concentrated on an abstract fear of crime. This study broadens the literature about fear of crime by examining fear of a specific crime, package theft, using an index of eleven questions measuring behavioral, cognitive, and affective impacts. Survey data of 562 participants from 49 states reveal that nearly one quarter (23.8%) have experienced package theft. Fear of package theft was statistically significant among the variables gender (women more than men), residential location (urban and suburban more than rural), and previous victimization of package theft. Additionally, the fear of package theft directly or vicariously harmed consumers and resulted in risk mitigation and risk avoidance behaviors. The present study demonstrates the usefulness of measuring fear through an index of multiple variables, for a specific crime, within an environmental context.","container-title":"American Journal of Criminal Justice","DOI":"10.1007/s12103-022-09687-4","ISSN":"1936-1351","issue":"3","language":"en","page":"399-420","source":"Springer Link","title":"Assessing the Fear of Package Theft","volume":"47","author":[{"family":"Hicks","given":"Melody"},{"family":"Stickle","given":"Ben"},{"family":"Harms","given":"Joshua"}],"issued":{"date-parts":[["2022",6,1]]}}}],"schema":"https://github.com/citation-style-language/schema/raw/master/csl-citation.json"} </w:instrText>
      </w:r>
      <w:r w:rsidR="00AA7E2C" w:rsidRPr="000D3090">
        <w:fldChar w:fldCharType="separate"/>
      </w:r>
      <w:r w:rsidR="00AA7E2C" w:rsidRPr="000D3090">
        <w:t>(Saphores and Xu, 2021; Hicks et al., 2022)</w:t>
      </w:r>
      <w:r w:rsidR="00AA7E2C" w:rsidRPr="000D3090">
        <w:fldChar w:fldCharType="end"/>
      </w:r>
      <w:r w:rsidR="00B009AD" w:rsidRPr="000D3090">
        <w:t>.</w:t>
      </w:r>
      <w:r w:rsidR="00EB549E" w:rsidRPr="000D3090">
        <w:t xml:space="preserve"> </w:t>
      </w:r>
    </w:p>
    <w:p w14:paraId="3294CFCE" w14:textId="167C0A04" w:rsidR="00303165" w:rsidRPr="000D3090" w:rsidRDefault="00865322" w:rsidP="00E71E8A">
      <w:pPr>
        <w:spacing w:after="0" w:line="240" w:lineRule="auto"/>
        <w:ind w:firstLine="720"/>
        <w:jc w:val="both"/>
      </w:pPr>
      <w:r w:rsidRPr="000D3090">
        <w:t xml:space="preserve">Individuals with higher levels of formal education attainment show a higher predilection </w:t>
      </w:r>
      <w:r w:rsidR="00D24539" w:rsidRPr="000D3090">
        <w:t>for</w:t>
      </w:r>
      <w:r w:rsidRPr="000D3090">
        <w:t xml:space="preserve"> </w:t>
      </w:r>
      <w:r w:rsidR="007E7F1F" w:rsidRPr="000D3090">
        <w:t xml:space="preserve">telework and use </w:t>
      </w:r>
      <w:r w:rsidR="00D24539" w:rsidRPr="000D3090">
        <w:t xml:space="preserve">of </w:t>
      </w:r>
      <w:r w:rsidR="007E7F1F" w:rsidRPr="000D3090">
        <w:t>delivery services</w:t>
      </w:r>
      <w:r w:rsidR="006E75C8" w:rsidRPr="000D3090">
        <w:t xml:space="preserve">. </w:t>
      </w:r>
      <w:r w:rsidR="00414546" w:rsidRPr="000D3090">
        <w:t xml:space="preserve">This result is intuitive given </w:t>
      </w:r>
      <w:bookmarkStart w:id="14" w:name="_Hlk195528735"/>
      <w:r w:rsidR="00414546" w:rsidRPr="000D3090">
        <w:t xml:space="preserve">that </w:t>
      </w:r>
      <w:r w:rsidR="007532C4" w:rsidRPr="000D3090">
        <w:t xml:space="preserve">jobs </w:t>
      </w:r>
      <w:r w:rsidR="00557FE2" w:rsidRPr="000D3090">
        <w:t xml:space="preserve">most suitable for telework are </w:t>
      </w:r>
      <w:r w:rsidR="007532C4" w:rsidRPr="000D3090">
        <w:t xml:space="preserve">associated </w:t>
      </w:r>
      <w:r w:rsidR="00557FE2" w:rsidRPr="000D3090">
        <w:t>with higher educational attainment</w:t>
      </w:r>
      <w:r w:rsidR="00302022" w:rsidRPr="000D3090">
        <w:t xml:space="preserve"> </w:t>
      </w:r>
      <w:bookmarkEnd w:id="14"/>
      <w:r w:rsidR="00AA7E2C" w:rsidRPr="000D3090">
        <w:rPr>
          <w:b/>
          <w:bCs/>
        </w:rPr>
        <w:fldChar w:fldCharType="begin"/>
      </w:r>
      <w:r w:rsidR="008D69D1" w:rsidRPr="000D3090">
        <w:rPr>
          <w:b/>
          <w:bCs/>
        </w:rPr>
        <w:instrText xml:space="preserve"> ADDIN ZOTERO_ITEM CSL_CITATION {"citationID":"gUtLMvnL","properties":{"formattedCitation":"(Nguyen, 2021)","plainCitation":"(Nguyen, 2021)","dontUpdate":true,"noteIndex":0},"citationItems":[{"id":2866,"uris":["http://zotero.org/users/12832277/items/KPLYTNYY"],"itemData":{"id":2866,"type":"article-journal","abstract":"During the era of COVID-19 (COronaVIrus Disease of 2019), telework has been adopted extensively in developing countries for the first time. This study analyzes data of 355 teleworkers in Hanoi (Vietnam) during April 2020, the period of social distancing, to examine various factors associated with (1) complete home-based telework (HBT), (2) the perception of HBT, and (3) the attitude toward the combination between HBT and conventional work at workplace post-COVID-19. It finds that the company’s closure policy and the frequency of working from a distance before the social distancing period were the primary determinants of exclusively teleworking. Regarding the perception of HBT, while the fear of COVID-19 was a strong positive factor, difficulties in focusing on work and accessing data were negative factors. Regarding the attitude toward the future development of HBT, attitudinal factors, commute distance, gender, children in household, and the perception of HBT in the social distancing period were the main predictors. The presence of more than one child negatively affected the perception of telework but positively affected the attitude toward establishing the hybrid work mechanism. The findings suggested that HBT has the potential to alleviate traffic congestion in developing countries and it can be promoted by emphasizing its environment-related benefits. The sample used in this research was collected in the initial stage of constrained mobility and it was not well representative; therefore, this study serves as a proof of concept for ongoing wider analyses on HBT post-COVID-19 or in the subsequent lockdown periods.","container-title":"Transportation","DOI":"10.1007/s11116-021-10169-5","ISSN":"1572-9435","issue":"6","language":"en","page":"3207-3238","source":"Springer Link","title":"Factors Influencing Home-Based Telework in Hanoi (Vietnam) During and After the COVID-19 Era","volume":"48","author":[{"family":"Nguyen","given":"Minh Hieu"}],"issued":{"date-parts":[["2021",12,1]]}}}],"schema":"https://github.com/citation-style-language/schema/raw/master/csl-citation.json"} </w:instrText>
      </w:r>
      <w:r w:rsidR="00AA7E2C" w:rsidRPr="000D3090">
        <w:rPr>
          <w:b/>
          <w:bCs/>
        </w:rPr>
        <w:fldChar w:fldCharType="separate"/>
      </w:r>
      <w:r w:rsidR="00EB6B95" w:rsidRPr="000D3090">
        <w:t>(see, for example, Nguyen, 2021)</w:t>
      </w:r>
      <w:r w:rsidR="00AA7E2C" w:rsidRPr="000D3090">
        <w:rPr>
          <w:b/>
          <w:bCs/>
        </w:rPr>
        <w:fldChar w:fldCharType="end"/>
      </w:r>
      <w:r w:rsidR="00557FE2" w:rsidRPr="000D3090">
        <w:t xml:space="preserve">. </w:t>
      </w:r>
      <w:r w:rsidR="008D7A99" w:rsidRPr="000D3090">
        <w:t>Marketing of d</w:t>
      </w:r>
      <w:r w:rsidR="00464FC3" w:rsidRPr="000D3090">
        <w:t xml:space="preserve">elivery </w:t>
      </w:r>
      <w:r w:rsidR="00430411" w:rsidRPr="000D3090">
        <w:t>services</w:t>
      </w:r>
      <w:r w:rsidR="00464FC3" w:rsidRPr="000D3090">
        <w:t xml:space="preserve"> also </w:t>
      </w:r>
      <w:r w:rsidR="008D7A99" w:rsidRPr="000D3090">
        <w:t xml:space="preserve">tends to be oriented towards concerns </w:t>
      </w:r>
      <w:r w:rsidR="008E114C" w:rsidRPr="000D3090">
        <w:t>that resonate more with well</w:t>
      </w:r>
      <w:r w:rsidR="007532C4" w:rsidRPr="000D3090">
        <w:t>-</w:t>
      </w:r>
      <w:r w:rsidR="008E114C" w:rsidRPr="000D3090">
        <w:t>educat</w:t>
      </w:r>
      <w:r w:rsidR="007532C4" w:rsidRPr="000D3090">
        <w:t>ed</w:t>
      </w:r>
      <w:r w:rsidR="008E114C" w:rsidRPr="000D3090">
        <w:t xml:space="preserve"> population</w:t>
      </w:r>
      <w:r w:rsidR="007532C4" w:rsidRPr="000D3090">
        <w:t xml:space="preserve"> groups</w:t>
      </w:r>
      <w:r w:rsidR="008E114C" w:rsidRPr="000D3090">
        <w:t>, including convenience for students and young professionals, diverse food options aligning with the preferences of those with more exposure to diverse cuisines, and health and wellness efforts appealing to those who are mor</w:t>
      </w:r>
      <w:r w:rsidR="007532C4" w:rsidRPr="000D3090">
        <w:t xml:space="preserve">e </w:t>
      </w:r>
      <w:r w:rsidR="008E114C" w:rsidRPr="000D3090">
        <w:t>nutrition and wellness</w:t>
      </w:r>
      <w:r w:rsidR="007532C4" w:rsidRPr="000D3090">
        <w:t xml:space="preserve"> aware</w:t>
      </w:r>
      <w:r w:rsidR="000C14B7" w:rsidRPr="000D3090">
        <w:t xml:space="preserve"> </w:t>
      </w:r>
      <w:r w:rsidR="00F97CDD" w:rsidRPr="000D3090">
        <w:fldChar w:fldCharType="begin"/>
      </w:r>
      <w:r w:rsidR="001D1BB9" w:rsidRPr="000D3090">
        <w:instrText xml:space="preserve"> ADDIN ZOTERO_ITEM CSL_CITATION {"citationID":"V9rWeBK4","properties":{"unsorted":true,"formattedCitation":"(Shah et al., 2021; Keeble et al., 2022)","plainCitation":"(Shah et al., 2021; Keeble et al., 2022)","noteIndex":0},"citationItems":[{"id":3480,"uris":["http://zotero.org/users/12832277/items/AVHPZBKJ"],"itemData":{"id":3480,"type":"article-journal","abstract":"Purpose The purpose of this paper is to develop a model to examine how different technological and cognitive cues related to mobile food ordering applications (MFOAs) impact diners' intentions to use MFOAs continuously. The moderating role of national household demographics was also assessed in the online-to-offline (O2O) food delivery services (FDS) context. Design/methodology/approach Drawing insights from the uses and gratification (U&amp;G) theory, an online sample survey of 968 valid respondents who had ordered or purchased food through delivery apps during the COVID-19 outbreak in China was used for the analysis. The proposed model was empirically tested using structural equation modeling. Findings The results revealed that cues in MFOAs (i.e. ease of use, convenience, price saving orientation, the listing of various food choices, exploring restaurant patterns, and compatibility) directly influenced diners' e-satisfaction and that intention to use continuously is triggered by e-satisfaction during the COVID-19 crisis. Moreover, this study found that collectivist household diners emphasized ease of use, convenience, and compatibility. Comparatively, individualistic household diners placed more importance upon price saving orientation and listing of various food choices during the pandemic. Originality/value The authors offer a new insight into customers' dining choices by extending the scope of O2O services in the food industry. The findings contribute to understanding diners' purchase decision-making processes regarding MFOAs' O2O-FDS during the COVID-19 crisis. The multi-group comparison via national household demographics also provides a new perspective regarding different dining preferences toward O2O-FDS.","container-title":"British Food Journal","DOI":"10.1108/BFJ-09-2020-0781","ISSN":"0007-070X","issue":"11","note":"publisher: Emerald Publishing Limited","page":"3368-3395","source":"Emerald Insight","title":"Adoption of Mobile Food Ordering Apps for O2O Food Delivery Services During the COVID-19 Outbreak","volume":"124","author":[{"family":"Shah","given":"Adnan Muhammad"},{"family":"Yan","given":"Xiangbin"},{"family":"Qayyum","given":"Abdul"}],"issued":{"date-parts":[["2021",1,1]]}}},{"id":3476,"uris":["http://zotero.org/users/12832277/items/A3MISUKC"],"itemData":{"id":3476,"type":"article-journal","abstract":"Food prepared out-of-home is typically energy-dense and nutrient-poor. This food can be purchased from multiple types of retailer, including restaurants and takeaway food outlets. Using online food delivery services to purchase food prepared out-of-home is increasing in popularity. This may lead to more frequent unhealthy food consumption, which is positively associated with poor diet and living with obesity. Understanding possible reasons for using online food delivery services might contribute to the development of future public health interventions, if deemed necessary. This knowledge would be best obtained by engaging with individuals who use online food delivery services as part of established routines. Therefore, we aimed to investigate customer experiences of using online food delivery services to understand their reasons for using them, including any advantages and drawbacks.","container-title":"BMC Public Health","DOI":"10.1186/s12889-022-13721-9","ISSN":"1471-2458","issue":"1","journalAbbreviation":"BMC Public Health","language":"en","source":"Springer Link","title":"Investigating Experiences of Frequent Online Food Delivery Service Use: A Qualitative Study in UK Adults","URL":"https://doi.org/10.1186/s12889-022-13721-9","volume":"22","author":[{"family":"Keeble","given":"Matthew"},{"family":"Adams","given":"Jean"},{"family":"Burgoine","given":"Thomas"}],"accessed":{"date-parts":[["2024",6,11]]},"issued":{"date-parts":[["2022",7,16]]}},"label":"page"}],"schema":"https://github.com/citation-style-language/schema/raw/master/csl-citation.json"} </w:instrText>
      </w:r>
      <w:r w:rsidR="00F97CDD" w:rsidRPr="000D3090">
        <w:fldChar w:fldCharType="separate"/>
      </w:r>
      <w:r w:rsidR="001D1BB9" w:rsidRPr="000D3090">
        <w:t>(Shah et al., 2021; Keeble et al., 2022)</w:t>
      </w:r>
      <w:r w:rsidR="00F97CDD" w:rsidRPr="000D3090">
        <w:fldChar w:fldCharType="end"/>
      </w:r>
      <w:r w:rsidR="00DF14E7" w:rsidRPr="000D3090">
        <w:t xml:space="preserve">. </w:t>
      </w:r>
      <w:r w:rsidR="00557FE2" w:rsidRPr="000D3090">
        <w:t>Finally, those</w:t>
      </w:r>
      <w:r w:rsidR="00414546" w:rsidRPr="000D3090">
        <w:t xml:space="preserve"> with a medical condition </w:t>
      </w:r>
      <w:r w:rsidR="007532C4" w:rsidRPr="000D3090">
        <w:t xml:space="preserve">tend to have higher propensities for telework and deliveries, suggesting </w:t>
      </w:r>
      <w:r w:rsidR="00557FE2" w:rsidRPr="000D3090">
        <w:t xml:space="preserve">that virtual </w:t>
      </w:r>
      <w:r w:rsidR="007532C4" w:rsidRPr="000D3090">
        <w:t>participation</w:t>
      </w:r>
      <w:r w:rsidR="00557FE2" w:rsidRPr="000D3090">
        <w:t xml:space="preserve"> may </w:t>
      </w:r>
      <w:r w:rsidR="007532C4" w:rsidRPr="000D3090">
        <w:t xml:space="preserve">be </w:t>
      </w:r>
      <w:r w:rsidR="00557FE2" w:rsidRPr="000D3090">
        <w:t>help</w:t>
      </w:r>
      <w:r w:rsidR="007532C4" w:rsidRPr="000D3090">
        <w:t>ing</w:t>
      </w:r>
      <w:r w:rsidR="00557FE2" w:rsidRPr="000D3090">
        <w:t xml:space="preserve"> alleviate </w:t>
      </w:r>
      <w:r w:rsidR="007532C4" w:rsidRPr="000D3090">
        <w:t xml:space="preserve">OH </w:t>
      </w:r>
      <w:r w:rsidR="00557FE2" w:rsidRPr="000D3090">
        <w:t>accessibility</w:t>
      </w:r>
      <w:r w:rsidR="007532C4" w:rsidRPr="000D3090">
        <w:t xml:space="preserve"> challenges. </w:t>
      </w:r>
    </w:p>
    <w:p w14:paraId="0DEF253C" w14:textId="77777777" w:rsidR="002968D4" w:rsidRPr="000D3090" w:rsidRDefault="002968D4" w:rsidP="008738D1">
      <w:pPr>
        <w:spacing w:after="0" w:line="240" w:lineRule="auto"/>
        <w:jc w:val="both"/>
      </w:pPr>
    </w:p>
    <w:p w14:paraId="4384B26A" w14:textId="0416FB87" w:rsidR="002968D4" w:rsidRPr="000D3090" w:rsidRDefault="002968D4" w:rsidP="008738D1">
      <w:pPr>
        <w:spacing w:after="0" w:line="240" w:lineRule="auto"/>
        <w:jc w:val="both"/>
        <w:rPr>
          <w:b/>
          <w:bCs/>
        </w:rPr>
      </w:pPr>
      <w:r w:rsidRPr="000D3090">
        <w:rPr>
          <w:b/>
          <w:bCs/>
        </w:rPr>
        <w:t xml:space="preserve">4.3 </w:t>
      </w:r>
      <w:r w:rsidR="009C0D2F" w:rsidRPr="000D3090">
        <w:rPr>
          <w:b/>
          <w:bCs/>
        </w:rPr>
        <w:t xml:space="preserve">Correlations and </w:t>
      </w:r>
      <w:r w:rsidRPr="000D3090">
        <w:rPr>
          <w:b/>
          <w:bCs/>
        </w:rPr>
        <w:t>Endogenous Effects</w:t>
      </w:r>
    </w:p>
    <w:p w14:paraId="7E03A59F" w14:textId="31D1B8F0" w:rsidR="00C620BE" w:rsidRPr="000D3090" w:rsidRDefault="00F53403" w:rsidP="004A0C3F">
      <w:pPr>
        <w:spacing w:after="0" w:line="240" w:lineRule="auto"/>
        <w:jc w:val="both"/>
      </w:pPr>
      <w:r w:rsidRPr="000D3090">
        <w:t xml:space="preserve">The estimated correlation parameters and their t-statistics are shown </w:t>
      </w:r>
      <w:r w:rsidR="00FD39C5" w:rsidRPr="000D3090">
        <w:t xml:space="preserve">at the bottom of </w:t>
      </w:r>
      <w:r w:rsidRPr="000D3090">
        <w:t xml:space="preserve">Table </w:t>
      </w:r>
      <w:r w:rsidR="00FD39C5" w:rsidRPr="000D3090">
        <w:t>3</w:t>
      </w:r>
      <w:r w:rsidRPr="000D3090">
        <w:t xml:space="preserve">. </w:t>
      </w:r>
      <w:r w:rsidR="00F21ED1" w:rsidRPr="000D3090">
        <w:t>Sixteen</w:t>
      </w:r>
      <w:r w:rsidR="00126B16" w:rsidRPr="000D3090">
        <w:t xml:space="preserve"> correlation terms are significant at the 8</w:t>
      </w:r>
      <w:r w:rsidR="00E009E8" w:rsidRPr="000D3090">
        <w:t>0</w:t>
      </w:r>
      <w:r w:rsidR="00126B16" w:rsidRPr="000D3090">
        <w:t>% confidence level or above and are retained in the mo</w:t>
      </w:r>
      <w:r w:rsidR="00F21ED1" w:rsidRPr="000D3090">
        <w:t>d</w:t>
      </w:r>
      <w:r w:rsidR="00126B16" w:rsidRPr="000D3090">
        <w:t>el</w:t>
      </w:r>
      <w:r w:rsidR="00E009E8" w:rsidRPr="000D3090">
        <w:t xml:space="preserve">. </w:t>
      </w:r>
      <w:r w:rsidR="00126B16" w:rsidRPr="000D3090">
        <w:t>These</w:t>
      </w:r>
      <w:r w:rsidR="00C620BE" w:rsidRPr="000D3090">
        <w:t xml:space="preserve"> significant correlation terms indicate the presence of unobserved effects </w:t>
      </w:r>
      <w:r w:rsidR="00322358" w:rsidRPr="000D3090">
        <w:t xml:space="preserve">that jointly impact several of the </w:t>
      </w:r>
      <w:r w:rsidR="00401C00" w:rsidRPr="000D3090">
        <w:t xml:space="preserve">endogenous </w:t>
      </w:r>
      <w:r w:rsidR="00322358" w:rsidRPr="000D3090">
        <w:t>outcomes.</w:t>
      </w:r>
      <w:r w:rsidR="002335DC" w:rsidRPr="000D3090">
        <w:t xml:space="preserve"> </w:t>
      </w:r>
      <w:r w:rsidR="00401C00" w:rsidRPr="000D3090">
        <w:t xml:space="preserve">Importantly, the PPD reasons are only observable if a person reports PPD. To </w:t>
      </w:r>
      <w:r w:rsidR="00D269FE" w:rsidRPr="000D3090">
        <w:t xml:space="preserve">generalize </w:t>
      </w:r>
      <w:r w:rsidR="00401C00" w:rsidRPr="000D3090">
        <w:t xml:space="preserve">the </w:t>
      </w:r>
      <w:r w:rsidR="00D269FE" w:rsidRPr="000D3090">
        <w:t xml:space="preserve">perceived </w:t>
      </w:r>
      <w:r w:rsidR="00401C00" w:rsidRPr="000D3090">
        <w:t xml:space="preserve">physical participation </w:t>
      </w:r>
      <w:r w:rsidR="00D269FE" w:rsidRPr="000D3090">
        <w:t xml:space="preserve">barriers </w:t>
      </w:r>
      <w:r w:rsidR="00401C00" w:rsidRPr="000D3090">
        <w:t xml:space="preserve">due to the transportation system (which is what the PPD reasons represent) to all individuals, the </w:t>
      </w:r>
      <w:r w:rsidR="00D269FE" w:rsidRPr="000D3090">
        <w:lastRenderedPageBreak/>
        <w:t xml:space="preserve">resulting </w:t>
      </w:r>
      <w:r w:rsidR="00401C00" w:rsidRPr="000D3090">
        <w:t xml:space="preserve">sample selection in the observed data needs to be accounted for. </w:t>
      </w:r>
      <w:r w:rsidR="00334E11" w:rsidRPr="000D3090">
        <w:t xml:space="preserve">In our estimations, though, these correlations did not turn out to be statistically significant. However, there is substantial correlation across the PPD reasons, with </w:t>
      </w:r>
      <w:r w:rsidR="00C87228" w:rsidRPr="000D3090">
        <w:t xml:space="preserve">positive correlations among </w:t>
      </w:r>
      <w:r w:rsidR="00334E11" w:rsidRPr="000D3090">
        <w:t>the PPD reasons of (a) “not safe</w:t>
      </w:r>
      <w:r w:rsidR="006A69A6" w:rsidRPr="000D3090">
        <w:t>,</w:t>
      </w:r>
      <w:r w:rsidR="00334E11" w:rsidRPr="000D3090">
        <w:t>” “not clean</w:t>
      </w:r>
      <w:r w:rsidR="006A69A6" w:rsidRPr="000D3090">
        <w:t>,</w:t>
      </w:r>
      <w:r w:rsidR="00334E11" w:rsidRPr="000D3090">
        <w:t>” “not reliable</w:t>
      </w:r>
      <w:r w:rsidR="006A69A6" w:rsidRPr="000D3090">
        <w:t>,</w:t>
      </w:r>
      <w:r w:rsidR="00334E11" w:rsidRPr="000D3090">
        <w:t xml:space="preserve">” and “poor destination access” </w:t>
      </w:r>
      <w:r w:rsidR="00CB0E6C" w:rsidRPr="000D3090">
        <w:t xml:space="preserve">and </w:t>
      </w:r>
      <w:r w:rsidR="00334E11" w:rsidRPr="000D3090">
        <w:t xml:space="preserve">(b) “not </w:t>
      </w:r>
      <w:r w:rsidR="007061A2" w:rsidRPr="000D3090">
        <w:t>affordab</w:t>
      </w:r>
      <w:r w:rsidR="00334E11" w:rsidRPr="000D3090">
        <w:t>le</w:t>
      </w:r>
      <w:r w:rsidR="006A69A6" w:rsidRPr="000D3090">
        <w:t>,</w:t>
      </w:r>
      <w:r w:rsidR="00334E11" w:rsidRPr="000D3090">
        <w:t>” “not “</w:t>
      </w:r>
      <w:r w:rsidR="007061A2" w:rsidRPr="000D3090">
        <w:t>reliab</w:t>
      </w:r>
      <w:r w:rsidR="00334E11" w:rsidRPr="000D3090">
        <w:t>le</w:t>
      </w:r>
      <w:r w:rsidR="006A69A6" w:rsidRPr="000D3090">
        <w:t>,</w:t>
      </w:r>
      <w:r w:rsidR="00334E11" w:rsidRPr="000D3090">
        <w:t>”</w:t>
      </w:r>
      <w:r w:rsidR="007061A2" w:rsidRPr="000D3090">
        <w:t xml:space="preserve"> and </w:t>
      </w:r>
      <w:r w:rsidR="00334E11" w:rsidRPr="000D3090">
        <w:t xml:space="preserve">“poor </w:t>
      </w:r>
      <w:r w:rsidR="007061A2" w:rsidRPr="000D3090">
        <w:t>destination access</w:t>
      </w:r>
      <w:r w:rsidR="006A69A6" w:rsidRPr="000D3090">
        <w:t>.</w:t>
      </w:r>
      <w:r w:rsidR="00334E11" w:rsidRPr="000D3090">
        <w:t>”</w:t>
      </w:r>
      <w:r w:rsidR="00CB0E6C" w:rsidRPr="000D3090">
        <w:t xml:space="preserve"> </w:t>
      </w:r>
      <w:r w:rsidR="00E907B2" w:rsidRPr="000D3090">
        <w:t xml:space="preserve">These positive correlations suggest that intrinsic </w:t>
      </w:r>
      <w:r w:rsidR="00334E11" w:rsidRPr="000D3090">
        <w:t xml:space="preserve">(unobserved) </w:t>
      </w:r>
      <w:r w:rsidR="00200D1F" w:rsidRPr="000D3090">
        <w:t xml:space="preserve">individual factors </w:t>
      </w:r>
      <w:r w:rsidR="00334E11" w:rsidRPr="000D3090">
        <w:t xml:space="preserve">as well as unobserved location factors </w:t>
      </w:r>
      <w:r w:rsidR="00236870" w:rsidRPr="000D3090">
        <w:t xml:space="preserve">may </w:t>
      </w:r>
      <w:r w:rsidR="00334E11" w:rsidRPr="000D3090">
        <w:t xml:space="preserve">lead to </w:t>
      </w:r>
      <w:r w:rsidR="00CB0E6C" w:rsidRPr="000D3090">
        <w:t xml:space="preserve">a common set of </w:t>
      </w:r>
      <w:r w:rsidR="00334E11" w:rsidRPr="000D3090">
        <w:t xml:space="preserve">transportation barriers. </w:t>
      </w:r>
      <w:r w:rsidR="00E4701F" w:rsidRPr="000D3090">
        <w:t xml:space="preserve">Additionally, positive correlations between </w:t>
      </w:r>
      <w:r w:rsidR="00CB0E6C" w:rsidRPr="000D3090">
        <w:t>the PPD reasons of “</w:t>
      </w:r>
      <w:r w:rsidR="002E1461" w:rsidRPr="000D3090">
        <w:t>COVID</w:t>
      </w:r>
      <w:r w:rsidR="00CB0E6C" w:rsidRPr="000D3090">
        <w:t xml:space="preserve"> concerns” with</w:t>
      </w:r>
      <w:r w:rsidR="00F17B1D" w:rsidRPr="000D3090">
        <w:t xml:space="preserve"> </w:t>
      </w:r>
      <w:r w:rsidR="00CB0E6C" w:rsidRPr="000D3090">
        <w:t xml:space="preserve">“not </w:t>
      </w:r>
      <w:r w:rsidR="00F17B1D" w:rsidRPr="000D3090">
        <w:t>safe</w:t>
      </w:r>
      <w:r w:rsidR="00CB0E6C" w:rsidRPr="000D3090">
        <w:t>”</w:t>
      </w:r>
      <w:r w:rsidR="00F17B1D" w:rsidRPr="000D3090">
        <w:t xml:space="preserve"> and </w:t>
      </w:r>
      <w:r w:rsidR="00CB0E6C" w:rsidRPr="000D3090">
        <w:t xml:space="preserve">“not </w:t>
      </w:r>
      <w:r w:rsidR="00F17B1D" w:rsidRPr="000D3090">
        <w:t>clean</w:t>
      </w:r>
      <w:r w:rsidR="00CB0E6C" w:rsidRPr="000D3090">
        <w:t xml:space="preserve">” </w:t>
      </w:r>
      <w:r w:rsidR="008F7766" w:rsidRPr="000D3090">
        <w:t xml:space="preserve">suggest </w:t>
      </w:r>
      <w:r w:rsidR="00CB0E6C" w:rsidRPr="000D3090">
        <w:t xml:space="preserve">the “not safe” and “not clean” perceptions </w:t>
      </w:r>
      <w:r w:rsidR="00DD03AF" w:rsidRPr="000D3090">
        <w:t>may decline as pandemic effects subside</w:t>
      </w:r>
      <w:r w:rsidR="007061A2" w:rsidRPr="000D3090">
        <w:t xml:space="preserve">. </w:t>
      </w:r>
      <w:r w:rsidR="00E009E8" w:rsidRPr="000D3090">
        <w:t>The correlations between “health problems” and “safety</w:t>
      </w:r>
      <w:r w:rsidR="00617801" w:rsidRPr="000D3090">
        <w:t>,</w:t>
      </w:r>
      <w:r w:rsidR="00E009E8" w:rsidRPr="000D3090">
        <w:t>” and “</w:t>
      </w:r>
      <w:r w:rsidR="00C22D59" w:rsidRPr="000D3090">
        <w:t>COVID</w:t>
      </w:r>
      <w:r w:rsidR="00E009E8" w:rsidRPr="000D3090">
        <w:t xml:space="preserve"> concerns” and “no time</w:t>
      </w:r>
      <w:r w:rsidR="00617801" w:rsidRPr="000D3090">
        <w:t>,</w:t>
      </w:r>
      <w:r w:rsidR="00E009E8" w:rsidRPr="000D3090">
        <w:t xml:space="preserve">” are rather weak and barely significant at the 80% confidence level. </w:t>
      </w:r>
    </w:p>
    <w:p w14:paraId="56A3424E" w14:textId="58FFDDA5" w:rsidR="00F471C3" w:rsidRPr="000D3090" w:rsidRDefault="00CC012E" w:rsidP="00011BBC">
      <w:pPr>
        <w:spacing w:after="0" w:line="240" w:lineRule="auto"/>
        <w:ind w:firstLine="720"/>
        <w:jc w:val="both"/>
      </w:pPr>
      <w:r w:rsidRPr="000D3090">
        <w:t xml:space="preserve">In addition to the correlations </w:t>
      </w:r>
      <w:r w:rsidR="00CB0E6C" w:rsidRPr="000D3090">
        <w:t xml:space="preserve">among the PPD </w:t>
      </w:r>
      <w:r w:rsidRPr="000D3090">
        <w:t xml:space="preserve">reasons, </w:t>
      </w:r>
      <w:r w:rsidR="00F471C3" w:rsidRPr="000D3090">
        <w:t xml:space="preserve">a positive correlation between </w:t>
      </w:r>
      <w:r w:rsidR="00CB0E6C" w:rsidRPr="000D3090">
        <w:t xml:space="preserve">COVID concerns and </w:t>
      </w:r>
      <w:r w:rsidR="00F471C3" w:rsidRPr="000D3090">
        <w:t xml:space="preserve">telework is unsurprising, indicating that </w:t>
      </w:r>
      <w:r w:rsidR="00922B39" w:rsidRPr="000D3090">
        <w:t xml:space="preserve">those with more intrinsic pandemic concern </w:t>
      </w:r>
      <w:r w:rsidR="00CB0E6C" w:rsidRPr="000D3090">
        <w:t xml:space="preserve">have a higher propensity </w:t>
      </w:r>
      <w:r w:rsidR="00922B39" w:rsidRPr="000D3090">
        <w:t>to</w:t>
      </w:r>
      <w:r w:rsidR="00CB0E6C" w:rsidRPr="000D3090">
        <w:t xml:space="preserve"> </w:t>
      </w:r>
      <w:r w:rsidR="00922B39" w:rsidRPr="000D3090">
        <w:t xml:space="preserve">telework. </w:t>
      </w:r>
      <w:r w:rsidR="00A4434E" w:rsidRPr="000D3090">
        <w:t>Similarly, a positive correlation between the use of telework and delivery services indicates that unobserved factors, such as technological savviness</w:t>
      </w:r>
      <w:r w:rsidR="00A133CC" w:rsidRPr="000D3090">
        <w:t xml:space="preserve"> or access to technology</w:t>
      </w:r>
      <w:r w:rsidR="00A253CD" w:rsidRPr="000D3090">
        <w:t xml:space="preserve">, </w:t>
      </w:r>
      <w:r w:rsidR="00A133CC" w:rsidRPr="000D3090">
        <w:t xml:space="preserve">impact the use of both virtual services. Finally, both </w:t>
      </w:r>
      <w:r w:rsidR="00C22D59" w:rsidRPr="000D3090">
        <w:t xml:space="preserve">virtual </w:t>
      </w:r>
      <w:r w:rsidR="00A133CC" w:rsidRPr="000D3090">
        <w:t xml:space="preserve">activities are positively correlated </w:t>
      </w:r>
      <w:r w:rsidR="00CB0E6C" w:rsidRPr="000D3090">
        <w:t>with PPD</w:t>
      </w:r>
      <w:r w:rsidR="00E2327F" w:rsidRPr="000D3090">
        <w:t xml:space="preserve">. </w:t>
      </w:r>
      <w:r w:rsidR="003740C5" w:rsidRPr="000D3090">
        <w:t xml:space="preserve">Notably, </w:t>
      </w:r>
      <w:r w:rsidR="00C36198" w:rsidRPr="000D3090">
        <w:t xml:space="preserve">these correlations between </w:t>
      </w:r>
      <w:r w:rsidR="001E7D62" w:rsidRPr="000D3090">
        <w:t xml:space="preserve">PPD </w:t>
      </w:r>
      <w:r w:rsidR="00C36198" w:rsidRPr="000D3090">
        <w:t xml:space="preserve">and </w:t>
      </w:r>
      <w:r w:rsidR="001E7D62" w:rsidRPr="000D3090">
        <w:t xml:space="preserve">virtual participation outcomes </w:t>
      </w:r>
      <w:r w:rsidR="00C36198" w:rsidRPr="000D3090">
        <w:t xml:space="preserve">take the opposite sign of the endogenous effects discussed </w:t>
      </w:r>
      <w:r w:rsidR="009C0D2F" w:rsidRPr="000D3090">
        <w:t>next</w:t>
      </w:r>
      <w:r w:rsidR="00C36198" w:rsidRPr="000D3090">
        <w:t>, indicating that</w:t>
      </w:r>
      <w:r w:rsidR="007A7070" w:rsidRPr="000D3090">
        <w:t>,</w:t>
      </w:r>
      <w:r w:rsidR="00C36198" w:rsidRPr="000D3090">
        <w:t xml:space="preserve"> </w:t>
      </w:r>
      <w:r w:rsidR="007A7070" w:rsidRPr="000D3090">
        <w:t xml:space="preserve">if these correlations were ignored, </w:t>
      </w:r>
      <w:r w:rsidR="00E5718B" w:rsidRPr="000D3090">
        <w:t>the impact</w:t>
      </w:r>
      <w:r w:rsidR="001E7D62" w:rsidRPr="000D3090">
        <w:t xml:space="preserve"> of virtual</w:t>
      </w:r>
      <w:r w:rsidR="00E5718B" w:rsidRPr="000D3090">
        <w:t xml:space="preserve"> </w:t>
      </w:r>
      <w:r w:rsidR="001E7D62" w:rsidRPr="000D3090">
        <w:t>participation</w:t>
      </w:r>
      <w:r w:rsidR="00E5718B" w:rsidRPr="000D3090">
        <w:t xml:space="preserve"> </w:t>
      </w:r>
      <w:r w:rsidR="001E7D62" w:rsidRPr="000D3090">
        <w:t>on</w:t>
      </w:r>
      <w:r w:rsidR="00E5718B" w:rsidRPr="000D3090">
        <w:t xml:space="preserve"> </w:t>
      </w:r>
      <w:r w:rsidR="00E2327F" w:rsidRPr="000D3090">
        <w:t xml:space="preserve">PPD </w:t>
      </w:r>
      <w:r w:rsidR="00C50E22" w:rsidRPr="000D3090">
        <w:t>would be underestimated</w:t>
      </w:r>
      <w:r w:rsidR="00E2327F" w:rsidRPr="000D3090">
        <w:t xml:space="preserve">, </w:t>
      </w:r>
      <w:r w:rsidR="001E7D62" w:rsidRPr="000D3090">
        <w:t>incorrectly discounting the potential of virtual participation to reduce PPD and enhance overall accessibility</w:t>
      </w:r>
      <w:r w:rsidR="00C50E22" w:rsidRPr="000D3090">
        <w:t xml:space="preserve">. </w:t>
      </w:r>
    </w:p>
    <w:p w14:paraId="06F55FB8" w14:textId="5509B26B" w:rsidR="009C0D2F" w:rsidRPr="000D3090" w:rsidRDefault="009C0D2F" w:rsidP="009C0D2F">
      <w:pPr>
        <w:spacing w:after="0" w:line="240" w:lineRule="auto"/>
        <w:ind w:firstLine="720"/>
        <w:jc w:val="both"/>
      </w:pPr>
      <w:r w:rsidRPr="000D3090">
        <w:t xml:space="preserve">Finally, we arrive at the endogenous causal effects. Higher levels (relative to lower levels) of telework and deliveries lead to statistically significant reductions in PPD, as we hypothesized earlier. This overall PPD reduction is explained to a large extent by a reduction in “poor destination access” and “no time” perceptions. Thus, virtual participation opportunities do appear to have the beneficial effect of elevating overall (physical and virtual) accessibility. </w:t>
      </w:r>
    </w:p>
    <w:p w14:paraId="3EDFC183" w14:textId="290F82A0" w:rsidR="00AB6F82" w:rsidRPr="000D3090" w:rsidRDefault="00AB6F82" w:rsidP="00D3089B">
      <w:pPr>
        <w:spacing w:after="0" w:line="240" w:lineRule="auto"/>
      </w:pPr>
      <w:r w:rsidRPr="000D3090">
        <w:tab/>
      </w:r>
    </w:p>
    <w:p w14:paraId="4245F550" w14:textId="7ECB34AA" w:rsidR="00D113BE" w:rsidRPr="000D3090" w:rsidRDefault="00011BBC" w:rsidP="00D3089B">
      <w:pPr>
        <w:spacing w:after="0" w:line="240" w:lineRule="auto"/>
        <w:rPr>
          <w:b/>
          <w:bCs/>
        </w:rPr>
      </w:pPr>
      <w:r w:rsidRPr="000D3090">
        <w:rPr>
          <w:b/>
          <w:bCs/>
        </w:rPr>
        <w:t>4.</w:t>
      </w:r>
      <w:r w:rsidR="00AE1E06" w:rsidRPr="000D3090">
        <w:rPr>
          <w:b/>
          <w:bCs/>
        </w:rPr>
        <w:t>4</w:t>
      </w:r>
      <w:r w:rsidRPr="000D3090">
        <w:rPr>
          <w:b/>
          <w:bCs/>
        </w:rPr>
        <w:t xml:space="preserve"> Model Fit</w:t>
      </w:r>
    </w:p>
    <w:p w14:paraId="23E32691" w14:textId="763C5FB5" w:rsidR="00871D72" w:rsidRPr="000D3090" w:rsidRDefault="00656D3F" w:rsidP="009464B2">
      <w:pPr>
        <w:autoSpaceDE w:val="0"/>
        <w:autoSpaceDN w:val="0"/>
        <w:adjustRightInd w:val="0"/>
        <w:spacing w:after="0" w:line="240" w:lineRule="auto"/>
        <w:jc w:val="both"/>
      </w:pPr>
      <w:r w:rsidRPr="000D3090">
        <w:t xml:space="preserve">Although the statistically significant correlations mentioned in the previous section already motivate the use of a joint modeling approach, we compare the proposed joint model to an independent ordered probit model </w:t>
      </w:r>
      <w:r w:rsidR="00810ABD" w:rsidRPr="000D3090">
        <w:t xml:space="preserve">to assess the overall model fit. </w:t>
      </w:r>
      <w:r w:rsidR="00D140BE" w:rsidRPr="000D3090">
        <w:t xml:space="preserve">The independent model assumes that the errors </w:t>
      </w:r>
      <w:r w:rsidR="00E2327F" w:rsidRPr="000D3090">
        <w:t xml:space="preserve">among the endogenous </w:t>
      </w:r>
      <w:r w:rsidR="00D140BE" w:rsidRPr="000D3090">
        <w:t xml:space="preserve">outcomes are </w:t>
      </w:r>
      <w:r w:rsidR="00E2327F" w:rsidRPr="000D3090">
        <w:t xml:space="preserve">all </w:t>
      </w:r>
      <w:r w:rsidR="00D140BE" w:rsidRPr="000D3090">
        <w:t>independent, maintaining a correlation structure with zeros for all off-diagonal terms</w:t>
      </w:r>
      <w:r w:rsidR="00913DD7" w:rsidRPr="000D3090">
        <w:t xml:space="preserve"> in Equation (2)</w:t>
      </w:r>
      <w:r w:rsidR="00D140BE" w:rsidRPr="000D3090">
        <w:t xml:space="preserve">. </w:t>
      </w:r>
      <w:r w:rsidR="00810ABD" w:rsidRPr="000D3090">
        <w:t xml:space="preserve">A series of disaggregate and aggregate statistics are shown in </w:t>
      </w:r>
      <w:r w:rsidR="003F4C76" w:rsidRPr="000D3090">
        <w:t xml:space="preserve">Table </w:t>
      </w:r>
      <w:r w:rsidR="006A2A62" w:rsidRPr="000D3090">
        <w:t>4</w:t>
      </w:r>
      <w:r w:rsidR="00810ABD" w:rsidRPr="000D3090">
        <w:t xml:space="preserve"> to compare the</w:t>
      </w:r>
      <w:r w:rsidR="00913DD7" w:rsidRPr="000D3090">
        <w:t xml:space="preserve"> joint and independent</w:t>
      </w:r>
      <w:r w:rsidR="00810ABD" w:rsidRPr="000D3090">
        <w:t xml:space="preserve"> models. </w:t>
      </w:r>
      <w:r w:rsidR="009464B2" w:rsidRPr="000D3090">
        <w:rPr>
          <w:bCs/>
        </w:rPr>
        <w:t xml:space="preserve">First, </w:t>
      </w:r>
      <w:r w:rsidR="00D40511" w:rsidRPr="000D3090">
        <w:rPr>
          <w:bCs/>
        </w:rPr>
        <w:t>comparing the disaggregate measures, the</w:t>
      </w:r>
      <w:r w:rsidR="009464B2" w:rsidRPr="000D3090">
        <w:rPr>
          <w:bCs/>
        </w:rPr>
        <w:t xml:space="preserve"> </w:t>
      </w:r>
      <w:r w:rsidR="00913DD7" w:rsidRPr="000D3090">
        <w:rPr>
          <w:bCs/>
        </w:rPr>
        <w:t>log-</w:t>
      </w:r>
      <w:r w:rsidR="009464B2" w:rsidRPr="000D3090">
        <w:rPr>
          <w:bCs/>
        </w:rPr>
        <w:t xml:space="preserve">likelihood </w:t>
      </w:r>
      <w:r w:rsidR="00913DD7" w:rsidRPr="000D3090">
        <w:rPr>
          <w:bCs/>
        </w:rPr>
        <w:t xml:space="preserve">at convergence and adjusted likelihood ratio index </w:t>
      </w:r>
      <w:r w:rsidR="009464B2" w:rsidRPr="000D3090">
        <w:rPr>
          <w:bCs/>
        </w:rPr>
        <w:t xml:space="preserve">for the full model </w:t>
      </w:r>
      <w:r w:rsidR="00913DD7" w:rsidRPr="000D3090">
        <w:rPr>
          <w:bCs/>
        </w:rPr>
        <w:t>are both</w:t>
      </w:r>
      <w:r w:rsidR="009464B2" w:rsidRPr="000D3090">
        <w:rPr>
          <w:bCs/>
        </w:rPr>
        <w:t xml:space="preserve"> larger than that of the independent model</w:t>
      </w:r>
      <w:r w:rsidR="00913DD7" w:rsidRPr="000D3090">
        <w:rPr>
          <w:bCs/>
        </w:rPr>
        <w:t xml:space="preserve">, while the Bayesian Information Criterion (BIC) statistic shows a lower value for </w:t>
      </w:r>
      <w:r w:rsidR="00913DD7" w:rsidRPr="000D3090">
        <w:t xml:space="preserve">the joint model relative to the independent model. </w:t>
      </w:r>
      <w:r w:rsidR="00913DD7" w:rsidRPr="000D3090">
        <w:rPr>
          <w:bCs/>
        </w:rPr>
        <w:t>S</w:t>
      </w:r>
      <w:r w:rsidR="009464B2" w:rsidRPr="000D3090">
        <w:rPr>
          <w:bCs/>
        </w:rPr>
        <w:t xml:space="preserve">ince the independent model is a nested form of the full model, the two can be compared with a </w:t>
      </w:r>
      <w:r w:rsidR="00913DD7" w:rsidRPr="000D3090">
        <w:rPr>
          <w:bCs/>
        </w:rPr>
        <w:t xml:space="preserve">formal </w:t>
      </w:r>
      <w:r w:rsidR="009464B2" w:rsidRPr="000D3090">
        <w:rPr>
          <w:bCs/>
        </w:rPr>
        <w:t>likelihood ratio test. The likelihood ratio test statistic is</w:t>
      </w:r>
      <w:r w:rsidR="00BE22DC" w:rsidRPr="000D3090">
        <w:rPr>
          <w:bCs/>
        </w:rPr>
        <w:t xml:space="preserve"> </w:t>
      </w:r>
      <w:r w:rsidR="001E1038" w:rsidRPr="000D3090">
        <w:rPr>
          <w:bCs/>
        </w:rPr>
        <w:t>458.86</w:t>
      </w:r>
      <w:r w:rsidR="009464B2" w:rsidRPr="000D3090">
        <w:rPr>
          <w:bCs/>
        </w:rPr>
        <w:t xml:space="preserve">, which is much higher than the chi-squared value with </w:t>
      </w:r>
      <w:r w:rsidR="004D1A46" w:rsidRPr="000D3090">
        <w:rPr>
          <w:bCs/>
        </w:rPr>
        <w:t>16</w:t>
      </w:r>
      <w:r w:rsidR="009464B2" w:rsidRPr="000D3090">
        <w:rPr>
          <w:b/>
        </w:rPr>
        <w:t xml:space="preserve"> </w:t>
      </w:r>
      <w:r w:rsidR="009464B2" w:rsidRPr="000D3090">
        <w:rPr>
          <w:bCs/>
        </w:rPr>
        <w:t xml:space="preserve">degrees of freedom at any reasonable level of significance, indicating a </w:t>
      </w:r>
      <w:r w:rsidR="00913DD7" w:rsidRPr="000D3090">
        <w:rPr>
          <w:bCs/>
        </w:rPr>
        <w:t xml:space="preserve">statistically significant </w:t>
      </w:r>
      <w:r w:rsidR="009464B2" w:rsidRPr="000D3090">
        <w:rPr>
          <w:bCs/>
        </w:rPr>
        <w:t xml:space="preserve">superior fit for the proposed model. </w:t>
      </w:r>
      <w:r w:rsidR="00871D72" w:rsidRPr="000D3090">
        <w:t>Finally</w:t>
      </w:r>
      <w:r w:rsidR="00DC4D11" w:rsidRPr="000D3090">
        <w:t xml:space="preserve">, the models can be </w:t>
      </w:r>
      <w:r w:rsidR="00913DD7" w:rsidRPr="000D3090">
        <w:t xml:space="preserve">intuitively </w:t>
      </w:r>
      <w:r w:rsidR="00DC4D11" w:rsidRPr="000D3090">
        <w:t xml:space="preserve">compared based on the average probability of correct predication, which is </w:t>
      </w:r>
      <w:r w:rsidR="00AB3873" w:rsidRPr="000D3090">
        <w:t xml:space="preserve">computed </w:t>
      </w:r>
      <w:r w:rsidR="00E02163" w:rsidRPr="000D3090">
        <w:t>using the multivariate predictions for</w:t>
      </w:r>
      <w:r w:rsidR="00AB3873" w:rsidRPr="000D3090">
        <w:t xml:space="preserve"> all available outcomes for each </w:t>
      </w:r>
      <w:r w:rsidR="00E27927" w:rsidRPr="000D3090">
        <w:t xml:space="preserve">individual (note that </w:t>
      </w:r>
      <w:r w:rsidR="00D659DA" w:rsidRPr="000D3090">
        <w:t xml:space="preserve">the </w:t>
      </w:r>
      <w:r w:rsidR="00913DD7" w:rsidRPr="000D3090">
        <w:t xml:space="preserve">average </w:t>
      </w:r>
      <w:r w:rsidR="00D659DA" w:rsidRPr="000D3090">
        <w:t xml:space="preserve">probability of correct prediction is low for both models due to the large number of possible combinations for the complete outcome set, </w:t>
      </w:r>
      <w:r w:rsidR="00913DD7" w:rsidRPr="000D3090">
        <w:t xml:space="preserve">amounting to </w:t>
      </w:r>
      <w:r w:rsidR="009A7409" w:rsidRPr="000D3090">
        <w:t>4096</w:t>
      </w:r>
      <w:r w:rsidR="00DB04D5" w:rsidRPr="000D3090">
        <w:t xml:space="preserve"> possible combinations</w:t>
      </w:r>
      <w:r w:rsidR="009A7409" w:rsidRPr="000D3090">
        <w:t xml:space="preserve"> for those reporting PPD and 16 possible combinations for those not reporting PPD.</w:t>
      </w:r>
      <w:r w:rsidR="00DB04D5" w:rsidRPr="000D3090">
        <w:t xml:space="preserve"> </w:t>
      </w:r>
    </w:p>
    <w:p w14:paraId="190383DD" w14:textId="680FE6EB" w:rsidR="009464B2" w:rsidRPr="000D3090" w:rsidRDefault="00871D72" w:rsidP="00871D72">
      <w:pPr>
        <w:autoSpaceDE w:val="0"/>
        <w:autoSpaceDN w:val="0"/>
        <w:adjustRightInd w:val="0"/>
        <w:spacing w:after="0" w:line="240" w:lineRule="auto"/>
        <w:ind w:firstLine="720"/>
        <w:jc w:val="both"/>
      </w:pPr>
      <w:r w:rsidRPr="000D3090">
        <w:lastRenderedPageBreak/>
        <w:t>T</w:t>
      </w:r>
      <w:r w:rsidR="00CC50DF" w:rsidRPr="000D3090">
        <w:t xml:space="preserve">he models can </w:t>
      </w:r>
      <w:r w:rsidR="008F5E57" w:rsidRPr="000D3090">
        <w:t xml:space="preserve">also </w:t>
      </w:r>
      <w:r w:rsidR="00CC50DF" w:rsidRPr="000D3090">
        <w:t xml:space="preserve">be compared based on aggregate fit. To do so, the </w:t>
      </w:r>
      <w:r w:rsidR="0031447F" w:rsidRPr="000D3090">
        <w:t xml:space="preserve">share of individuals selecting each combination of outcomes is compared with the predicted shares based on each model. Since the total number of outcome </w:t>
      </w:r>
      <w:r w:rsidR="00400FA9" w:rsidRPr="000D3090">
        <w:t xml:space="preserve">combinations for the full set of 11 </w:t>
      </w:r>
      <w:r w:rsidR="00E31405" w:rsidRPr="000D3090">
        <w:t xml:space="preserve">dimensions </w:t>
      </w:r>
      <w:r w:rsidR="00400FA9" w:rsidRPr="000D3090">
        <w:t xml:space="preserve">is very large, we limit this aggregate comparison to the </w:t>
      </w:r>
      <w:r w:rsidR="00E31405" w:rsidRPr="000D3090">
        <w:t xml:space="preserve">PPD </w:t>
      </w:r>
      <w:r w:rsidR="00CC342E" w:rsidRPr="000D3090">
        <w:t xml:space="preserve">dimension and the two virtual accessibility dimensions, resulting in </w:t>
      </w:r>
      <w:r w:rsidR="00BE22DC" w:rsidRPr="000D3090">
        <w:t>40</w:t>
      </w:r>
      <w:r w:rsidR="00CC342E" w:rsidRPr="000D3090">
        <w:t xml:space="preserve"> possible combinations</w:t>
      </w:r>
      <w:r w:rsidR="00BE22DC" w:rsidRPr="000D3090">
        <w:t xml:space="preserve"> (including</w:t>
      </w:r>
      <w:r w:rsidR="00D66847" w:rsidRPr="000D3090">
        <w:t xml:space="preserve"> combination</w:t>
      </w:r>
      <w:r w:rsidRPr="000D3090">
        <w:t>s</w:t>
      </w:r>
      <w:r w:rsidR="00D66847" w:rsidRPr="000D3090">
        <w:t xml:space="preserve"> that do not include the telework dimension for non-workers)</w:t>
      </w:r>
      <w:r w:rsidR="00CC342E" w:rsidRPr="000D3090">
        <w:t xml:space="preserve">. For each combination of these three outcomes, the absolute percent error (APE) </w:t>
      </w:r>
      <w:r w:rsidR="008B2E58" w:rsidRPr="000D3090">
        <w:t>between</w:t>
      </w:r>
      <w:r w:rsidR="00CC342E" w:rsidRPr="000D3090">
        <w:t xml:space="preserve"> the predicted share and the observed share in the dataset is computed for each model. Then, the weighted average percent error (WAPE) is computed by </w:t>
      </w:r>
      <w:r w:rsidR="00D66847" w:rsidRPr="000D3090">
        <w:t>weighing</w:t>
      </w:r>
      <w:r w:rsidR="00CC342E" w:rsidRPr="000D3090">
        <w:t xml:space="preserve"> these APEs by the observed shares. </w:t>
      </w:r>
      <w:r w:rsidR="00E31405" w:rsidRPr="000D3090">
        <w:t>T</w:t>
      </w:r>
      <w:r w:rsidR="00CC342E" w:rsidRPr="000D3090">
        <w:t>he weighted average percent error is smaller for the proposed model</w:t>
      </w:r>
      <w:r w:rsidR="008B2E58" w:rsidRPr="000D3090">
        <w:t xml:space="preserve"> (</w:t>
      </w:r>
      <w:r w:rsidR="001E1038" w:rsidRPr="000D3090">
        <w:t>5.89</w:t>
      </w:r>
      <w:r w:rsidR="008B2E58" w:rsidRPr="000D3090">
        <w:t>) than the independent model (</w:t>
      </w:r>
      <w:r w:rsidR="00981DF6" w:rsidRPr="000D3090">
        <w:t>8.8</w:t>
      </w:r>
      <w:r w:rsidR="001E1038" w:rsidRPr="000D3090">
        <w:t>9</w:t>
      </w:r>
      <w:r w:rsidR="008B2E58" w:rsidRPr="000D3090">
        <w:t>)</w:t>
      </w:r>
      <w:r w:rsidR="00E31405" w:rsidRPr="000D3090">
        <w:t>. Overall, based on a variety of data fit metrics at both the disaggregate and aggregate data fit measures</w:t>
      </w:r>
      <w:r w:rsidR="00CC342E" w:rsidRPr="000D3090">
        <w:t xml:space="preserve">, </w:t>
      </w:r>
      <w:r w:rsidR="00E31405" w:rsidRPr="000D3090">
        <w:t>our joint model outperforms the independent model</w:t>
      </w:r>
      <w:r w:rsidR="00CC342E" w:rsidRPr="000D3090">
        <w:t xml:space="preserve">. </w:t>
      </w:r>
    </w:p>
    <w:p w14:paraId="33459417" w14:textId="77777777" w:rsidR="001D1BB9" w:rsidRPr="000D3090" w:rsidRDefault="001D1BB9" w:rsidP="001D1BB9">
      <w:pPr>
        <w:spacing w:after="0" w:line="240" w:lineRule="auto"/>
      </w:pPr>
    </w:p>
    <w:p w14:paraId="4F0E9979" w14:textId="715B7411" w:rsidR="00BC1043" w:rsidRPr="000D3090" w:rsidRDefault="00DC7402" w:rsidP="00541BFA">
      <w:pPr>
        <w:spacing w:after="0" w:line="240" w:lineRule="auto"/>
        <w:rPr>
          <w:b/>
          <w:bCs/>
        </w:rPr>
      </w:pPr>
      <w:r w:rsidRPr="000D3090">
        <w:rPr>
          <w:b/>
          <w:bCs/>
        </w:rPr>
        <w:t>5. IMPLICATIONS</w:t>
      </w:r>
    </w:p>
    <w:p w14:paraId="11419AF4" w14:textId="348616C1" w:rsidR="00BC1043" w:rsidRPr="000D3090" w:rsidRDefault="005170A1" w:rsidP="00541BFA">
      <w:pPr>
        <w:spacing w:after="0" w:line="240" w:lineRule="auto"/>
        <w:rPr>
          <w:b/>
          <w:bCs/>
        </w:rPr>
      </w:pPr>
      <w:r w:rsidRPr="000D3090">
        <w:rPr>
          <w:b/>
          <w:bCs/>
        </w:rPr>
        <w:t xml:space="preserve">5.1 </w:t>
      </w:r>
      <w:r w:rsidR="00BC1043" w:rsidRPr="000D3090">
        <w:rPr>
          <w:b/>
          <w:bCs/>
        </w:rPr>
        <w:t>ATE Computations</w:t>
      </w:r>
    </w:p>
    <w:p w14:paraId="1E10EB79" w14:textId="7D8A4ADC" w:rsidR="00CE5802" w:rsidRPr="000D3090" w:rsidRDefault="00695FC2" w:rsidP="00541BFA">
      <w:pPr>
        <w:spacing w:after="0" w:line="240" w:lineRule="auto"/>
        <w:jc w:val="both"/>
      </w:pPr>
      <w:r w:rsidRPr="000D3090">
        <w:t>The model results presented in the previous section</w:t>
      </w:r>
      <w:r w:rsidR="00EF7F7B" w:rsidRPr="000D3090">
        <w:t xml:space="preserve"> provide important insights into </w:t>
      </w:r>
      <w:r w:rsidR="00CE5802" w:rsidRPr="000D3090">
        <w:t xml:space="preserve">the underlying propensities associated with </w:t>
      </w:r>
      <w:r w:rsidR="001C02B4" w:rsidRPr="000D3090">
        <w:t xml:space="preserve">PPD, PPD reasons, and </w:t>
      </w:r>
      <w:r w:rsidR="00EF7F7B" w:rsidRPr="000D3090">
        <w:t xml:space="preserve">virtual </w:t>
      </w:r>
      <w:r w:rsidR="001C02B4" w:rsidRPr="000D3090">
        <w:t>participation</w:t>
      </w:r>
      <w:r w:rsidR="00EF7F7B" w:rsidRPr="000D3090">
        <w:t xml:space="preserve">. </w:t>
      </w:r>
      <w:r w:rsidR="00CE5802" w:rsidRPr="000D3090">
        <w:t xml:space="preserve">But, as such, they do not provide the magnitude of effect on the actual binary PPD and PPD reasons, and the ordinal virtual participation outcomes. </w:t>
      </w:r>
      <w:r w:rsidR="00371B12" w:rsidRPr="000D3090">
        <w:t xml:space="preserve">This is especially so for the PPD </w:t>
      </w:r>
      <w:r w:rsidR="00D83706" w:rsidRPr="000D3090">
        <w:t>outcome because</w:t>
      </w:r>
      <w:r w:rsidR="00371B12" w:rsidRPr="000D3090">
        <w:t xml:space="preserve"> the exogenous variable effects in Table 3 represent direct effects not overall effects </w:t>
      </w:r>
      <w:r w:rsidR="00981DF6" w:rsidRPr="000D3090">
        <w:t xml:space="preserve">that include indirect effects </w:t>
      </w:r>
      <w:r w:rsidR="00371B12" w:rsidRPr="000D3090">
        <w:t xml:space="preserve">through the virtual participation outcomes. For this, we use Average Treatment Effects (ATEs), which represent the impact of a change of state of an antecedent variable on the endogenous outcomes of interest. </w:t>
      </w:r>
      <w:r w:rsidR="00CE5802" w:rsidRPr="000D3090">
        <w:t>While we can compute such effects for each of the eleven dimensions in our analysis, here we focus on exogenous variable effects on the PPD outcome</w:t>
      </w:r>
      <w:r w:rsidR="00B63160" w:rsidRPr="000D3090">
        <w:t xml:space="preserve"> and the two virtual participation outcomes</w:t>
      </w:r>
      <w:r w:rsidR="00CE5802" w:rsidRPr="000D3090">
        <w:t>.</w:t>
      </w:r>
      <w:r w:rsidR="001C1694" w:rsidRPr="000D3090">
        <w:t xml:space="preserve"> </w:t>
      </w:r>
      <w:r w:rsidR="000A2B1B" w:rsidRPr="000D3090">
        <w:t xml:space="preserve">We begin by </w:t>
      </w:r>
      <w:r w:rsidR="000A2B1B" w:rsidRPr="000D3090">
        <w:rPr>
          <w:rFonts w:eastAsiaTheme="minorEastAsia"/>
          <w:lang w:eastAsia="ko-KR"/>
        </w:rPr>
        <w:t xml:space="preserve">computing, for each individual, the tri-variate probability predictions </w:t>
      </w:r>
      <w:r w:rsidR="000A2B1B" w:rsidRPr="000D3090">
        <w:t>for each of the 32 combination outcomes of the PPD, telework, and deliveries outcomes (total possible combinations</w:t>
      </w:r>
      <w:r w:rsidR="002429AD" w:rsidRPr="000D3090">
        <w:t xml:space="preserve"> </w:t>
      </w:r>
      <w:r w:rsidR="000A2B1B" w:rsidRPr="000D3090">
        <w:t>=2</w:t>
      </w:r>
      <w:r w:rsidR="000A2B1B" w:rsidRPr="000D3090">
        <w:rPr>
          <w:i/>
        </w:rPr>
        <w:t>×</w:t>
      </w:r>
      <w:r w:rsidR="000A2B1B" w:rsidRPr="000D3090">
        <w:t>4</w:t>
      </w:r>
      <w:r w:rsidR="000A2B1B" w:rsidRPr="000D3090">
        <w:rPr>
          <w:i/>
        </w:rPr>
        <w:t>×</w:t>
      </w:r>
      <w:r w:rsidR="000A2B1B" w:rsidRPr="000D3090">
        <w:t>4</w:t>
      </w:r>
      <w:r w:rsidR="000A2B1B" w:rsidRPr="000D3090">
        <w:rPr>
          <w:i/>
        </w:rPr>
        <w:t>=</w:t>
      </w:r>
      <w:r w:rsidR="000A2B1B" w:rsidRPr="000D3090">
        <w:rPr>
          <w:i/>
        </w:rPr>
        <w:softHyphen/>
      </w:r>
      <w:r w:rsidR="000A2B1B" w:rsidRPr="000D3090">
        <w:rPr>
          <w:iCs/>
        </w:rPr>
        <w:t>32, including counterfactual outcomes</w:t>
      </w:r>
      <w:r w:rsidR="000A2B1B" w:rsidRPr="000D3090">
        <w:t xml:space="preserve">) for the </w:t>
      </w:r>
      <w:r w:rsidR="000A2B1B" w:rsidRPr="000D3090">
        <w:rPr>
          <w:u w:val="single"/>
        </w:rPr>
        <w:t>base level</w:t>
      </w:r>
      <w:r w:rsidR="000A2B1B" w:rsidRPr="000D3090">
        <w:t xml:space="preserve"> of an exogenous variable. Then, by marginalizing over the combinations, we can obtain the probability of “yes” and “no” for the PPD outcome for each individual. </w:t>
      </w:r>
      <w:r w:rsidR="00B63160" w:rsidRPr="000D3090">
        <w:t>For the telework frequency and delivery frequency outcomes, we obtain the probabilities for each ordinal level and compute an expected value by assigning the mid-point frequency value of each level (so, we assume 1-2 days per week represents 1.5 days a week and so on for telework</w:t>
      </w:r>
      <w:r w:rsidR="00371B12" w:rsidRPr="000D3090">
        <w:t>,</w:t>
      </w:r>
      <w:r w:rsidR="00B63160" w:rsidRPr="000D3090">
        <w:t xml:space="preserve"> and assume 1-5 deliveries in the last 30 days </w:t>
      </w:r>
      <w:r w:rsidR="00A9752A" w:rsidRPr="000D3090">
        <w:t>corresponds to 2.5 deliveries in the last 30 days</w:t>
      </w:r>
      <w:r w:rsidR="00371B12" w:rsidRPr="000D3090">
        <w:t xml:space="preserve"> and so on for deliveries</w:t>
      </w:r>
      <w:r w:rsidR="00B63160" w:rsidRPr="000D3090">
        <w:t xml:space="preserve">). </w:t>
      </w:r>
      <w:r w:rsidR="000A2B1B" w:rsidRPr="000D3090">
        <w:t xml:space="preserve">The share of individuals with “yes” and “no” for the PPD dimensions can be computed as the average probability of each of the two </w:t>
      </w:r>
      <w:r w:rsidR="00A9752A" w:rsidRPr="000D3090">
        <w:t xml:space="preserve">PPD </w:t>
      </w:r>
      <w:r w:rsidR="000A2B1B" w:rsidRPr="000D3090">
        <w:t>categories across all individuals</w:t>
      </w:r>
      <w:r w:rsidR="00A9752A" w:rsidRPr="000D3090">
        <w:t>, and the average teleworking days and monthly deliveries can be computed similarly by averaging the expected value across individuals</w:t>
      </w:r>
      <w:r w:rsidR="000A2B1B" w:rsidRPr="000D3090">
        <w:t xml:space="preserve">. The same procedure is adopted for the </w:t>
      </w:r>
      <w:r w:rsidR="000A2B1B" w:rsidRPr="000D3090">
        <w:rPr>
          <w:u w:val="single"/>
        </w:rPr>
        <w:t>treatment level</w:t>
      </w:r>
      <w:r w:rsidR="000A2B1B" w:rsidRPr="000D3090">
        <w:t xml:space="preserve"> of the exogenous variable. For example, consider the treatment effect of presence of children. We set all individuals in the dataset to “no presence of children” and compute the share (in percentage terms) of “yes” for PPD, as just discussed. Then, all individuals are assigned to the treatment level of “presence of children</w:t>
      </w:r>
      <w:r w:rsidR="00A35D9F" w:rsidRPr="000D3090">
        <w:t>,”</w:t>
      </w:r>
      <w:r w:rsidR="000A2B1B" w:rsidRPr="000D3090">
        <w:t xml:space="preserve"> and we get the share again (in percentage terms) of “yes” for PPD. The change in the “yes” shares (in percentage terms) provides the magnitude and direction of the total ATE</w:t>
      </w:r>
      <w:r w:rsidR="00D750BB" w:rsidRPr="000D3090">
        <w:t xml:space="preserve"> </w:t>
      </w:r>
      <w:r w:rsidR="000A2B1B" w:rsidRPr="000D3090">
        <w:t>of the “presence of children” variable on PPD.</w:t>
      </w:r>
      <w:r w:rsidR="00CE5802" w:rsidRPr="000D3090">
        <w:t xml:space="preserve"> </w:t>
      </w:r>
      <w:r w:rsidR="00A9752A" w:rsidRPr="000D3090">
        <w:t xml:space="preserve">The ATE effect for the telework and deliveries dimensions are computed as </w:t>
      </w:r>
      <w:r w:rsidR="00235244" w:rsidRPr="000D3090">
        <w:t xml:space="preserve">the difference in the average teleworking days and monthly deliveries between the base and treatment levels. </w:t>
      </w:r>
      <w:r w:rsidR="000A2B1B" w:rsidRPr="000D3090">
        <w:t>F</w:t>
      </w:r>
      <w:r w:rsidR="007A105F" w:rsidRPr="000D3090">
        <w:t xml:space="preserve">or the sake of </w:t>
      </w:r>
      <w:r w:rsidR="000A2B1B" w:rsidRPr="000D3090">
        <w:t xml:space="preserve">presentation </w:t>
      </w:r>
      <w:r w:rsidR="007A105F" w:rsidRPr="000D3090">
        <w:t xml:space="preserve">simplicity, </w:t>
      </w:r>
      <w:r w:rsidR="00D750BB" w:rsidRPr="000D3090">
        <w:t xml:space="preserve">for exogenous variables with more than two levels (such as income), we compute </w:t>
      </w:r>
      <w:r w:rsidR="004B4E6A" w:rsidRPr="000D3090">
        <w:t>the</w:t>
      </w:r>
      <w:r w:rsidR="00D750BB" w:rsidRPr="000D3090">
        <w:t xml:space="preserve"> ATEs </w:t>
      </w:r>
      <w:r w:rsidR="001C02B4" w:rsidRPr="000D3090">
        <w:t xml:space="preserve">for </w:t>
      </w:r>
      <w:r w:rsidR="00D750BB" w:rsidRPr="000D3090">
        <w:t>a</w:t>
      </w:r>
      <w:r w:rsidR="001C02B4" w:rsidRPr="000D3090">
        <w:t xml:space="preserve"> change between</w:t>
      </w:r>
      <w:r w:rsidR="004B4E6A" w:rsidRPr="000D3090">
        <w:t xml:space="preserve"> </w:t>
      </w:r>
      <w:r w:rsidR="00D750BB" w:rsidRPr="000D3090">
        <w:t xml:space="preserve">only </w:t>
      </w:r>
      <w:r w:rsidR="004B4E6A" w:rsidRPr="000D3090">
        <w:t>the highest and lowest levels</w:t>
      </w:r>
      <w:r w:rsidR="007A105F" w:rsidRPr="000D3090">
        <w:t xml:space="preserve">. </w:t>
      </w:r>
    </w:p>
    <w:p w14:paraId="277CFF17" w14:textId="28989FE0" w:rsidR="001A2F9E" w:rsidRPr="000D3090" w:rsidRDefault="00CE5802" w:rsidP="00B23176">
      <w:pPr>
        <w:spacing w:after="0" w:line="240" w:lineRule="auto"/>
        <w:ind w:firstLine="720"/>
        <w:jc w:val="both"/>
        <w:rPr>
          <w:rFonts w:eastAsiaTheme="minorEastAsia"/>
          <w:lang w:eastAsia="ko-KR"/>
        </w:rPr>
      </w:pPr>
      <w:r w:rsidRPr="000D3090">
        <w:rPr>
          <w:lang w:eastAsia="ko-KR"/>
        </w:rPr>
        <w:lastRenderedPageBreak/>
        <w:t xml:space="preserve">An additional issue here is that there are endogenous outcome effects of telework and deliveries on PPD. This implies that the total </w:t>
      </w:r>
      <w:r w:rsidR="00D750BB" w:rsidRPr="000D3090">
        <w:rPr>
          <w:lang w:eastAsia="ko-KR"/>
        </w:rPr>
        <w:t xml:space="preserve">ATE </w:t>
      </w:r>
      <w:r w:rsidRPr="000D3090">
        <w:rPr>
          <w:lang w:eastAsia="ko-KR"/>
        </w:rPr>
        <w:t xml:space="preserve">effect of an exogenous variable is a combination of </w:t>
      </w:r>
      <w:r w:rsidR="001A2F9E" w:rsidRPr="000D3090">
        <w:rPr>
          <w:lang w:eastAsia="ko-KR"/>
        </w:rPr>
        <w:t>mediating effect</w:t>
      </w:r>
      <w:r w:rsidR="00B23176" w:rsidRPr="000D3090">
        <w:rPr>
          <w:lang w:eastAsia="ko-KR"/>
        </w:rPr>
        <w:t>s</w:t>
      </w:r>
      <w:r w:rsidR="001A2F9E" w:rsidRPr="000D3090">
        <w:rPr>
          <w:lang w:eastAsia="ko-KR"/>
        </w:rPr>
        <w:t xml:space="preserve"> through the telework/deliveries outcomes (indirect effect</w:t>
      </w:r>
      <w:r w:rsidR="00A02CBC" w:rsidRPr="000D3090">
        <w:rPr>
          <w:lang w:eastAsia="ko-KR"/>
        </w:rPr>
        <w:t>s</w:t>
      </w:r>
      <w:r w:rsidR="001A2F9E" w:rsidRPr="000D3090">
        <w:rPr>
          <w:lang w:eastAsia="ko-KR"/>
        </w:rPr>
        <w:t xml:space="preserve">) as well as a </w:t>
      </w:r>
      <w:r w:rsidRPr="000D3090">
        <w:rPr>
          <w:lang w:eastAsia="ko-KR"/>
        </w:rPr>
        <w:t xml:space="preserve">direct effect of the variable on </w:t>
      </w:r>
      <w:r w:rsidR="001A2F9E" w:rsidRPr="000D3090">
        <w:rPr>
          <w:lang w:eastAsia="ko-KR"/>
        </w:rPr>
        <w:t xml:space="preserve">PPD. </w:t>
      </w:r>
      <w:r w:rsidR="001A2F9E" w:rsidRPr="000D3090">
        <w:rPr>
          <w:rFonts w:eastAsiaTheme="minorEastAsia"/>
          <w:lang w:eastAsia="ko-KR"/>
        </w:rPr>
        <w:t xml:space="preserve">To </w:t>
      </w:r>
      <w:r w:rsidR="00D750BB" w:rsidRPr="000D3090">
        <w:rPr>
          <w:rFonts w:eastAsiaTheme="minorEastAsia"/>
          <w:lang w:eastAsia="ko-KR"/>
        </w:rPr>
        <w:t xml:space="preserve">distinguish between the two </w:t>
      </w:r>
      <w:r w:rsidR="00A02CBC" w:rsidRPr="000D3090">
        <w:rPr>
          <w:rFonts w:eastAsiaTheme="minorEastAsia"/>
          <w:lang w:eastAsia="ko-KR"/>
        </w:rPr>
        <w:t xml:space="preserve">types of </w:t>
      </w:r>
      <w:r w:rsidR="00D750BB" w:rsidRPr="000D3090">
        <w:rPr>
          <w:rFonts w:eastAsiaTheme="minorEastAsia"/>
          <w:lang w:eastAsia="ko-KR"/>
        </w:rPr>
        <w:t xml:space="preserve">effects, </w:t>
      </w:r>
      <w:r w:rsidR="001A2F9E" w:rsidRPr="000D3090">
        <w:rPr>
          <w:rFonts w:eastAsiaTheme="minorEastAsia"/>
          <w:lang w:eastAsia="ko-KR"/>
        </w:rPr>
        <w:t xml:space="preserve">we compute the direct effect of an exogenous variable on </w:t>
      </w:r>
      <w:r w:rsidR="00D750BB" w:rsidRPr="000D3090">
        <w:rPr>
          <w:rFonts w:eastAsiaTheme="minorEastAsia"/>
          <w:lang w:eastAsia="ko-KR"/>
        </w:rPr>
        <w:t xml:space="preserve">PPD </w:t>
      </w:r>
      <w:r w:rsidR="001A2F9E" w:rsidRPr="000D3090">
        <w:rPr>
          <w:rFonts w:eastAsiaTheme="minorEastAsia"/>
          <w:lang w:eastAsia="ko-KR"/>
        </w:rPr>
        <w:t>by maintaining</w:t>
      </w:r>
      <w:r w:rsidR="001A2F9E" w:rsidRPr="000D3090">
        <w:rPr>
          <w:rFonts w:eastAsiaTheme="minorEastAsia" w:hint="eastAsia"/>
          <w:lang w:eastAsia="ko-KR"/>
        </w:rPr>
        <w:t xml:space="preserve"> </w:t>
      </w:r>
      <w:r w:rsidR="00D750BB" w:rsidRPr="000D3090">
        <w:rPr>
          <w:rFonts w:eastAsiaTheme="minorEastAsia"/>
          <w:lang w:eastAsia="ko-KR"/>
        </w:rPr>
        <w:t xml:space="preserve">the </w:t>
      </w:r>
      <w:r w:rsidR="001A2F9E" w:rsidRPr="000D3090">
        <w:rPr>
          <w:rFonts w:eastAsiaTheme="minorEastAsia"/>
          <w:lang w:eastAsia="ko-KR"/>
        </w:rPr>
        <w:t>values of</w:t>
      </w:r>
      <w:r w:rsidR="00D750BB" w:rsidRPr="000D3090">
        <w:rPr>
          <w:rFonts w:eastAsiaTheme="minorEastAsia"/>
          <w:lang w:eastAsia="ko-KR"/>
        </w:rPr>
        <w:t xml:space="preserve"> all </w:t>
      </w:r>
      <w:r w:rsidR="001A2F9E" w:rsidRPr="000D3090">
        <w:rPr>
          <w:rFonts w:eastAsiaTheme="minorEastAsia"/>
          <w:lang w:eastAsia="ko-KR"/>
        </w:rPr>
        <w:t xml:space="preserve">other exogenous variables (as well as </w:t>
      </w:r>
      <w:r w:rsidR="00D750BB" w:rsidRPr="000D3090">
        <w:rPr>
          <w:rFonts w:eastAsiaTheme="minorEastAsia"/>
          <w:lang w:eastAsia="ko-KR"/>
        </w:rPr>
        <w:t xml:space="preserve">the telework/deliveries </w:t>
      </w:r>
      <w:r w:rsidR="001A2F9E" w:rsidRPr="000D3090">
        <w:rPr>
          <w:rFonts w:eastAsiaTheme="minorEastAsia"/>
          <w:lang w:eastAsia="ko-KR"/>
        </w:rPr>
        <w:t>endogenous outcomes affectin</w:t>
      </w:r>
      <w:r w:rsidR="00D750BB" w:rsidRPr="000D3090">
        <w:rPr>
          <w:rFonts w:eastAsiaTheme="minorEastAsia"/>
          <w:lang w:eastAsia="ko-KR"/>
        </w:rPr>
        <w:t>g PPD</w:t>
      </w:r>
      <w:r w:rsidR="001A2F9E" w:rsidRPr="000D3090">
        <w:rPr>
          <w:rFonts w:eastAsiaTheme="minorEastAsia"/>
          <w:lang w:eastAsia="ko-KR"/>
        </w:rPr>
        <w:t>) as they are in the data</w:t>
      </w:r>
      <w:r w:rsidR="00D750BB" w:rsidRPr="000D3090">
        <w:rPr>
          <w:rFonts w:eastAsiaTheme="minorEastAsia"/>
          <w:lang w:eastAsia="ko-KR"/>
        </w:rPr>
        <w:t>. The treatment effect corresponding to this computation is the direct ATE effect of the exogenous variable.</w:t>
      </w:r>
      <w:r w:rsidR="001A2F9E" w:rsidRPr="000D3090">
        <w:rPr>
          <w:rFonts w:eastAsiaTheme="minorEastAsia" w:hint="eastAsia"/>
          <w:lang w:eastAsia="ko-KR"/>
        </w:rPr>
        <w:t xml:space="preserve"> By subtracting</w:t>
      </w:r>
      <w:r w:rsidR="001A2F9E" w:rsidRPr="000D3090">
        <w:rPr>
          <w:rFonts w:eastAsiaTheme="minorEastAsia"/>
          <w:lang w:eastAsia="ko-KR"/>
        </w:rPr>
        <w:t xml:space="preserve"> the</w:t>
      </w:r>
      <w:r w:rsidR="001A2F9E" w:rsidRPr="000D3090">
        <w:rPr>
          <w:rFonts w:eastAsiaTheme="minorEastAsia" w:hint="eastAsia"/>
          <w:lang w:eastAsia="ko-KR"/>
        </w:rPr>
        <w:t xml:space="preserve"> direct effect from</w:t>
      </w:r>
      <w:r w:rsidR="001A2F9E" w:rsidRPr="000D3090">
        <w:rPr>
          <w:rFonts w:eastAsiaTheme="minorEastAsia"/>
          <w:lang w:eastAsia="ko-KR"/>
        </w:rPr>
        <w:t xml:space="preserve"> the</w:t>
      </w:r>
      <w:r w:rsidR="001A2F9E" w:rsidRPr="000D3090">
        <w:rPr>
          <w:rFonts w:eastAsiaTheme="minorEastAsia" w:hint="eastAsia"/>
          <w:lang w:eastAsia="ko-KR"/>
        </w:rPr>
        <w:t xml:space="preserve"> total ATE, we </w:t>
      </w:r>
      <w:r w:rsidR="001A2F9E" w:rsidRPr="000D3090">
        <w:rPr>
          <w:rFonts w:eastAsiaTheme="minorEastAsia"/>
          <w:lang w:eastAsia="ko-KR"/>
        </w:rPr>
        <w:t>obtain the</w:t>
      </w:r>
      <w:r w:rsidR="001A2F9E" w:rsidRPr="000D3090">
        <w:rPr>
          <w:rFonts w:eastAsiaTheme="minorEastAsia" w:hint="eastAsia"/>
          <w:lang w:eastAsia="ko-KR"/>
        </w:rPr>
        <w:t xml:space="preserve"> indirect effect. </w:t>
      </w:r>
      <w:r w:rsidR="007A5F6D" w:rsidRPr="000D3090">
        <w:rPr>
          <w:rFonts w:eastAsiaTheme="minorEastAsia"/>
          <w:lang w:eastAsia="ko-KR"/>
        </w:rPr>
        <w:t xml:space="preserve">As an example, the effect of presence of children on PPD, based on the estimation results from Table 3, is purely an indirect effect through telework and deliveries (note that “presence of children” has no direct effect on PPD). The presence of children has a negative effect on telework propensity, but a positive effect on the propensity of having deliveries. Both telework propensity and propensity of deliveries have a negative PPD effect, which implies that individuals with children in the household will have an indirect positive effect on PPD (through telework) and an indirect negative effect on PPD (through deliveries). The total ATE effect will be the net combination of the two effects. </w:t>
      </w:r>
    </w:p>
    <w:p w14:paraId="1587BF96" w14:textId="78965D53" w:rsidR="00BC1043" w:rsidRPr="000D3090" w:rsidRDefault="007A5F6D" w:rsidP="00B23176">
      <w:pPr>
        <w:spacing w:after="0" w:line="240" w:lineRule="auto"/>
        <w:ind w:firstLine="720"/>
        <w:jc w:val="both"/>
      </w:pPr>
      <w:r w:rsidRPr="000D3090">
        <w:rPr>
          <w:rFonts w:eastAsiaTheme="minorEastAsia"/>
          <w:lang w:eastAsia="ko-KR"/>
        </w:rPr>
        <w:t xml:space="preserve">The final ATE effects (including direct and indirect effects on PPD) are shown in Table 5. </w:t>
      </w:r>
      <w:r w:rsidR="00A9752A" w:rsidRPr="000D3090">
        <w:rPr>
          <w:rFonts w:eastAsiaTheme="minorEastAsia"/>
          <w:lang w:eastAsia="ko-KR"/>
        </w:rPr>
        <w:t xml:space="preserve">We order the endogenous outcomes differently from that in Table 3 because the causal pathway starts from telework and deliveries, and both these affect PPD. </w:t>
      </w:r>
      <w:r w:rsidR="005223A2" w:rsidRPr="000D3090">
        <w:rPr>
          <w:rFonts w:eastAsiaTheme="minorEastAsia"/>
          <w:lang w:eastAsia="ko-KR"/>
        </w:rPr>
        <w:t xml:space="preserve">Also, for easy interpretation, we take the treatment level as the one that leads to a higher overall PPD relative to the base level (so the base level in Table 5 may be different from the base level in Table 3). </w:t>
      </w:r>
      <w:r w:rsidR="00A9752A" w:rsidRPr="000D3090">
        <w:rPr>
          <w:rFonts w:eastAsiaTheme="minorEastAsia"/>
          <w:lang w:eastAsia="ko-KR"/>
        </w:rPr>
        <w:t xml:space="preserve">The exogenous variable effects on weekly teleworking days and monthly deliveries are </w:t>
      </w:r>
      <w:r w:rsidR="00626598" w:rsidRPr="000D3090">
        <w:rPr>
          <w:rFonts w:eastAsiaTheme="minorEastAsia"/>
          <w:lang w:eastAsia="ko-KR"/>
        </w:rPr>
        <w:t>straightforward and</w:t>
      </w:r>
      <w:r w:rsidR="00A9752A" w:rsidRPr="000D3090">
        <w:rPr>
          <w:rFonts w:eastAsiaTheme="minorEastAsia"/>
          <w:lang w:eastAsia="ko-KR"/>
        </w:rPr>
        <w:t xml:space="preserve"> represent direct effects (that also represent total effects). </w:t>
      </w:r>
      <w:r w:rsidR="007126AD" w:rsidRPr="000D3090">
        <w:rPr>
          <w:rFonts w:eastAsiaTheme="minorEastAsia"/>
          <w:lang w:eastAsia="ko-KR"/>
        </w:rPr>
        <w:t>For example, t</w:t>
      </w:r>
      <w:r w:rsidR="00A9752A" w:rsidRPr="000D3090">
        <w:rPr>
          <w:rFonts w:eastAsiaTheme="minorEastAsia"/>
          <w:lang w:eastAsia="ko-KR"/>
        </w:rPr>
        <w:t>he entry of “</w:t>
      </w:r>
      <w:r w:rsidR="00D24539" w:rsidRPr="000D3090">
        <w:rPr>
          <w:rFonts w:eastAsiaTheme="minorEastAsia"/>
          <w:lang w:eastAsia="ko-KR"/>
        </w:rPr>
        <w:t>-</w:t>
      </w:r>
      <w:r w:rsidR="001E1038" w:rsidRPr="000D3090">
        <w:rPr>
          <w:rFonts w:eastAsiaTheme="minorEastAsia"/>
          <w:lang w:eastAsia="ko-KR"/>
        </w:rPr>
        <w:t>0.92</w:t>
      </w:r>
      <w:r w:rsidR="00A9752A" w:rsidRPr="000D3090">
        <w:rPr>
          <w:rFonts w:eastAsiaTheme="minorEastAsia"/>
          <w:lang w:eastAsia="ko-KR"/>
        </w:rPr>
        <w:t>” under the “</w:t>
      </w:r>
      <w:r w:rsidR="007126AD" w:rsidRPr="000D3090">
        <w:rPr>
          <w:rFonts w:eastAsiaTheme="minorEastAsia"/>
          <w:lang w:eastAsia="ko-KR"/>
        </w:rPr>
        <w:t>T</w:t>
      </w:r>
      <w:r w:rsidR="00A9752A" w:rsidRPr="000D3090">
        <w:rPr>
          <w:rFonts w:eastAsiaTheme="minorEastAsia"/>
          <w:lang w:eastAsia="ko-KR"/>
        </w:rPr>
        <w:t>elework</w:t>
      </w:r>
      <w:r w:rsidR="007126AD" w:rsidRPr="000D3090">
        <w:rPr>
          <w:rFonts w:eastAsiaTheme="minorEastAsia"/>
          <w:lang w:eastAsia="ko-KR"/>
        </w:rPr>
        <w:t xml:space="preserve"> ATE</w:t>
      </w:r>
      <w:r w:rsidR="00A9752A" w:rsidRPr="000D3090">
        <w:rPr>
          <w:rFonts w:eastAsiaTheme="minorEastAsia"/>
          <w:lang w:eastAsia="ko-KR"/>
        </w:rPr>
        <w:t xml:space="preserve">” column </w:t>
      </w:r>
      <w:r w:rsidR="00235244" w:rsidRPr="000D3090">
        <w:rPr>
          <w:rFonts w:eastAsiaTheme="minorEastAsia"/>
          <w:lang w:eastAsia="ko-KR"/>
        </w:rPr>
        <w:t>for “</w:t>
      </w:r>
      <w:r w:rsidR="00D24539" w:rsidRPr="000D3090">
        <w:rPr>
          <w:rFonts w:eastAsiaTheme="minorEastAsia"/>
          <w:lang w:eastAsia="ko-KR"/>
        </w:rPr>
        <w:t>Income</w:t>
      </w:r>
      <w:r w:rsidR="00235244" w:rsidRPr="000D3090">
        <w:rPr>
          <w:rFonts w:eastAsiaTheme="minorEastAsia"/>
          <w:lang w:eastAsia="ko-KR"/>
        </w:rPr>
        <w:t xml:space="preserve">” </w:t>
      </w:r>
      <w:r w:rsidR="00A9752A" w:rsidRPr="000D3090">
        <w:rPr>
          <w:rFonts w:eastAsiaTheme="minorEastAsia"/>
          <w:lang w:eastAsia="ko-KR"/>
        </w:rPr>
        <w:t>indicates that</w:t>
      </w:r>
      <w:r w:rsidR="00235244" w:rsidRPr="000D3090">
        <w:rPr>
          <w:rFonts w:eastAsiaTheme="minorEastAsia"/>
          <w:lang w:eastAsia="ko-KR"/>
        </w:rPr>
        <w:t xml:space="preserve"> individuals </w:t>
      </w:r>
      <w:r w:rsidR="00D24539" w:rsidRPr="000D3090">
        <w:rPr>
          <w:rFonts w:eastAsiaTheme="minorEastAsia"/>
          <w:lang w:eastAsia="ko-KR"/>
        </w:rPr>
        <w:t>in households with low income (&lt;50K annually),</w:t>
      </w:r>
      <w:r w:rsidR="00235244" w:rsidRPr="000D3090">
        <w:rPr>
          <w:rFonts w:eastAsiaTheme="minorEastAsia"/>
          <w:lang w:eastAsia="ko-KR"/>
        </w:rPr>
        <w:t xml:space="preserve"> on average, telework </w:t>
      </w:r>
      <w:r w:rsidR="00D24539" w:rsidRPr="000D3090">
        <w:rPr>
          <w:rFonts w:eastAsiaTheme="minorEastAsia"/>
          <w:lang w:eastAsia="ko-KR"/>
        </w:rPr>
        <w:t xml:space="preserve">about one </w:t>
      </w:r>
      <w:r w:rsidR="00550001" w:rsidRPr="000D3090">
        <w:rPr>
          <w:rFonts w:eastAsiaTheme="minorEastAsia"/>
          <w:lang w:eastAsia="ko-KR"/>
        </w:rPr>
        <w:t xml:space="preserve">fewer </w:t>
      </w:r>
      <w:r w:rsidR="00D24539" w:rsidRPr="000D3090">
        <w:rPr>
          <w:rFonts w:eastAsiaTheme="minorEastAsia"/>
          <w:lang w:eastAsia="ko-KR"/>
        </w:rPr>
        <w:t xml:space="preserve">day </w:t>
      </w:r>
      <w:r w:rsidR="00235244" w:rsidRPr="000D3090">
        <w:rPr>
          <w:rFonts w:eastAsiaTheme="minorEastAsia"/>
          <w:lang w:eastAsia="ko-KR"/>
        </w:rPr>
        <w:t xml:space="preserve">per week than individuals </w:t>
      </w:r>
      <w:r w:rsidR="00D24539" w:rsidRPr="000D3090">
        <w:rPr>
          <w:rFonts w:eastAsiaTheme="minorEastAsia"/>
          <w:lang w:eastAsia="ko-KR"/>
        </w:rPr>
        <w:t xml:space="preserve">from households </w:t>
      </w:r>
      <w:r w:rsidR="008B1C0C" w:rsidRPr="000D3090">
        <w:rPr>
          <w:rFonts w:eastAsiaTheme="minorEastAsia"/>
          <w:lang w:eastAsia="ko-KR"/>
        </w:rPr>
        <w:t>with high income (&gt;200K annually)</w:t>
      </w:r>
      <w:r w:rsidR="00235244" w:rsidRPr="000D3090">
        <w:rPr>
          <w:rFonts w:eastAsiaTheme="minorEastAsia"/>
          <w:lang w:eastAsia="ko-KR"/>
        </w:rPr>
        <w:t xml:space="preserve">. The entry of </w:t>
      </w:r>
      <w:r w:rsidR="00626598" w:rsidRPr="000D3090">
        <w:rPr>
          <w:rFonts w:eastAsiaTheme="minorEastAsia"/>
          <w:lang w:eastAsia="ko-KR"/>
        </w:rPr>
        <w:t>“</w:t>
      </w:r>
      <w:r w:rsidR="008B1C0C" w:rsidRPr="000D3090">
        <w:rPr>
          <w:rFonts w:eastAsiaTheme="minorEastAsia"/>
          <w:lang w:eastAsia="ko-KR"/>
        </w:rPr>
        <w:t>-1.</w:t>
      </w:r>
      <w:r w:rsidR="001E1038" w:rsidRPr="000D3090">
        <w:rPr>
          <w:rFonts w:eastAsiaTheme="minorEastAsia"/>
          <w:lang w:eastAsia="ko-KR"/>
        </w:rPr>
        <w:t>75</w:t>
      </w:r>
      <w:r w:rsidR="00235244" w:rsidRPr="000D3090">
        <w:rPr>
          <w:rFonts w:eastAsiaTheme="minorEastAsia"/>
          <w:lang w:eastAsia="ko-KR"/>
        </w:rPr>
        <w:t>” in the “</w:t>
      </w:r>
      <w:r w:rsidR="007126AD" w:rsidRPr="000D3090">
        <w:rPr>
          <w:rFonts w:eastAsiaTheme="minorEastAsia"/>
          <w:lang w:eastAsia="ko-KR"/>
        </w:rPr>
        <w:t>M</w:t>
      </w:r>
      <w:r w:rsidR="00235244" w:rsidRPr="000D3090">
        <w:rPr>
          <w:rFonts w:eastAsiaTheme="minorEastAsia"/>
          <w:lang w:eastAsia="ko-KR"/>
        </w:rPr>
        <w:t xml:space="preserve">onthly </w:t>
      </w:r>
      <w:r w:rsidR="007126AD" w:rsidRPr="000D3090">
        <w:rPr>
          <w:rFonts w:eastAsiaTheme="minorEastAsia"/>
          <w:lang w:eastAsia="ko-KR"/>
        </w:rPr>
        <w:t>D</w:t>
      </w:r>
      <w:r w:rsidR="00235244" w:rsidRPr="000D3090">
        <w:rPr>
          <w:rFonts w:eastAsiaTheme="minorEastAsia"/>
          <w:lang w:eastAsia="ko-KR"/>
        </w:rPr>
        <w:t>eliveries</w:t>
      </w:r>
      <w:r w:rsidR="007126AD" w:rsidRPr="000D3090">
        <w:rPr>
          <w:rFonts w:eastAsiaTheme="minorEastAsia"/>
          <w:lang w:eastAsia="ko-KR"/>
        </w:rPr>
        <w:t xml:space="preserve"> ATE</w:t>
      </w:r>
      <w:r w:rsidR="00235244" w:rsidRPr="000D3090">
        <w:rPr>
          <w:rFonts w:eastAsiaTheme="minorEastAsia"/>
          <w:lang w:eastAsia="ko-KR"/>
        </w:rPr>
        <w:t xml:space="preserve">” column </w:t>
      </w:r>
      <w:r w:rsidR="008B1C0C" w:rsidRPr="000D3090">
        <w:rPr>
          <w:rFonts w:eastAsiaTheme="minorEastAsia"/>
          <w:lang w:eastAsia="ko-KR"/>
        </w:rPr>
        <w:t xml:space="preserve">for “Income” </w:t>
      </w:r>
      <w:r w:rsidR="00235244" w:rsidRPr="000D3090">
        <w:rPr>
          <w:rFonts w:eastAsiaTheme="minorEastAsia"/>
          <w:lang w:eastAsia="ko-KR"/>
        </w:rPr>
        <w:t xml:space="preserve">indicates that individuals </w:t>
      </w:r>
      <w:r w:rsidR="008B1C0C" w:rsidRPr="000D3090">
        <w:rPr>
          <w:rFonts w:eastAsiaTheme="minorEastAsia"/>
          <w:lang w:eastAsia="ko-KR"/>
        </w:rPr>
        <w:t>in low</w:t>
      </w:r>
      <w:r w:rsidR="00544A25" w:rsidRPr="000D3090">
        <w:rPr>
          <w:rFonts w:eastAsiaTheme="minorEastAsia"/>
          <w:lang w:eastAsia="ko-KR"/>
        </w:rPr>
        <w:t>-</w:t>
      </w:r>
      <w:r w:rsidR="008B1C0C" w:rsidRPr="000D3090">
        <w:rPr>
          <w:rFonts w:eastAsiaTheme="minorEastAsia"/>
          <w:lang w:eastAsia="ko-KR"/>
        </w:rPr>
        <w:t>income households</w:t>
      </w:r>
      <w:r w:rsidR="00235244" w:rsidRPr="000D3090">
        <w:rPr>
          <w:rFonts w:eastAsiaTheme="minorEastAsia"/>
          <w:lang w:eastAsia="ko-KR"/>
        </w:rPr>
        <w:t xml:space="preserve">, on average, have </w:t>
      </w:r>
      <w:r w:rsidR="008B1C0C" w:rsidRPr="000D3090">
        <w:rPr>
          <w:rFonts w:eastAsiaTheme="minorEastAsia"/>
          <w:lang w:eastAsia="ko-KR"/>
        </w:rPr>
        <w:t>1.</w:t>
      </w:r>
      <w:r w:rsidR="001E1038" w:rsidRPr="000D3090">
        <w:rPr>
          <w:rFonts w:eastAsiaTheme="minorEastAsia"/>
          <w:lang w:eastAsia="ko-KR"/>
        </w:rPr>
        <w:t>75</w:t>
      </w:r>
      <w:r w:rsidR="00235244" w:rsidRPr="000D3090">
        <w:rPr>
          <w:rFonts w:eastAsiaTheme="minorEastAsia"/>
          <w:lang w:eastAsia="ko-KR"/>
        </w:rPr>
        <w:t xml:space="preserve"> </w:t>
      </w:r>
      <w:r w:rsidR="008B1C0C" w:rsidRPr="000D3090">
        <w:rPr>
          <w:rFonts w:eastAsiaTheme="minorEastAsia"/>
          <w:lang w:eastAsia="ko-KR"/>
        </w:rPr>
        <w:t xml:space="preserve">fewer </w:t>
      </w:r>
      <w:r w:rsidR="00235244" w:rsidRPr="000D3090">
        <w:rPr>
          <w:rFonts w:eastAsiaTheme="minorEastAsia"/>
          <w:lang w:eastAsia="ko-KR"/>
        </w:rPr>
        <w:t xml:space="preserve">monthly deliveries than individuals </w:t>
      </w:r>
      <w:r w:rsidR="008B1C0C" w:rsidRPr="000D3090">
        <w:rPr>
          <w:rFonts w:eastAsiaTheme="minorEastAsia"/>
          <w:lang w:eastAsia="ko-KR"/>
        </w:rPr>
        <w:t>in high</w:t>
      </w:r>
      <w:r w:rsidR="0041775D" w:rsidRPr="000D3090">
        <w:rPr>
          <w:rFonts w:eastAsiaTheme="minorEastAsia"/>
          <w:lang w:eastAsia="ko-KR"/>
        </w:rPr>
        <w:t>-</w:t>
      </w:r>
      <w:r w:rsidR="008B1C0C" w:rsidRPr="000D3090">
        <w:rPr>
          <w:rFonts w:eastAsiaTheme="minorEastAsia"/>
          <w:lang w:eastAsia="ko-KR"/>
        </w:rPr>
        <w:t>income households</w:t>
      </w:r>
      <w:r w:rsidR="00235244" w:rsidRPr="000D3090">
        <w:rPr>
          <w:rFonts w:eastAsiaTheme="minorEastAsia"/>
          <w:lang w:eastAsia="ko-KR"/>
        </w:rPr>
        <w:t>. The PPD column has four sub-columns. T</w:t>
      </w:r>
      <w:r w:rsidRPr="000D3090">
        <w:rPr>
          <w:rFonts w:eastAsiaTheme="minorEastAsia"/>
          <w:lang w:eastAsia="ko-KR"/>
        </w:rPr>
        <w:t xml:space="preserve">he entry of </w:t>
      </w:r>
      <w:r w:rsidR="00626598" w:rsidRPr="000D3090">
        <w:rPr>
          <w:rFonts w:eastAsiaTheme="minorEastAsia"/>
          <w:lang w:eastAsia="ko-KR"/>
        </w:rPr>
        <w:t>“</w:t>
      </w:r>
      <w:r w:rsidR="008B1C0C" w:rsidRPr="000D3090">
        <w:rPr>
          <w:rFonts w:eastAsiaTheme="minorEastAsia"/>
          <w:lang w:eastAsia="ko-KR"/>
        </w:rPr>
        <w:t>13.</w:t>
      </w:r>
      <w:r w:rsidR="001E1038" w:rsidRPr="000D3090">
        <w:rPr>
          <w:rFonts w:eastAsiaTheme="minorEastAsia"/>
          <w:lang w:eastAsia="ko-KR"/>
        </w:rPr>
        <w:t>14</w:t>
      </w:r>
      <w:r w:rsidR="00626598" w:rsidRPr="000D3090">
        <w:rPr>
          <w:rFonts w:eastAsiaTheme="minorEastAsia"/>
          <w:lang w:eastAsia="ko-KR"/>
        </w:rPr>
        <w:t xml:space="preserve">” </w:t>
      </w:r>
      <w:r w:rsidR="00235244" w:rsidRPr="000D3090">
        <w:rPr>
          <w:rFonts w:eastAsiaTheme="minorEastAsia"/>
          <w:lang w:eastAsia="ko-KR"/>
        </w:rPr>
        <w:t xml:space="preserve">in the last sub-column </w:t>
      </w:r>
      <w:r w:rsidR="008B1C0C" w:rsidRPr="000D3090">
        <w:rPr>
          <w:rFonts w:eastAsiaTheme="minorEastAsia"/>
          <w:lang w:eastAsia="ko-KR"/>
        </w:rPr>
        <w:t xml:space="preserve">for income </w:t>
      </w:r>
      <w:r w:rsidR="00BC1043" w:rsidRPr="000D3090">
        <w:rPr>
          <w:rFonts w:eastAsiaTheme="minorEastAsia"/>
          <w:lang w:eastAsia="ko-KR"/>
        </w:rPr>
        <w:t>indicates that</w:t>
      </w:r>
      <w:r w:rsidR="008B1C0C" w:rsidRPr="000D3090">
        <w:rPr>
          <w:rFonts w:eastAsiaTheme="minorEastAsia"/>
          <w:lang w:eastAsia="ko-KR"/>
        </w:rPr>
        <w:t>,</w:t>
      </w:r>
      <w:r w:rsidR="00BC1043" w:rsidRPr="000D3090">
        <w:rPr>
          <w:rFonts w:eastAsiaTheme="minorEastAsia"/>
          <w:lang w:eastAsia="ko-KR"/>
        </w:rPr>
        <w:t xml:space="preserve"> </w:t>
      </w:r>
      <w:r w:rsidR="00BC1043" w:rsidRPr="000D3090">
        <w:t>in a pool of 1</w:t>
      </w:r>
      <w:r w:rsidR="008B1C0C" w:rsidRPr="000D3090">
        <w:t>00</w:t>
      </w:r>
      <w:r w:rsidR="00BC1043" w:rsidRPr="000D3090">
        <w:t xml:space="preserve"> individuals </w:t>
      </w:r>
      <w:r w:rsidR="008B1C0C" w:rsidRPr="000D3090">
        <w:t xml:space="preserve">from </w:t>
      </w:r>
      <w:r w:rsidR="00AE534B" w:rsidRPr="000D3090">
        <w:t>low-income</w:t>
      </w:r>
      <w:r w:rsidR="008B1C0C" w:rsidRPr="000D3090">
        <w:t xml:space="preserve"> households, </w:t>
      </w:r>
      <w:r w:rsidR="00BC1043" w:rsidRPr="000D3090">
        <w:t xml:space="preserve">one may expect </w:t>
      </w:r>
      <w:r w:rsidR="008B1C0C" w:rsidRPr="000D3090">
        <w:t xml:space="preserve">about 13 more individuals </w:t>
      </w:r>
      <w:r w:rsidR="00BC1043" w:rsidRPr="000D3090">
        <w:t xml:space="preserve">to experience PPD relative to </w:t>
      </w:r>
      <w:r w:rsidR="008B1C0C" w:rsidRPr="000D3090">
        <w:t xml:space="preserve">in </w:t>
      </w:r>
      <w:r w:rsidR="00BC1043" w:rsidRPr="000D3090">
        <w:t>a pool of 1</w:t>
      </w:r>
      <w:r w:rsidR="00626598" w:rsidRPr="000D3090">
        <w:t>0</w:t>
      </w:r>
      <w:r w:rsidR="008B1C0C" w:rsidRPr="000D3090">
        <w:t>0</w:t>
      </w:r>
      <w:r w:rsidR="00BC1043" w:rsidRPr="000D3090">
        <w:t xml:space="preserve"> individuals </w:t>
      </w:r>
      <w:r w:rsidR="008B1C0C" w:rsidRPr="000D3090">
        <w:t>from high</w:t>
      </w:r>
      <w:r w:rsidR="00AE534B" w:rsidRPr="000D3090">
        <w:t>-</w:t>
      </w:r>
      <w:r w:rsidR="008B1C0C" w:rsidRPr="000D3090">
        <w:t>income households.</w:t>
      </w:r>
      <w:r w:rsidR="00BC1043" w:rsidRPr="000D3090">
        <w:t xml:space="preserve"> </w:t>
      </w:r>
      <w:r w:rsidRPr="000D3090">
        <w:rPr>
          <w:rFonts w:eastAsiaTheme="minorEastAsia"/>
          <w:lang w:eastAsia="ko-KR"/>
        </w:rPr>
        <w:t xml:space="preserve">The </w:t>
      </w:r>
      <w:r w:rsidR="00BC1043" w:rsidRPr="000D3090">
        <w:rPr>
          <w:rFonts w:eastAsiaTheme="minorEastAsia"/>
          <w:lang w:eastAsia="ko-KR"/>
        </w:rPr>
        <w:t xml:space="preserve">three immediate </w:t>
      </w:r>
      <w:r w:rsidR="00235244" w:rsidRPr="000D3090">
        <w:rPr>
          <w:rFonts w:eastAsiaTheme="minorEastAsia"/>
          <w:lang w:eastAsia="ko-KR"/>
        </w:rPr>
        <w:t>sub-</w:t>
      </w:r>
      <w:r w:rsidR="00BC1043" w:rsidRPr="000D3090">
        <w:rPr>
          <w:rFonts w:eastAsiaTheme="minorEastAsia"/>
          <w:lang w:eastAsia="ko-KR"/>
        </w:rPr>
        <w:t xml:space="preserve">columns to the left of the “Total ATE” column provide the percentage splits of the total effect as originating from an indirect telework effect, from an indirect deliveries effect, and from a direct effect. Thus, </w:t>
      </w:r>
      <w:r w:rsidR="008B1C0C" w:rsidRPr="000D3090">
        <w:rPr>
          <w:rFonts w:eastAsiaTheme="minorEastAsia"/>
          <w:lang w:eastAsia="ko-KR"/>
        </w:rPr>
        <w:t xml:space="preserve">for income, </w:t>
      </w:r>
      <w:r w:rsidR="00BC1043" w:rsidRPr="000D3090">
        <w:rPr>
          <w:rFonts w:eastAsiaTheme="minorEastAsia"/>
          <w:lang w:eastAsia="ko-KR"/>
        </w:rPr>
        <w:t xml:space="preserve">the </w:t>
      </w:r>
      <w:r w:rsidR="008B1C0C" w:rsidRPr="000D3090">
        <w:rPr>
          <w:rFonts w:eastAsiaTheme="minorEastAsia"/>
          <w:lang w:eastAsia="ko-KR"/>
        </w:rPr>
        <w:t>increased PPD among individuals from low</w:t>
      </w:r>
      <w:r w:rsidR="00311231" w:rsidRPr="000D3090">
        <w:rPr>
          <w:rFonts w:eastAsiaTheme="minorEastAsia"/>
          <w:lang w:eastAsia="ko-KR"/>
        </w:rPr>
        <w:t>-</w:t>
      </w:r>
      <w:r w:rsidR="008B1C0C" w:rsidRPr="000D3090">
        <w:rPr>
          <w:rFonts w:eastAsiaTheme="minorEastAsia"/>
          <w:lang w:eastAsia="ko-KR"/>
        </w:rPr>
        <w:t xml:space="preserve">income households may be attributed to a </w:t>
      </w:r>
      <w:r w:rsidR="001E1038" w:rsidRPr="000D3090">
        <w:rPr>
          <w:rFonts w:eastAsiaTheme="minorEastAsia"/>
          <w:lang w:eastAsia="ko-KR"/>
        </w:rPr>
        <w:t>6</w:t>
      </w:r>
      <w:r w:rsidR="008B1C0C" w:rsidRPr="000D3090">
        <w:rPr>
          <w:rFonts w:eastAsiaTheme="minorEastAsia"/>
          <w:lang w:eastAsia="ko-KR"/>
        </w:rPr>
        <w:t>% effect through the reduced ability to telework, a</w:t>
      </w:r>
      <w:r w:rsidR="001E1038" w:rsidRPr="000D3090">
        <w:rPr>
          <w:rFonts w:eastAsiaTheme="minorEastAsia"/>
          <w:lang w:eastAsia="ko-KR"/>
        </w:rPr>
        <w:t>n</w:t>
      </w:r>
      <w:r w:rsidR="008B1C0C" w:rsidRPr="000D3090">
        <w:rPr>
          <w:rFonts w:eastAsiaTheme="minorEastAsia"/>
          <w:lang w:eastAsia="ko-KR"/>
        </w:rPr>
        <w:t xml:space="preserve"> </w:t>
      </w:r>
      <w:r w:rsidR="001E1038" w:rsidRPr="000D3090">
        <w:rPr>
          <w:rFonts w:eastAsiaTheme="minorEastAsia"/>
          <w:lang w:eastAsia="ko-KR"/>
        </w:rPr>
        <w:t>11</w:t>
      </w:r>
      <w:r w:rsidR="008B1C0C" w:rsidRPr="000D3090">
        <w:rPr>
          <w:rFonts w:eastAsiaTheme="minorEastAsia"/>
          <w:lang w:eastAsia="ko-KR"/>
        </w:rPr>
        <w:t xml:space="preserve">% effect through the reduced ability to order deliveries, and an 83% direct PPD effect. </w:t>
      </w:r>
      <w:r w:rsidR="00BC1043" w:rsidRPr="000D3090">
        <w:t>T</w:t>
      </w:r>
      <w:r w:rsidRPr="000D3090">
        <w:t xml:space="preserve">he sign associated with </w:t>
      </w:r>
      <w:r w:rsidR="00BC1043" w:rsidRPr="000D3090">
        <w:t xml:space="preserve">each </w:t>
      </w:r>
      <w:r w:rsidRPr="000D3090">
        <w:t>contribution illustrate</w:t>
      </w:r>
      <w:r w:rsidR="00BC1043" w:rsidRPr="000D3090">
        <w:t>s</w:t>
      </w:r>
      <w:r w:rsidRPr="000D3090">
        <w:t xml:space="preserve"> whether the </w:t>
      </w:r>
      <w:r w:rsidR="00BC1043" w:rsidRPr="000D3090">
        <w:t xml:space="preserve">corresponding </w:t>
      </w:r>
      <w:r w:rsidRPr="000D3090">
        <w:t xml:space="preserve">effect </w:t>
      </w:r>
      <w:r w:rsidR="00BC1043" w:rsidRPr="000D3090">
        <w:t xml:space="preserve">increases the total </w:t>
      </w:r>
      <w:r w:rsidR="008B1C0C" w:rsidRPr="000D3090">
        <w:t xml:space="preserve">PPD </w:t>
      </w:r>
      <w:r w:rsidR="00BC1043" w:rsidRPr="000D3090">
        <w:t xml:space="preserve">ATE (+) or </w:t>
      </w:r>
      <w:r w:rsidRPr="000D3090">
        <w:t xml:space="preserve">decreases the total </w:t>
      </w:r>
      <w:r w:rsidR="008B1C0C" w:rsidRPr="000D3090">
        <w:t xml:space="preserve">PPD </w:t>
      </w:r>
      <w:r w:rsidRPr="000D3090">
        <w:t>ATE (-)</w:t>
      </w:r>
      <w:r w:rsidR="00BC1043" w:rsidRPr="000D3090">
        <w:t>.</w:t>
      </w:r>
      <w:r w:rsidRPr="000D3090">
        <w:t xml:space="preserve"> </w:t>
      </w:r>
      <w:r w:rsidR="008B1C0C" w:rsidRPr="000D3090">
        <w:t xml:space="preserve">For example, the </w:t>
      </w:r>
      <w:r w:rsidR="008B1C0C" w:rsidRPr="000D3090">
        <w:rPr>
          <w:rFonts w:eastAsiaTheme="minorEastAsia"/>
          <w:lang w:eastAsia="ko-KR"/>
        </w:rPr>
        <w:t xml:space="preserve">total PPD ATE for “presence of children” may be attributable to an increase in PPD </w:t>
      </w:r>
      <w:r w:rsidR="00A75F0B" w:rsidRPr="000D3090">
        <w:rPr>
          <w:rFonts w:eastAsiaTheme="minorEastAsia"/>
          <w:lang w:eastAsia="ko-KR"/>
        </w:rPr>
        <w:t xml:space="preserve">due to the reduced ability to telework (contributing </w:t>
      </w:r>
      <w:r w:rsidR="001E1038" w:rsidRPr="000D3090">
        <w:rPr>
          <w:rFonts w:eastAsiaTheme="minorEastAsia"/>
          <w:lang w:eastAsia="ko-KR"/>
        </w:rPr>
        <w:t>57</w:t>
      </w:r>
      <w:r w:rsidR="00A75F0B" w:rsidRPr="000D3090">
        <w:rPr>
          <w:rFonts w:eastAsiaTheme="minorEastAsia"/>
          <w:lang w:eastAsia="ko-KR"/>
        </w:rPr>
        <w:t>% to the total PPD) and a decrease in PPD due to increase delivery services</w:t>
      </w:r>
      <w:r w:rsidR="008B1C0C" w:rsidRPr="000D3090">
        <w:rPr>
          <w:rFonts w:eastAsiaTheme="minorEastAsia"/>
          <w:lang w:eastAsia="ko-KR"/>
        </w:rPr>
        <w:t xml:space="preserve"> (</w:t>
      </w:r>
      <w:r w:rsidR="00A75F0B" w:rsidRPr="000D3090">
        <w:rPr>
          <w:rFonts w:eastAsiaTheme="minorEastAsia"/>
          <w:lang w:eastAsia="ko-KR"/>
        </w:rPr>
        <w:t xml:space="preserve">contributing </w:t>
      </w:r>
      <w:r w:rsidR="001E1038" w:rsidRPr="000D3090">
        <w:rPr>
          <w:rFonts w:eastAsiaTheme="minorEastAsia"/>
          <w:lang w:eastAsia="ko-KR"/>
        </w:rPr>
        <w:t>43</w:t>
      </w:r>
      <w:r w:rsidR="008B1C0C" w:rsidRPr="000D3090">
        <w:rPr>
          <w:rFonts w:eastAsiaTheme="minorEastAsia"/>
          <w:lang w:eastAsia="ko-KR"/>
        </w:rPr>
        <w:t>%</w:t>
      </w:r>
      <w:r w:rsidR="00A75F0B" w:rsidRPr="000D3090">
        <w:rPr>
          <w:rFonts w:eastAsiaTheme="minorEastAsia"/>
          <w:lang w:eastAsia="ko-KR"/>
        </w:rPr>
        <w:t xml:space="preserve"> to the total PPD</w:t>
      </w:r>
      <w:r w:rsidR="008B1C0C" w:rsidRPr="000D3090">
        <w:rPr>
          <w:rFonts w:eastAsiaTheme="minorEastAsia"/>
          <w:lang w:eastAsia="ko-KR"/>
        </w:rPr>
        <w:t xml:space="preserve">). </w:t>
      </w:r>
      <w:r w:rsidR="00A75F0B" w:rsidRPr="000D3090">
        <w:rPr>
          <w:rFonts w:eastAsiaTheme="minorEastAsia"/>
          <w:lang w:eastAsia="ko-KR"/>
        </w:rPr>
        <w:t xml:space="preserve">There is no direct effect on PPD based on the presence or absence of children. Note also that </w:t>
      </w:r>
      <w:r w:rsidR="00A75F0B" w:rsidRPr="000D3090">
        <w:t xml:space="preserve">the relative magnitudes of the indirect and direct effects are computed to total 100%. </w:t>
      </w:r>
      <w:r w:rsidR="00BC1043" w:rsidRPr="000D3090">
        <w:t xml:space="preserve">All other entries in Table 5 may be similarly interpreted. </w:t>
      </w:r>
    </w:p>
    <w:p w14:paraId="39C3ADD7" w14:textId="438D17AE" w:rsidR="007A5F6D" w:rsidRPr="000D3090" w:rsidRDefault="00BC1043" w:rsidP="00900B62">
      <w:pPr>
        <w:spacing w:after="0" w:line="240" w:lineRule="auto"/>
        <w:ind w:firstLine="720"/>
        <w:jc w:val="both"/>
        <w:rPr>
          <w:rFonts w:eastAsiaTheme="minorEastAsia"/>
          <w:lang w:eastAsia="ko-KR"/>
        </w:rPr>
      </w:pPr>
      <w:r w:rsidRPr="000D3090">
        <w:rPr>
          <w:rFonts w:eastAsiaTheme="minorEastAsia"/>
          <w:lang w:eastAsia="ko-KR"/>
        </w:rPr>
        <w:t>Toward the</w:t>
      </w:r>
      <w:r w:rsidR="009A7409" w:rsidRPr="000D3090">
        <w:rPr>
          <w:rFonts w:eastAsiaTheme="minorEastAsia"/>
          <w:lang w:eastAsia="ko-KR"/>
        </w:rPr>
        <w:t xml:space="preserve"> bottom</w:t>
      </w:r>
      <w:r w:rsidRPr="000D3090">
        <w:rPr>
          <w:rFonts w:eastAsiaTheme="minorEastAsia"/>
          <w:lang w:eastAsia="ko-KR"/>
        </w:rPr>
        <w:t xml:space="preserve"> of the table, we also compute the ATE effects of telework and deliveries on PPD. </w:t>
      </w:r>
      <w:r w:rsidR="00B63160" w:rsidRPr="000D3090">
        <w:rPr>
          <w:rFonts w:eastAsiaTheme="minorEastAsia"/>
          <w:lang w:eastAsia="ko-KR"/>
        </w:rPr>
        <w:t>T</w:t>
      </w:r>
      <w:r w:rsidRPr="000D3090">
        <w:rPr>
          <w:rFonts w:eastAsiaTheme="minorEastAsia"/>
          <w:lang w:eastAsia="ko-KR"/>
        </w:rPr>
        <w:t xml:space="preserve">hese endogenous </w:t>
      </w:r>
      <w:r w:rsidR="00B63160" w:rsidRPr="000D3090">
        <w:rPr>
          <w:rFonts w:eastAsiaTheme="minorEastAsia"/>
          <w:lang w:eastAsia="ko-KR"/>
        </w:rPr>
        <w:t xml:space="preserve">ATE </w:t>
      </w:r>
      <w:r w:rsidRPr="000D3090">
        <w:rPr>
          <w:rFonts w:eastAsiaTheme="minorEastAsia"/>
          <w:lang w:eastAsia="ko-KR"/>
        </w:rPr>
        <w:t>effects on</w:t>
      </w:r>
      <w:r w:rsidR="00B63160" w:rsidRPr="000D3090">
        <w:rPr>
          <w:rFonts w:eastAsiaTheme="minorEastAsia"/>
          <w:lang w:eastAsia="ko-KR"/>
        </w:rPr>
        <w:t xml:space="preserve"> PPD </w:t>
      </w:r>
      <w:r w:rsidRPr="000D3090">
        <w:rPr>
          <w:rFonts w:eastAsiaTheme="minorEastAsia"/>
          <w:lang w:eastAsia="ko-KR"/>
        </w:rPr>
        <w:t>add value to policy development and insights. For these effects, we consider a change from the base level of “</w:t>
      </w:r>
      <w:r w:rsidR="005170A1" w:rsidRPr="000D3090">
        <w:rPr>
          <w:rFonts w:eastAsiaTheme="minorEastAsia"/>
          <w:lang w:eastAsia="ko-KR"/>
        </w:rPr>
        <w:t xml:space="preserve">5+ days per week" to the treatment </w:t>
      </w:r>
      <w:r w:rsidR="005170A1" w:rsidRPr="000D3090">
        <w:rPr>
          <w:rFonts w:eastAsiaTheme="minorEastAsia"/>
          <w:lang w:eastAsia="ko-KR"/>
        </w:rPr>
        <w:lastRenderedPageBreak/>
        <w:t>level of “</w:t>
      </w:r>
      <w:r w:rsidR="00B63160" w:rsidRPr="000D3090">
        <w:rPr>
          <w:rFonts w:eastAsiaTheme="minorEastAsia"/>
          <w:lang w:eastAsia="ko-KR"/>
        </w:rPr>
        <w:t>0 days per week</w:t>
      </w:r>
      <w:r w:rsidRPr="000D3090">
        <w:rPr>
          <w:rFonts w:eastAsiaTheme="minorEastAsia"/>
          <w:lang w:eastAsia="ko-KR"/>
        </w:rPr>
        <w:t xml:space="preserve">” </w:t>
      </w:r>
      <w:r w:rsidR="00B63160" w:rsidRPr="000D3090">
        <w:rPr>
          <w:rFonts w:eastAsiaTheme="minorEastAsia"/>
          <w:lang w:eastAsia="ko-KR"/>
        </w:rPr>
        <w:t xml:space="preserve">(for telework) and from the base level of </w:t>
      </w:r>
      <w:r w:rsidR="005170A1" w:rsidRPr="000D3090">
        <w:rPr>
          <w:rFonts w:eastAsiaTheme="minorEastAsia"/>
          <w:lang w:eastAsia="ko-KR"/>
        </w:rPr>
        <w:t xml:space="preserve">“more than 10 deliveries in the past 30 days” to </w:t>
      </w:r>
      <w:r w:rsidR="00B63160" w:rsidRPr="000D3090">
        <w:rPr>
          <w:rFonts w:eastAsiaTheme="minorEastAsia"/>
          <w:lang w:eastAsia="ko-KR"/>
        </w:rPr>
        <w:t xml:space="preserve">“0 deliveries in the past 30 days” </w:t>
      </w:r>
      <w:r w:rsidR="005170A1" w:rsidRPr="000D3090">
        <w:rPr>
          <w:rFonts w:eastAsiaTheme="minorEastAsia"/>
          <w:lang w:eastAsia="ko-KR"/>
        </w:rPr>
        <w:t>(for deliveries)</w:t>
      </w:r>
      <w:r w:rsidR="00B63160" w:rsidRPr="000D3090">
        <w:rPr>
          <w:rFonts w:eastAsiaTheme="minorEastAsia"/>
          <w:lang w:eastAsia="ko-KR"/>
        </w:rPr>
        <w:t>. The corresponding ATEs indicate the substan</w:t>
      </w:r>
      <w:r w:rsidR="00A75F0B" w:rsidRPr="000D3090">
        <w:rPr>
          <w:rFonts w:eastAsiaTheme="minorEastAsia"/>
          <w:lang w:eastAsia="ko-KR"/>
        </w:rPr>
        <w:t>tial</w:t>
      </w:r>
      <w:r w:rsidR="00B63160" w:rsidRPr="000D3090">
        <w:rPr>
          <w:rFonts w:eastAsiaTheme="minorEastAsia"/>
          <w:lang w:eastAsia="ko-KR"/>
        </w:rPr>
        <w:t xml:space="preserve"> </w:t>
      </w:r>
      <w:r w:rsidR="00A75F0B" w:rsidRPr="000D3090">
        <w:rPr>
          <w:rFonts w:eastAsiaTheme="minorEastAsia"/>
          <w:lang w:eastAsia="ko-KR"/>
        </w:rPr>
        <w:t xml:space="preserve">PPD-alleviating </w:t>
      </w:r>
      <w:r w:rsidR="00B63160" w:rsidRPr="000D3090">
        <w:rPr>
          <w:rFonts w:eastAsiaTheme="minorEastAsia"/>
          <w:lang w:eastAsia="ko-KR"/>
        </w:rPr>
        <w:t xml:space="preserve">impacts of virtual participation. </w:t>
      </w:r>
    </w:p>
    <w:p w14:paraId="2A78BCD4" w14:textId="759C1C47" w:rsidR="00371B12" w:rsidRPr="000D3090" w:rsidRDefault="00371B12" w:rsidP="00900B62">
      <w:pPr>
        <w:spacing w:after="0" w:line="240" w:lineRule="auto"/>
        <w:ind w:firstLine="720"/>
        <w:jc w:val="both"/>
        <w:rPr>
          <w:rFonts w:eastAsiaTheme="minorEastAsia"/>
          <w:lang w:eastAsia="ko-KR"/>
        </w:rPr>
      </w:pPr>
      <w:r w:rsidRPr="000D3090">
        <w:rPr>
          <w:rFonts w:eastAsiaTheme="minorEastAsia"/>
          <w:lang w:eastAsia="ko-KR"/>
        </w:rPr>
        <w:t xml:space="preserve">In the rest of this section, we discuss the implications of our results based on the ATE results from Table 5, combined with the PPD reason results in Table 3. The focus of our discussions will be on the indirect and direct ATE effects on the PPD outcome, though we invoke other results from Table 3 and Table 5 as appropriate in our discussions. </w:t>
      </w:r>
    </w:p>
    <w:p w14:paraId="7203A323" w14:textId="77777777" w:rsidR="004414DE" w:rsidRPr="000D3090" w:rsidRDefault="004414DE" w:rsidP="00900B62">
      <w:pPr>
        <w:spacing w:after="0" w:line="240" w:lineRule="auto"/>
        <w:jc w:val="both"/>
      </w:pPr>
    </w:p>
    <w:p w14:paraId="6E4D122A" w14:textId="2FDF9C44" w:rsidR="00D750BB" w:rsidRPr="000D3090" w:rsidRDefault="005170A1">
      <w:pPr>
        <w:spacing w:after="0" w:line="240" w:lineRule="auto"/>
        <w:jc w:val="both"/>
        <w:rPr>
          <w:b/>
          <w:bCs/>
        </w:rPr>
      </w:pPr>
      <w:r w:rsidRPr="000D3090">
        <w:rPr>
          <w:b/>
          <w:bCs/>
        </w:rPr>
        <w:t xml:space="preserve">5.2 Who is Teleworking and Who </w:t>
      </w:r>
      <w:r w:rsidR="00B45502" w:rsidRPr="000D3090">
        <w:rPr>
          <w:b/>
          <w:bCs/>
        </w:rPr>
        <w:t xml:space="preserve">Receives </w:t>
      </w:r>
      <w:r w:rsidRPr="000D3090">
        <w:rPr>
          <w:b/>
          <w:bCs/>
        </w:rPr>
        <w:t>Home Deliveries</w:t>
      </w:r>
      <w:r w:rsidR="005D5F7F" w:rsidRPr="000D3090">
        <w:rPr>
          <w:b/>
          <w:bCs/>
        </w:rPr>
        <w:t>?</w:t>
      </w:r>
    </w:p>
    <w:p w14:paraId="19925690" w14:textId="184807F7" w:rsidR="00C13E66" w:rsidRPr="000D3090" w:rsidRDefault="00E32D63" w:rsidP="00A077E7">
      <w:pPr>
        <w:spacing w:after="0" w:line="240" w:lineRule="auto"/>
        <w:jc w:val="both"/>
      </w:pPr>
      <w:r w:rsidRPr="000D3090">
        <w:t xml:space="preserve">Our results provide insights </w:t>
      </w:r>
      <w:r w:rsidR="008A7D5D" w:rsidRPr="000D3090">
        <w:t xml:space="preserve">based on </w:t>
      </w:r>
      <w:r w:rsidR="00907428" w:rsidRPr="000D3090">
        <w:t xml:space="preserve">demographic </w:t>
      </w:r>
      <w:r w:rsidR="008A7D5D" w:rsidRPr="000D3090">
        <w:t>variations in</w:t>
      </w:r>
      <w:r w:rsidRPr="000D3090">
        <w:t xml:space="preserve"> telework and home deliver</w:t>
      </w:r>
      <w:r w:rsidR="00907428" w:rsidRPr="000D3090">
        <w:t xml:space="preserve">y preferences; </w:t>
      </w:r>
      <w:r w:rsidR="00E43DA4" w:rsidRPr="000D3090">
        <w:t>telework frequenc</w:t>
      </w:r>
      <w:r w:rsidR="00907428" w:rsidRPr="000D3090">
        <w:t xml:space="preserve">y is </w:t>
      </w:r>
      <w:r w:rsidR="00E43DA4" w:rsidRPr="000D3090">
        <w:t xml:space="preserve">higher for single adults without children, </w:t>
      </w:r>
      <w:r w:rsidR="00907428" w:rsidRPr="000D3090">
        <w:t xml:space="preserve">individuals from </w:t>
      </w:r>
      <w:r w:rsidR="00E43DA4" w:rsidRPr="000D3090">
        <w:t>vehicle</w:t>
      </w:r>
      <w:r w:rsidR="004839E5" w:rsidRPr="000D3090">
        <w:t>-</w:t>
      </w:r>
      <w:r w:rsidR="00E43DA4" w:rsidRPr="000D3090">
        <w:t>constrained households</w:t>
      </w:r>
      <w:r w:rsidR="00907428" w:rsidRPr="000D3090">
        <w:t xml:space="preserve"> and </w:t>
      </w:r>
      <w:r w:rsidR="00E43DA4" w:rsidRPr="000D3090">
        <w:t xml:space="preserve">high-income households in </w:t>
      </w:r>
      <w:r w:rsidR="00A75F0B" w:rsidRPr="000D3090">
        <w:t>urban</w:t>
      </w:r>
      <w:r w:rsidR="00E43DA4" w:rsidRPr="000D3090">
        <w:t xml:space="preserve"> areas, older adults, those with more formal education, and individuals with medical conditions. </w:t>
      </w:r>
      <w:r w:rsidR="004D25DB" w:rsidRPr="000D3090">
        <w:t xml:space="preserve">These </w:t>
      </w:r>
      <w:r w:rsidR="008A7D5D" w:rsidRPr="000D3090">
        <w:t>findings</w:t>
      </w:r>
      <w:r w:rsidR="004D25DB" w:rsidRPr="000D3090">
        <w:t xml:space="preserve"> have important implications for cities, developers, and urban planners as they design developments appropriate for telework</w:t>
      </w:r>
      <w:r w:rsidR="00A077E7" w:rsidRPr="000D3090">
        <w:t xml:space="preserve"> and consider the impacts of changing commuting patterns</w:t>
      </w:r>
      <w:r w:rsidR="004D25DB" w:rsidRPr="000D3090">
        <w:t xml:space="preserve">. </w:t>
      </w:r>
      <w:r w:rsidR="00A077E7" w:rsidRPr="000D3090">
        <w:t>Strategies such as providing local community workspaces in residential areas could be beneficial to promote telework among those who do not have suitable spaces at home and provide mechanisms to help teleworkers maintain social connections while working remotely</w:t>
      </w:r>
      <w:r w:rsidR="00F579D1" w:rsidRPr="000D3090">
        <w:t xml:space="preserve"> </w:t>
      </w:r>
      <w:r w:rsidR="00F579D1" w:rsidRPr="000D3090">
        <w:fldChar w:fldCharType="begin"/>
      </w:r>
      <w:r w:rsidR="007C3A08" w:rsidRPr="000D3090">
        <w:instrText xml:space="preserve"> ADDIN ZOTERO_ITEM CSL_CITATION {"citationID":"5sIJBFx6","properties":{"formattedCitation":"(Ciccarelli and Mariotti, 2024)","plainCitation":"(Ciccarelli and Mariotti, 2024)","noteIndex":0},"citationItems":[{"id":3523,"uris":["http://zotero.org/users/12832277/items/L8PGGWXU"],"itemData":{"id":3523,"type":"chapter","abstract":"The Covid-19 pandemic accelerated the spread of remote work worldwide. This work modality carries risks and opportunities for workers and communities alike. For individuals, remote work can positively contribute to their wellbeing in several ways, such as granting more autonomy and a better work-life balance. However, remote work, especially working from home, is also frequently connected with physical and psychosocial risks for workers’ wellbeing. From a collective standpoint, remote work has the potential to reduce commuting with positive effects on the environment and may contribute to preventing skilled migrations from peripheral areas. However, data on the potential impacts of remote work on peripheral and rural communities are still scant. This chapter will offer an overview of the risks and opportunities for workers and communities associated with remote work. It will describe the rise of collaborative workspaces as plausible alternatives to overcome the limits of homeworking.","container-title":"Pandemic Recovery? Reframing and Rescaling Societal Challenges","ISBN":"978-1-80220-111-6","language":"en","note":"section: Pandemic Recovery?","page":"209-220","publisher":"Elgar","source":"www.elgaronline.com","title":"Chapter 15: Remote Work, Coworking Spaces, and Wellbeing During the COVID-19 Pandemic and Beyond: Exploring Peripheral and Rural Areas","URL":"https://www.elgaronline.com/edcollchap/book/9781802201116/book-part-9781802201116-25.xml","author":[{"family":"Ciccarelli","given":"Francesca Chiara"},{"family":"Mariotti","given":"Ilaria"}],"accessed":{"date-parts":[["2024",6,21]]},"issued":{"date-parts":[["2024",1,12]]}}}],"schema":"https://github.com/citation-style-language/schema/raw/master/csl-citation.json"} </w:instrText>
      </w:r>
      <w:r w:rsidR="00F579D1" w:rsidRPr="000D3090">
        <w:fldChar w:fldCharType="separate"/>
      </w:r>
      <w:r w:rsidR="00F579D1" w:rsidRPr="000D3090">
        <w:t>(Ciccarelli and Mariotti, 2024)</w:t>
      </w:r>
      <w:r w:rsidR="00F579D1" w:rsidRPr="000D3090">
        <w:fldChar w:fldCharType="end"/>
      </w:r>
      <w:r w:rsidR="00A077E7" w:rsidRPr="000D3090">
        <w:t xml:space="preserve">. At the same time, </w:t>
      </w:r>
      <w:r w:rsidR="00A75F0B" w:rsidRPr="000D3090">
        <w:t xml:space="preserve">the low telework among individuals with children, along with the higher overall PPD among individuals with children, reveals a need to </w:t>
      </w:r>
      <w:r w:rsidR="00C13E66" w:rsidRPr="000D3090">
        <w:t>promote</w:t>
      </w:r>
      <w:r w:rsidR="00A75F0B" w:rsidRPr="000D3090">
        <w:t xml:space="preserve"> telework opportunities for this population group, wh</w:t>
      </w:r>
      <w:r w:rsidR="007126AD" w:rsidRPr="000D3090">
        <w:t>ich</w:t>
      </w:r>
      <w:r w:rsidR="00A75F0B" w:rsidRPr="000D3090">
        <w:t xml:space="preserve"> already </w:t>
      </w:r>
      <w:r w:rsidR="00B96B3F" w:rsidRPr="000D3090">
        <w:t>face</w:t>
      </w:r>
      <w:r w:rsidR="007126AD" w:rsidRPr="000D3090">
        <w:t>s</w:t>
      </w:r>
      <w:r w:rsidR="00B96B3F" w:rsidRPr="000D3090">
        <w:t xml:space="preserve"> a high level of mobility-related social exclusion</w:t>
      </w:r>
      <w:r w:rsidR="007126AD" w:rsidRPr="000D3090">
        <w:t xml:space="preserve"> </w:t>
      </w:r>
      <w:r w:rsidR="00B96B3F" w:rsidRPr="000D3090">
        <w:t>due to time poverty and work-family conflict issues</w:t>
      </w:r>
      <w:r w:rsidR="00D026BD" w:rsidRPr="000D3090">
        <w:t xml:space="preserve"> </w:t>
      </w:r>
      <w:r w:rsidR="00223F4C" w:rsidRPr="000D3090">
        <w:fldChar w:fldCharType="begin"/>
      </w:r>
      <w:r w:rsidR="007C3A08" w:rsidRPr="000D3090">
        <w:instrText xml:space="preserve"> ADDIN ZOTERO_ITEM CSL_CITATION {"citationID":"3rHVNj4Q","properties":{"formattedCitation":"(Bernardo et al., 2015)","plainCitation":"(Bernardo et al., 2015)","dontUpdate":true,"noteIndex":0},"citationItems":[{"id":3543,"uris":["http://zotero.org/users/12832277/items/C533GSUK"],"itemData":{"id":3543,"type":"article-journal","abstract":"This paper examines the time-use patterns of adults in dual-earner households with and without children as a function of several individual and household socio-demographics and employment characteristics. A disaggregate activity purpose classification including both in-home and out-of-home activity pursuits is used because of the travel demand relevance of out-of-home pursuits, as well as to examine both mobility-related and general time-use related social exclusion and time poverty issues. The study uses the Nested Multiple Discrete Continuous Extreme Value (MDCNEV) model, which recognizes that time-decisions entail the choice of participating in one or more activity purposes along with the amount of time to invest in each chosen activity purpose, and allows generic correlation structures to account for common unobserved factors that might impact the choice of multiple alternatives. The 2010 American Time Use Survey (ATUS) data is used for the empirical analysis. A major finding of the study is that the presence of a child in dual-earner households not only leads to a reduction in in-home non-work activity participation (excluding child care activities) but also a substantially larger decrease in out-of-home non-work activity participation (excluding child care and shopping activities), suggesting a higher level of mobility-related social exclusion relative to overall time-use social exclusion. To summarize, the results in the paper underscore the importance of considering household structure in activity-based travel demand models, as well as re-designing work policies in the United States to facilitate a reduction in work-family conflict in dual-earner families.","container-title":"Transportation Research Part A: Policy and Practice","DOI":"10.1016/j.tra.2014.12.006","ISSN":"0965-8564","page":"71-91","source":"ScienceDirect","title":"An Empirical Investigation into the Time-Use and Activity Patterns of Dual-Earner Couples with and Without Young Children","volume":"76","author":[{"family":"Bernardo","given":"Christina"},{"family":"Paleti","given":"Rajesh"},{"family":"Hoklas","given":"Megan"},{"family":"Bhat","given":"Chandra"}],"issued":{"date-parts":[["2015",6,1]]}}}],"schema":"https://github.com/citation-style-language/schema/raw/master/csl-citation.json"} </w:instrText>
      </w:r>
      <w:r w:rsidR="00223F4C" w:rsidRPr="000D3090">
        <w:fldChar w:fldCharType="separate"/>
      </w:r>
      <w:r w:rsidR="00223F4C" w:rsidRPr="000D3090">
        <w:t>(</w:t>
      </w:r>
      <w:r w:rsidR="00F32CF4" w:rsidRPr="000D3090">
        <w:t xml:space="preserve">see </w:t>
      </w:r>
      <w:r w:rsidR="00223F4C" w:rsidRPr="000D3090">
        <w:t>Bernardo et al., 2015)</w:t>
      </w:r>
      <w:r w:rsidR="00223F4C" w:rsidRPr="000D3090">
        <w:fldChar w:fldCharType="end"/>
      </w:r>
      <w:r w:rsidR="00B96B3F" w:rsidRPr="000D3090">
        <w:t xml:space="preserve">. Work-friendly telework and flexible work policies directed toward parents, as well as establishing third </w:t>
      </w:r>
      <w:r w:rsidR="00370F85" w:rsidRPr="000D3090">
        <w:t>workplace</w:t>
      </w:r>
      <w:r w:rsidR="00B96B3F" w:rsidRPr="000D3090">
        <w:t xml:space="preserve"> facilities in communities with a sizeable share of households with children</w:t>
      </w:r>
      <w:r w:rsidR="00C13E66" w:rsidRPr="000D3090">
        <w:t>,</w:t>
      </w:r>
      <w:r w:rsidR="00B96B3F" w:rsidRPr="000D3090">
        <w:t xml:space="preserve"> may be beneficial in addressing </w:t>
      </w:r>
      <w:r w:rsidR="00C13E66" w:rsidRPr="000D3090">
        <w:t>PPD among parents</w:t>
      </w:r>
      <w:r w:rsidR="00B96B3F" w:rsidRPr="000D3090">
        <w:t xml:space="preserve">. </w:t>
      </w:r>
    </w:p>
    <w:p w14:paraId="204F9FB1" w14:textId="055BC075" w:rsidR="004D25DB" w:rsidRPr="000D3090" w:rsidRDefault="00C13E66" w:rsidP="00F32CF4">
      <w:pPr>
        <w:spacing w:after="0" w:line="240" w:lineRule="auto"/>
        <w:ind w:firstLine="720"/>
        <w:jc w:val="both"/>
      </w:pPr>
      <w:r w:rsidRPr="000D3090">
        <w:t>The</w:t>
      </w:r>
      <w:r w:rsidR="00A077E7" w:rsidRPr="000D3090">
        <w:t xml:space="preserve"> results </w:t>
      </w:r>
      <w:r w:rsidRPr="000D3090">
        <w:t xml:space="preserve">in Table 3 also </w:t>
      </w:r>
      <w:r w:rsidR="00A077E7" w:rsidRPr="000D3090">
        <w:t xml:space="preserve">have implications for employers as they rethink telework policies to align with their own needs and the preferences of their employees. For instance, telework seems to have been particularly helpful at reducing PPD </w:t>
      </w:r>
      <w:r w:rsidR="008A7D5D" w:rsidRPr="000D3090">
        <w:t>(</w:t>
      </w:r>
      <w:r w:rsidR="00A077E7" w:rsidRPr="000D3090">
        <w:t xml:space="preserve">and </w:t>
      </w:r>
      <w:r w:rsidR="008A7D5D" w:rsidRPr="000D3090">
        <w:t xml:space="preserve">particularly </w:t>
      </w:r>
      <w:r w:rsidR="00A077E7" w:rsidRPr="000D3090">
        <w:t xml:space="preserve">the </w:t>
      </w:r>
      <w:r w:rsidR="008A7D5D" w:rsidRPr="000D3090">
        <w:t>adverse effects of COVID-19</w:t>
      </w:r>
      <w:r w:rsidRPr="000D3090">
        <w:t>, as per the results of PPD reason in Table 3</w:t>
      </w:r>
      <w:r w:rsidR="008A7D5D" w:rsidRPr="000D3090">
        <w:t>)</w:t>
      </w:r>
      <w:r w:rsidR="00A077E7" w:rsidRPr="000D3090">
        <w:t xml:space="preserve"> for older adults, allowing them</w:t>
      </w:r>
      <w:r w:rsidR="004D25DB" w:rsidRPr="000D3090">
        <w:t xml:space="preserve"> to retain </w:t>
      </w:r>
      <w:r w:rsidRPr="000D3090">
        <w:t xml:space="preserve">spatial </w:t>
      </w:r>
      <w:r w:rsidR="004D25DB" w:rsidRPr="000D3090">
        <w:t xml:space="preserve">separation while working. </w:t>
      </w:r>
      <w:r w:rsidR="00907428" w:rsidRPr="000D3090">
        <w:t>T</w:t>
      </w:r>
      <w:r w:rsidR="00A077E7" w:rsidRPr="000D3090">
        <w:t>elework opportunities</w:t>
      </w:r>
      <w:r w:rsidR="004D25DB" w:rsidRPr="000D3090">
        <w:t xml:space="preserve"> allow older adults to continue to participate in the workforce for longer, </w:t>
      </w:r>
      <w:r w:rsidRPr="000D3090">
        <w:t>enabling</w:t>
      </w:r>
      <w:r w:rsidR="004D25DB" w:rsidRPr="000D3090">
        <w:t xml:space="preserve"> them to </w:t>
      </w:r>
      <w:r w:rsidRPr="000D3090">
        <w:t xml:space="preserve">be </w:t>
      </w:r>
      <w:r w:rsidR="004D25DB" w:rsidRPr="000D3090">
        <w:t>engage</w:t>
      </w:r>
      <w:r w:rsidRPr="000D3090">
        <w:t xml:space="preserve">d in productive </w:t>
      </w:r>
      <w:r w:rsidR="007126AD" w:rsidRPr="000D3090">
        <w:t xml:space="preserve">income-generating </w:t>
      </w:r>
      <w:r w:rsidRPr="000D3090">
        <w:t xml:space="preserve">activities. Doing so has been tied to feelings of less social exclusion, especially in the post-COVID era, while also providing a sense of self-empowerment and continued self-efficacy </w:t>
      </w:r>
      <w:r w:rsidR="007126AD" w:rsidRPr="000D3090">
        <w:t>among older adults</w:t>
      </w:r>
      <w:r w:rsidRPr="000D3090">
        <w:t xml:space="preserve"> </w:t>
      </w:r>
      <w:r w:rsidR="00481D49" w:rsidRPr="000D3090">
        <w:fldChar w:fldCharType="begin"/>
      </w:r>
      <w:r w:rsidR="00EB6B95" w:rsidRPr="000D3090">
        <w:instrText xml:space="preserve"> ADDIN ZOTERO_ITEM CSL_CITATION {"citationID":"AhaEXu1Y","properties":{"unsorted":true,"formattedCitation":"(Nagarajan and Sixsmith, 2023; Yuan and Wang, 2023)","plainCitation":"(Nagarajan and Sixsmith, 2023; Yuan and Wang, 2023)","noteIndex":0},"citationItems":[{"id":3535,"uris":["http://zotero.org/users/12832277/items/2YVEQ4GP"],"itemData":{"id":3535,"type":"article-journal","abstract":"Today’s working population is expected to experience a longer and healthier life than previous generations did. This, combined with a currently shrinking workforce, means the participation of older adults in the labor market is expected to positively contribute to national economic and social development. Policymakers have therefore implemented a series of reforms to motivate and encourage both employers and employees to embrace the prospect of an aging workforce and to respond to the associated challenges of such a demographic change in the workplace. This paper aims to provide an overview of recent policy initiatives in this context and to identify the role of technology in major international initiatives in overcoming the key challenges faced by developed countries. We have conducted a scoping review to obtain large volumes of peer-reviewed and gray literature. Our findings suggest that the stakeholders (researchers, government agencies, employers, and communities) are not only aware of the current issues relating to the aging population but also understand the importance of policies in terms of retaining older people in the workforce. In particular, our results indicate that technology, in both the public and private sectors, can be leveraged as a tool to facilitate older adults’ participation in the workforce.","container-title":"Ageing International","DOI":"10.1007/s12126-021-09442-w","ISSN":"1936-606X","issue":"1","language":"en","page":"41-77","source":"Springer Link","title":"Policy Initiatives to Address the Challenges of an Older Population in the Workforce","volume":"48","author":[{"family":"Nagarajan","given":"N. Renuga"},{"family":"Sixsmith","given":"Andrew"}],"issued":{"date-parts":[["2023",3,1]]}}},{"id":3537,"uris":["http://zotero.org/users/12832277/items/K3GLPQQ2"],"itemData":{"id":3537,"type":"article-journal","abstract":"Purpose \n          This study compares the relation between unmet health care needs and mental health of older people with different work patterns.\n          Methods \n          This study uses data of Survey of Health, Aging and Retirement in Europe Corona survey (n = 51,632 to 51,731).\n          Results \n          The unmet health care need results in depression/sadness during the pandemic (0.304, P &lt; 0.01). Besides, such problem is more salient in workers than the nonemployed population (0.066, P &lt; 0.01 for workers; 0.058, P &lt; 0.01 for the nonemployed) and more outstanding in those working on site and with hybrid work model compared with the telecommuters (0.264, P &lt; 0.01 for telecommuters; 0.378, P &lt; 0.01 for on-site workers; 0.437, P &lt; 0.01 for hybrid work model).\n          Conclusions \n          Policymakers should focus on mental health of older people especially for those fully or partially involved in on-site work, when common health care need can be crowded out for limited health care resources during the pandemic.","container-title":"Journal of Occupational and Environmental Medicine","DOI":"10.1097/JOM.0000000000002813","ISSN":"1076-2752","issue":"5","language":"en-US","source":"journals.lww.com","title":"How Work Pattern Transformation May Affect the Mental Health of Older Workers Faced With Unmet Health Care Needs During the Pandemic? A Comparative Investigation of Different Work Models","URL":"https://journals.lww.com/joem/fulltext/2023/05000/how_work_pattern_transformation_may_affect_the.17.aspx","volume":"65","author":[{"family":"Yuan","given":"Bocong"},{"family":"Wang","given":"Muqing"}],"accessed":{"date-parts":[["2024",6,22]]},"issued":{"date-parts":[["2023",5]]}}}],"schema":"https://github.com/citation-style-language/schema/raw/master/csl-citation.json"} </w:instrText>
      </w:r>
      <w:r w:rsidR="00481D49" w:rsidRPr="000D3090">
        <w:fldChar w:fldCharType="separate"/>
      </w:r>
      <w:r w:rsidR="00EB6B95" w:rsidRPr="000D3090">
        <w:t>(Nagarajan and Sixsmith, 2023; Yuan and Wang, 2023)</w:t>
      </w:r>
      <w:r w:rsidR="00481D49" w:rsidRPr="000D3090">
        <w:fldChar w:fldCharType="end"/>
      </w:r>
      <w:r w:rsidR="004D25DB" w:rsidRPr="000D3090">
        <w:t>.</w:t>
      </w:r>
      <w:r w:rsidR="004D25DB" w:rsidRPr="000D3090">
        <w:rPr>
          <w:b/>
          <w:bCs/>
        </w:rPr>
        <w:t xml:space="preserve"> </w:t>
      </w:r>
      <w:r w:rsidR="003A6F96" w:rsidRPr="000D3090">
        <w:t>Thus,</w:t>
      </w:r>
      <w:r w:rsidR="003A6F96" w:rsidRPr="000D3090">
        <w:rPr>
          <w:b/>
          <w:bCs/>
        </w:rPr>
        <w:t xml:space="preserve"> </w:t>
      </w:r>
      <w:r w:rsidR="004D25DB" w:rsidRPr="000D3090">
        <w:t xml:space="preserve">it is important for employers to </w:t>
      </w:r>
      <w:r w:rsidR="003A6F96" w:rsidRPr="000D3090">
        <w:t xml:space="preserve">consider retaining </w:t>
      </w:r>
      <w:r w:rsidR="004D25DB" w:rsidRPr="000D3090">
        <w:t>telework opportuniti</w:t>
      </w:r>
      <w:r w:rsidR="003A6F96" w:rsidRPr="000D3090">
        <w:t xml:space="preserve">es </w:t>
      </w:r>
      <w:r w:rsidR="004D25DB" w:rsidRPr="000D3090">
        <w:t xml:space="preserve">for aging employees, provide training in the use of online services, and communicate these options to their workforce. </w:t>
      </w:r>
    </w:p>
    <w:p w14:paraId="18300533" w14:textId="719EC525" w:rsidR="00F94EF6" w:rsidRPr="000D3090" w:rsidRDefault="007126AD" w:rsidP="00C51DE4">
      <w:pPr>
        <w:spacing w:after="0" w:line="240" w:lineRule="auto"/>
        <w:ind w:firstLine="720"/>
        <w:jc w:val="both"/>
      </w:pPr>
      <w:r w:rsidRPr="000D3090">
        <w:t>The f</w:t>
      </w:r>
      <w:r w:rsidR="00E43DA4" w:rsidRPr="000D3090">
        <w:t>requenc</w:t>
      </w:r>
      <w:r w:rsidRPr="000D3090">
        <w:t>y</w:t>
      </w:r>
      <w:r w:rsidR="00E43DA4" w:rsidRPr="000D3090">
        <w:t xml:space="preserve"> of home deliveries </w:t>
      </w:r>
      <w:r w:rsidRPr="000D3090">
        <w:t>is</w:t>
      </w:r>
      <w:r w:rsidR="00E43DA4" w:rsidRPr="000D3090">
        <w:t xml:space="preserve"> </w:t>
      </w:r>
      <w:r w:rsidR="008A7D5D" w:rsidRPr="000D3090">
        <w:t>higher</w:t>
      </w:r>
      <w:r w:rsidR="00E43DA4" w:rsidRPr="000D3090">
        <w:t xml:space="preserve"> among </w:t>
      </w:r>
      <w:r w:rsidRPr="000D3090">
        <w:t xml:space="preserve">individuals in </w:t>
      </w:r>
      <w:r w:rsidR="00E43DA4" w:rsidRPr="000D3090">
        <w:t>households with children</w:t>
      </w:r>
      <w:r w:rsidRPr="000D3090">
        <w:t xml:space="preserve">, </w:t>
      </w:r>
      <w:r w:rsidR="00E43DA4" w:rsidRPr="000D3090">
        <w:t xml:space="preserve">without workers, with more vehicles and high incomes, </w:t>
      </w:r>
      <w:r w:rsidRPr="000D3090">
        <w:t xml:space="preserve">and </w:t>
      </w:r>
      <w:r w:rsidR="00E43DA4" w:rsidRPr="000D3090">
        <w:t>living in urban areas</w:t>
      </w:r>
      <w:r w:rsidR="00FE1A33" w:rsidRPr="000D3090">
        <w:t>, areas with higher employment densities, and lower physical accessibility (in terms of road network density, walkability, and transit access)</w:t>
      </w:r>
      <w:r w:rsidR="00E43DA4" w:rsidRPr="000D3090">
        <w:t xml:space="preserve">, </w:t>
      </w:r>
      <w:r w:rsidRPr="000D3090">
        <w:t xml:space="preserve">as also among </w:t>
      </w:r>
      <w:r w:rsidR="00E43DA4" w:rsidRPr="000D3090">
        <w:t xml:space="preserve">women, younger employed individuals, white individuals, those with more formal education, and individuals with medical conditions. </w:t>
      </w:r>
      <w:r w:rsidR="001F2785" w:rsidRPr="000D3090">
        <w:t xml:space="preserve">These </w:t>
      </w:r>
      <w:r w:rsidR="003A6F96" w:rsidRPr="000D3090">
        <w:t>variations</w:t>
      </w:r>
      <w:r w:rsidR="001F2785" w:rsidRPr="000D3090">
        <w:t xml:space="preserve"> in delivery frequenc</w:t>
      </w:r>
      <w:r w:rsidR="00907428" w:rsidRPr="000D3090">
        <w:t>y</w:t>
      </w:r>
      <w:r w:rsidR="001F2785" w:rsidRPr="000D3090">
        <w:t xml:space="preserve"> </w:t>
      </w:r>
      <w:r w:rsidR="006559F1" w:rsidRPr="000D3090">
        <w:t xml:space="preserve">have implications for </w:t>
      </w:r>
      <w:r w:rsidR="00F579D1" w:rsidRPr="000D3090">
        <w:t xml:space="preserve">businesses and service providers, who can tailor their services and marketing to specific population segments. For instance, younger individuals who </w:t>
      </w:r>
      <w:r w:rsidRPr="000D3090">
        <w:t>value</w:t>
      </w:r>
      <w:r w:rsidR="00F579D1" w:rsidRPr="000D3090">
        <w:t xml:space="preserve"> the flexibility afforded by delivery services may prefer more rapid service times (such as same day or 2-hour deliveries) and may make smaller but more frequent purchases. </w:t>
      </w:r>
      <w:r w:rsidRPr="000D3090">
        <w:t>Beyond providing customized services to specif</w:t>
      </w:r>
      <w:r w:rsidR="00013FB2" w:rsidRPr="000D3090">
        <w:t>i</w:t>
      </w:r>
      <w:r w:rsidRPr="000D3090">
        <w:t>c population g</w:t>
      </w:r>
      <w:r w:rsidR="00013FB2" w:rsidRPr="000D3090">
        <w:t>r</w:t>
      </w:r>
      <w:r w:rsidRPr="000D3090">
        <w:t>oup</w:t>
      </w:r>
      <w:r w:rsidR="00013FB2" w:rsidRPr="000D3090">
        <w:t xml:space="preserve">s, </w:t>
      </w:r>
      <w:r w:rsidR="003A6F96" w:rsidRPr="000D3090">
        <w:t xml:space="preserve">from a broader societal </w:t>
      </w:r>
      <w:r w:rsidR="003A6F96" w:rsidRPr="000D3090">
        <w:lastRenderedPageBreak/>
        <w:t xml:space="preserve">standpoint, </w:t>
      </w:r>
      <w:r w:rsidR="00F579D1" w:rsidRPr="000D3090">
        <w:t xml:space="preserve">the results highlight </w:t>
      </w:r>
      <w:r w:rsidR="003A6F96" w:rsidRPr="000D3090">
        <w:t>inequities in delivery services, underscoring a need to better serve low-income and minority population groups (virtual participation inequities are further discussed in Section 5.4)</w:t>
      </w:r>
      <w:r w:rsidR="00F579D1" w:rsidRPr="000D3090">
        <w:t xml:space="preserve">. </w:t>
      </w:r>
      <w:r w:rsidR="00FE1A33" w:rsidRPr="000D3090">
        <w:t>Regarding geographic location, the results suggest that delivery services should prioritize expanding access in areas with lower levels of physical accessibility, as those living in neighborhoods with lower road network density, reduced walkability, and poor transit access will be more likely to adopt these services and use them frequently. Notably, delivery platforms may have opportunities to take advantage of order bundling and</w:t>
      </w:r>
      <w:r w:rsidR="002C1707" w:rsidRPr="000D3090">
        <w:t xml:space="preserve"> consolidation strategies</w:t>
      </w:r>
      <w:r w:rsidR="00FE1A33" w:rsidRPr="000D3090">
        <w:t>, which can reduce the costs of delivery in these areas which may also be harder for delivery providers to reach</w:t>
      </w:r>
      <w:r w:rsidR="002C1707" w:rsidRPr="000D3090">
        <w:t>, but which may have high adoption rates</w:t>
      </w:r>
      <w:r w:rsidR="00FE1A33" w:rsidRPr="000D3090">
        <w:t xml:space="preserve">. </w:t>
      </w:r>
      <w:r w:rsidR="00013FB2" w:rsidRPr="000D3090">
        <w:t xml:space="preserve">The </w:t>
      </w:r>
      <w:r w:rsidR="00F579D1" w:rsidRPr="000D3090">
        <w:t xml:space="preserve">results </w:t>
      </w:r>
      <w:r w:rsidR="00013FB2" w:rsidRPr="000D3090">
        <w:t xml:space="preserve">also </w:t>
      </w:r>
      <w:r w:rsidR="00F579D1" w:rsidRPr="000D3090">
        <w:t xml:space="preserve">highlight </w:t>
      </w:r>
      <w:r w:rsidR="008A7D5D" w:rsidRPr="000D3090">
        <w:t xml:space="preserve">the importance of </w:t>
      </w:r>
      <w:r w:rsidR="00F94EF6" w:rsidRPr="000D3090">
        <w:t>accommodat</w:t>
      </w:r>
      <w:r w:rsidR="008A7D5D" w:rsidRPr="000D3090">
        <w:t>ing</w:t>
      </w:r>
      <w:r w:rsidR="00F94EF6" w:rsidRPr="000D3090">
        <w:t xml:space="preserve"> the impacts of delivery services in travel demand models</w:t>
      </w:r>
      <w:r w:rsidR="00907428" w:rsidRPr="000D3090">
        <w:t xml:space="preserve">; </w:t>
      </w:r>
      <w:r w:rsidR="008A7D5D" w:rsidRPr="000D3090">
        <w:t>the</w:t>
      </w:r>
      <w:r w:rsidR="00F94EF6" w:rsidRPr="000D3090">
        <w:t xml:space="preserve"> growth in delivery services may lead to reductions in personal travel for maintenance activities that </w:t>
      </w:r>
      <w:r w:rsidR="00473541" w:rsidRPr="000D3090">
        <w:t xml:space="preserve">then increase other OH activity participation over potentially a more expansive spatial area, </w:t>
      </w:r>
      <w:r w:rsidR="00F94EF6" w:rsidRPr="000D3090">
        <w:t>as well as an increased number of</w:t>
      </w:r>
      <w:r w:rsidR="00473541" w:rsidRPr="000D3090">
        <w:t xml:space="preserve"> delivery</w:t>
      </w:r>
      <w:r w:rsidR="00F94EF6" w:rsidRPr="000D3090">
        <w:t xml:space="preserve"> trips serving these orders</w:t>
      </w:r>
      <w:r w:rsidR="00481D49" w:rsidRPr="000D3090">
        <w:t xml:space="preserve"> </w:t>
      </w:r>
      <w:r w:rsidR="00481D49" w:rsidRPr="000D3090">
        <w:fldChar w:fldCharType="begin"/>
      </w:r>
      <w:r w:rsidR="008D69D1" w:rsidRPr="000D3090">
        <w:instrText xml:space="preserve"> ADDIN ZOTERO_ITEM CSL_CITATION {"citationID":"CwvSfBh8","properties":{"formattedCitation":"(Dias et al., 2020; Xu and Saphores, 2024)","plainCitation":"(Dias et al., 2020; Xu and Saphores, 2024)","dontUpdate":true,"noteIndex":0},"citationItems":[{"id":1939,"uris":["http://zotero.org/users/12832277/items/V4XWZC3E"],"itemData":{"id":1939,"type":"article-journal","abstract":"The virtual (online) and physical (in-person) worlds are increasingly inter-connected. Although there is considerable research into the effects of information and communication technologies (ICT) on activity-travel choices, there is little understanding of the inter-relationships between online and in-person activity participation and the extent to which the two worlds complement one another or substitute for one another. Shopping is one of the activity realms in which the virtual and physical spaces are increasingly interacting. This paper aims to unravel the relationships between online and in-person activity engagement in the shopping domain, while explicitly distinguishing between shopping for non-grocery goods, grocery products, and ready-to-eat meals. Data from the 2017 Puget Sound household travel survey is used to estimate a multivariate ordered probit model of the number of days in a week that a sample of households engages in in-person activity engagement and online activity engagement for each of these shopping activity types – leading to a model of six endogenous outcomes. Model results show that there are intricate complementary and substitution effects between in-person and online shopping activities, that these activities are considered as a single packaged bundle, and that the frequencies of these activities are significantly affected by income, built environment attributes, and household structure. The findings suggest that travel forecasting models should incorporate model components that capture the interplay between in-person and online shopping engagement and explicitly distinguish between non-grocery and grocery shopping activities. Policies that help bridge the digital divide so that households of all socio-economic strata can access goods and services in the virtual world would help improve quality of life for all. Finally, the paper highlights the need to bring passenger and freight demand modeling, at least within urban contexts, into a single integrated structure.","container-title":"Transportation Research Part C: Emerging Technologies","DOI":"10.1016/j.trc.2020.02.023","ISSN":"0968-090X","page":"643-656","source":"ScienceDirect","title":"A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K."}],"issued":{"date-parts":[["2020",5,1]]}}},{"id":3205,"uris":["http://zotero.org/users/12832277/items/3PNK3A9V"],"itemData":{"id":3205,"type":"article-journal","abstract":"How does e-shopping impact household travel? To answer this question, which is particularly relevant for policymakers concerned with congestion, air pollution, and greenhouse gas emissions from transportation, we analyzed data from the 2017 National Household Travel Survey using propensity score matching. This allowed us to tackle the bias from households self-selecting into various levels of e-shopping and gain causal inference. Unlike other related papers in the literature, our unit of analysis is a household because travel and shopping decisions within a household are interrelated. We classified households into three groups based on how many orders per person per month they placed online: low (up to one), medium (more than once but less than four), and high (over four). We found that more e-shopping results in more household travel (number of trips, miles, and VMT), but this effect depends on e-shopping frequency and population density, and it affects weekdays more than weekends. E-shopping impacts household travel more for medium frequency e-shoppers in low density areas: compared to similar low frequency e-shoppers, on weekdays, they take on average 8 more monthly trips and travel </w:instrText>
      </w:r>
      <w:r w:rsidR="008D69D1" w:rsidRPr="000D3090">
        <w:rPr>
          <w:rFonts w:ascii="Cambria Math" w:hAnsi="Cambria Math" w:cs="Cambria Math"/>
        </w:rPr>
        <w:instrText>∼</w:instrText>
      </w:r>
      <w:r w:rsidR="008D69D1" w:rsidRPr="000D3090">
        <w:instrText xml:space="preserve">104 extra miles (including 31 miles for shopping). At the other end of the spectrum, high frequency e-shoppers in dense areas do not travel more on weekends than similar low e-shopping frequency households. To help reduce e-shopping induced travel, policymakers could encourage the creation of neighborhood depots where households would pick-up and return unwanted orders, and foster the development of virtual reality tools for shopping from home.","container-title":"Journal of Transport Geography","DOI":"10.1016/j.jtrangeo.2024.103827","ISSN":"0966-6923","source":"ScienceDirect","title":"Does E-Shopping Impact Household Travel? Evidence from the 2017 U.S. NHTS","URL":"https://www.sciencedirect.com/science/article/pii/S096669232400036X","volume":"115","author":[{"family":"Xu","given":"Lu"},{"family":"Saphores","given":"Jean-Daniel"}],"accessed":{"date-parts":[["2024",5,9]]},"issued":{"date-parts":[["2024",2,1]]}}}],"schema":"https://github.com/citation-style-language/schema/raw/master/csl-citation.json"} </w:instrText>
      </w:r>
      <w:r w:rsidR="00481D49" w:rsidRPr="000D3090">
        <w:fldChar w:fldCharType="separate"/>
      </w:r>
      <w:r w:rsidR="00EB6B95" w:rsidRPr="000D3090">
        <w:t>(see Dias et al., 2020; Xu and Saphores, 2024)</w:t>
      </w:r>
      <w:r w:rsidR="00481D49" w:rsidRPr="000D3090">
        <w:fldChar w:fldCharType="end"/>
      </w:r>
      <w:r w:rsidR="00F94EF6" w:rsidRPr="000D3090">
        <w:t xml:space="preserve">. In this context, a better integration between individual-level travel demand models and </w:t>
      </w:r>
      <w:r w:rsidR="00473541" w:rsidRPr="000D3090">
        <w:t xml:space="preserve">commercial vehicle movement </w:t>
      </w:r>
      <w:r w:rsidR="00F94EF6" w:rsidRPr="000D3090">
        <w:t>is needed.</w:t>
      </w:r>
      <w:r w:rsidR="00473541" w:rsidRPr="000D3090">
        <w:t xml:space="preserve"> Relatedly, there is an increasing need to collect detailed information in activity-travel surveys on home-based deliveries</w:t>
      </w:r>
      <w:r w:rsidR="00013FB2" w:rsidRPr="000D3090">
        <w:t>.</w:t>
      </w:r>
      <w:r w:rsidR="00473541" w:rsidRPr="000D3090">
        <w:t xml:space="preserve"> </w:t>
      </w:r>
    </w:p>
    <w:p w14:paraId="1018F7CC" w14:textId="2288D37D" w:rsidR="005D5F7F" w:rsidRPr="000D3090" w:rsidRDefault="005D5F7F" w:rsidP="00596C3C">
      <w:pPr>
        <w:spacing w:after="0" w:line="240" w:lineRule="auto"/>
        <w:jc w:val="both"/>
      </w:pPr>
    </w:p>
    <w:p w14:paraId="389EA820" w14:textId="031BC63B" w:rsidR="00600963" w:rsidRPr="000D3090" w:rsidRDefault="008A484E" w:rsidP="00600963">
      <w:pPr>
        <w:spacing w:after="0" w:line="240" w:lineRule="auto"/>
        <w:jc w:val="both"/>
        <w:rPr>
          <w:b/>
          <w:bCs/>
        </w:rPr>
      </w:pPr>
      <w:r w:rsidRPr="000D3090">
        <w:rPr>
          <w:b/>
          <w:bCs/>
        </w:rPr>
        <w:t>5.</w:t>
      </w:r>
      <w:r w:rsidR="005D5F7F" w:rsidRPr="000D3090">
        <w:rPr>
          <w:b/>
          <w:bCs/>
        </w:rPr>
        <w:t>3</w:t>
      </w:r>
      <w:r w:rsidRPr="000D3090">
        <w:rPr>
          <w:b/>
          <w:bCs/>
        </w:rPr>
        <w:t xml:space="preserve"> </w:t>
      </w:r>
      <w:r w:rsidR="001C5ED7" w:rsidRPr="000D3090">
        <w:rPr>
          <w:b/>
          <w:bCs/>
        </w:rPr>
        <w:t>How ha</w:t>
      </w:r>
      <w:r w:rsidR="00A6161D" w:rsidRPr="000D3090">
        <w:rPr>
          <w:b/>
          <w:bCs/>
        </w:rPr>
        <w:t>s</w:t>
      </w:r>
      <w:r w:rsidR="001C5ED7" w:rsidRPr="000D3090">
        <w:rPr>
          <w:b/>
          <w:bCs/>
        </w:rPr>
        <w:t xml:space="preserve"> Virtual </w:t>
      </w:r>
      <w:r w:rsidR="00A6161D" w:rsidRPr="000D3090">
        <w:rPr>
          <w:b/>
          <w:bCs/>
        </w:rPr>
        <w:t>Participation</w:t>
      </w:r>
      <w:r w:rsidR="005170A1" w:rsidRPr="000D3090">
        <w:rPr>
          <w:b/>
          <w:bCs/>
        </w:rPr>
        <w:t xml:space="preserve"> </w:t>
      </w:r>
      <w:r w:rsidR="00B45502" w:rsidRPr="000D3090">
        <w:rPr>
          <w:b/>
          <w:bCs/>
        </w:rPr>
        <w:t xml:space="preserve">Reduced </w:t>
      </w:r>
      <w:r w:rsidR="005170A1" w:rsidRPr="000D3090">
        <w:rPr>
          <w:b/>
          <w:bCs/>
        </w:rPr>
        <w:t>PPD</w:t>
      </w:r>
      <w:r w:rsidR="001C5ED7" w:rsidRPr="000D3090">
        <w:rPr>
          <w:b/>
          <w:bCs/>
        </w:rPr>
        <w:t>?</w:t>
      </w:r>
    </w:p>
    <w:p w14:paraId="7B2EA396" w14:textId="722B9300" w:rsidR="00B26292" w:rsidRPr="000D3090" w:rsidRDefault="005D5F7F" w:rsidP="00B26292">
      <w:pPr>
        <w:spacing w:after="0" w:line="240" w:lineRule="auto"/>
        <w:jc w:val="both"/>
        <w:rPr>
          <w:b/>
          <w:bCs/>
        </w:rPr>
      </w:pPr>
      <w:r w:rsidRPr="000D3090">
        <w:rPr>
          <w:rFonts w:eastAsiaTheme="minorEastAsia"/>
          <w:lang w:eastAsia="ko-KR"/>
        </w:rPr>
        <w:t>The endogenous ATE effects (of both telework and deliveries) on PPD, shown at the bottom of Table 5, indicate that virtual activities can serve to alleviate PPD.</w:t>
      </w:r>
      <w:r w:rsidR="0051016B" w:rsidRPr="000D3090">
        <w:rPr>
          <w:rFonts w:eastAsiaTheme="minorEastAsia"/>
          <w:lang w:eastAsia="ko-KR"/>
        </w:rPr>
        <w:t xml:space="preserve"> In particular, </w:t>
      </w:r>
      <w:r w:rsidR="00135838" w:rsidRPr="000D3090">
        <w:t xml:space="preserve">virtual </w:t>
      </w:r>
      <w:r w:rsidR="00A6161D" w:rsidRPr="000D3090">
        <w:t>participation</w:t>
      </w:r>
      <w:r w:rsidR="00B45502" w:rsidRPr="000D3090">
        <w:t xml:space="preserve"> </w:t>
      </w:r>
      <w:r w:rsidR="00A6161D" w:rsidRPr="000D3090">
        <w:t xml:space="preserve">has the effect of </w:t>
      </w:r>
      <w:r w:rsidR="00135838" w:rsidRPr="000D3090">
        <w:t>reduc</w:t>
      </w:r>
      <w:r w:rsidR="00A6161D" w:rsidRPr="000D3090">
        <w:t>ing</w:t>
      </w:r>
      <w:r w:rsidR="0048480C" w:rsidRPr="000D3090">
        <w:t xml:space="preserve"> </w:t>
      </w:r>
      <w:r w:rsidR="00B45502" w:rsidRPr="000D3090">
        <w:t>PPD</w:t>
      </w:r>
      <w:r w:rsidR="00135838" w:rsidRPr="000D3090">
        <w:t xml:space="preserve"> for </w:t>
      </w:r>
      <w:r w:rsidR="00A6161D" w:rsidRPr="000D3090">
        <w:t xml:space="preserve">individuals from </w:t>
      </w:r>
      <w:r w:rsidR="00B45502" w:rsidRPr="000D3090">
        <w:t>households with fewer vehicles than drivers, women, older adults, those with more formal educational attainment, and individuals with medical conditions</w:t>
      </w:r>
      <w:r w:rsidR="00435184" w:rsidRPr="000D3090">
        <w:t xml:space="preserve">. </w:t>
      </w:r>
      <w:r w:rsidR="00B26292" w:rsidRPr="000D3090">
        <w:t xml:space="preserve">For women (particularly those with children), the PPD reduction through virtual participation is through increased home deliveries, which is not surprising given the continued disproportionate </w:t>
      </w:r>
      <w:r w:rsidR="00013FB2" w:rsidRPr="000D3090">
        <w:t xml:space="preserve">household maintenance activity </w:t>
      </w:r>
      <w:r w:rsidR="00B26292" w:rsidRPr="000D3090">
        <w:t xml:space="preserve">responsibility of women </w:t>
      </w:r>
      <w:r w:rsidR="00B26292" w:rsidRPr="000D3090">
        <w:fldChar w:fldCharType="begin"/>
      </w:r>
      <w:r w:rsidR="00B26292" w:rsidRPr="000D3090">
        <w:instrText xml:space="preserve"> ADDIN ZOTERO_ITEM CSL_CITATION {"citationID":"Rsm3Rbuv","properties":{"formattedCitation":"(Wang and Cheng, 2024)","plainCitation":"(Wang and Cheng, 2024)","noteIndex":0},"citationItems":[{"id":3486,"uris":["http://zotero.org/users/12832277/items/P49H42J6"],"itemData":{"id":3486,"type":"article-journal","abstract":"It has been extensively debated over whether the rise of flexible working arrangements (FWAs) may be an “opportunity” for a more egalitarian gender division of household labor or reinforce the “exploitation” of women in the traditional gender division. Drawing on a linked-lives perspective, this study contributes to the literature by using longitudinal couple-level dyadic data in the UK (2010–2020) to examine how couple-level arrangements of flexible working affect within-couple inequality in time and different types of household labor. The results show that among heterosexual couples, women’s use of FWAs significantly intensifies their disproportionate share of housework and maintains their heavy childcare burden regardless of whether their husbands use FWAs. In contrast, men’s use of FWAs does not change the unequal gendered division of housework and childcare, even when their wives do not use any FWAs. These patterns of intensified gender inequalities are more pronounced in routine housework tasks (e.g., cooking, washing, and cleaning), and among the reduced hours and teleworking arrangements. Overall, rather than providing an “opportunity” for a more egalitarian division of household labor, the use of FWAs maintains or even exacerbates the “exploitation” of women under the existing traditional gender norms.","container-title":"Social Forces","DOI":"10.1093/sf/soad125","ISSN":"0037-7732","issue":"4","page":"1446-1466","source":"Silverchair","title":"Opportunity or Exploitation? A Longitudinal Dyadic Analysis of Flexible Working Arrangements and Gender Household Labor Inequality","volume":"102","author":[{"family":"Wang","given":"Senhu"},{"family":"Cheng","given":"Cheng"}],"issued":{"date-parts":[["2024",6,1]]}}}],"schema":"https://github.com/citation-style-language/schema/raw/master/csl-citation.json"} </w:instrText>
      </w:r>
      <w:r w:rsidR="00B26292" w:rsidRPr="000D3090">
        <w:fldChar w:fldCharType="separate"/>
      </w:r>
      <w:r w:rsidR="00B26292" w:rsidRPr="000D3090">
        <w:t>(Wang and Cheng, 2024)</w:t>
      </w:r>
      <w:r w:rsidR="00B26292" w:rsidRPr="000D3090">
        <w:fldChar w:fldCharType="end"/>
      </w:r>
      <w:r w:rsidR="00B26292" w:rsidRPr="000D3090">
        <w:t>. Online shopping can save time, allowing</w:t>
      </w:r>
      <w:r w:rsidR="00013FB2" w:rsidRPr="000D3090">
        <w:t xml:space="preserve"> women</w:t>
      </w:r>
      <w:r w:rsidR="00B26292" w:rsidRPr="000D3090">
        <w:t xml:space="preserve"> to allocate more time to other activities, such as education, career advancement, or leisure, potentially leading to a more balanced lifestyle (of course, we do not mean this at the </w:t>
      </w:r>
      <w:r w:rsidR="00013FB2" w:rsidRPr="000D3090">
        <w:t xml:space="preserve">necessary </w:t>
      </w:r>
      <w:r w:rsidR="00B26292" w:rsidRPr="000D3090">
        <w:t xml:space="preserve">exclusion of more general society-wide efforts to reduce </w:t>
      </w:r>
      <w:r w:rsidR="00013FB2" w:rsidRPr="000D3090">
        <w:t xml:space="preserve">the </w:t>
      </w:r>
      <w:r w:rsidR="00B26292" w:rsidRPr="000D3090">
        <w:t>gender identity-based asymmetr</w:t>
      </w:r>
      <w:r w:rsidR="00013FB2" w:rsidRPr="000D3090">
        <w:t>y</w:t>
      </w:r>
      <w:r w:rsidR="00B26292" w:rsidRPr="000D3090">
        <w:t xml:space="preserve"> in household responsibilities). In addition to releasing time pressures, online shopping can enable women, especially those with limited mobility</w:t>
      </w:r>
      <w:r w:rsidR="003344AB" w:rsidRPr="000D3090">
        <w:t xml:space="preserve"> and in male-dominated societies</w:t>
      </w:r>
      <w:r w:rsidR="00B26292" w:rsidRPr="000D3090">
        <w:t xml:space="preserve">, to make purchases independently, fostering financial autonomy </w:t>
      </w:r>
      <w:r w:rsidR="00B26292" w:rsidRPr="000D3090">
        <w:fldChar w:fldCharType="begin"/>
      </w:r>
      <w:r w:rsidR="00532DCA" w:rsidRPr="000D3090">
        <w:instrText xml:space="preserve"> ADDIN ZOTERO_ITEM CSL_CITATION {"citationID":"3k6Hqvdq","properties":{"unsorted":true,"formattedCitation":"(Roper and Alkhalifah, 2020; Liu et al., 2023)","plainCitation":"(Roper and Alkhalifah, 2020; Liu et al., 2023)","noteIndex":0},"citationItems":[{"id":3508,"uris":["http://zotero.org/users/12832277/items/CTDTEDQ4"],"itemData":{"id":3508,"type":"article-journal","abstract":"Purpose Western consumers are able to take shopping for granted, their major restriction being financial. This study aims to understand motivations to buy fashion items online in the culturally restrictive environment of Saudi Arabia, which imposes considerable fashion and behavioural restrictions, particularly on women. Design/methodology/approach Qualitative research was conducted with a sample of 34 Saudi women in their home country providing a deep insight into the restrictions that women face when shopping and how they react to these restrictions. Two theoretical lenses, psychological reactance and system justification theories are invoked to understand and explain consumer behaviour. Findings Motives for online shopping are quite different in a restrictive society. The definition of utilitarian motivations in online shopping is developed to reflect the drivers to overcome cultural restrictions or to align one’s shopping behaviour with them. Similarly, hedonic reasons for online purchases are expanded to incorporate nuances found only in such societies, where hedonic motivations include enjoying the breaking of societal restrictions. Originality/value This study is conducted is focussed on a country in which little academic marketing research has taken place due to considerable restrictions on movement and access. Western texts on consumer behaviour are not fully appropriate for understanding such a society.","container-title":"Qualitative Market Research: An International Journal","DOI":"10.1108/QMR-01-2020-0012","ISSN":"1352-2752","issue":"4","note":"publisher: Emerald Publishing Limited","page":"449-469","source":"Emerald Insight","title":"Online shopping in a restrictive society: lessons from Saudi Arabia","title-short":"Online shopping in a restrictive society","volume":"24","author":[{"family":"Roper","given":"Stuart"},{"family":"Alkhalifah","given":"Eman S."}],"issued":{"date-parts":[["2020",1,1]]}}},{"id":3506,"uris":["http://zotero.org/users/12832277/items/8F6MMNSM"],"itemData":{"id":3506,"type":"article-journal","abstract":"The literature often explains female labor force participation through factors such as schooling, wage gaps, and fertility. In this study, we identify how technology-induced time savings from household chores increase female labor force participation in South Korea. Using a leads-and-lags difference-in-differences model, we find that entry of an online food delivery platform significantly increased the female employment rate in the three years following the platform’s entry, and the results still hold after excluding employment in the food and beverage sector. Our further analyses show that such digital platforms offered a pathway for women to break free from traditional household roles, thus granting them more time and the opportunity to decide whether to join the labor market or stay at home. We examine the positive externalities generated by the online food delivery platform and find that this new technology-induced female employment accounted for 0.27% of South Korea’s GDP, or 17 times the platform’s direct revenue.History: Wonseok Oh, Senior Editor; Pei-Yu Chen, Associate Editor.Funding: This work was supported by the Hong Kong Research Grants Council [Grants GRF 165052947, 14500521, 14501320, 14503818, and TRS:T31-604/18-N].Supplemental Material: The e-companion is available at https://doi.org/10.1287/isre.2021.0182.","container-title":"Information Systems Research","DOI":"10.1287/isre.2021.0182","ISSN":"1047-7047","note":"publisher: INFORMS","source":"pubsonline.informs.org (Atypon)","title":"Online Food Delivery Platforms and Female Labor Force Participation","URL":"https://pubsonline.informs.org/doi/full/10.1287/isre.2021.0182","author":[{"family":"Liu","given":"Jialu"},{"family":"Pei","given":"Siqi"},{"family":"Zhang","given":"Xiaoquan (Michael)"}],"accessed":{"date-parts":[["2024",6,11]]},"issued":{"date-parts":[["2023",8,29]]}}}],"schema":"https://github.com/citation-style-language/schema/raw/master/csl-citation.json"} </w:instrText>
      </w:r>
      <w:r w:rsidR="00B26292" w:rsidRPr="000D3090">
        <w:fldChar w:fldCharType="separate"/>
      </w:r>
      <w:r w:rsidR="00532DCA" w:rsidRPr="000D3090">
        <w:t>(Roper and Alkhalifah, 2020; Liu et al., 2023)</w:t>
      </w:r>
      <w:r w:rsidR="00B26292" w:rsidRPr="000D3090">
        <w:fldChar w:fldCharType="end"/>
      </w:r>
      <w:r w:rsidR="00B26292" w:rsidRPr="000D3090">
        <w:t xml:space="preserve">. Therefore, continuing to promote delivery services for basic household products and expanding the reach of food and grocery delivery services (including through strategies mentioned in the previous section) </w:t>
      </w:r>
      <w:r w:rsidR="00907428" w:rsidRPr="000D3090">
        <w:t>sh</w:t>
      </w:r>
      <w:r w:rsidR="00B26292" w:rsidRPr="000D3090">
        <w:t xml:space="preserve">ould help promote </w:t>
      </w:r>
      <w:r w:rsidR="003344AB" w:rsidRPr="000D3090">
        <w:t xml:space="preserve">gender </w:t>
      </w:r>
      <w:r w:rsidR="001D1BB9" w:rsidRPr="000D3090">
        <w:t>accessibility</w:t>
      </w:r>
      <w:r w:rsidR="00B26292" w:rsidRPr="000D3090">
        <w:t xml:space="preserve">. </w:t>
      </w:r>
    </w:p>
    <w:p w14:paraId="6D36E5D1" w14:textId="1E29CB5C" w:rsidR="008D7E80" w:rsidRPr="000D3090" w:rsidRDefault="003344AB" w:rsidP="005D159E">
      <w:pPr>
        <w:spacing w:after="0" w:line="240" w:lineRule="auto"/>
        <w:ind w:firstLine="720"/>
        <w:jc w:val="both"/>
      </w:pPr>
      <w:r w:rsidRPr="000D3090">
        <w:t xml:space="preserve">Individuals with medical conditions that make travel difficult also appear to </w:t>
      </w:r>
      <w:r w:rsidR="009324C7" w:rsidRPr="000D3090">
        <w:t xml:space="preserve">be able to </w:t>
      </w:r>
      <w:r w:rsidRPr="000D3090">
        <w:t>leverage</w:t>
      </w:r>
      <w:r w:rsidR="009324C7" w:rsidRPr="000D3090">
        <w:t xml:space="preserve"> </w:t>
      </w:r>
      <w:r w:rsidRPr="000D3090">
        <w:t>virtual participation (</w:t>
      </w:r>
      <w:r w:rsidR="009324C7" w:rsidRPr="000D3090">
        <w:t xml:space="preserve">both </w:t>
      </w:r>
      <w:r w:rsidRPr="000D3090">
        <w:t xml:space="preserve">in the form of </w:t>
      </w:r>
      <w:r w:rsidR="009324C7" w:rsidRPr="000D3090">
        <w:t>telework and delivery services</w:t>
      </w:r>
      <w:r w:rsidRPr="000D3090">
        <w:t>)</w:t>
      </w:r>
      <w:r w:rsidR="009324C7" w:rsidRPr="000D3090">
        <w:t xml:space="preserve"> to alleviate </w:t>
      </w:r>
      <w:r w:rsidR="008077ED" w:rsidRPr="000D3090">
        <w:t>dissonance</w:t>
      </w:r>
      <w:r w:rsidR="009A0A02" w:rsidRPr="000D3090">
        <w:t xml:space="preserve"> (reducing overall </w:t>
      </w:r>
      <w:r w:rsidR="00B45502" w:rsidRPr="000D3090">
        <w:t>PPD</w:t>
      </w:r>
      <w:r w:rsidR="009A0A02" w:rsidRPr="000D3090">
        <w:t xml:space="preserve"> by </w:t>
      </w:r>
      <w:r w:rsidRPr="000D3090">
        <w:t>about</w:t>
      </w:r>
      <w:r w:rsidR="009A0A02" w:rsidRPr="000D3090">
        <w:t xml:space="preserve"> 8%)</w:t>
      </w:r>
      <w:r w:rsidR="008077ED" w:rsidRPr="000D3090">
        <w:t xml:space="preserve">. </w:t>
      </w:r>
      <w:r w:rsidR="00B45502" w:rsidRPr="000D3090">
        <w:t xml:space="preserve">However, after accounting for the benefits of virtual </w:t>
      </w:r>
      <w:r w:rsidRPr="000D3090">
        <w:t>participation</w:t>
      </w:r>
      <w:r w:rsidR="00B45502" w:rsidRPr="000D3090">
        <w:t>, PPD is still 15.7</w:t>
      </w:r>
      <w:r w:rsidRPr="000D3090">
        <w:t xml:space="preserve">9% higher </w:t>
      </w:r>
      <w:r w:rsidR="00B45502" w:rsidRPr="000D3090">
        <w:t>among those with a medical condition (compared to those without)</w:t>
      </w:r>
      <w:r w:rsidRPr="000D3090">
        <w:t>. Thus,</w:t>
      </w:r>
      <w:r w:rsidR="00B45502" w:rsidRPr="000D3090">
        <w:t xml:space="preserve"> there </w:t>
      </w:r>
      <w:r w:rsidRPr="000D3090">
        <w:t xml:space="preserve">is </w:t>
      </w:r>
      <w:r w:rsidR="00B45502" w:rsidRPr="000D3090">
        <w:t xml:space="preserve">still </w:t>
      </w:r>
      <w:r w:rsidRPr="000D3090">
        <w:t xml:space="preserve">substantial potential to </w:t>
      </w:r>
      <w:r w:rsidR="00C4388A" w:rsidRPr="000D3090">
        <w:t xml:space="preserve">expand </w:t>
      </w:r>
      <w:r w:rsidRPr="000D3090">
        <w:t xml:space="preserve">virtual participation </w:t>
      </w:r>
      <w:r w:rsidR="00C4388A" w:rsidRPr="000D3090">
        <w:t xml:space="preserve">access for </w:t>
      </w:r>
      <w:r w:rsidR="00907428" w:rsidRPr="000D3090">
        <w:t>this population group</w:t>
      </w:r>
      <w:r w:rsidR="00C4388A" w:rsidRPr="000D3090">
        <w:t xml:space="preserve">. </w:t>
      </w:r>
      <w:r w:rsidR="00A214A6" w:rsidRPr="000D3090">
        <w:t xml:space="preserve">This can include ensuring that delivery personnel leave packages in designated </w:t>
      </w:r>
      <w:r w:rsidR="000F5494" w:rsidRPr="000D3090">
        <w:t xml:space="preserve">and easy to reach </w:t>
      </w:r>
      <w:r w:rsidR="00A214A6" w:rsidRPr="000D3090">
        <w:t>drop-off locations</w:t>
      </w:r>
      <w:r w:rsidR="004710CB" w:rsidRPr="000D3090">
        <w:t xml:space="preserve"> </w:t>
      </w:r>
      <w:r w:rsidR="00ED1192" w:rsidRPr="000D3090">
        <w:fldChar w:fldCharType="begin"/>
      </w:r>
      <w:r w:rsidR="007C3A08" w:rsidRPr="000D3090">
        <w:instrText xml:space="preserve"> ADDIN ZOTERO_ITEM CSL_CITATION {"citationID":"esh8ZFBZ","properties":{"formattedCitation":"(Lee et al., 2020)","plainCitation":"(Lee et al., 2020)","noteIndex":0},"citationItems":[{"id":3482,"uris":["http://zotero.org/users/12832277/items/J7JD6SXT"],"itemData":{"id":3482,"type":"article-journal","abstract":"Almost 1 in every 8 adults in the U.S. have a physical disability that impairs mobility. This participatory project aimed to identify and describe environmental and personal barriers to healthy eating among people with mobility impairments using a rigorous, structured mixed methodology. Community-dwelling adults with a self-reported mobility impairment (N = 20, M = 40.4 years old, 60% female) participated in nominal group technique focus groups. The Ecologic Model of Obesity grounded stimulus questions asked about barriers to obtaining and preparing healthy food. Participants emphasized common barriers across everyday settings—focusing, for example, on the ability to reach shelved food inside the home, navigating to and inside stores and restaurants, and using delivery services. Home environments often did not afford suitable spaces for food preparation and storage. Participants reported inadequate transportation and numerous additional barriers in many settings to be able to eat healthfully. Participants reported lack of accessible transportation and architectural barriers inside stores, restaurants, and their own homes, highlighting the need for efforts aimed at improving accessibility and usability. Findings support the use of the Ecologic Model of Obesity to guide research and suggest the need for improvement in assessment practices and policies that enhance access to healthy food.","container-title":"International Journal of Environmental Research and Public Health","DOI":"10.3390/ijerph17217781","ISSN":"1660-4601","issue":"21","language":"en","license":"http://creativecommons.org/licenses/by/3.0/","note":"number: 21\npublisher: Multidisciplinary Digital Publishing Institute","source":"www.mdpi.com","title":"Developing Content for the Food Environment Assessment Survey Tool (FEAST): A Systematic Mixed Methods Study with People with Disabilities","URL":"https://www.mdpi.com/1660-4601/17/21/7781","volume":"17","author":[{"family":"Lee","given":"Rebecca"},{"family":"O’Neal","given":"Alicia"},{"family":"Cameron","given":"Chelsea"},{"family":"Hughes","given":"Rosemary"},{"family":"O’Connor","given":"Daniel"},{"family":"Ohri-Vachaspati","given":"Punam"},{"family":"Todd","given":"Michael"},{"family":"Nosek","given":"Margaret"}],"accessed":{"date-parts":[["2024",6,11]]},"issued":{"date-parts":[["2020",1]]}}}],"schema":"https://github.com/citation-style-language/schema/raw/master/csl-citation.json"} </w:instrText>
      </w:r>
      <w:r w:rsidR="00ED1192" w:rsidRPr="000D3090">
        <w:fldChar w:fldCharType="separate"/>
      </w:r>
      <w:r w:rsidR="00ED1192" w:rsidRPr="000D3090">
        <w:t>(Lee et al., 2020)</w:t>
      </w:r>
      <w:r w:rsidR="00ED1192" w:rsidRPr="000D3090">
        <w:fldChar w:fldCharType="end"/>
      </w:r>
      <w:r w:rsidR="00907428" w:rsidRPr="000D3090">
        <w:t>,</w:t>
      </w:r>
      <w:r w:rsidR="000F5494" w:rsidRPr="000D3090">
        <w:t xml:space="preserve"> </w:t>
      </w:r>
      <w:r w:rsidR="00D2784C" w:rsidRPr="000D3090">
        <w:t xml:space="preserve">and </w:t>
      </w:r>
      <w:r w:rsidR="00501BE4" w:rsidRPr="000D3090">
        <w:t>design</w:t>
      </w:r>
      <w:r w:rsidR="00907428" w:rsidRPr="000D3090">
        <w:t xml:space="preserve">ing </w:t>
      </w:r>
      <w:r w:rsidR="004710CB" w:rsidRPr="000D3090">
        <w:t xml:space="preserve">apps and websites </w:t>
      </w:r>
      <w:r w:rsidR="00501BE4" w:rsidRPr="000D3090">
        <w:t xml:space="preserve">that </w:t>
      </w:r>
      <w:r w:rsidR="004807F1" w:rsidRPr="000D3090">
        <w:t xml:space="preserve">embed </w:t>
      </w:r>
      <w:r w:rsidR="00611907" w:rsidRPr="000D3090">
        <w:t xml:space="preserve">screen readers, voice commands, and </w:t>
      </w:r>
      <w:r w:rsidR="00501BE4" w:rsidRPr="000D3090">
        <w:t xml:space="preserve">large font sizes, especially </w:t>
      </w:r>
      <w:r w:rsidR="00611907" w:rsidRPr="000D3090">
        <w:t xml:space="preserve">for those with visual impairments </w:t>
      </w:r>
      <w:r w:rsidR="00E83CCF" w:rsidRPr="000D3090">
        <w:fldChar w:fldCharType="begin"/>
      </w:r>
      <w:r w:rsidR="00374A3B" w:rsidRPr="000D3090">
        <w:instrText xml:space="preserve"> ADDIN ZOTERO_ITEM CSL_CITATION {"citationID":"c7WWvw5B","properties":{"formattedCitation":"(Kaufman-Scarborough and Childers, 2009; Leporini et al., 2023)","plainCitation":"(Kaufman-Scarborough and Childers, 2009; Leporini et al., 2023)","dontUpdate":true,"noteIndex":0},"citationItems":[{"id":3484,"uris":["http://zotero.org/users/12832277/items/6ATTLUWI"],"itemData":{"id":3484,"type":"article-journal","abstract":"More than 20% of the U.S. population is composed of people with disabilities. When such people interact with certain marketplaces, such as commercial Web sites, some become “consumers with constraints,” and others become liberated, experiencing the freedom to search for information independently for the first time. While accessibility in physical stores is mandated by the Americans with Disabilities Act, commercial Web sites do not fall under its jurisdiction, because they are not considered “public places.” This research challenges this view and examines whether actual consumers interpret Web sites as public places. The authors examine this question in the context of experiences of consumers with visual impairments in online shopping. The authors apply the concepts of consumer normalcy and consumer vulnerability to the technology acceptance model as theoretical lenses through which to interpret this context. The findings form the basis for recommendations to policy makers to develop and enforce standards for Web site accessibility and to the marketplace to create a level playing field for people with visual impairments.","container-title":"Journal of Public Policy &amp; Marketing","DOI":"10.1509/jppm.28.1.16","ISSN":"0743-9156","issue":"1","language":"en","note":"publisher: SAGE Publications Inc","page":"16-28","source":"SAGE Journals","title":"Understanding Markets as Online Public Places: Insights from Consumers with Visual Impairments","title-short":"Understanding Markets as Online Public Places","volume":"28","author":[{"family":"Kaufman-Scarborough","given":"Carol"},{"family":"Childers","given":"Terry L."}],"issued":{"date-parts":[["2009",4,1]]}}},{"id":3541,"uris":["http://zotero.org/users/12832277/items/RDFKI89Y"],"itemData":{"id":3541,"type":"article-journal","abstract":"Since the first lockdown in 2020, video conferencing tools have become increasingly important for employment, education, and social interaction, making them essential tools in everyday life. This study investigates the accessibility and usability of the desktop and mobile versions of three popular video conferencing tools, Zoom, Google Meet, and MS Teams, for visually impaired people interacting via screen readers and keyboard or gestures. This involved two inspection evaluations to test the most important features of the desktop and mobile device versions and two surveys of visually impaired users to obtain information about the accessibility of the selected video conferencing tools. Sixty-five people answered the survey for desktop and 94 for mobile platforms. The results showed that Zoom was preferred to Google Meet and MS Teams but that none of the tools was fully accessible via screen reader and keyboard or gestures. Finally, the results of this empirical study were used to develop a set of guidelines for designers of video conferencing tools and assistive technology.","container-title":"ACM Transactions on Accessible Computing","DOI":"10.1145/3573012","ISSN":"1936-7228","issue":"1","page":"1-36","source":"ACM Digital Library","title":"Video Conferencing Tools: Comparative Study of the Experiences of Screen Reader Users and the Development of More Inclusive Design Guidelines","volume":"16","author":[{"family":"Leporini","given":"Barbara"},{"family":"Buzzi","given":"Marina"},{"family":"Hersh","given":"Marion"}],"issued":{"date-parts":[["2023",3,28]]}}}],"schema":"https://github.com/citation-style-language/schema/raw/master/csl-citation.json"} </w:instrText>
      </w:r>
      <w:r w:rsidR="00E83CCF" w:rsidRPr="000D3090">
        <w:fldChar w:fldCharType="separate"/>
      </w:r>
      <w:r w:rsidR="00481D49" w:rsidRPr="000D3090">
        <w:t>(see Kaufman-Scarborough and Childers, 2009; Leporini et al., 2023)</w:t>
      </w:r>
      <w:r w:rsidR="00E83CCF" w:rsidRPr="000D3090">
        <w:fldChar w:fldCharType="end"/>
      </w:r>
      <w:r w:rsidR="00611907" w:rsidRPr="000D3090">
        <w:t xml:space="preserve">. Finally, </w:t>
      </w:r>
      <w:r w:rsidR="00501BE4" w:rsidRPr="000D3090">
        <w:t>building</w:t>
      </w:r>
      <w:r w:rsidR="00611907" w:rsidRPr="000D3090">
        <w:t xml:space="preserve"> inclusive </w:t>
      </w:r>
      <w:r w:rsidR="00501BE4" w:rsidRPr="000D3090">
        <w:t xml:space="preserve">user-centered virtual participation </w:t>
      </w:r>
      <w:r w:rsidR="00611907" w:rsidRPr="000D3090">
        <w:t xml:space="preserve">systems </w:t>
      </w:r>
      <w:r w:rsidR="00907428" w:rsidRPr="000D3090">
        <w:t xml:space="preserve">that </w:t>
      </w:r>
      <w:r w:rsidR="00611907" w:rsidRPr="000D3090">
        <w:t>involv</w:t>
      </w:r>
      <w:r w:rsidR="004807F1" w:rsidRPr="000D3090">
        <w:t>e</w:t>
      </w:r>
      <w:r w:rsidR="00611907" w:rsidRPr="000D3090">
        <w:t xml:space="preserve"> individuals with </w:t>
      </w:r>
      <w:r w:rsidR="00501BE4" w:rsidRPr="000D3090">
        <w:t xml:space="preserve">medical conditions </w:t>
      </w:r>
      <w:r w:rsidR="00611907" w:rsidRPr="000D3090">
        <w:t xml:space="preserve">in the design process </w:t>
      </w:r>
      <w:r w:rsidR="00501BE4" w:rsidRPr="000D3090">
        <w:t xml:space="preserve">from the get-go </w:t>
      </w:r>
      <w:r w:rsidR="0078661B" w:rsidRPr="000D3090">
        <w:t xml:space="preserve">will help increase </w:t>
      </w:r>
      <w:r w:rsidR="00501BE4" w:rsidRPr="000D3090">
        <w:t>virtual participation and further alleviate PPD</w:t>
      </w:r>
      <w:r w:rsidR="004807F1" w:rsidRPr="000D3090">
        <w:t xml:space="preserve"> in this population group</w:t>
      </w:r>
      <w:r w:rsidR="0078661B" w:rsidRPr="000D3090">
        <w:t xml:space="preserve">. </w:t>
      </w:r>
    </w:p>
    <w:p w14:paraId="6616672B" w14:textId="43952381" w:rsidR="00A204B2" w:rsidRPr="000D3090" w:rsidRDefault="00314367" w:rsidP="00600963">
      <w:pPr>
        <w:spacing w:after="0" w:line="240" w:lineRule="auto"/>
        <w:jc w:val="both"/>
      </w:pPr>
      <w:r w:rsidRPr="000D3090">
        <w:lastRenderedPageBreak/>
        <w:tab/>
      </w:r>
      <w:r w:rsidR="004B0A9C" w:rsidRPr="000D3090">
        <w:t xml:space="preserve"> </w:t>
      </w:r>
    </w:p>
    <w:p w14:paraId="0DACAFB0" w14:textId="3341C8FA" w:rsidR="001E097F" w:rsidRPr="000D3090" w:rsidRDefault="001C5ED7" w:rsidP="00600963">
      <w:pPr>
        <w:spacing w:after="0" w:line="240" w:lineRule="auto"/>
        <w:jc w:val="both"/>
      </w:pPr>
      <w:r w:rsidRPr="000D3090">
        <w:rPr>
          <w:b/>
          <w:bCs/>
        </w:rPr>
        <w:t>5.</w:t>
      </w:r>
      <w:r w:rsidR="00B45502" w:rsidRPr="000D3090">
        <w:rPr>
          <w:b/>
          <w:bCs/>
        </w:rPr>
        <w:t>4</w:t>
      </w:r>
      <w:r w:rsidRPr="000D3090">
        <w:rPr>
          <w:b/>
          <w:bCs/>
        </w:rPr>
        <w:t xml:space="preserve"> </w:t>
      </w:r>
      <w:r w:rsidR="00501BE4" w:rsidRPr="000D3090">
        <w:rPr>
          <w:b/>
          <w:bCs/>
        </w:rPr>
        <w:t xml:space="preserve">For </w:t>
      </w:r>
      <w:r w:rsidR="001E097F" w:rsidRPr="000D3090">
        <w:rPr>
          <w:b/>
          <w:bCs/>
        </w:rPr>
        <w:t>Who</w:t>
      </w:r>
      <w:r w:rsidR="00501BE4" w:rsidRPr="000D3090">
        <w:rPr>
          <w:b/>
          <w:bCs/>
        </w:rPr>
        <w:t>m</w:t>
      </w:r>
      <w:r w:rsidR="001E097F" w:rsidRPr="000D3090">
        <w:rPr>
          <w:b/>
          <w:bCs/>
        </w:rPr>
        <w:t xml:space="preserve"> </w:t>
      </w:r>
      <w:r w:rsidR="0051016B" w:rsidRPr="000D3090">
        <w:rPr>
          <w:b/>
          <w:bCs/>
        </w:rPr>
        <w:t>H</w:t>
      </w:r>
      <w:r w:rsidR="001E097F" w:rsidRPr="000D3090">
        <w:rPr>
          <w:b/>
          <w:bCs/>
        </w:rPr>
        <w:t>a</w:t>
      </w:r>
      <w:r w:rsidR="00501BE4" w:rsidRPr="000D3090">
        <w:rPr>
          <w:b/>
          <w:bCs/>
        </w:rPr>
        <w:t>s</w:t>
      </w:r>
      <w:r w:rsidR="001E097F" w:rsidRPr="000D3090">
        <w:rPr>
          <w:b/>
          <w:bCs/>
        </w:rPr>
        <w:t xml:space="preserve"> Virtual </w:t>
      </w:r>
      <w:r w:rsidR="00501BE4" w:rsidRPr="000D3090">
        <w:rPr>
          <w:b/>
          <w:bCs/>
        </w:rPr>
        <w:t xml:space="preserve">Participation </w:t>
      </w:r>
      <w:r w:rsidR="001E097F" w:rsidRPr="000D3090">
        <w:rPr>
          <w:b/>
          <w:bCs/>
        </w:rPr>
        <w:t xml:space="preserve">Not </w:t>
      </w:r>
      <w:r w:rsidR="00501BE4" w:rsidRPr="000D3090">
        <w:rPr>
          <w:b/>
          <w:bCs/>
        </w:rPr>
        <w:t>Reduced PPD</w:t>
      </w:r>
      <w:r w:rsidR="001E097F" w:rsidRPr="000D3090">
        <w:rPr>
          <w:b/>
          <w:bCs/>
        </w:rPr>
        <w:t>?</w:t>
      </w:r>
    </w:p>
    <w:p w14:paraId="165E5196" w14:textId="5FCF9E1C" w:rsidR="00926ED3" w:rsidRPr="000D3090" w:rsidRDefault="006E1F5B" w:rsidP="00600963">
      <w:pPr>
        <w:spacing w:after="0" w:line="240" w:lineRule="auto"/>
        <w:jc w:val="both"/>
        <w:rPr>
          <w:b/>
          <w:bCs/>
        </w:rPr>
      </w:pPr>
      <w:r w:rsidRPr="000D3090">
        <w:t xml:space="preserve">While virtual </w:t>
      </w:r>
      <w:r w:rsidR="006F4AC6" w:rsidRPr="000D3090">
        <w:t xml:space="preserve">participation has </w:t>
      </w:r>
      <w:r w:rsidRPr="000D3090">
        <w:t>alleviate</w:t>
      </w:r>
      <w:r w:rsidR="006F4AC6" w:rsidRPr="000D3090">
        <w:t>d</w:t>
      </w:r>
      <w:r w:rsidRPr="000D3090">
        <w:t xml:space="preserve"> PPD for some groups, </w:t>
      </w:r>
      <w:r w:rsidR="006F4AC6" w:rsidRPr="000D3090">
        <w:t xml:space="preserve">this </w:t>
      </w:r>
      <w:r w:rsidRPr="000D3090">
        <w:t>h</w:t>
      </w:r>
      <w:r w:rsidR="006F4AC6" w:rsidRPr="000D3090">
        <w:t xml:space="preserve">as </w:t>
      </w:r>
      <w:r w:rsidRPr="000D3090">
        <w:t xml:space="preserve">not been universal. </w:t>
      </w:r>
      <w:r w:rsidR="00D2784C" w:rsidRPr="000D3090">
        <w:t>I</w:t>
      </w:r>
      <w:r w:rsidR="00FA6DF8" w:rsidRPr="000D3090">
        <w:t xml:space="preserve">n terms of geographic </w:t>
      </w:r>
      <w:r w:rsidR="00D2784C" w:rsidRPr="000D3090">
        <w:t>variation</w:t>
      </w:r>
      <w:r w:rsidR="00FA6DF8" w:rsidRPr="000D3090">
        <w:t xml:space="preserve">, it is evident that individuals in rural areas have </w:t>
      </w:r>
      <w:r w:rsidR="004B0A9C" w:rsidRPr="000D3090">
        <w:t xml:space="preserve">lower levels of </w:t>
      </w:r>
      <w:r w:rsidR="00FA6DF8" w:rsidRPr="000D3090">
        <w:t xml:space="preserve">virtual </w:t>
      </w:r>
      <w:r w:rsidR="004B0A9C" w:rsidRPr="000D3090">
        <w:t>participation</w:t>
      </w:r>
      <w:r w:rsidR="00926ED3" w:rsidRPr="000D3090">
        <w:t xml:space="preserve"> and</w:t>
      </w:r>
      <w:r w:rsidR="002C1707" w:rsidRPr="000D3090">
        <w:t xml:space="preserve"> that</w:t>
      </w:r>
      <w:r w:rsidR="00926ED3" w:rsidRPr="000D3090">
        <w:t xml:space="preserve"> those in areas with lower employment density tend to get fewer deliveries</w:t>
      </w:r>
      <w:r w:rsidR="005D3199" w:rsidRPr="000D3090">
        <w:t xml:space="preserve">, </w:t>
      </w:r>
      <w:r w:rsidR="00B86599" w:rsidRPr="000D3090">
        <w:t xml:space="preserve">contributing further </w:t>
      </w:r>
      <w:r w:rsidR="004807F1" w:rsidRPr="000D3090">
        <w:t xml:space="preserve">to </w:t>
      </w:r>
      <w:r w:rsidR="005D3199" w:rsidRPr="000D3090">
        <w:t xml:space="preserve">the </w:t>
      </w:r>
      <w:r w:rsidR="00B86599" w:rsidRPr="000D3090">
        <w:t xml:space="preserve">already </w:t>
      </w:r>
      <w:r w:rsidR="005D3199" w:rsidRPr="000D3090">
        <w:t xml:space="preserve">existing </w:t>
      </w:r>
      <w:r w:rsidR="00B86599" w:rsidRPr="000D3090">
        <w:t>physical a</w:t>
      </w:r>
      <w:r w:rsidR="005D3199" w:rsidRPr="000D3090">
        <w:t xml:space="preserve">ccessibility gap between those living in urban and rural areas. </w:t>
      </w:r>
      <w:r w:rsidR="00FA3412" w:rsidRPr="000D3090">
        <w:t xml:space="preserve">This </w:t>
      </w:r>
      <w:r w:rsidR="00B86599" w:rsidRPr="000D3090">
        <w:t xml:space="preserve">virtual participation </w:t>
      </w:r>
      <w:r w:rsidR="00FA3412" w:rsidRPr="000D3090">
        <w:t>disparity</w:t>
      </w:r>
      <w:r w:rsidR="00B86599" w:rsidRPr="000D3090">
        <w:t xml:space="preserve"> </w:t>
      </w:r>
      <w:r w:rsidR="00FA3412" w:rsidRPr="000D3090">
        <w:t xml:space="preserve">is a result of </w:t>
      </w:r>
      <w:r w:rsidR="00B86599" w:rsidRPr="000D3090">
        <w:t>several</w:t>
      </w:r>
      <w:r w:rsidR="00FA3412" w:rsidRPr="000D3090">
        <w:t xml:space="preserve"> interrelated factors </w:t>
      </w:r>
      <w:r w:rsidR="004807F1" w:rsidRPr="000D3090">
        <w:t xml:space="preserve">associated with urban areas, </w:t>
      </w:r>
      <w:r w:rsidR="00FA3412" w:rsidRPr="000D3090">
        <w:t xml:space="preserve">including </w:t>
      </w:r>
      <w:r w:rsidR="00B86599" w:rsidRPr="000D3090">
        <w:t xml:space="preserve">(a) the </w:t>
      </w:r>
      <w:r w:rsidR="00FA3412" w:rsidRPr="000D3090">
        <w:t xml:space="preserve">higher concentration of </w:t>
      </w:r>
      <w:r w:rsidR="004807F1" w:rsidRPr="000D3090">
        <w:t xml:space="preserve">telework-conducive </w:t>
      </w:r>
      <w:r w:rsidR="00FA3412" w:rsidRPr="000D3090">
        <w:t xml:space="preserve">knowledge-based jobs, </w:t>
      </w:r>
      <w:r w:rsidR="00B86599" w:rsidRPr="000D3090">
        <w:t xml:space="preserve">(b) </w:t>
      </w:r>
      <w:r w:rsidR="006711F7" w:rsidRPr="000D3090">
        <w:t xml:space="preserve">higher quality of internet and telecommunications infrastructure, </w:t>
      </w:r>
      <w:r w:rsidR="00BA11D1" w:rsidRPr="000D3090">
        <w:t xml:space="preserve">(c) </w:t>
      </w:r>
      <w:r w:rsidR="006711F7" w:rsidRPr="000D3090">
        <w:t xml:space="preserve">greater demand for flexible work arrangements to alleviate peak-hour </w:t>
      </w:r>
      <w:r w:rsidR="00BA11D1" w:rsidRPr="000D3090">
        <w:t xml:space="preserve">traffic </w:t>
      </w:r>
      <w:r w:rsidR="006711F7" w:rsidRPr="000D3090">
        <w:t xml:space="preserve">congestion, and </w:t>
      </w:r>
      <w:r w:rsidR="00BA11D1" w:rsidRPr="000D3090">
        <w:t xml:space="preserve">(d) </w:t>
      </w:r>
      <w:r w:rsidR="006711F7" w:rsidRPr="000D3090">
        <w:t xml:space="preserve">higher density of </w:t>
      </w:r>
      <w:r w:rsidR="00BA11D1" w:rsidRPr="000D3090">
        <w:t xml:space="preserve">delivery </w:t>
      </w:r>
      <w:r w:rsidR="006711F7" w:rsidRPr="000D3090">
        <w:t xml:space="preserve">services </w:t>
      </w:r>
      <w:r w:rsidR="003A06D7" w:rsidRPr="000D3090">
        <w:t xml:space="preserve">and </w:t>
      </w:r>
      <w:r w:rsidR="00BA11D1" w:rsidRPr="000D3090">
        <w:t xml:space="preserve">concentration of </w:t>
      </w:r>
      <w:r w:rsidR="003A06D7" w:rsidRPr="000D3090">
        <w:t>consumers</w:t>
      </w:r>
      <w:r w:rsidR="00BD5432" w:rsidRPr="000D3090">
        <w:t xml:space="preserve"> </w:t>
      </w:r>
      <w:r w:rsidR="00BD5432" w:rsidRPr="000D3090">
        <w:fldChar w:fldCharType="begin"/>
      </w:r>
      <w:r w:rsidR="00A22CFC" w:rsidRPr="000D3090">
        <w:instrText xml:space="preserve"> ADDIN ZOTERO_ITEM CSL_CITATION {"citationID":"Li6SwZbn","properties":{"unsorted":true,"formattedCitation":"(Dannenberg et al., 2020; Asmussen et al., 2024b)","plainCitation":"(Dannenberg et al., 2020; Asmussen et al., 2024b)","noteIndex":0},"citationItems":[{"id":3489,"uris":["http://zotero.org/users/12832277/items/5TYJXSYV"],"itemData":{"id":3489,"type":"article-journal","abstract":"The COVID-19 pandemic has led to a sharp increase in online trade. This article examines the impact of the pandemic on online grocery retail in Germany. Here we follow and refine the multi-level perspective by Geels, and examine to what extent and why the online grocery retail expanded during the pandemic. A particular focus is on the spatial expansion into rural areas. The study shows a general upswing in the grocery trade and disproportionately high growth in online grocery trade and identifies driving and limiting factors. While COVID-19 has opened a window of opportunity, our results indicate little transition of grocery to e-grocery. This finding can be explained by the sudden and temporary constellation at the level of the socio-technical regime during the pandemic. As a result, we argue for a rethinking the temporality of windows of opportunities and the related vulnerability of the innovations which need them.","container-title":"Tijdschrift voor Economische en Sociale Geografie","DOI":"10.1111/tesg.12453","ISSN":"1467-9663","issue":"3","language":"en","license":"© 2020 The Authors. Tijdschrift voor Economische en Sociale Geografie published by John Wiley &amp; Sons Ltd on behalf of Royal Dutch Geographical Society / Koninklijk Nederlands Aardrijkskundig","note":"_eprint: https://onlinelibrary.wiley.com/doi/pdf/10.1111/tesg.12453","page":"543-560","source":"Wiley Online Library","title":"Digital Transition by COVID-19 Pandemic? The German Food Online Retail","volume":"111","author":[{"family":"Dannenberg","given":"Peter"},{"family":"Fuchs","given":"Martina"},{"family":"Riedler","given":"Tim"},{"family":"Wiedemann","given":"Cathrin"}],"issued":{"date-parts":[["2020"]]}}},{"id":1944,"uris":["http://zotero.org/users/12832277/items/Y3TQLUZT"],"itemData":{"id":1944,"type":"article-journal","container-title":"Transportation Research Part C: Emerging Technologies","DOI":"https://doi.org/10.1016/j.trc.2024.104690","page":"104690","title":"The Interplay Between Teleworking Choice and Commute Distance","volume":"165","author":[{"family":"Asmussen","given":"Katherine"},{"family":"Mondal","given":"Aupal"},{"family":"Bhat","given":"Chandra R."}],"issued":{"date-parts":[["2024",8]]}}}],"schema":"https://github.com/citation-style-language/schema/raw/master/csl-citation.json"} </w:instrText>
      </w:r>
      <w:r w:rsidR="00BD5432" w:rsidRPr="000D3090">
        <w:fldChar w:fldCharType="separate"/>
      </w:r>
      <w:r w:rsidR="00A22CFC" w:rsidRPr="000D3090">
        <w:t>(Dannenberg et al., 2020; Asmussen et al., 2024</w:t>
      </w:r>
      <w:r w:rsidR="00B46F28">
        <w:t>a</w:t>
      </w:r>
      <w:r w:rsidR="00A22CFC" w:rsidRPr="000D3090">
        <w:t>)</w:t>
      </w:r>
      <w:r w:rsidR="00BD5432" w:rsidRPr="000D3090">
        <w:fldChar w:fldCharType="end"/>
      </w:r>
      <w:r w:rsidR="003A06D7" w:rsidRPr="000D3090">
        <w:t xml:space="preserve">. </w:t>
      </w:r>
      <w:r w:rsidR="00E81746" w:rsidRPr="000D3090">
        <w:t>E</w:t>
      </w:r>
      <w:r w:rsidR="00894F04" w:rsidRPr="000D3090">
        <w:t xml:space="preserve">xpanding high-speed internet </w:t>
      </w:r>
      <w:r w:rsidR="00907428" w:rsidRPr="000D3090">
        <w:t>access</w:t>
      </w:r>
      <w:r w:rsidR="00E81746" w:rsidRPr="000D3090">
        <w:t>, including</w:t>
      </w:r>
      <w:r w:rsidR="002007B4" w:rsidRPr="000D3090">
        <w:t xml:space="preserve"> through traditional broadband services as well as cellular and satellite networks</w:t>
      </w:r>
      <w:r w:rsidR="00E81746" w:rsidRPr="000D3090">
        <w:t xml:space="preserve">, and providing greater access to technological resources and public working spaces will help </w:t>
      </w:r>
      <w:r w:rsidR="00F235D4" w:rsidRPr="000D3090">
        <w:t xml:space="preserve">the </w:t>
      </w:r>
      <w:r w:rsidR="00E81746" w:rsidRPr="000D3090">
        <w:t xml:space="preserve">growth of virtual </w:t>
      </w:r>
      <w:r w:rsidR="00F235D4" w:rsidRPr="000D3090">
        <w:t>participation</w:t>
      </w:r>
      <w:r w:rsidR="00E81746" w:rsidRPr="000D3090">
        <w:t xml:space="preserve"> in rural areas. </w:t>
      </w:r>
      <w:r w:rsidR="00F614A2" w:rsidRPr="000D3090">
        <w:t xml:space="preserve">In terms of </w:t>
      </w:r>
      <w:r w:rsidR="004B0A9C" w:rsidRPr="000D3090">
        <w:t xml:space="preserve">home </w:t>
      </w:r>
      <w:r w:rsidR="00F614A2" w:rsidRPr="000D3090">
        <w:t>deliver</w:t>
      </w:r>
      <w:r w:rsidR="004B0A9C" w:rsidRPr="000D3090">
        <w:t>ies</w:t>
      </w:r>
      <w:r w:rsidR="00F614A2" w:rsidRPr="000D3090">
        <w:t xml:space="preserve">, there is a growing need to ensure that rural areas are provided with adequate </w:t>
      </w:r>
      <w:r w:rsidR="004B0A9C" w:rsidRPr="000D3090">
        <w:t>coverage and service quality</w:t>
      </w:r>
      <w:r w:rsidR="00F235D4" w:rsidRPr="000D3090">
        <w:t>,</w:t>
      </w:r>
      <w:r w:rsidR="00D2784C" w:rsidRPr="000D3090">
        <w:t xml:space="preserve"> and</w:t>
      </w:r>
      <w:r w:rsidR="00F235D4" w:rsidRPr="000D3090">
        <w:t xml:space="preserve"> at affordable prices (note </w:t>
      </w:r>
      <w:r w:rsidR="00656A55" w:rsidRPr="000D3090">
        <w:t xml:space="preserve">from Table 3 </w:t>
      </w:r>
      <w:r w:rsidR="00F235D4" w:rsidRPr="000D3090">
        <w:t>that “not affordable” is a common PPD reason in rural areas</w:t>
      </w:r>
      <w:r w:rsidR="00656A55" w:rsidRPr="000D3090">
        <w:t>)</w:t>
      </w:r>
      <w:r w:rsidR="00BD6AEB" w:rsidRPr="000D3090">
        <w:t xml:space="preserve">. This includes maintaining </w:t>
      </w:r>
      <w:r w:rsidR="004B0A9C" w:rsidRPr="000D3090">
        <w:t xml:space="preserve">local and </w:t>
      </w:r>
      <w:r w:rsidR="00BD6AEB" w:rsidRPr="000D3090">
        <w:t>regional</w:t>
      </w:r>
      <w:r w:rsidR="004B0A9C" w:rsidRPr="000D3090">
        <w:t xml:space="preserve"> </w:t>
      </w:r>
      <w:r w:rsidR="00BD6AEB" w:rsidRPr="000D3090">
        <w:t xml:space="preserve">delivery hubs that serve as locations to collect and dispatch </w:t>
      </w:r>
      <w:r w:rsidR="00611F66" w:rsidRPr="000D3090">
        <w:t>deliveries</w:t>
      </w:r>
      <w:r w:rsidR="00BD6AEB" w:rsidRPr="000D3090">
        <w:t xml:space="preserve"> to rural areas</w:t>
      </w:r>
      <w:r w:rsidR="00611F66" w:rsidRPr="000D3090">
        <w:t xml:space="preserve">. In addition, </w:t>
      </w:r>
      <w:r w:rsidR="00143672" w:rsidRPr="000D3090">
        <w:t xml:space="preserve">collaboration with local businesses </w:t>
      </w:r>
      <w:r w:rsidR="00656A55" w:rsidRPr="000D3090">
        <w:t>(</w:t>
      </w:r>
      <w:r w:rsidR="00F235D4" w:rsidRPr="000D3090">
        <w:t>in a community-centered approach that is customizable to the needs of local residents</w:t>
      </w:r>
      <w:r w:rsidR="00656A55" w:rsidRPr="000D3090">
        <w:t>)</w:t>
      </w:r>
      <w:r w:rsidR="00F235D4" w:rsidRPr="000D3090">
        <w:t xml:space="preserve"> </w:t>
      </w:r>
      <w:r w:rsidR="004B0A9C" w:rsidRPr="000D3090">
        <w:t>is</w:t>
      </w:r>
      <w:r w:rsidR="00143672" w:rsidRPr="000D3090">
        <w:t xml:space="preserve"> especially important in lower-density areas</w:t>
      </w:r>
      <w:r w:rsidR="00F235D4" w:rsidRPr="000D3090">
        <w:t xml:space="preserve">; </w:t>
      </w:r>
      <w:r w:rsidR="00143672" w:rsidRPr="000D3090">
        <w:t xml:space="preserve">local businesses can serve as pick-up and drop-off points for deliveries, </w:t>
      </w:r>
      <w:r w:rsidR="00B57F70" w:rsidRPr="000D3090">
        <w:t xml:space="preserve">can assist in last-mile delivery, and can </w:t>
      </w:r>
      <w:r w:rsidR="00F235D4" w:rsidRPr="000D3090">
        <w:t xml:space="preserve">provide reliable and cost-effective </w:t>
      </w:r>
      <w:r w:rsidR="00B24AC9" w:rsidRPr="000D3090">
        <w:t xml:space="preserve">service fulfillment </w:t>
      </w:r>
      <w:r w:rsidR="00F235D4" w:rsidRPr="000D3090">
        <w:t xml:space="preserve">by </w:t>
      </w:r>
      <w:r w:rsidR="00B24AC9" w:rsidRPr="000D3090">
        <w:t>minimiz</w:t>
      </w:r>
      <w:r w:rsidR="00F235D4" w:rsidRPr="000D3090">
        <w:t xml:space="preserve">ing </w:t>
      </w:r>
      <w:r w:rsidR="00B24AC9" w:rsidRPr="000D3090">
        <w:t>shipping distances and costs</w:t>
      </w:r>
      <w:r w:rsidR="00C3644A" w:rsidRPr="000D3090">
        <w:t xml:space="preserve"> </w:t>
      </w:r>
      <w:r w:rsidR="00C3644A" w:rsidRPr="000D3090">
        <w:fldChar w:fldCharType="begin"/>
      </w:r>
      <w:r w:rsidR="00C3644A" w:rsidRPr="000D3090">
        <w:instrText xml:space="preserve"> ADDIN ZOTERO_ITEM CSL_CITATION {"citationID":"aFF4mfga","properties":{"formattedCitation":"(Sousa et al., 2020; Wu et al., 2022)","plainCitation":"(Sousa et al., 2020; Wu et al., 2022)","noteIndex":0},"citationItems":[{"id":3494,"uris":["http://zotero.org/users/12832277/items/C9L7MNVD"],"itemData":{"id":3494,"type":"article-journal","abstract":"Online shopping is growing significantly among rural consumers interested in overcoming product assortment limitations in their local markets. Retailers are taking notice, and some are looking for first-mover-advantage opportunities in rural areas where they see greater potential for growth when compared to saturated urban markets. However, expanding to these areas presents significant and unresolved challenges related to last mile fulfillment caused by low levels of population density as well as other socioeconomic and demographic characteristics. In this article, we present an integrated set of recommendations for online retailers to differentiate strategies to serve rural markets efficiently. To that end, we partnered with an online grocery retailer to examine differences between rural and urban consumers across online shopping preferences that significantly impact fulfillment costs. We draw on those differences and existing knowledge on last mile fulfillment operations to propose a tailored consumer value proposition and operational model for last mile fulfillment in rural markets.","container-title":"Business Horizons","DOI":"10.1016/j.bushor.2020.01.007","ISSN":"0007-6813","issue":"3","journalAbbreviation":"Business Horizons","page":"351-362","source":"ScienceDirect","title":"How to Serve Online Consumers in Rural Markets: Evidence-Based Recommendations","title-short":"How to Serve Online Consumers in Rural Markets","volume":"63","author":[{"family":"Sousa","given":"Rui"},{"family":"Horta","given":"Carolina"},{"family":"Ribeiro","given":"Ricardo"},{"family":"Rabinovich","given":"Elliot"}],"issued":{"date-parts":[["2020",5,1]]}}},{"id":3497,"uris":["http://zotero.org/users/12832277/items/RVQUES5N"],"itemData":{"id":3497,"type":"article-journal","abstract":"Focusing on bottleneck of express package delivery in rural regions, this study proposes a new potential solution, namely, Collaboration of Delivery and Sale (CDS), which integrates the express package delivery with the offline mobile sales. In order to figure out how to implement the CDS mode, the demand for offline mobile shopping is predicted based on the fitted probability distribution of customers’ arrival time, and on this basis, the vehicle routing optimisation model is developed with the objective of maximising profit of CDS service providers. The methodology is applied in three rural towns with different sizes in China. The case-study result demonstrates that adopting the CDS mode is able to greatly improve the profit of CDS service providers, and thus to resolve the problem of high delivery cost in rural regions with sparse delivery demand, and to facilitate the sustainable development of express package delivery service in remote rural regions.","container-title":"International Journal of Logistics Research and Applications","DOI":"10.1080/13675567.2022.2153356","ISSN":"1367-5567","note":"publisher: Taylor &amp; Francis\n_eprint: https://doi.org/10.1080/13675567.2022.2153356","page":"1–29","source":"Taylor and Francis+NEJM","title":"Integrating Express Package Delivery Service with Offline Mobile Sales: A New Potential Solution to Sustainable Last-Mile Logistics in Rural China","author":[{"family":"Wu","given":"Shanhua"},{"family":"Yang","given":"Qian"},{"family":"Yang","given":"Zhongzhen"}],"issued":{"date-parts":[["2022"]]}}}],"schema":"https://github.com/citation-style-language/schema/raw/master/csl-citation.json"} </w:instrText>
      </w:r>
      <w:r w:rsidR="00C3644A" w:rsidRPr="000D3090">
        <w:fldChar w:fldCharType="separate"/>
      </w:r>
      <w:r w:rsidR="00C3644A" w:rsidRPr="000D3090">
        <w:t>(Sousa et al., 2020; Wu et al., 2022)</w:t>
      </w:r>
      <w:r w:rsidR="00C3644A" w:rsidRPr="000D3090">
        <w:fldChar w:fldCharType="end"/>
      </w:r>
      <w:r w:rsidR="00656A55" w:rsidRPr="000D3090">
        <w:t>.</w:t>
      </w:r>
      <w:r w:rsidR="00F235D4" w:rsidRPr="000D3090">
        <w:t xml:space="preserve"> </w:t>
      </w:r>
      <w:r w:rsidR="00926ED3" w:rsidRPr="000D3090">
        <w:tab/>
      </w:r>
    </w:p>
    <w:p w14:paraId="00371A07" w14:textId="7BEABB1C" w:rsidR="00926ED3" w:rsidRPr="000D3090" w:rsidRDefault="00E37856" w:rsidP="00600963">
      <w:pPr>
        <w:spacing w:after="0" w:line="240" w:lineRule="auto"/>
        <w:jc w:val="both"/>
      </w:pPr>
      <w:r w:rsidRPr="000D3090">
        <w:tab/>
        <w:t xml:space="preserve">In addition to geographic disparities, </w:t>
      </w:r>
      <w:r w:rsidR="00656A55" w:rsidRPr="000D3090">
        <w:t xml:space="preserve">demographic </w:t>
      </w:r>
      <w:r w:rsidR="00390D29" w:rsidRPr="000D3090">
        <w:t xml:space="preserve">disparities </w:t>
      </w:r>
      <w:r w:rsidR="00656A55" w:rsidRPr="000D3090">
        <w:t xml:space="preserve">in virtual participation </w:t>
      </w:r>
      <w:r w:rsidR="00390D29" w:rsidRPr="000D3090">
        <w:t>exist based on income and race</w:t>
      </w:r>
      <w:r w:rsidR="00907428" w:rsidRPr="000D3090">
        <w:t>;</w:t>
      </w:r>
      <w:r w:rsidR="00390D29" w:rsidRPr="000D3090">
        <w:t xml:space="preserve"> </w:t>
      </w:r>
      <w:r w:rsidR="004807F1" w:rsidRPr="000D3090">
        <w:t xml:space="preserve">virtual participation is </w:t>
      </w:r>
      <w:r w:rsidR="004B0A9C" w:rsidRPr="000D3090">
        <w:t xml:space="preserve">less </w:t>
      </w:r>
      <w:r w:rsidR="00B40E76" w:rsidRPr="000D3090">
        <w:t xml:space="preserve">common </w:t>
      </w:r>
      <w:r w:rsidR="004807F1" w:rsidRPr="000D3090">
        <w:t xml:space="preserve">among individuals from </w:t>
      </w:r>
      <w:r w:rsidR="004B0A9C" w:rsidRPr="000D3090">
        <w:t xml:space="preserve">low-income </w:t>
      </w:r>
      <w:r w:rsidR="004807F1" w:rsidRPr="000D3090">
        <w:t>households</w:t>
      </w:r>
      <w:r w:rsidR="004B0A9C" w:rsidRPr="000D3090">
        <w:t xml:space="preserve"> and racial minorities</w:t>
      </w:r>
      <w:r w:rsidR="004807F1" w:rsidRPr="000D3090">
        <w:t xml:space="preserve">, population groups that </w:t>
      </w:r>
      <w:r w:rsidR="004B0A9C" w:rsidRPr="000D3090">
        <w:t>already face high</w:t>
      </w:r>
      <w:r w:rsidR="004807F1" w:rsidRPr="000D3090">
        <w:t xml:space="preserve"> </w:t>
      </w:r>
      <w:r w:rsidR="004B0A9C" w:rsidRPr="000D3090">
        <w:t>PPD</w:t>
      </w:r>
      <w:r w:rsidR="00C42B9B" w:rsidRPr="000D3090">
        <w:t xml:space="preserve">. </w:t>
      </w:r>
      <w:r w:rsidR="004807F1" w:rsidRPr="000D3090">
        <w:t xml:space="preserve">Telework promotion strategies </w:t>
      </w:r>
      <w:r w:rsidR="007517B7" w:rsidRPr="000D3090">
        <w:t xml:space="preserve">among these population segments </w:t>
      </w:r>
      <w:r w:rsidR="004807F1" w:rsidRPr="000D3090">
        <w:t xml:space="preserve">can </w:t>
      </w:r>
      <w:r w:rsidR="00A755E6" w:rsidRPr="000D3090">
        <w:t xml:space="preserve">include </w:t>
      </w:r>
      <w:r w:rsidR="00832FE1" w:rsidRPr="000D3090">
        <w:t xml:space="preserve">diverse hiring initiatives and </w:t>
      </w:r>
      <w:r w:rsidR="00786077" w:rsidRPr="000D3090">
        <w:t>financial assistance to cover upfront telework-related expenses such as internet bills, utility costs, and office supplies.</w:t>
      </w:r>
      <w:r w:rsidR="00A7014B" w:rsidRPr="000D3090">
        <w:t xml:space="preserve"> For deliveries, </w:t>
      </w:r>
      <w:r w:rsidR="00A93E03" w:rsidRPr="000D3090">
        <w:t xml:space="preserve">hubs </w:t>
      </w:r>
      <w:r w:rsidR="007D29A9" w:rsidRPr="000D3090">
        <w:t xml:space="preserve">located near underserved communities to </w:t>
      </w:r>
      <w:r w:rsidR="00656A55" w:rsidRPr="000D3090">
        <w:t xml:space="preserve">increase reliability </w:t>
      </w:r>
      <w:r w:rsidR="007517B7" w:rsidRPr="000D3090">
        <w:t xml:space="preserve">and reduce costs, as well as </w:t>
      </w:r>
      <w:r w:rsidR="0046658E" w:rsidRPr="000D3090">
        <w:t xml:space="preserve">the </w:t>
      </w:r>
      <w:r w:rsidR="00656A55" w:rsidRPr="000D3090">
        <w:t>provi</w:t>
      </w:r>
      <w:r w:rsidR="0046658E" w:rsidRPr="000D3090">
        <w:t xml:space="preserve">sion of </w:t>
      </w:r>
      <w:r w:rsidR="00891CF3" w:rsidRPr="000D3090">
        <w:t xml:space="preserve">access to a full range of products through </w:t>
      </w:r>
      <w:r w:rsidR="007517B7" w:rsidRPr="000D3090">
        <w:t xml:space="preserve">online </w:t>
      </w:r>
      <w:r w:rsidR="00891CF3" w:rsidRPr="000D3090">
        <w:t>ordering platforms</w:t>
      </w:r>
      <w:r w:rsidR="007517B7" w:rsidRPr="000D3090">
        <w:t>, can be beneficial</w:t>
      </w:r>
      <w:r w:rsidR="00B56304" w:rsidRPr="000D3090">
        <w:t xml:space="preserve">. </w:t>
      </w:r>
      <w:r w:rsidR="00656A55" w:rsidRPr="000D3090">
        <w:t xml:space="preserve">In contrast, today, </w:t>
      </w:r>
      <w:r w:rsidR="00B56304" w:rsidRPr="000D3090">
        <w:t>many</w:t>
      </w:r>
      <w:r w:rsidR="00473DC2" w:rsidRPr="000D3090">
        <w:t xml:space="preserve"> food and grocery delivery platforms</w:t>
      </w:r>
      <w:r w:rsidR="00B56304" w:rsidRPr="000D3090">
        <w:t xml:space="preserve"> </w:t>
      </w:r>
      <w:r w:rsidR="00656A55" w:rsidRPr="000D3090">
        <w:t>customize their delivery options (in both the variety of the product line and the time/cost of delivery)</w:t>
      </w:r>
      <w:r w:rsidR="00B16D37" w:rsidRPr="000D3090">
        <w:t xml:space="preserve"> based on profit-maximizing margins, </w:t>
      </w:r>
      <w:r w:rsidR="0061481F" w:rsidRPr="000D3090">
        <w:t xml:space="preserve">essentially </w:t>
      </w:r>
      <w:r w:rsidR="00B16D37" w:rsidRPr="000D3090">
        <w:t>exacerbating</w:t>
      </w:r>
      <w:r w:rsidR="0061481F" w:rsidRPr="000D3090">
        <w:t xml:space="preserve"> </w:t>
      </w:r>
      <w:r w:rsidR="00825DDA" w:rsidRPr="000D3090">
        <w:t>existing disparities in physical accessibility</w:t>
      </w:r>
      <w:r w:rsidR="00B16D37" w:rsidRPr="000D3090">
        <w:t xml:space="preserve">. </w:t>
      </w:r>
      <w:r w:rsidR="001D1BB9" w:rsidRPr="000D3090">
        <w:t xml:space="preserve">Fairness </w:t>
      </w:r>
      <w:r w:rsidR="00B16D37" w:rsidRPr="000D3090">
        <w:t>considerations need to be brou</w:t>
      </w:r>
      <w:r w:rsidR="007517B7" w:rsidRPr="000D3090">
        <w:t>ght</w:t>
      </w:r>
      <w:r w:rsidR="00B16D37" w:rsidRPr="000D3090">
        <w:t xml:space="preserve"> to the fore</w:t>
      </w:r>
      <w:r w:rsidR="00B56304" w:rsidRPr="000D3090">
        <w:t xml:space="preserve">, </w:t>
      </w:r>
      <w:r w:rsidR="00B16D37" w:rsidRPr="000D3090">
        <w:t xml:space="preserve">through government incentives for businesses in underserved markets and the creation of </w:t>
      </w:r>
      <w:r w:rsidR="00707E46" w:rsidRPr="000D3090">
        <w:t xml:space="preserve">shared delivery hubs </w:t>
      </w:r>
      <w:r w:rsidR="00B16D37" w:rsidRPr="000D3090">
        <w:t xml:space="preserve">to improve the affordability of delivery services </w:t>
      </w:r>
      <w:r w:rsidR="00544293" w:rsidRPr="000D3090">
        <w:fldChar w:fldCharType="begin"/>
      </w:r>
      <w:r w:rsidR="00397C46" w:rsidRPr="000D3090">
        <w:instrText xml:space="preserve"> ADDIN ZOTERO_ITEM CSL_CITATION {"citationID":"Q4BTNe8k","properties":{"unsorted":true,"formattedCitation":"(Haider et al., 2022; Buettner et al., 2023)","plainCitation":"(Haider et al., 2022; Buettner et al., 2023)","dontUpdate":true,"noteIndex":0},"citationItems":[{"id":3499,"uris":["http://zotero.org/users/12832277/items/9H67MATZ"],"itemData":{"id":3499,"type":"article-journal","container-title":"Socio-Economic Planning Sciences","note":"publisher: Elsevier","page":"101301","source":"Google Scholar","title":"Creating grocery delivery hubs for food deserts at local convenience stores via spatial and temporal consolidation","volume":"82","author":[{"family":"Haider","given":"Zulqarnain"},{"family":"Hu","given":"Yujie"},{"family":"Charkhgard","given":"Hadi"},{"family":"Himmelgreen","given":"David"},{"family":"Kwon","given":"Changhyun"}],"issued":{"date-parts":[["2022"]]}}},{"id":3502,"uris":["http://zotero.org/users/12832277/items/LXW4VMNP"],"itemData":{"id":3502,"type":"article-journal","abstract":"Food delivery apps are popular among young adults and often used to purchase calorie-dense foods. Limited research exists on the use of food delivery apps among young adults. The purpose of this study was to describe food delivery app use among young adults and examine the correlates of food delivery app use. Data are from a panel of U.S. young adults aged 18–25 (n = 1,576) who completed an online survey between January-April 2022. Participants were 51.8% female and 39.3% identified as non-Hispanic white, 24.4% as Hispanic/Latinx, 29.6% as non-Hispanic Black, and 6.8% as another race/ethnicity. Poisson regression was used to examine the relationship between food delivery app use and age, race, ethnicity, sex, SES, food insecurity, living arrangement, financial responsibility, and full-time student status. Young adults used food delivery apps approximately twice a week. Participants who identified as non-Hispanic Black and Hispanic/Latinx used food delivery apps more frequently than participants who identified as white. Having higher perceived subjective social status, food insecurity, financial responsibility, and being a full-time student were significantly associated with using food delivery apps more frequently. Living with someone else was associated with using food delivery apps less frequently. This study provides a first step in understanding the characteristics of young adults who use food delivery apps. Given that food delivery apps are a new technology that can both increase access to unhealthy food options as well as healthy food options, further research is needed to better understand the types of food purchased through food delivery apps.","container-title":"Journal of Community Health","DOI":"10.1007/s10900-023-01229-1","ISSN":"1573-3610","issue":"5","language":"en","page":"840-846","source":"Springer Link","title":"Factors Associated with Food Delivery App use Among Young Adults","volume":"48","author":[{"family":"Buettner","given":"Sarah A."},{"family":"Pasch","given":"Keryn E."},{"family":"Poulos","given":"Natalie S."}],"issued":{"date-parts":[["2023",10,1]]}}}],"schema":"https://github.com/citation-style-language/schema/raw/master/csl-citation.json"} </w:instrText>
      </w:r>
      <w:r w:rsidR="00544293" w:rsidRPr="000D3090">
        <w:fldChar w:fldCharType="separate"/>
      </w:r>
      <w:r w:rsidR="00544293" w:rsidRPr="000D3090">
        <w:t>(</w:t>
      </w:r>
      <w:r w:rsidR="006A75E5" w:rsidRPr="000D3090">
        <w:t xml:space="preserve">see </w:t>
      </w:r>
      <w:r w:rsidR="00544293" w:rsidRPr="000D3090">
        <w:t>Haider et al., 2022; Buettner et al., 2023)</w:t>
      </w:r>
      <w:r w:rsidR="00544293" w:rsidRPr="000D3090">
        <w:fldChar w:fldCharType="end"/>
      </w:r>
      <w:r w:rsidR="00953F20" w:rsidRPr="000D3090">
        <w:t xml:space="preserve">. </w:t>
      </w:r>
    </w:p>
    <w:p w14:paraId="323D7D57" w14:textId="23213DD5" w:rsidR="00E37856" w:rsidRPr="000D3090" w:rsidRDefault="00926ED3" w:rsidP="0092299E">
      <w:pPr>
        <w:spacing w:after="0" w:line="240" w:lineRule="auto"/>
        <w:ind w:firstLine="720"/>
        <w:jc w:val="both"/>
      </w:pPr>
      <w:r w:rsidRPr="000D3090">
        <w:t xml:space="preserve">These findings also highlight that efforts to expand the reach of delivery services should be carefully balanced with the </w:t>
      </w:r>
      <w:r w:rsidR="00E70DDA" w:rsidRPr="000D3090">
        <w:t>ways</w:t>
      </w:r>
      <w:r w:rsidRPr="000D3090">
        <w:t xml:space="preserve"> that these services </w:t>
      </w:r>
      <w:r w:rsidR="00E70DDA" w:rsidRPr="000D3090">
        <w:t>may change</w:t>
      </w:r>
      <w:r w:rsidR="007A1F02" w:rsidRPr="000D3090">
        <w:t xml:space="preserve"> </w:t>
      </w:r>
      <w:r w:rsidR="00E70DDA" w:rsidRPr="000D3090">
        <w:t xml:space="preserve">the availability of </w:t>
      </w:r>
      <w:r w:rsidR="007A1F02" w:rsidRPr="000D3090">
        <w:t xml:space="preserve">physical </w:t>
      </w:r>
      <w:r w:rsidR="00E70DDA" w:rsidRPr="000D3090">
        <w:t>services</w:t>
      </w:r>
      <w:r w:rsidR="007A1F02" w:rsidRPr="000D3090">
        <w:t xml:space="preserve">. </w:t>
      </w:r>
      <w:r w:rsidR="00E70DDA" w:rsidRPr="000D3090">
        <w:t>If the growth of delivery services reduces the availability of physical stores, then overall levels of PPD may rise</w:t>
      </w:r>
      <w:r w:rsidR="001D2D21" w:rsidRPr="000D3090">
        <w:t xml:space="preserve"> </w:t>
      </w:r>
      <w:r w:rsidR="001D2D21" w:rsidRPr="000D3090">
        <w:fldChar w:fldCharType="begin"/>
      </w:r>
      <w:r w:rsidR="007A6CCB" w:rsidRPr="000D3090">
        <w:instrText xml:space="preserve"> ADDIN ZOTERO_ITEM CSL_CITATION {"citationID":"PNdr6Xbg","properties":{"formattedCitation":"(Gauri et al., 2021; Tong et al., 2025)","plainCitation":"(Gauri et al., 2021; Tong et al., 2025)","noteIndex":0},"citationItems":[{"id":4338,"uris":["http://zotero.org/users/12832277/items/8BNVTR6A"],"itemData":{"id":4338,"type":"article-journal","abstract":"In this paper, the authors review current literature on retail formats and propose a new customer-centric framework for retailers to focus on as they continue to innovate and evolve. Specifically, they review the literature on how formats compare in their attributes and compete with each other; the role of customer behavior in format choice; and developments in multichannel and omnichannel retailing. They propose a framework for retail formats suggesting two paths – either reduce friction in the customer journey or enhance customer experience. They discuss the challenges faced by offline (physical store-first) and online (digital-first) retailers and elaborate on strategies each type of retailer is pursuing to address these challenges. Finally, they offer directions for future research in this domain. They conclude by calling for newer digital-first and physical-first players to continue coming up with different customer-centric formats, which they predict will slowly morph into integrated retailers, leaving space for newer players to enter the market and hence keep the wheel of retailing spinning.","collection-title":"Re-Strategizing Retailing in a Technology Based Era","container-title":"Journal of Retailing","DOI":"10.1016/j.jretai.2020.11.002","ISSN":"0022-4359","issue":"1","page":"42-61","source":"ScienceDirect","title":"Evolution of Retail Formats: Past, Present, and Future","volume":"97","author":[{"family":"Gauri","given":"Dinesh K."},{"family":"Jindal","given":"Rupinder P."},{"family":"Ratchford","given":"Brian"},{"family":"Fox","given":"Edward"},{"family":"Bhatnagar","given":"Amit"},{"family":"Pandey","given":"Aashish"},{"family":"Navallo","given":"Jonathan R."},{"family":"Fogarty","given":"John"},{"family":"Carr","given":"Stephen"},{"family":"Howerton","given":"Eric"}],"issued":{"date-parts":[["2021",3,1]]}}},{"id":4341,"uris":["http://zotero.org/users/12832277/items/GS852V5P"],"itemData":{"id":4341,"type":"article","abstract":"The extant service quality literature has attested to the positive outcomes of service timeliness primarily from the customers’ perspective, including customer loyalty and satisfaction. With the wide use of online platforms for online food delivery, we expect service timeliness to exert influence on critical outcomes from the firms’ perspective, particularly restaurant survival. Using empirical evidence from the on-demand food industry, this study investigates the influence of time-related factors (i.e., delivery time and delay rate) on the survival of restaurants during the COVID-19 pandemic. Our findings confirm that an extended delivery time and a high delay rate reduce the probability of restaurant survival. We further reveal that the two time-related factors result in heightened consumer complaints, which subsequently decrease the likelihood of a restaurant’s survival. Unexpectedly, the effects of time-related factors on restaurant survival are not due to consumers’ order cancellations. Furthermore, the positive effect of delivery time on consumer complaints is relatively weaker for high-priced restaurants than for low-priced restaurants, and the presence of an offline restaurant channel reduces the positive impact of delay on consumer complaints. These nuanced findings offer valuable insights into the “distal” effects of service timeliness from the firm’s perspective and significant implications for restaurant operations during economic downturns.","DOI":"10.2139/ssrn.5109339","event-place":"Rochester, NY","genre":"SSRN Scholarly Paper","language":"en","number":"5109339","publisher":"Social Science Research Network","publisher-place":"Rochester, NY","source":"papers.ssrn.com","title":"Time Matters: Examining the Influence of Online Food Delivery on Restaurant Survival","URL":"https://papers.ssrn.com/abstract=5109339","author":[{"family":"Tong","given":"Tingting"},{"family":"Lu","given":"Jizhou"},{"family":"Yan","given":"Nina"},{"family":"Wang","given":"Weiquan"}],"accessed":{"date-parts":[["2025",4,22]]},"issued":{"date-parts":[["2025",1,24]]}}}],"schema":"https://github.com/citation-style-language/schema/raw/master/csl-citation.json"} </w:instrText>
      </w:r>
      <w:r w:rsidR="001D2D21" w:rsidRPr="000D3090">
        <w:fldChar w:fldCharType="separate"/>
      </w:r>
      <w:r w:rsidR="007A6CCB" w:rsidRPr="000D3090">
        <w:t>(Gauri et al., 2021; Tong et al., 2025)</w:t>
      </w:r>
      <w:r w:rsidR="001D2D21" w:rsidRPr="000D3090">
        <w:fldChar w:fldCharType="end"/>
      </w:r>
      <w:r w:rsidR="00E70DDA" w:rsidRPr="000D3090">
        <w:t xml:space="preserve">. This also aligns with our findings that individuals living in areas with higher levels of </w:t>
      </w:r>
      <w:r w:rsidR="00F85541" w:rsidRPr="000D3090">
        <w:t xml:space="preserve">road network density, </w:t>
      </w:r>
      <w:r w:rsidR="00E70DDA" w:rsidRPr="000D3090">
        <w:t>walkability</w:t>
      </w:r>
      <w:r w:rsidR="00F85541" w:rsidRPr="000D3090">
        <w:t>, and</w:t>
      </w:r>
      <w:r w:rsidR="00E70DDA" w:rsidRPr="000D3090">
        <w:t xml:space="preserve"> transit accessibility get </w:t>
      </w:r>
      <w:r w:rsidR="00F85541" w:rsidRPr="000D3090">
        <w:t xml:space="preserve">fewer deliveries, but the effects on PPD due to deliveries are relatively small compared with the direct effects of these physical accessibility changes. Thus, if an expansion of access to delivery services resulted in a loss of access to physical shopping locations, the total impact would likely cause an increase in overall PPD. Conversely, if expanded access to delivery services incorporated support for local businesses or investment by online retailers in physical </w:t>
      </w:r>
      <w:r w:rsidR="00F85541" w:rsidRPr="000D3090">
        <w:lastRenderedPageBreak/>
        <w:t xml:space="preserve">store locations </w:t>
      </w:r>
      <w:r w:rsidR="001D2D21" w:rsidRPr="000D3090">
        <w:fldChar w:fldCharType="begin"/>
      </w:r>
      <w:r w:rsidR="0067380D" w:rsidRPr="000D3090">
        <w:instrText xml:space="preserve"> ADDIN ZOTERO_ITEM CSL_CITATION {"citationID":"6SL8yEAM","properties":{"formattedCitation":"(Gauri et al., 2021)","plainCitation":"(Gauri et al., 2021)","dontUpdate":true,"noteIndex":0},"citationItems":[{"id":4338,"uris":["http://zotero.org/users/12832277/items/8BNVTR6A"],"itemData":{"id":4338,"type":"article-journal","abstract":"In this paper, the authors review current literature on retail formats and propose a new customer-centric framework for retailers to focus on as they continue to innovate and evolve. Specifically, they review the literature on how formats compare in their attributes and compete with each other; the role of customer behavior in format choice; and developments in multichannel and omnichannel retailing. They propose a framework for retail formats suggesting two paths – either reduce friction in the customer journey or enhance customer experience. They discuss the challenges faced by offline (physical store-first) and online (digital-first) retailers and elaborate on strategies each type of retailer is pursuing to address these challenges. Finally, they offer directions for future research in this domain. They conclude by calling for newer digital-first and physical-first players to continue coming up with different customer-centric formats, which they predict will slowly morph into integrated retailers, leaving space for newer players to enter the market and hence keep the wheel of retailing spinning.","collection-title":"Re-Strategizing Retailing in a Technology Based Era","container-title":"Journal of Retailing","DOI":"10.1016/j.jretai.2020.11.002","ISSN":"0022-4359","issue":"1","page":"42-61","source":"ScienceDirect","title":"Evolution of Retail Formats: Past, Present, and Future","volume":"97","author":[{"family":"Gauri","given":"Dinesh K."},{"family":"Jindal","given":"Rupinder P."},{"family":"Ratchford","given":"Brian"},{"family":"Fox","given":"Edward"},{"family":"Bhatnagar","given":"Amit"},{"family":"Pandey","given":"Aashish"},{"family":"Navallo","given":"Jonathan R."},{"family":"Fogarty","given":"John"},{"family":"Carr","given":"Stephen"},{"family":"Howerton","given":"Eric"}],"issued":{"date-parts":[["2021",3,1]]}}}],"schema":"https://github.com/citation-style-language/schema/raw/master/csl-citation.json"} </w:instrText>
      </w:r>
      <w:r w:rsidR="001D2D21" w:rsidRPr="000D3090">
        <w:fldChar w:fldCharType="separate"/>
      </w:r>
      <w:r w:rsidR="001D2D21" w:rsidRPr="000D3090">
        <w:t>(see Gauri et al., 2021)</w:t>
      </w:r>
      <w:r w:rsidR="001D2D21" w:rsidRPr="000D3090">
        <w:fldChar w:fldCharType="end"/>
      </w:r>
      <w:r w:rsidR="00F85541" w:rsidRPr="000D3090">
        <w:rPr>
          <w:b/>
          <w:bCs/>
        </w:rPr>
        <w:t xml:space="preserve"> </w:t>
      </w:r>
      <w:r w:rsidR="00F85541" w:rsidRPr="000D3090">
        <w:t xml:space="preserve">to prevent any reduction in physical accessibility, then an expansion of delivery services would likely help to reduce overall PPD. </w:t>
      </w:r>
      <w:r w:rsidR="007A6CCB" w:rsidRPr="000D3090">
        <w:t xml:space="preserve">Given these results, a focus on maintaining and improving physical accessibility, even with growth in virtual activity participation, is critical for reducing PPD, as discussed next. </w:t>
      </w:r>
    </w:p>
    <w:p w14:paraId="54770329" w14:textId="77777777" w:rsidR="005D5F7F" w:rsidRPr="000D3090" w:rsidRDefault="005D5F7F" w:rsidP="00600963">
      <w:pPr>
        <w:spacing w:after="0" w:line="240" w:lineRule="auto"/>
        <w:jc w:val="both"/>
      </w:pPr>
    </w:p>
    <w:p w14:paraId="2B1D748E" w14:textId="0546AE97" w:rsidR="005D5F7F" w:rsidRPr="000D3090" w:rsidRDefault="005D5F7F" w:rsidP="00600963">
      <w:pPr>
        <w:spacing w:after="0" w:line="240" w:lineRule="auto"/>
        <w:jc w:val="both"/>
        <w:rPr>
          <w:b/>
          <w:bCs/>
        </w:rPr>
      </w:pPr>
      <w:r w:rsidRPr="000D3090">
        <w:rPr>
          <w:b/>
          <w:bCs/>
        </w:rPr>
        <w:t>5.</w:t>
      </w:r>
      <w:r w:rsidR="00B45502" w:rsidRPr="000D3090">
        <w:rPr>
          <w:b/>
          <w:bCs/>
        </w:rPr>
        <w:t>5</w:t>
      </w:r>
      <w:r w:rsidRPr="000D3090">
        <w:rPr>
          <w:b/>
          <w:bCs/>
        </w:rPr>
        <w:t xml:space="preserve"> How </w:t>
      </w:r>
      <w:r w:rsidR="00B45502" w:rsidRPr="000D3090">
        <w:rPr>
          <w:b/>
          <w:bCs/>
        </w:rPr>
        <w:t xml:space="preserve">Can </w:t>
      </w:r>
      <w:r w:rsidRPr="000D3090">
        <w:rPr>
          <w:b/>
          <w:bCs/>
        </w:rPr>
        <w:t>Physical Infrastructure Improvement</w:t>
      </w:r>
      <w:r w:rsidR="00B45502" w:rsidRPr="000D3090">
        <w:rPr>
          <w:b/>
          <w:bCs/>
        </w:rPr>
        <w:t xml:space="preserve"> Reduce PPD?</w:t>
      </w:r>
    </w:p>
    <w:p w14:paraId="02A0865B" w14:textId="301B8462" w:rsidR="005D5F7F" w:rsidRPr="000D3090" w:rsidRDefault="00022CB3" w:rsidP="004414DE">
      <w:pPr>
        <w:spacing w:after="0" w:line="240" w:lineRule="auto"/>
        <w:jc w:val="both"/>
        <w:rPr>
          <w:b/>
          <w:bCs/>
        </w:rPr>
      </w:pPr>
      <w:r w:rsidRPr="000D3090">
        <w:t xml:space="preserve">While virtual </w:t>
      </w:r>
      <w:r w:rsidR="00840F80" w:rsidRPr="000D3090">
        <w:t>participation</w:t>
      </w:r>
      <w:r w:rsidRPr="000D3090">
        <w:t xml:space="preserve"> can play an important role in reducing PPD, </w:t>
      </w:r>
      <w:r w:rsidR="00BA494C" w:rsidRPr="000D3090">
        <w:t xml:space="preserve">it is (as of yet) not doing much </w:t>
      </w:r>
      <w:r w:rsidR="004414DE" w:rsidRPr="000D3090">
        <w:t>for those in low-income, renting, and rural-residing households, as well as for racial minorities and non-drivers</w:t>
      </w:r>
      <w:r w:rsidR="00BA494C" w:rsidRPr="000D3090">
        <w:t xml:space="preserve">. </w:t>
      </w:r>
      <w:r w:rsidR="002C1707" w:rsidRPr="000D3090">
        <w:t xml:space="preserve">In addition, as mentioned above, the direct effects of walkability and transit accessibility on PPD seem to significantly outweigh any effects through virtual activity participation, suggesting that physical neighborhood characteristics are key in experience of PPD. </w:t>
      </w:r>
      <w:r w:rsidR="00BA494C" w:rsidRPr="000D3090">
        <w:t>Many of these population groups cite “not reliable” and “poor destination access” as PPD reasons (see Table 3)</w:t>
      </w:r>
      <w:r w:rsidR="007517B7" w:rsidRPr="000D3090">
        <w:t xml:space="preserve">, which </w:t>
      </w:r>
      <w:r w:rsidR="00BA494C" w:rsidRPr="000D3090">
        <w:t xml:space="preserve">underscores </w:t>
      </w:r>
      <w:r w:rsidR="004414DE" w:rsidRPr="000D3090">
        <w:t xml:space="preserve">the need </w:t>
      </w:r>
      <w:r w:rsidR="00BA494C" w:rsidRPr="000D3090">
        <w:t xml:space="preserve">not to lose sight of </w:t>
      </w:r>
      <w:r w:rsidR="0046658E" w:rsidRPr="000D3090">
        <w:t xml:space="preserve">more traditional </w:t>
      </w:r>
      <w:r w:rsidR="004414DE" w:rsidRPr="000D3090">
        <w:t xml:space="preserve">physical infrastructure improvements to alleviate PPD. </w:t>
      </w:r>
      <w:r w:rsidR="00C772A2" w:rsidRPr="000D3090">
        <w:t xml:space="preserve">Some specific strategies </w:t>
      </w:r>
      <w:r w:rsidR="00EA509F" w:rsidRPr="000D3090">
        <w:t xml:space="preserve">include expanding access to public transportation </w:t>
      </w:r>
      <w:r w:rsidR="00BA494C" w:rsidRPr="000D3090">
        <w:t xml:space="preserve">by (a) designing </w:t>
      </w:r>
      <w:r w:rsidR="00EA509F" w:rsidRPr="000D3090">
        <w:t xml:space="preserve">routes </w:t>
      </w:r>
      <w:r w:rsidR="00BA494C" w:rsidRPr="000D3090">
        <w:t xml:space="preserve">that </w:t>
      </w:r>
      <w:r w:rsidR="00EA509F" w:rsidRPr="000D3090">
        <w:t xml:space="preserve">connect </w:t>
      </w:r>
      <w:r w:rsidR="006559F1" w:rsidRPr="000D3090">
        <w:t xml:space="preserve">low-income </w:t>
      </w:r>
      <w:r w:rsidR="00EA509F" w:rsidRPr="000D3090">
        <w:t xml:space="preserve">residential areas to key points of interest (including employment centers, educational institutions, healthcare facilities, grocery stores, and recreational facilities), </w:t>
      </w:r>
      <w:r w:rsidR="00BA494C" w:rsidRPr="000D3090">
        <w:t xml:space="preserve">(b) </w:t>
      </w:r>
      <w:r w:rsidR="00EA509F" w:rsidRPr="000D3090">
        <w:t xml:space="preserve">improving last-mile connectivity </w:t>
      </w:r>
      <w:r w:rsidR="00CD7BC1" w:rsidRPr="000D3090">
        <w:t xml:space="preserve">both </w:t>
      </w:r>
      <w:r w:rsidR="00EA509F" w:rsidRPr="000D3090">
        <w:t xml:space="preserve">through the use of bike-sharing and scooter programs </w:t>
      </w:r>
      <w:r w:rsidR="00CD7BC1" w:rsidRPr="000D3090">
        <w:t xml:space="preserve">and </w:t>
      </w:r>
      <w:r w:rsidR="00BA494C" w:rsidRPr="000D3090">
        <w:t xml:space="preserve">good provision of </w:t>
      </w:r>
      <w:r w:rsidR="00EA509F" w:rsidRPr="000D3090">
        <w:t>sidewalks</w:t>
      </w:r>
      <w:r w:rsidR="00BA494C" w:rsidRPr="000D3090">
        <w:t>/</w:t>
      </w:r>
      <w:r w:rsidR="00EA509F" w:rsidRPr="000D3090">
        <w:t xml:space="preserve">bike lanes, and </w:t>
      </w:r>
      <w:r w:rsidR="00BA494C" w:rsidRPr="000D3090">
        <w:t xml:space="preserve">(c) provision of reliable </w:t>
      </w:r>
      <w:r w:rsidR="00EA509F" w:rsidRPr="000D3090">
        <w:t>public tr</w:t>
      </w:r>
      <w:r w:rsidR="00BA494C" w:rsidRPr="000D3090">
        <w:t xml:space="preserve">ansportation services </w:t>
      </w:r>
      <w:r w:rsidR="00EA509F" w:rsidRPr="000D3090">
        <w:t>by establishing dedicated bus lanes, increasing frequency during peak hours, and implementing real-time tracking systems so that users can efficiently navigate schedules and delays</w:t>
      </w:r>
      <w:r w:rsidR="003009E9" w:rsidRPr="000D3090">
        <w:t xml:space="preserve"> </w:t>
      </w:r>
      <w:r w:rsidR="00874395" w:rsidRPr="000D3090">
        <w:fldChar w:fldCharType="begin"/>
      </w:r>
      <w:r w:rsidR="00374A3B" w:rsidRPr="000D3090">
        <w:instrText xml:space="preserve"> ADDIN ZOTERO_ITEM CSL_CITATION {"citationID":"69ROJHrR","properties":{"formattedCitation":"(Al-Hawari et al., 2020; Beale et al., 2023)","plainCitation":"(Al-Hawari et al., 2020; Beale et al., 2023)","dontUpdate":true,"noteIndex":0},"citationItems":[{"id":3524,"uris":["http://zotero.org/users/12832277/items/U8HCIZI9"],"itemData":{"id":3524,"type":"article-journal","abstract":"This paper addresses various aspects related to the design, development, and validation of a web-based information system that is intended to facilitate the management of a bus transportation service offered by a Jordanian university to its staff and students. Passengers can use this system to track bus trips to find out how far a desired bus is from a specific location. Also, they can know about arrivals and departures of buses managed using this system. Specifically, this work explores UI design, data structures, database design, system architecture, and development methods to realize the required features (e.g., user roles, bus setup, driver assignment, bus routes, bus schedules, and trip monitoring) in the proposed bus location tracking system. It also suggests using the free open-source API, rather than the proprietary Google Maps API, to develop the interactive maps. The system also records trip information and solicits passenger feedback to allow reviewing and analyzing that data to enhance the quality of service, reduce operation cost, and improve passenger satisfaction. The conducted comparative analysis results illustrate that the open-source API is accurate, fast, and responsive similar to the proprietary API. Furthermore, the user survey output confirms that the deployed system is easy to use, helpful, fast, responsive, and accurate.","container-title":"Journal of Advanced Transportation","DOI":"10.1155/2020/8895927","ISSN":"2042-3195","issue":"1","language":"en","license":"Copyright © 2020 Feras Al-Hawari et al.","note":"_eprint: https://onlinelibrary.wiley.com/doi/pdf/10.1155/2020/8895927","source":"Wiley Online Library","title":"Design, Validation, and Comparative Analysis of a Private Bus Location Tracking Information System","URL":"https://onlinelibrary.wiley.com/doi/abs/10.1155/2020/8895927","volume":"2020","author":[{"family":"Al-Hawari","given":"Feras"},{"family":"Al-Sammarraie","given":"Mohammed"},{"family":"Al-Khaffaf","given":"Taha"}],"accessed":{"date-parts":[["2024",6,21]]},"issued":{"date-parts":[["2020"]]}}},{"id":3527,"uris":["http://zotero.org/users/12832277/items/VS2SA86D"],"itemData":{"id":3527,"type":"article-journal","abstract":"This study explores how shared micromobility services can integrate with public transit through equitable payment structures to address first and last mile issues for light rail transit riders in Seattle, WA, and increase accessibility for low-income households. Seattle has recently permitted shared micromobility services such as e-scooter companies to begin operating alongside existing bikesharing services in the city. However, equity concerns have arisen as the users of bikeshare have been disproportionately white, affluent, and well-educated. To address these concerns, efforts have been made to reduce barriers to access and make these services more equitable to encourage their use among marginalized populations. Previous research has demonstrated evidence that these services can improve accessibility for disadvantaged populations such as low-income people of color. This research consists primarily of a literature review of relevant academic and gray literature, and a jurisdictional scan of cities in the U.S., Canada, Finland, and China. The objective of this research is to identify barriers to accessing shared micromobility services and synthesize existing best practices to propose solutions to make these services more equitable. Findings from this research then inform a set of recommendations for equitable payment integration in King County, which can also be generalized to other municipalities that are striving for equitable public transit and shared micromobility integration.","container-title":"Transportation Research Record","DOI":"10.1177/03611981221103233","ISSN":"0361-1981","issue":"1","language":"en","note":"publisher: SAGE Publications Inc","page":"968-980","source":"SAGE Journals","title":"Integrating Public Transit and Shared Micromobility Payments to Improve Transportation Equity in Seattle, WA","volume":"2677","author":[{"family":"Beale","given":"Kirsten"},{"family":"Kapatsila","given":"Bogdan"},{"family":"Grisé","given":"Emily"}],"issued":{"date-parts":[["2023",1,1]]}}}],"schema":"https://github.com/citation-style-language/schema/raw/master/csl-citation.json"} </w:instrText>
      </w:r>
      <w:r w:rsidR="00874395" w:rsidRPr="000D3090">
        <w:fldChar w:fldCharType="separate"/>
      </w:r>
      <w:r w:rsidR="004C31C8" w:rsidRPr="000D3090">
        <w:t>(see, for example, Al-Hawari et al., 2020; Beale et al., 2023)</w:t>
      </w:r>
      <w:r w:rsidR="00874395" w:rsidRPr="000D3090">
        <w:fldChar w:fldCharType="end"/>
      </w:r>
      <w:r w:rsidR="00EA509F" w:rsidRPr="000D3090">
        <w:t>.</w:t>
      </w:r>
      <w:r w:rsidR="00BA494C" w:rsidRPr="000D3090">
        <w:t xml:space="preserve"> </w:t>
      </w:r>
      <w:r w:rsidR="002C1707" w:rsidRPr="000D3090">
        <w:t xml:space="preserve">The fact that individuals in areas with better transit access report higher levels of PPD indicates that transit services should continue to be improved to reduce PPD. Given that PPD represents the gap between </w:t>
      </w:r>
      <w:r w:rsidR="00EB34BB" w:rsidRPr="000D3090">
        <w:t xml:space="preserve">the </w:t>
      </w:r>
      <w:r w:rsidR="002C1707" w:rsidRPr="000D3090">
        <w:t xml:space="preserve">expected level of access to physical participation and </w:t>
      </w:r>
      <w:r w:rsidR="00EB34BB" w:rsidRPr="000D3090">
        <w:t xml:space="preserve">the </w:t>
      </w:r>
      <w:r w:rsidR="002C1707" w:rsidRPr="000D3090">
        <w:t xml:space="preserve">actual level of accessibility achieved, the high PPD among those who are more reliant on transit indicates that there is a continued mismatch between expectations about accessibility provided by transit and actual transit outcomes. As mentioned above, improving transit reliability and better aligning transit routes with the needs of riders are </w:t>
      </w:r>
      <w:r w:rsidR="00EB34BB" w:rsidRPr="000D3090">
        <w:t>important</w:t>
      </w:r>
      <w:r w:rsidR="002C1707" w:rsidRPr="000D3090">
        <w:t xml:space="preserve"> ways to reduce this gap. </w:t>
      </w:r>
      <w:r w:rsidR="00F92434" w:rsidRPr="000D3090">
        <w:t>A</w:t>
      </w:r>
      <w:r w:rsidR="00EA509F" w:rsidRPr="000D3090">
        <w:t>ffordability is a</w:t>
      </w:r>
      <w:r w:rsidR="00F92434" w:rsidRPr="000D3090">
        <w:t>nother</w:t>
      </w:r>
      <w:r w:rsidR="00EA509F" w:rsidRPr="000D3090">
        <w:t xml:space="preserve"> common concern for rural-residing residents as well as renters and low-income individuals. Providing discounted or free public transportation ridership, partnering with ride-sharing companies to offer subsidized rides, and </w:t>
      </w:r>
      <w:r w:rsidR="00C51DE4" w:rsidRPr="000D3090">
        <w:t xml:space="preserve">implementing income-based </w:t>
      </w:r>
      <w:r w:rsidR="00BA494C" w:rsidRPr="000D3090">
        <w:t>fare</w:t>
      </w:r>
      <w:r w:rsidR="00C51DE4" w:rsidRPr="000D3090">
        <w:t xml:space="preserve"> structures </w:t>
      </w:r>
      <w:r w:rsidR="00204072" w:rsidRPr="000D3090">
        <w:t xml:space="preserve">may all be </w:t>
      </w:r>
      <w:r w:rsidR="00EA509F" w:rsidRPr="000D3090">
        <w:t xml:space="preserve">effective </w:t>
      </w:r>
      <w:r w:rsidR="00204072" w:rsidRPr="000D3090">
        <w:t xml:space="preserve">ways of </w:t>
      </w:r>
      <w:r w:rsidR="007517B7" w:rsidRPr="000D3090">
        <w:t xml:space="preserve">addressing </w:t>
      </w:r>
      <w:r w:rsidR="00204072" w:rsidRPr="000D3090">
        <w:t>affordability</w:t>
      </w:r>
      <w:r w:rsidR="007517B7" w:rsidRPr="000D3090">
        <w:t xml:space="preserve"> concerns</w:t>
      </w:r>
      <w:r w:rsidR="00204072" w:rsidRPr="000D3090">
        <w:t>. Additionally, investing in demand-responsive transit may be</w:t>
      </w:r>
      <w:r w:rsidR="0036695F" w:rsidRPr="000D3090">
        <w:t xml:space="preserve"> </w:t>
      </w:r>
      <w:r w:rsidR="00204072" w:rsidRPr="000D3090">
        <w:t xml:space="preserve">effective </w:t>
      </w:r>
      <w:r w:rsidR="0036695F" w:rsidRPr="000D3090">
        <w:t>in</w:t>
      </w:r>
      <w:r w:rsidR="00204072" w:rsidRPr="000D3090">
        <w:t xml:space="preserve"> rural areas as </w:t>
      </w:r>
      <w:r w:rsidR="00EE7F28" w:rsidRPr="000D3090">
        <w:t xml:space="preserve">it </w:t>
      </w:r>
      <w:r w:rsidR="00204072" w:rsidRPr="000D3090">
        <w:t>can offer</w:t>
      </w:r>
      <w:r w:rsidR="006559F1" w:rsidRPr="000D3090">
        <w:t xml:space="preserve"> a</w:t>
      </w:r>
      <w:r w:rsidR="00204072" w:rsidRPr="000D3090">
        <w:t xml:space="preserve"> </w:t>
      </w:r>
      <w:r w:rsidR="006559F1" w:rsidRPr="000D3090">
        <w:t>cost-effective and flexible transportation alternative</w:t>
      </w:r>
      <w:r w:rsidR="00204072" w:rsidRPr="000D3090">
        <w:t xml:space="preserve"> in areas without enough demand to support fixed-route public transportation</w:t>
      </w:r>
      <w:r w:rsidR="0033421A" w:rsidRPr="000D3090">
        <w:t xml:space="preserve"> </w:t>
      </w:r>
      <w:r w:rsidR="00BB630B" w:rsidRPr="000D3090">
        <w:rPr>
          <w:b/>
          <w:bCs/>
        </w:rPr>
        <w:fldChar w:fldCharType="begin"/>
      </w:r>
      <w:r w:rsidR="00374A3B" w:rsidRPr="000D3090">
        <w:rPr>
          <w:b/>
          <w:bCs/>
        </w:rPr>
        <w:instrText xml:space="preserve"> ADDIN ZOTERO_ITEM CSL_CITATION {"citationID":"0afc9kdE","properties":{"formattedCitation":"(Vansteenwegen et al., 2022)","plainCitation":"(Vansteenwegen et al., 2022)","noteIndex":0},"citationItems":[{"id":3529,"uris":["http://zotero.org/users/12832277/items/ZB8DMVE9"],"itemData":{"id":3529,"type":"article-journal","abstract":"When demand for transportation is low or highly variable, traditional public bus services tend to lose their efficiency and typically frustrate (potential) passengers. In the literature, a large number of demand-responsive systems, that promise improved flexibility, have therefore been developed. At present, however, a comprehensive survey of these systems is lacking. In this paper, we fill this gap by presenting a unifying framework that classifies all demand-responsive public bus systems. The classification is mainly based on three degrees of responsiveness: dynamic online, dynamic offline, and static. For each system we discuss the specific optimization problem modeled, whether realistic data is considered, and the size of the instances used for testing. Where possible, we try to draw conclusions on the current state of the literature and try to identify potential avenues for future research. Different tables are included to structure and summarize the information of all papers.","container-title":"Transportation Research Part C: Emerging Technologies","DOI":"10.1016/j.trc.2022.103573","ISSN":"0968-090X","source":"ScienceDirect","title":"A Survey on Demand-Responsive Public Bus Systems","URL":"https://www.sciencedirect.com/science/article/pii/S0968090X22000195","volume":"137","author":[{"family":"Vansteenwegen","given":"Pieter"},{"family":"Melis","given":"Lissa"},{"family":"Aktaş","given":"Dilay"},{"family":"Montenegro","given":"Bryan David Galarza"},{"family":"Sartori Vieira","given":"Fábio"},{"family":"Sörensen","given":"Kenneth"}],"accessed":{"date-parts":[["2024",6,21]]},"issued":{"date-parts":[["2022",4,1]]}}}],"schema":"https://github.com/citation-style-language/schema/raw/master/csl-citation.json"} </w:instrText>
      </w:r>
      <w:r w:rsidR="00BB630B" w:rsidRPr="000D3090">
        <w:rPr>
          <w:b/>
          <w:bCs/>
        </w:rPr>
        <w:fldChar w:fldCharType="separate"/>
      </w:r>
      <w:r w:rsidR="00BB630B" w:rsidRPr="000D3090">
        <w:t>(Vansteenwegen et al., 2022)</w:t>
      </w:r>
      <w:r w:rsidR="00BB630B" w:rsidRPr="000D3090">
        <w:rPr>
          <w:b/>
          <w:bCs/>
        </w:rPr>
        <w:fldChar w:fldCharType="end"/>
      </w:r>
      <w:r w:rsidR="00204072" w:rsidRPr="000D3090">
        <w:t>.</w:t>
      </w:r>
      <w:r w:rsidR="006559F1" w:rsidRPr="000D3090">
        <w:t xml:space="preserve"> </w:t>
      </w:r>
      <w:r w:rsidR="002C1707" w:rsidRPr="000D3090">
        <w:t xml:space="preserve">In addition to expanding and improving transit accessibility, improving pedestrian accessibility and neighborhood walkability is an important step towards reducing PPD. We find that individuals in more walkable neighborhoods have significantly reduced PPD, and improving pedestrian access </w:t>
      </w:r>
      <w:r w:rsidR="00EB34BB" w:rsidRPr="000D3090">
        <w:t>can be particularly beneficial at addressing safety and affordability concerns expressed by these groups with high PPD. Specific steps include developing mixed-use neighborhood that put stores and services at walkable distances relative to homes and apartments (as well as workplaces), expanding footpath connectivity, ensuring that signalized intersections are equipped with accessible pedestrian signals</w:t>
      </w:r>
      <w:r w:rsidR="002C1707" w:rsidRPr="000D3090">
        <w:t xml:space="preserve"> </w:t>
      </w:r>
      <w:r w:rsidR="00EB34BB" w:rsidRPr="000D3090">
        <w:t xml:space="preserve">and that crossing times are sufficient for those with low mobility, and ensuring that walking paths are safe, separated from traffic, and provide a pleasant walking experience </w:t>
      </w:r>
      <w:r w:rsidR="00EB34BB" w:rsidRPr="000D3090">
        <w:fldChar w:fldCharType="begin"/>
      </w:r>
      <w:r w:rsidR="001D1BB9" w:rsidRPr="000D3090">
        <w:instrText xml:space="preserve"> ADDIN ZOTERO_ITEM CSL_CITATION {"citationID":"xknnrK7c","properties":{"unsorted":true,"formattedCitation":"(Cerin et al., 2020; De Vos et al., 2023)","plainCitation":"(Cerin et al., 2020; De Vos et al., 2023)","dontUpdate":true,"noteIndex":0},"citationItems":[{"id":1738,"uris":["http://zotero.org/users/12832277/items/NBAIJW42"],"itemData":{"id":1738,"type":"article-journal","abstract":"Population growth, population ageing, and urbanisation are major global demographic trends that call for an examination of the impact of urban densification on older adults’ health-enhancing behaviours, such as walking. No studies have examined the pathways through which urban densification may affect older adults’ walking. This information is key to evidence-based, health-oriented urban and transport planning. This study aimed to identify neighbourhood environment characteristics potentially responsible for the effects of neighbourhood densification on older adults’ frequency and amount of transportation and recreation walking within and outside the neighbourhood.","container-title":"International Journal of Health Geographics","DOI":"10.1186/s12942-020-00210-8","ISSN":"1476-072X","issue":"1","journalAbbreviation":"Int J Health Geogr","language":"en","page":"14","source":"Springer Link","title":"How Urban Densification Shapes Walking Behaviours in Older Community Dwellers: A Cross-Sectional Analysis of Potential Pathways of Influence","volume":"19","author":[{"family":"Cerin","given":"Ester"},{"family":"Barnett","given":"Anthony"},{"family":"Zhang","given":"Casper J. P."},{"family":"Lai","given":"Poh-chin"},{"family":"Sit","given":"Cindy H. P."},{"family":"Lee","given":"Ruby S. Y."}],"issued":{"date-parts":[["2020",4,16]]}}},{"id":1908,"uris":["http://zotero.org/users/12832277/items/EUPYB3ZT"],"itemData":{"id":1908,"type":"article-journal","abstract":"For decades, accessibility – i.e. the ease of reaching destinations – has been an important concept in transport planning, resulting in many studies trying to measure it and put it into practice. Also walkability, a mode-specific type of accessibility referring to how easy it is to walk (to destinations) received increased attention in the last two decades. In recent years, a new focus has been on how people perceive their accessibility as this may be a stronger predictor of travel behaviour than objective elements of accessibility (such as built environment characteristics). Perceived walkability, i.e. how walk-friendly people experience a certain area, however, has only been explored by a limited number of studies. In this review paper, we give an overview of existing studies analysing perceived walkability, which mostly have focused on its effects on walking frequency/duration, physical activity and various aspects of mental well-being. Based on this literature review, a conceptual model is created, emphasising the determinants and effects of perceived walkability and how it is related to objective walkability. We end this paper by providing avenues for further research, including the introduction of a Short Perceived Walkability Scale (SPWS) and recommendations for data collection and analysis. Doing so can create new insights into perceived walkability and links with related elements, and therefore can contribute to stimulating walking trips and improving the experience of these trips.","container-title":"Transport Reviews","DOI":"10.1080/01441647.2022.2101072","ISSN":"0144-1647","issue":"2","note":"publisher: Routledge\n_eprint: https://doi.org/10.1080/01441647.2022.2101072","page":"303-324","source":"Taylor and Francis+NEJM","title":"Determinants and Effects of Perceived Walkability: A Literature Review, Conceptual Model and Research Agenda","volume":"43","author":[{"family":"De Vos","given":"Jonas"},{"family":"Lättman","given":"Katrin"},{"family":"Vlugt","given":"Anna-Lena","non-dropping-particle":"van der"},{"family":"Welsch","given":"Janina"},{"family":"Otsuka","given":"Noriko"}],"issued":{"date-parts":[["2023",3,4]]}}}],"schema":"https://github.com/citation-style-language/schema/raw/master/csl-citation.json"} </w:instrText>
      </w:r>
      <w:r w:rsidR="00EB34BB" w:rsidRPr="000D3090">
        <w:fldChar w:fldCharType="separate"/>
      </w:r>
      <w:r w:rsidR="001D1BB9" w:rsidRPr="000D3090">
        <w:t>(see Cerin et al., 2020; De Vos et al., 2023)</w:t>
      </w:r>
      <w:r w:rsidR="00EB34BB" w:rsidRPr="000D3090">
        <w:fldChar w:fldCharType="end"/>
      </w:r>
      <w:r w:rsidR="00EB34BB" w:rsidRPr="000D3090">
        <w:t xml:space="preserve">. </w:t>
      </w:r>
      <w:r w:rsidR="0036695F" w:rsidRPr="000D3090">
        <w:t>P</w:t>
      </w:r>
      <w:r w:rsidR="00F92434" w:rsidRPr="000D3090">
        <w:t>rioritizing these types of physical</w:t>
      </w:r>
      <w:r w:rsidR="0036695F" w:rsidRPr="000D3090">
        <w:t xml:space="preserve"> transportation </w:t>
      </w:r>
      <w:r w:rsidR="00F92434" w:rsidRPr="000D3090">
        <w:t xml:space="preserve">infrastructure </w:t>
      </w:r>
      <w:r w:rsidR="00F92434" w:rsidRPr="000D3090">
        <w:lastRenderedPageBreak/>
        <w:t xml:space="preserve">improvements </w:t>
      </w:r>
      <w:r w:rsidR="0036695F" w:rsidRPr="000D3090">
        <w:t xml:space="preserve">is particularly important given the substantial direct PPD effect for these population groups, as evidenced in Table 5. </w:t>
      </w:r>
    </w:p>
    <w:p w14:paraId="1D340EB6" w14:textId="77777777" w:rsidR="004414DE" w:rsidRPr="000D3090" w:rsidRDefault="004414DE" w:rsidP="00D3089B">
      <w:pPr>
        <w:spacing w:after="0" w:line="240" w:lineRule="auto"/>
        <w:rPr>
          <w:b/>
          <w:bCs/>
        </w:rPr>
      </w:pPr>
    </w:p>
    <w:p w14:paraId="5EA95095" w14:textId="630A4CE0" w:rsidR="00DC7402" w:rsidRPr="000D3090" w:rsidRDefault="00DC7402" w:rsidP="00D3089B">
      <w:pPr>
        <w:spacing w:after="0" w:line="240" w:lineRule="auto"/>
        <w:rPr>
          <w:b/>
          <w:bCs/>
        </w:rPr>
      </w:pPr>
      <w:r w:rsidRPr="000D3090">
        <w:rPr>
          <w:b/>
          <w:bCs/>
        </w:rPr>
        <w:t>6. CONCLUSIONS</w:t>
      </w:r>
    </w:p>
    <w:p w14:paraId="32148B5D" w14:textId="257D00F3" w:rsidR="00DC7402" w:rsidRPr="000D3090" w:rsidRDefault="00045A87" w:rsidP="008F1D0F">
      <w:pPr>
        <w:spacing w:after="0" w:line="240" w:lineRule="auto"/>
        <w:jc w:val="both"/>
        <w:rPr>
          <w:b/>
          <w:bCs/>
        </w:rPr>
      </w:pPr>
      <w:r w:rsidRPr="000D3090">
        <w:t>In the current study, using data from the 2022 National Household Travel Survey, we investigate the</w:t>
      </w:r>
      <w:r w:rsidR="00A364DD" w:rsidRPr="000D3090">
        <w:t xml:space="preserve"> </w:t>
      </w:r>
      <w:r w:rsidR="008F1D0F" w:rsidRPr="000D3090">
        <w:t>dissonance</w:t>
      </w:r>
      <w:r w:rsidR="00A364DD" w:rsidRPr="000D3090">
        <w:t xml:space="preserve"> that exists between how much individuals would like to participate in </w:t>
      </w:r>
      <w:r w:rsidR="003A428A" w:rsidRPr="000D3090">
        <w:t xml:space="preserve">in-person OH </w:t>
      </w:r>
      <w:r w:rsidR="00A364DD" w:rsidRPr="000D3090">
        <w:t xml:space="preserve">activities </w:t>
      </w:r>
      <w:r w:rsidR="00A957D4" w:rsidRPr="000D3090">
        <w:t>and how much they are actually able to</w:t>
      </w:r>
      <w:r w:rsidR="008F1D0F" w:rsidRPr="000D3090">
        <w:t xml:space="preserve"> (PPD)</w:t>
      </w:r>
      <w:r w:rsidR="00A957D4" w:rsidRPr="000D3090">
        <w:t xml:space="preserve">, as well as the extent to which virtual </w:t>
      </w:r>
      <w:r w:rsidR="003A428A" w:rsidRPr="000D3090">
        <w:t xml:space="preserve">participation </w:t>
      </w:r>
      <w:r w:rsidR="00A957D4" w:rsidRPr="000D3090">
        <w:t xml:space="preserve">can alleviate this </w:t>
      </w:r>
      <w:r w:rsidR="008F1D0F" w:rsidRPr="000D3090">
        <w:t>dissonance</w:t>
      </w:r>
      <w:r w:rsidR="00A957D4" w:rsidRPr="000D3090">
        <w:t>.</w:t>
      </w:r>
      <w:r w:rsidR="00787CD6" w:rsidRPr="000D3090">
        <w:t xml:space="preserve"> </w:t>
      </w:r>
      <w:r w:rsidR="00F17E7A" w:rsidRPr="000D3090">
        <w:t xml:space="preserve">Our results reveal that </w:t>
      </w:r>
      <w:r w:rsidR="002259E3" w:rsidRPr="000D3090">
        <w:t xml:space="preserve">low-income individuals, racial minorities, </w:t>
      </w:r>
      <w:r w:rsidR="007B0C52" w:rsidRPr="000D3090">
        <w:t>older individuals, those without driver’s licenses</w:t>
      </w:r>
      <w:r w:rsidR="000C34FA" w:rsidRPr="000D3090">
        <w:t xml:space="preserve">, and individuals with medical conditions </w:t>
      </w:r>
      <w:r w:rsidR="003A428A" w:rsidRPr="000D3090">
        <w:t xml:space="preserve">(that </w:t>
      </w:r>
      <w:r w:rsidR="000C34FA" w:rsidRPr="000D3090">
        <w:t>limi</w:t>
      </w:r>
      <w:r w:rsidR="003A428A" w:rsidRPr="000D3090">
        <w:t>t</w:t>
      </w:r>
      <w:r w:rsidR="000C34FA" w:rsidRPr="000D3090">
        <w:t xml:space="preserve"> </w:t>
      </w:r>
      <w:r w:rsidR="003A428A" w:rsidRPr="000D3090">
        <w:t xml:space="preserve">their ability to travel) </w:t>
      </w:r>
      <w:r w:rsidR="007B0C52" w:rsidRPr="000D3090">
        <w:t xml:space="preserve">are more likely to experience </w:t>
      </w:r>
      <w:r w:rsidR="008F1D0F" w:rsidRPr="000D3090">
        <w:t>PPD</w:t>
      </w:r>
      <w:r w:rsidR="003A428A" w:rsidRPr="000D3090">
        <w:t xml:space="preserve"> than their peers</w:t>
      </w:r>
      <w:r w:rsidR="007B0C52" w:rsidRPr="000D3090">
        <w:t xml:space="preserve">. </w:t>
      </w:r>
      <w:r w:rsidR="007806C8" w:rsidRPr="000D3090">
        <w:t xml:space="preserve">We </w:t>
      </w:r>
      <w:r w:rsidR="008F1D0F" w:rsidRPr="000D3090">
        <w:t xml:space="preserve">also </w:t>
      </w:r>
      <w:r w:rsidR="007806C8" w:rsidRPr="000D3090">
        <w:t xml:space="preserve">find significant heterogeneity in the </w:t>
      </w:r>
      <w:r w:rsidR="003A428A" w:rsidRPr="000D3090">
        <w:t xml:space="preserve">PPD </w:t>
      </w:r>
      <w:r w:rsidR="0046658E" w:rsidRPr="000D3090">
        <w:t xml:space="preserve">reasons </w:t>
      </w:r>
      <w:r w:rsidR="003A428A" w:rsidRPr="000D3090">
        <w:t>across different population group</w:t>
      </w:r>
      <w:r w:rsidR="0046658E" w:rsidRPr="000D3090">
        <w:t xml:space="preserve">s; </w:t>
      </w:r>
      <w:r w:rsidR="00B864B5" w:rsidRPr="000D3090">
        <w:t xml:space="preserve">low-income individuals and racial minorities tend to attribute </w:t>
      </w:r>
      <w:r w:rsidR="003A428A" w:rsidRPr="000D3090">
        <w:t>PPD</w:t>
      </w:r>
      <w:r w:rsidR="00B864B5" w:rsidRPr="000D3090">
        <w:t xml:space="preserve"> to </w:t>
      </w:r>
      <w:r w:rsidR="003A428A" w:rsidRPr="000D3090">
        <w:t>infrastructure-related</w:t>
      </w:r>
      <w:r w:rsidR="00B864B5" w:rsidRPr="000D3090">
        <w:t xml:space="preserve"> factors</w:t>
      </w:r>
      <w:r w:rsidR="00CC1CDF" w:rsidRPr="000D3090">
        <w:t xml:space="preserve"> (</w:t>
      </w:r>
      <w:r w:rsidR="008F1D0F" w:rsidRPr="000D3090">
        <w:t>such as</w:t>
      </w:r>
      <w:r w:rsidR="00CC1CDF" w:rsidRPr="000D3090">
        <w:t xml:space="preserve"> “poor destination access,” “not reliable,” and “not affordable”),</w:t>
      </w:r>
      <w:r w:rsidR="00B864B5" w:rsidRPr="000D3090">
        <w:t xml:space="preserve"> </w:t>
      </w:r>
      <w:r w:rsidR="0046658E" w:rsidRPr="000D3090">
        <w:t xml:space="preserve">while </w:t>
      </w:r>
      <w:r w:rsidR="00B864B5" w:rsidRPr="000D3090">
        <w:t xml:space="preserve">older individuals </w:t>
      </w:r>
      <w:r w:rsidR="007806C8" w:rsidRPr="000D3090">
        <w:t xml:space="preserve">and those with medical conditions tend to attribute dissonance to health problems and </w:t>
      </w:r>
      <w:r w:rsidR="00CC1CDF" w:rsidRPr="000D3090">
        <w:t xml:space="preserve">COVID </w:t>
      </w:r>
      <w:r w:rsidR="007806C8" w:rsidRPr="000D3090">
        <w:t xml:space="preserve">concerns. </w:t>
      </w:r>
      <w:r w:rsidR="00B8789A" w:rsidRPr="000D3090">
        <w:t xml:space="preserve">Finally, </w:t>
      </w:r>
      <w:r w:rsidR="003A428A" w:rsidRPr="000D3090">
        <w:t>virtual</w:t>
      </w:r>
      <w:r w:rsidR="00B8789A" w:rsidRPr="000D3090">
        <w:t xml:space="preserve"> </w:t>
      </w:r>
      <w:r w:rsidR="003A428A" w:rsidRPr="000D3090">
        <w:t>participation</w:t>
      </w:r>
      <w:r w:rsidR="00B8789A" w:rsidRPr="000D3090">
        <w:t xml:space="preserve"> </w:t>
      </w:r>
      <w:r w:rsidR="003A428A" w:rsidRPr="000D3090">
        <w:t xml:space="preserve">appears </w:t>
      </w:r>
      <w:r w:rsidR="002C784A" w:rsidRPr="000D3090">
        <w:t xml:space="preserve">to </w:t>
      </w:r>
      <w:r w:rsidR="00B8789A" w:rsidRPr="000D3090">
        <w:t xml:space="preserve">help reduce </w:t>
      </w:r>
      <w:r w:rsidR="00CC1CDF" w:rsidRPr="000D3090">
        <w:t>PPD</w:t>
      </w:r>
      <w:r w:rsidR="00B8789A" w:rsidRPr="000D3090">
        <w:t xml:space="preserve"> for </w:t>
      </w:r>
      <w:r w:rsidR="00596587" w:rsidRPr="000D3090">
        <w:t>those with medical conditions, women, older adults, and vehicle</w:t>
      </w:r>
      <w:r w:rsidR="004839E5" w:rsidRPr="000D3090">
        <w:t>-</w:t>
      </w:r>
      <w:r w:rsidR="00596587" w:rsidRPr="000D3090">
        <w:t>constrained households</w:t>
      </w:r>
      <w:r w:rsidR="003A428A" w:rsidRPr="000D3090">
        <w:t>,</w:t>
      </w:r>
      <w:r w:rsidR="00596587" w:rsidRPr="000D3090">
        <w:t xml:space="preserve"> bu</w:t>
      </w:r>
      <w:r w:rsidR="003A428A" w:rsidRPr="000D3090">
        <w:t xml:space="preserve">t not </w:t>
      </w:r>
      <w:r w:rsidR="00596587" w:rsidRPr="000D3090">
        <w:t xml:space="preserve">for </w:t>
      </w:r>
      <w:r w:rsidR="00D66505" w:rsidRPr="000D3090">
        <w:t xml:space="preserve">those living in rural areas, low-income individuals, </w:t>
      </w:r>
      <w:r w:rsidR="003A428A" w:rsidRPr="000D3090">
        <w:t>and</w:t>
      </w:r>
      <w:r w:rsidR="00D66505" w:rsidRPr="000D3090">
        <w:t xml:space="preserve"> racial minorities. </w:t>
      </w:r>
      <w:r w:rsidR="007E5278" w:rsidRPr="000D3090">
        <w:t xml:space="preserve">These results have important implications, suggesting a growing need to </w:t>
      </w:r>
      <w:r w:rsidR="00E44EFC" w:rsidRPr="000D3090">
        <w:t>incorporate both physical and virtual participation modalities into measures of accessibility</w:t>
      </w:r>
      <w:r w:rsidR="00AE49B2" w:rsidRPr="000D3090">
        <w:t xml:space="preserve"> </w:t>
      </w:r>
      <w:r w:rsidR="00953213" w:rsidRPr="000D3090">
        <w:t>and activity-based travel demand modeling</w:t>
      </w:r>
      <w:r w:rsidR="00E90359" w:rsidRPr="000D3090">
        <w:t xml:space="preserve">. </w:t>
      </w:r>
      <w:r w:rsidR="00770EDF" w:rsidRPr="000D3090">
        <w:t xml:space="preserve">In terms of employment accessibility, </w:t>
      </w:r>
      <w:r w:rsidR="00847E59" w:rsidRPr="000D3090">
        <w:t>telework</w:t>
      </w:r>
      <w:r w:rsidR="00770EDF" w:rsidRPr="000D3090">
        <w:t xml:space="preserve"> has significantly changed the need for </w:t>
      </w:r>
      <w:r w:rsidR="008451C0" w:rsidRPr="000D3090">
        <w:t>physical access, potentially expanding the reach of many people with limited mobility. Similarly, delivery services should be carefully considered when evaluating access to health</w:t>
      </w:r>
      <w:r w:rsidR="00847E59" w:rsidRPr="000D3090">
        <w:t>y</w:t>
      </w:r>
      <w:r w:rsidR="008451C0" w:rsidRPr="000D3090">
        <w:t xml:space="preserve"> food, as these service</w:t>
      </w:r>
      <w:r w:rsidR="00847E59" w:rsidRPr="000D3090">
        <w:t>s</w:t>
      </w:r>
      <w:r w:rsidR="008451C0" w:rsidRPr="000D3090">
        <w:t xml:space="preserve"> may </w:t>
      </w:r>
      <w:r w:rsidR="00847E59" w:rsidRPr="000D3090">
        <w:t xml:space="preserve">provide a greater range of options than individuals can access on their own. </w:t>
      </w:r>
      <w:r w:rsidR="005A596D" w:rsidRPr="000D3090">
        <w:t xml:space="preserve">At the same time, </w:t>
      </w:r>
      <w:r w:rsidR="00CC1CDF" w:rsidRPr="000D3090">
        <w:t xml:space="preserve">however, </w:t>
      </w:r>
      <w:r w:rsidR="005A596D" w:rsidRPr="000D3090">
        <w:t xml:space="preserve">we find that some existing disparities in physical </w:t>
      </w:r>
      <w:r w:rsidR="00104FEC" w:rsidRPr="000D3090">
        <w:t>accessibility</w:t>
      </w:r>
      <w:r w:rsidR="005A596D" w:rsidRPr="000D3090">
        <w:t xml:space="preserve"> are rep</w:t>
      </w:r>
      <w:r w:rsidR="003A428A" w:rsidRPr="000D3090">
        <w:t>licated and exacerbated</w:t>
      </w:r>
      <w:r w:rsidR="005A596D" w:rsidRPr="000D3090">
        <w:t xml:space="preserve"> </w:t>
      </w:r>
      <w:r w:rsidR="00104FEC" w:rsidRPr="000D3090">
        <w:t>by</w:t>
      </w:r>
      <w:r w:rsidR="00520AEC" w:rsidRPr="000D3090">
        <w:t xml:space="preserve"> disparities in</w:t>
      </w:r>
      <w:r w:rsidR="005A596D" w:rsidRPr="000D3090">
        <w:t xml:space="preserve"> virtual </w:t>
      </w:r>
      <w:r w:rsidR="00520AEC" w:rsidRPr="000D3090">
        <w:t>accessibility</w:t>
      </w:r>
      <w:r w:rsidR="005A596D" w:rsidRPr="000D3090">
        <w:t xml:space="preserve">, </w:t>
      </w:r>
      <w:r w:rsidR="00206544" w:rsidRPr="000D3090">
        <w:t>highlighting the</w:t>
      </w:r>
      <w:r w:rsidR="00520AEC" w:rsidRPr="000D3090">
        <w:t xml:space="preserve"> need to </w:t>
      </w:r>
      <w:r w:rsidR="00206544" w:rsidRPr="000D3090">
        <w:t xml:space="preserve">carefully consider the </w:t>
      </w:r>
      <w:r w:rsidR="00B94A31" w:rsidRPr="000D3090">
        <w:t xml:space="preserve">interplay </w:t>
      </w:r>
      <w:r w:rsidR="00206544" w:rsidRPr="000D3090">
        <w:t xml:space="preserve">between physical and virtual </w:t>
      </w:r>
      <w:r w:rsidR="00B94A31" w:rsidRPr="000D3090">
        <w:t xml:space="preserve">participation from an overall accessibility as well as </w:t>
      </w:r>
      <w:r w:rsidR="001D1BB9" w:rsidRPr="000D3090">
        <w:t xml:space="preserve">fairness </w:t>
      </w:r>
      <w:r w:rsidR="00B94A31" w:rsidRPr="000D3090">
        <w:t>standpoint</w:t>
      </w:r>
      <w:r w:rsidR="00206544" w:rsidRPr="000D3090">
        <w:t xml:space="preserve">. </w:t>
      </w:r>
    </w:p>
    <w:p w14:paraId="36ED2D15" w14:textId="7B483BCA" w:rsidR="00821D65" w:rsidRPr="000D3090" w:rsidRDefault="00821D65">
      <w:pPr>
        <w:spacing w:after="0" w:line="240" w:lineRule="auto"/>
        <w:jc w:val="both"/>
      </w:pPr>
      <w:r w:rsidRPr="000D3090">
        <w:tab/>
      </w:r>
      <w:r w:rsidR="00B94A31" w:rsidRPr="000D3090">
        <w:t>As with any research</w:t>
      </w:r>
      <w:r w:rsidR="00444053" w:rsidRPr="000D3090">
        <w:t xml:space="preserve">, there are </w:t>
      </w:r>
      <w:r w:rsidR="00B94A31" w:rsidRPr="000D3090">
        <w:t xml:space="preserve">several </w:t>
      </w:r>
      <w:r w:rsidR="00444053" w:rsidRPr="000D3090">
        <w:t xml:space="preserve">avenues to extend this research. </w:t>
      </w:r>
      <w:r w:rsidRPr="000D3090">
        <w:t xml:space="preserve">While we provide evidence of the potential of virtual </w:t>
      </w:r>
      <w:r w:rsidR="00B94A31" w:rsidRPr="000D3090">
        <w:t>participation</w:t>
      </w:r>
      <w:r w:rsidRPr="000D3090">
        <w:t xml:space="preserve"> to reduce </w:t>
      </w:r>
      <w:r w:rsidR="00CC1CDF" w:rsidRPr="000D3090">
        <w:t>PPD</w:t>
      </w:r>
      <w:r w:rsidR="00B94A31" w:rsidRPr="000D3090">
        <w:t xml:space="preserve"> from an activity accessibility standpoint</w:t>
      </w:r>
      <w:r w:rsidRPr="000D3090">
        <w:t xml:space="preserve">, </w:t>
      </w:r>
      <w:r w:rsidR="00B94A31" w:rsidRPr="000D3090">
        <w:t>we have not examined the broader social</w:t>
      </w:r>
      <w:r w:rsidR="007517B7" w:rsidRPr="000D3090">
        <w:t xml:space="preserve"> </w:t>
      </w:r>
      <w:r w:rsidR="00B94A31" w:rsidRPr="000D3090">
        <w:t>aspects of the two different activity participation</w:t>
      </w:r>
      <w:r w:rsidR="007517B7" w:rsidRPr="000D3090">
        <w:t xml:space="preserve"> channels</w:t>
      </w:r>
      <w:r w:rsidR="00B94A31" w:rsidRPr="000D3090">
        <w:t>. F</w:t>
      </w:r>
      <w:r w:rsidR="000B4351" w:rsidRPr="000D3090">
        <w:t xml:space="preserve">or instance, delivery services may provide better access to healthy food, but obviously do not provide the same level of social interactions that are possible at the neighborhood grocery store. There is a need to consider activity participation at this broader level of fulfilment, satisfaction, and quality of life, beyond simply subjective perceptions of access to activity opportunities afforded by the transportation system. </w:t>
      </w:r>
      <w:bookmarkStart w:id="15" w:name="_Hlk196132589"/>
      <w:r w:rsidR="00610BE2" w:rsidRPr="000D3090">
        <w:t>Further, while we examine the extent of participation in virtual activities here, a broader and more comprehensive examination of the barriers to virtual participation (including, for example, the feasibility of telework), and the discord between expected and actual uptake of virtual activities (that is, a measure of virtual participation dissonance in parallel to PPD as studied in the current paper) would be valuable.</w:t>
      </w:r>
      <w:r w:rsidR="00265482" w:rsidRPr="000D3090">
        <w:t xml:space="preserve"> Future studies also can expand the consideration of virtual participation to include other online activities such as telemedicine and telesocial activities. Further, consistent with an activity-based travel modeling approach, future data collection should focus on OH activities and not </w:t>
      </w:r>
      <w:r w:rsidR="00EB6B95" w:rsidRPr="000D3090">
        <w:t>trips and</w:t>
      </w:r>
      <w:r w:rsidR="00265482" w:rsidRPr="000D3090">
        <w:t xml:space="preserve"> should be more specific regarding suppression of OH activities that were expressly desired to be participated in (and not just planned). In doing so, it would be valuable to collect the measure of suppressed desired OH activities not simply as a singular binary variable, but disaggregated by activity purpose, along with an expanded set of activity purpose-specific reasons for not being able to </w:t>
      </w:r>
      <w:r w:rsidR="00906DEA">
        <w:lastRenderedPageBreak/>
        <w:t>participate in</w:t>
      </w:r>
      <w:r w:rsidR="00906DEA" w:rsidRPr="000D3090">
        <w:t xml:space="preserve"> </w:t>
      </w:r>
      <w:r w:rsidR="00265482" w:rsidRPr="000D3090">
        <w:t>desired OH activit</w:t>
      </w:r>
      <w:r w:rsidR="00906DEA">
        <w:t>ies</w:t>
      </w:r>
      <w:r w:rsidR="00265482" w:rsidRPr="000D3090">
        <w:t xml:space="preserve">. In this regard, a customized and specialized data collection effort should be able to provide an improved </w:t>
      </w:r>
      <w:r w:rsidR="00EB6B95" w:rsidRPr="000D3090">
        <w:t>database</w:t>
      </w:r>
      <w:r w:rsidR="00265482" w:rsidRPr="000D3090">
        <w:t xml:space="preserve"> to more rigorously study the relationship between PPD (as we have defined it) and PPD reasons, as well as the effects of virtual participation on PPD/PPD reasons.</w:t>
      </w:r>
      <w:r w:rsidR="00EB6B95" w:rsidRPr="000D3090">
        <w:t xml:space="preserve"> </w:t>
      </w:r>
      <w:bookmarkEnd w:id="15"/>
      <w:r w:rsidR="00610BE2" w:rsidRPr="000D3090">
        <w:t xml:space="preserve">Of course, as we go into more specific measures for capturing PPD, one needs to also consider the time frame for capturing PPD, as discussed in Section 3.1.1. </w:t>
      </w:r>
      <w:r w:rsidR="00852C63" w:rsidRPr="000D3090">
        <w:t xml:space="preserve">Finally, future research can consider a more complete range of built environment factors as well as other variables, such as attitudes toward technology, different facets of employment arrangements, frequency and quality of internet access, and the availability and quality of delivery services. </w:t>
      </w:r>
      <w:r w:rsidR="003553BE" w:rsidRPr="000D3090">
        <w:t xml:space="preserve">In summary, the rich and nuanced interplay between physical and virtual participation </w:t>
      </w:r>
      <w:r w:rsidR="008440D8" w:rsidRPr="000D3090">
        <w:t xml:space="preserve">within the context of different types of activity participation needs and desires </w:t>
      </w:r>
      <w:r w:rsidR="003553BE" w:rsidRPr="000D3090">
        <w:t xml:space="preserve">offers a </w:t>
      </w:r>
      <w:r w:rsidR="00852C63" w:rsidRPr="000D3090">
        <w:t xml:space="preserve">range </w:t>
      </w:r>
      <w:r w:rsidR="003553BE" w:rsidRPr="000D3090">
        <w:t xml:space="preserve">of </w:t>
      </w:r>
      <w:r w:rsidR="00852C63" w:rsidRPr="000D3090">
        <w:t xml:space="preserve">future </w:t>
      </w:r>
      <w:r w:rsidR="003553BE" w:rsidRPr="000D3090">
        <w:t xml:space="preserve">research opportunities, especially at a time of rapid technological development. </w:t>
      </w:r>
    </w:p>
    <w:p w14:paraId="1DE149F4" w14:textId="77777777" w:rsidR="002949C7" w:rsidRPr="00BF0062" w:rsidRDefault="002949C7" w:rsidP="00D3089B">
      <w:pPr>
        <w:spacing w:after="0" w:line="240" w:lineRule="auto"/>
        <w:rPr>
          <w:b/>
          <w:bCs/>
        </w:rPr>
      </w:pPr>
    </w:p>
    <w:p w14:paraId="5AAAE872" w14:textId="32136A8C" w:rsidR="0009518B" w:rsidRPr="00BF0062" w:rsidRDefault="00DC7402" w:rsidP="002429AD">
      <w:pPr>
        <w:keepNext/>
        <w:keepLines/>
        <w:spacing w:after="0" w:line="240" w:lineRule="auto"/>
      </w:pPr>
      <w:r w:rsidRPr="00BF0062">
        <w:rPr>
          <w:b/>
          <w:bCs/>
        </w:rPr>
        <w:t>ACKNOWLEDGEMENTS</w:t>
      </w:r>
    </w:p>
    <w:p w14:paraId="5E770D74" w14:textId="2FA9326A" w:rsidR="003D135C" w:rsidRPr="00BF0062" w:rsidRDefault="003D135C" w:rsidP="002429AD">
      <w:pPr>
        <w:keepNext/>
        <w:keepLines/>
        <w:spacing w:after="0"/>
        <w:jc w:val="both"/>
      </w:pPr>
      <w:r>
        <w:t xml:space="preserve">This research was partially supported by the U.S. Department of Transportation through the Center for Understanding Future Travel Behavior and Demand (TBD) (Grant No. 69A3552344815 and No. 69A3552348320). The authors are grateful to Lisa Macias for her help in formatting this document. Four anonymous reviewers and </w:t>
      </w:r>
      <w:r w:rsidRPr="003D135C">
        <w:rPr>
          <w:i/>
          <w:iCs/>
        </w:rPr>
        <w:t>T</w:t>
      </w:r>
      <w:r>
        <w:rPr>
          <w:i/>
          <w:iCs/>
        </w:rPr>
        <w:t xml:space="preserve">ransportation </w:t>
      </w:r>
      <w:r w:rsidRPr="003D135C">
        <w:rPr>
          <w:i/>
          <w:iCs/>
        </w:rPr>
        <w:t>R</w:t>
      </w:r>
      <w:r>
        <w:rPr>
          <w:i/>
          <w:iCs/>
        </w:rPr>
        <w:t xml:space="preserve">esearch </w:t>
      </w:r>
      <w:r w:rsidRPr="003D135C">
        <w:rPr>
          <w:i/>
          <w:iCs/>
        </w:rPr>
        <w:t>Part A</w:t>
      </w:r>
      <w:r>
        <w:t xml:space="preserve"> Editor-in-Chief, Elisabetta Cherchi, all provided very helpful comments and suggestions on earlier versions of this paper.</w:t>
      </w:r>
    </w:p>
    <w:p w14:paraId="5B49C12D" w14:textId="77777777" w:rsidR="0009518B" w:rsidRPr="00BF0062" w:rsidRDefault="0009518B" w:rsidP="00DE4E50">
      <w:pPr>
        <w:spacing w:after="0" w:line="240" w:lineRule="auto"/>
        <w:jc w:val="both"/>
      </w:pPr>
    </w:p>
    <w:p w14:paraId="7CF63844" w14:textId="3A477169" w:rsidR="0009518B" w:rsidRPr="00BF0062" w:rsidRDefault="00DC7402" w:rsidP="00DE4E50">
      <w:pPr>
        <w:spacing w:after="0" w:line="240" w:lineRule="auto"/>
        <w:jc w:val="both"/>
        <w:rPr>
          <w:b/>
          <w:bCs/>
        </w:rPr>
      </w:pPr>
      <w:r w:rsidRPr="00BF0062">
        <w:rPr>
          <w:b/>
          <w:bCs/>
        </w:rPr>
        <w:t>REFERENCES</w:t>
      </w:r>
    </w:p>
    <w:p w14:paraId="5DA2A060" w14:textId="20C4AA08" w:rsidR="007C3A08" w:rsidRPr="00936ACF" w:rsidRDefault="002B0064" w:rsidP="00AC217E">
      <w:pPr>
        <w:pStyle w:val="Bibliography"/>
        <w:ind w:left="360" w:hanging="360"/>
        <w:jc w:val="both"/>
      </w:pPr>
      <w:r w:rsidRPr="00BF0062">
        <w:fldChar w:fldCharType="begin"/>
      </w:r>
      <w:r w:rsidR="007C3A08" w:rsidRPr="00BF0062">
        <w:instrText xml:space="preserve"> ADDIN ZOTERO_BIBL {"uncited":[],"omitted":[],"custom":[]} CSL_BIBLIOGRAPHY </w:instrText>
      </w:r>
      <w:r w:rsidRPr="00BF0062">
        <w:fldChar w:fldCharType="separate"/>
      </w:r>
      <w:r w:rsidR="007C3A08" w:rsidRPr="00936ACF">
        <w:t xml:space="preserve">Al-Hawari, F., Al-Sammarraie, M., Al-Khaffaf, T., 2020. Design, Validation, and Comparative Analysis of a Private Bus Location Tracking Information System. </w:t>
      </w:r>
      <w:r w:rsidR="007C3A08" w:rsidRPr="00936ACF">
        <w:rPr>
          <w:i/>
          <w:iCs/>
        </w:rPr>
        <w:t>Journal of Advanced Transportation</w:t>
      </w:r>
      <w:r w:rsidR="007C3A08" w:rsidRPr="00936ACF">
        <w:t xml:space="preserve"> 2020</w:t>
      </w:r>
      <w:r w:rsidR="00B4754C" w:rsidRPr="00936ACF">
        <w:t xml:space="preserve">, </w:t>
      </w:r>
      <w:r w:rsidR="00B4754C" w:rsidRPr="00936ACF">
        <w:rPr>
          <w:color w:val="1C1D1E"/>
          <w:shd w:val="clear" w:color="auto" w:fill="FFFFFF"/>
        </w:rPr>
        <w:t>8895927</w:t>
      </w:r>
      <w:r w:rsidR="007C3A08" w:rsidRPr="00936ACF">
        <w:t>. https://doi.org/10.1155/2020/8895927</w:t>
      </w:r>
    </w:p>
    <w:p w14:paraId="42EF5B84" w14:textId="5DF0DBC7" w:rsidR="007C3A08" w:rsidRPr="00936ACF" w:rsidRDefault="007C3A08" w:rsidP="00AC217E">
      <w:pPr>
        <w:pStyle w:val="Bibliography"/>
        <w:ind w:left="360" w:hanging="360"/>
        <w:jc w:val="both"/>
      </w:pPr>
      <w:r w:rsidRPr="00936ACF">
        <w:t xml:space="preserve">Allen, J., Farber, S., 2020. Planning Transport for Social Inclusion: An Accessibility-Activity Participation Approach. </w:t>
      </w:r>
      <w:r w:rsidRPr="00936ACF">
        <w:rPr>
          <w:i/>
          <w:iCs/>
        </w:rPr>
        <w:t>Transportation Research Part D: Transport and Environment</w:t>
      </w:r>
      <w:r w:rsidRPr="00936ACF">
        <w:t xml:space="preserve"> 78</w:t>
      </w:r>
      <w:r w:rsidR="00B4754C" w:rsidRPr="00936ACF">
        <w:t>, 102212</w:t>
      </w:r>
      <w:r w:rsidRPr="00936ACF">
        <w:t>. https://doi.org/10.1016/j.trd.2019.102212</w:t>
      </w:r>
    </w:p>
    <w:p w14:paraId="7396AC38" w14:textId="77777777" w:rsidR="007C3A08" w:rsidRPr="00936ACF" w:rsidRDefault="007C3A08" w:rsidP="00AC217E">
      <w:pPr>
        <w:pStyle w:val="Bibliography"/>
        <w:ind w:left="360" w:hanging="360"/>
        <w:jc w:val="both"/>
      </w:pPr>
      <w:r w:rsidRPr="00936ACF">
        <w:t xml:space="preserve">An, Z., Heinen, E., Watling, D., 2022. Multimodal Travel Behaviour, Attitudes, and Cognitive Dissonance. </w:t>
      </w:r>
      <w:r w:rsidRPr="00936ACF">
        <w:rPr>
          <w:i/>
          <w:iCs/>
        </w:rPr>
        <w:t>Transportation Research Part F: Traffic Psychology and Behaviour</w:t>
      </w:r>
      <w:r w:rsidRPr="00936ACF">
        <w:t xml:space="preserve"> 91, 260–273. https://doi.org/10.1016/j.trf.2022.10.007</w:t>
      </w:r>
    </w:p>
    <w:p w14:paraId="7659D54E" w14:textId="45C6D108" w:rsidR="007C3A08" w:rsidRPr="00936ACF" w:rsidRDefault="007C3A08" w:rsidP="00AC217E">
      <w:pPr>
        <w:pStyle w:val="Bibliography"/>
        <w:ind w:left="360" w:hanging="360"/>
        <w:jc w:val="both"/>
      </w:pPr>
      <w:r w:rsidRPr="00936ACF">
        <w:t xml:space="preserve">Anderson, S.M., Asmussen, K.E., Saxena, S., Batur, I., Pendyala, R.M., Bhat, C.R., 2024. An Investigation of Dissonance in Telework Frequency. </w:t>
      </w:r>
      <w:r w:rsidRPr="00936ACF">
        <w:rPr>
          <w:i/>
          <w:iCs/>
        </w:rPr>
        <w:t>Transportation Research Part C: Emerging Technologies</w:t>
      </w:r>
      <w:r w:rsidR="00B4754C" w:rsidRPr="00936ACF">
        <w:t xml:space="preserve"> 166, 104712. https://doi.org/10.1016/j.trc.2024.104712</w:t>
      </w:r>
    </w:p>
    <w:p w14:paraId="7D8E728E" w14:textId="77777777" w:rsidR="00B46F28" w:rsidRPr="00936ACF" w:rsidRDefault="00B46F28" w:rsidP="00AC217E">
      <w:pPr>
        <w:pStyle w:val="Bibliography"/>
        <w:ind w:left="360" w:hanging="360"/>
        <w:jc w:val="both"/>
      </w:pPr>
      <w:r w:rsidRPr="00936ACF">
        <w:t xml:space="preserve">Asmussen, K., Mondal, A., Bhat, C.R., 2024a. The Interplay Between Teleworking Choice and Commute Distance. </w:t>
      </w:r>
      <w:r w:rsidRPr="00936ACF">
        <w:rPr>
          <w:i/>
          <w:iCs/>
        </w:rPr>
        <w:t>Transportation Research Part C: Emerging Technologies</w:t>
      </w:r>
      <w:r w:rsidRPr="00936ACF">
        <w:t xml:space="preserve"> 165, 104690. https://doi.org/10.1016/j.trc.2024.104690</w:t>
      </w:r>
    </w:p>
    <w:p w14:paraId="6F590001" w14:textId="5DA6B821" w:rsidR="007C3A08" w:rsidRPr="00936ACF" w:rsidRDefault="007C3A08" w:rsidP="00AC217E">
      <w:pPr>
        <w:pStyle w:val="Bibliography"/>
        <w:ind w:left="360" w:hanging="360"/>
        <w:jc w:val="both"/>
      </w:pPr>
      <w:r w:rsidRPr="00936ACF">
        <w:t>Asmussen, K., Mondal, A., Batur, I., Dirks, A., Pendyala, R.M., Bhat, C.R., 2024</w:t>
      </w:r>
      <w:r w:rsidR="00B46F28" w:rsidRPr="00936ACF">
        <w:t>b</w:t>
      </w:r>
      <w:r w:rsidRPr="00936ACF">
        <w:t xml:space="preserve">. An Investigation of Individual-Level Telework Arrangements in the COVID-Era. </w:t>
      </w:r>
      <w:r w:rsidRPr="00936ACF">
        <w:rPr>
          <w:i/>
          <w:iCs/>
        </w:rPr>
        <w:t>Transportation Research Part A: Policy and Practice</w:t>
      </w:r>
      <w:r w:rsidRPr="00936ACF">
        <w:t xml:space="preserve"> 179</w:t>
      </w:r>
      <w:r w:rsidR="00B4754C" w:rsidRPr="00936ACF">
        <w:t>, 103888</w:t>
      </w:r>
      <w:r w:rsidRPr="00936ACF">
        <w:t>. https://doi.org/10.1016/j.tra.2023.103888</w:t>
      </w:r>
    </w:p>
    <w:p w14:paraId="005249C3" w14:textId="77777777" w:rsidR="007C3A08" w:rsidRPr="00936ACF" w:rsidRDefault="007C3A08" w:rsidP="00AC217E">
      <w:pPr>
        <w:pStyle w:val="Bibliography"/>
        <w:ind w:left="360" w:hanging="360"/>
        <w:jc w:val="both"/>
      </w:pPr>
      <w:r w:rsidRPr="00936ACF">
        <w:t xml:space="preserve">Barajas, J.M., 2021. Biking Where Black: Connecting Transportation Planning and Infrastructure to Disproportionate Policing. </w:t>
      </w:r>
      <w:r w:rsidRPr="00936ACF">
        <w:rPr>
          <w:i/>
          <w:iCs/>
        </w:rPr>
        <w:t>Transportation Research Part D: Transport and Environment</w:t>
      </w:r>
      <w:r w:rsidRPr="00936ACF">
        <w:t xml:space="preserve"> 99, 103027. https://doi.org/10.1016/j.trd.2021.103027</w:t>
      </w:r>
    </w:p>
    <w:p w14:paraId="6FE45D9B" w14:textId="77777777" w:rsidR="007C3A08" w:rsidRPr="00936ACF" w:rsidRDefault="007C3A08" w:rsidP="00AC217E">
      <w:pPr>
        <w:pStyle w:val="Bibliography"/>
        <w:ind w:left="360" w:hanging="360"/>
        <w:jc w:val="both"/>
      </w:pPr>
      <w:r w:rsidRPr="00936ACF">
        <w:t xml:space="preserve">Beale, K., Kapatsila, B., Grisé, E., 2023. Integrating Public Transit and Shared Micromobility Payments to Improve Transportation Equity in Seattle, WA. </w:t>
      </w:r>
      <w:r w:rsidRPr="00936ACF">
        <w:rPr>
          <w:i/>
          <w:iCs/>
        </w:rPr>
        <w:t>Transportation Research Record</w:t>
      </w:r>
      <w:r w:rsidRPr="00936ACF">
        <w:t xml:space="preserve"> 2677, 968–980. https://doi.org/10.1177/03611981221103233</w:t>
      </w:r>
    </w:p>
    <w:p w14:paraId="26E8041D" w14:textId="77777777" w:rsidR="007C3A08" w:rsidRPr="00936ACF" w:rsidRDefault="007C3A08" w:rsidP="00AC217E">
      <w:pPr>
        <w:pStyle w:val="Bibliography"/>
        <w:ind w:left="360" w:hanging="360"/>
        <w:jc w:val="both"/>
      </w:pPr>
      <w:r w:rsidRPr="00936ACF">
        <w:lastRenderedPageBreak/>
        <w:t xml:space="preserve">Bell, A., Ward, P., Tamal, Md.E.H., Killilea, M., 2019. Assessing Recall Bias and Measurement Error in High-Frequency Social Data Collection for Human-Environment Research. </w:t>
      </w:r>
      <w:r w:rsidRPr="00936ACF">
        <w:rPr>
          <w:i/>
          <w:iCs/>
        </w:rPr>
        <w:t>Population and Environment</w:t>
      </w:r>
      <w:r w:rsidRPr="00936ACF">
        <w:t xml:space="preserve"> 40, 325–345. https://doi.org/10.1007/s11111-019-0314-1</w:t>
      </w:r>
    </w:p>
    <w:p w14:paraId="2DF297B1" w14:textId="565E0F62" w:rsidR="007C3A08" w:rsidRPr="00936ACF" w:rsidRDefault="007C3A08" w:rsidP="00AC217E">
      <w:pPr>
        <w:pStyle w:val="Bibliography"/>
        <w:ind w:left="360" w:hanging="360"/>
        <w:jc w:val="both"/>
      </w:pPr>
      <w:r w:rsidRPr="00936ACF">
        <w:t xml:space="preserve">Bernardo, C., Paleti, R., Hoklas, M., Bhat, C., 2015. An Empirical Investigation into the Time-Use and Activity Patterns of Dual-Earner Couples with and Without Young Children. </w:t>
      </w:r>
      <w:r w:rsidRPr="00936ACF">
        <w:rPr>
          <w:i/>
          <w:iCs/>
        </w:rPr>
        <w:t>Transportation Research Part A: Policy and Practice</w:t>
      </w:r>
      <w:r w:rsidRPr="00936ACF">
        <w:t xml:space="preserve"> 76, 71–91. https://doi.org/10.1016/j.tra.2014.12.006</w:t>
      </w:r>
    </w:p>
    <w:p w14:paraId="718106B4" w14:textId="3F77D9B1" w:rsidR="00EE27A1" w:rsidRPr="00936ACF" w:rsidRDefault="00EE27A1" w:rsidP="00AC217E">
      <w:pPr>
        <w:pStyle w:val="Bibliography"/>
        <w:ind w:left="360" w:hanging="360"/>
        <w:jc w:val="both"/>
      </w:pPr>
      <w:r w:rsidRPr="00936ACF">
        <w:t xml:space="preserve">Bhat, C.R., 2015. A New Generalized Heterogeneous Data Model (GHDM) to Jointly Model Mixed Types of Dependent Variables. </w:t>
      </w:r>
      <w:r w:rsidRPr="00936ACF">
        <w:rPr>
          <w:i/>
          <w:iCs/>
        </w:rPr>
        <w:t>Transportation Research Part B: Methodological</w:t>
      </w:r>
      <w:r w:rsidRPr="00936ACF">
        <w:t xml:space="preserve"> 79, 50–77. https://doi.org/10.1016/j.trb.2015.05.017</w:t>
      </w:r>
    </w:p>
    <w:p w14:paraId="4EB21BE5" w14:textId="77777777" w:rsidR="007C3A08" w:rsidRPr="00936ACF" w:rsidRDefault="007C3A08" w:rsidP="00AC217E">
      <w:pPr>
        <w:pStyle w:val="Bibliography"/>
        <w:ind w:left="360" w:hanging="360"/>
        <w:jc w:val="both"/>
      </w:pPr>
      <w:r w:rsidRPr="00936ACF">
        <w:t xml:space="preserve">Bhat, C.R., 2018. New Matrix-Based Methods for the Analytic Evaluation of the Multivariate Cumulative Normal Distribution Function. </w:t>
      </w:r>
      <w:r w:rsidRPr="00936ACF">
        <w:rPr>
          <w:i/>
          <w:iCs/>
        </w:rPr>
        <w:t>Transportation Research Part B: Methodological</w:t>
      </w:r>
      <w:r w:rsidRPr="00936ACF">
        <w:t xml:space="preserve"> 109, 238–256. https://doi.org/10.1016/j.trb.2018.01.011</w:t>
      </w:r>
    </w:p>
    <w:p w14:paraId="689813BB" w14:textId="5D6A3FA5" w:rsidR="007C3A08" w:rsidRPr="00936ACF" w:rsidRDefault="007C3A08" w:rsidP="00AC217E">
      <w:pPr>
        <w:pStyle w:val="Bibliography"/>
        <w:ind w:left="360" w:hanging="360"/>
        <w:jc w:val="both"/>
      </w:pPr>
      <w:r w:rsidRPr="00936ACF">
        <w:t xml:space="preserve">Bills, T.S., Twumasi-Boakye, R., Broaddus, A., Fishelson, J., 2022. Towards Transit Equity in Detroit: An Assessment of Microtransit and Its Impact on Employment Accessibility. </w:t>
      </w:r>
      <w:r w:rsidRPr="00936ACF">
        <w:rPr>
          <w:i/>
          <w:iCs/>
        </w:rPr>
        <w:t>Transportation Research Part D: Transport and Environment</w:t>
      </w:r>
      <w:r w:rsidRPr="00936ACF">
        <w:t xml:space="preserve"> 109</w:t>
      </w:r>
      <w:r w:rsidR="00981283" w:rsidRPr="00936ACF">
        <w:t>, 103341</w:t>
      </w:r>
      <w:r w:rsidRPr="00936ACF">
        <w:t>. https://doi.org/10.1016/j.trd.2022.103341</w:t>
      </w:r>
    </w:p>
    <w:p w14:paraId="2D39DEC0" w14:textId="77777777" w:rsidR="007C3A08" w:rsidRPr="00936ACF" w:rsidRDefault="007C3A08" w:rsidP="00AC217E">
      <w:pPr>
        <w:pStyle w:val="Bibliography"/>
        <w:ind w:left="360" w:hanging="360"/>
        <w:jc w:val="both"/>
      </w:pPr>
      <w:r w:rsidRPr="00936ACF">
        <w:t xml:space="preserve">Blumenberg, E., Brown, A., Schouten, A., 2020. Car-Deficit Households: Determinants and Implications for Household Travel in the U.S. </w:t>
      </w:r>
      <w:r w:rsidRPr="00936ACF">
        <w:rPr>
          <w:i/>
          <w:iCs/>
        </w:rPr>
        <w:t>Transportation</w:t>
      </w:r>
      <w:r w:rsidRPr="00936ACF">
        <w:t xml:space="preserve"> 47, 1103–1125. https://doi.org/10.1007/s11116-018-9956-6</w:t>
      </w:r>
    </w:p>
    <w:p w14:paraId="20234238" w14:textId="50589E51" w:rsidR="007C3A08" w:rsidRPr="00936ACF" w:rsidRDefault="007C3A08" w:rsidP="00AC217E">
      <w:pPr>
        <w:pStyle w:val="Bibliography"/>
        <w:ind w:left="360" w:hanging="360"/>
        <w:jc w:val="both"/>
      </w:pPr>
      <w:r w:rsidRPr="00936ACF">
        <w:t xml:space="preserve">Brennan, A., Angus, C., Pryce, R., Buykx, P., Henney, M., Gillespie, D., Holmes, J., Meier, P.S., 2021. Potential Effects of Minimum Unit Pricing at Local Authority Level on Alcohol-Attributed Harms in North West and North East England: A Modelling Study. </w:t>
      </w:r>
      <w:r w:rsidRPr="00936ACF">
        <w:rPr>
          <w:i/>
          <w:iCs/>
        </w:rPr>
        <w:t>Public Health Research</w:t>
      </w:r>
      <w:r w:rsidRPr="00936ACF">
        <w:t xml:space="preserve"> 9</w:t>
      </w:r>
      <w:r w:rsidR="00981283" w:rsidRPr="00936ACF">
        <w:t>(4)</w:t>
      </w:r>
      <w:r w:rsidRPr="00936ACF">
        <w:t>. https://doi.org/10.3310/phr09040</w:t>
      </w:r>
    </w:p>
    <w:p w14:paraId="03B0295A" w14:textId="09306945" w:rsidR="007C3A08" w:rsidRPr="00936ACF" w:rsidRDefault="007C3A08" w:rsidP="00AC217E">
      <w:pPr>
        <w:pStyle w:val="Bibliography"/>
        <w:ind w:left="360" w:hanging="360"/>
        <w:jc w:val="both"/>
      </w:pPr>
      <w:r w:rsidRPr="00936ACF">
        <w:t xml:space="preserve">Brown, A.E., 2017. Car-Less or Car-Free? Socioeconomic and Mobility Differences Among Zero-Car Households. </w:t>
      </w:r>
      <w:r w:rsidRPr="00936ACF">
        <w:rPr>
          <w:i/>
          <w:iCs/>
        </w:rPr>
        <w:t>Transport Policy</w:t>
      </w:r>
      <w:r w:rsidRPr="00936ACF">
        <w:t xml:space="preserve"> 60, 152–159.</w:t>
      </w:r>
      <w:r w:rsidR="00EE27A1" w:rsidRPr="00936ACF">
        <w:t xml:space="preserve"> </w:t>
      </w:r>
      <w:r w:rsidRPr="00936ACF">
        <w:t>https://doi.org/10.1016/j.tranpol.2017.09.016</w:t>
      </w:r>
    </w:p>
    <w:p w14:paraId="182F0E5B" w14:textId="222F6753" w:rsidR="007C3A08" w:rsidRPr="00936ACF" w:rsidRDefault="007C3A08" w:rsidP="00AC217E">
      <w:pPr>
        <w:pStyle w:val="Bibliography"/>
        <w:ind w:left="360" w:hanging="360"/>
        <w:jc w:val="both"/>
      </w:pPr>
      <w:r w:rsidRPr="00936ACF">
        <w:t xml:space="preserve">Budnitz, H., Tranos, E., 2022. Working from Home and Digital Divides: Resilience During the Pandemic. </w:t>
      </w:r>
      <w:r w:rsidRPr="00936ACF">
        <w:rPr>
          <w:i/>
          <w:iCs/>
        </w:rPr>
        <w:t>Annals of the American Association of Geographers</w:t>
      </w:r>
      <w:r w:rsidRPr="00936ACF">
        <w:t xml:space="preserve"> 112</w:t>
      </w:r>
      <w:r w:rsidR="00981283" w:rsidRPr="00936ACF">
        <w:t>(4)</w:t>
      </w:r>
      <w:r w:rsidRPr="00936ACF">
        <w:t>, 893–913. https://doi.org/10.1080/24694452.2021.1939647</w:t>
      </w:r>
    </w:p>
    <w:p w14:paraId="6046766C" w14:textId="7FFF25BA" w:rsidR="007C3A08" w:rsidRPr="00936ACF" w:rsidRDefault="007C3A08" w:rsidP="00AC217E">
      <w:pPr>
        <w:pStyle w:val="Bibliography"/>
        <w:ind w:left="360" w:hanging="360"/>
        <w:jc w:val="both"/>
      </w:pPr>
      <w:r w:rsidRPr="00936ACF">
        <w:t xml:space="preserve">Budnitz, H., Tranos, E., Chapman, L., 2020. Telecommuting and Other Trips: An English Case Study. </w:t>
      </w:r>
      <w:r w:rsidRPr="00936ACF">
        <w:rPr>
          <w:i/>
          <w:iCs/>
        </w:rPr>
        <w:t>Journal of Transport Geography</w:t>
      </w:r>
      <w:r w:rsidRPr="00936ACF">
        <w:t xml:space="preserve"> 85</w:t>
      </w:r>
      <w:r w:rsidR="00981283" w:rsidRPr="00936ACF">
        <w:t>, 102713</w:t>
      </w:r>
      <w:r w:rsidRPr="00936ACF">
        <w:t>. https://doi.org/10.1016/j.jtrangeo.2020.102713</w:t>
      </w:r>
    </w:p>
    <w:p w14:paraId="0A3A0460" w14:textId="77777777" w:rsidR="007C3A08" w:rsidRPr="00936ACF" w:rsidRDefault="007C3A08" w:rsidP="00AC217E">
      <w:pPr>
        <w:pStyle w:val="Bibliography"/>
        <w:ind w:left="360" w:hanging="360"/>
        <w:jc w:val="both"/>
      </w:pPr>
      <w:r w:rsidRPr="00936ACF">
        <w:t xml:space="preserve">Buettner, S.A., Pasch, K.E., Poulos, N.S., 2023. Factors Associated with Food Delivery App use Among Young Adults. </w:t>
      </w:r>
      <w:r w:rsidRPr="00936ACF">
        <w:rPr>
          <w:i/>
          <w:iCs/>
        </w:rPr>
        <w:t>Journal of Community Health</w:t>
      </w:r>
      <w:r w:rsidRPr="00936ACF">
        <w:t xml:space="preserve"> 48, 840–846. https://doi.org/10.1007/s10900-023-01229-1</w:t>
      </w:r>
    </w:p>
    <w:p w14:paraId="6EC68301" w14:textId="055574BA" w:rsidR="007C3A08" w:rsidRPr="00936ACF" w:rsidRDefault="007C3A08" w:rsidP="00AC217E">
      <w:pPr>
        <w:pStyle w:val="Bibliography"/>
        <w:ind w:left="360" w:hanging="360"/>
        <w:jc w:val="both"/>
      </w:pPr>
      <w:r w:rsidRPr="00936ACF">
        <w:t xml:space="preserve">Cavallaro, F., Dianin, A., 2022. Combining Transport and Digital Accessibilities in the Evaluation of Regional Work Opportunities. </w:t>
      </w:r>
      <w:r w:rsidRPr="00936ACF">
        <w:rPr>
          <w:i/>
          <w:iCs/>
        </w:rPr>
        <w:t>Journal of Transport Geography</w:t>
      </w:r>
      <w:r w:rsidRPr="00936ACF">
        <w:t xml:space="preserve"> 98</w:t>
      </w:r>
      <w:r w:rsidR="00981283" w:rsidRPr="00936ACF">
        <w:t>, 103224</w:t>
      </w:r>
      <w:r w:rsidRPr="00936ACF">
        <w:t>. https://doi.org/10.1016/j.jtrangeo.2021.103224</w:t>
      </w:r>
    </w:p>
    <w:p w14:paraId="509CBD0A" w14:textId="784F17ED" w:rsidR="007C3A08" w:rsidRPr="00936ACF" w:rsidRDefault="007C3A08" w:rsidP="00AC217E">
      <w:pPr>
        <w:pStyle w:val="Bibliography"/>
        <w:ind w:left="360" w:hanging="360"/>
        <w:jc w:val="both"/>
      </w:pPr>
      <w:r w:rsidRPr="00936ACF">
        <w:t xml:space="preserve">Cerin, E., Barnett, A., Zhang, C.J.P., Lai, P., Sit, C.H.P., Lee, R.S.Y., 2020. How Urban Densification Shapes Walking Behaviours in Older Community Dwellers: A Cross-Sectional Analysis of Potential Pathways of Influence. </w:t>
      </w:r>
      <w:r w:rsidR="00981283" w:rsidRPr="00936ACF">
        <w:rPr>
          <w:i/>
          <w:iCs/>
        </w:rPr>
        <w:t>International Journal of Health Geographics</w:t>
      </w:r>
      <w:r w:rsidR="00981283" w:rsidRPr="00936ACF">
        <w:t xml:space="preserve"> 19, 14</w:t>
      </w:r>
      <w:r w:rsidRPr="00936ACF">
        <w:t>. https://doi.org/10.1186/s12942-020-00210-8</w:t>
      </w:r>
    </w:p>
    <w:p w14:paraId="54F4382A" w14:textId="77777777" w:rsidR="00CA6803" w:rsidRDefault="007C3A08" w:rsidP="00CA6803">
      <w:pPr>
        <w:pStyle w:val="Bibliography"/>
        <w:ind w:left="360" w:hanging="360"/>
        <w:jc w:val="both"/>
      </w:pPr>
      <w:r w:rsidRPr="00936ACF">
        <w:t>Chapman, J., Fox, E., Bachman, W., Frank, L., 2021. Smart Location Database Technical Documentation and User Guide Version 3.0. U.S. Environment Protection Agency.</w:t>
      </w:r>
    </w:p>
    <w:p w14:paraId="191B8B7D" w14:textId="0BC663ED" w:rsidR="007C3A08" w:rsidRPr="00CA6803" w:rsidRDefault="007C3A08" w:rsidP="00CA6803">
      <w:pPr>
        <w:pStyle w:val="Bibliography"/>
        <w:ind w:left="360" w:hanging="360"/>
        <w:jc w:val="both"/>
      </w:pPr>
      <w:r w:rsidRPr="00936ACF">
        <w:lastRenderedPageBreak/>
        <w:t xml:space="preserve">Chen, B.Y., Yuan, H., Li, Q., Wang, D., Shaw, S.-L., Chen, H.-P., Lam, W.H.K., 2017. Measuring Place-Based Accessibility Under Travel Time Uncertainty. </w:t>
      </w:r>
      <w:r w:rsidRPr="00936ACF">
        <w:rPr>
          <w:i/>
          <w:iCs/>
        </w:rPr>
        <w:t>International Journal of Geographical Information Science</w:t>
      </w:r>
      <w:r w:rsidRPr="00936ACF">
        <w:t xml:space="preserve"> 31, 783–804.</w:t>
      </w:r>
    </w:p>
    <w:p w14:paraId="50C30603" w14:textId="6D9C24EE" w:rsidR="007C3A08" w:rsidRPr="00AC217E" w:rsidRDefault="007C3A08" w:rsidP="00AC217E">
      <w:pPr>
        <w:pStyle w:val="Bibliography"/>
        <w:ind w:left="360" w:hanging="360"/>
        <w:jc w:val="both"/>
      </w:pPr>
      <w:r w:rsidRPr="00936ACF">
        <w:t>Chen, Y., Hou, A.Y.C., Huang, L., 2021. Development of Distance Education in Chinese Higher Education in Perspectives of Accessibility, Quality and Equity Under COVID-19.</w:t>
      </w:r>
      <w:r w:rsidR="00AC217E">
        <w:t xml:space="preserve"> </w:t>
      </w:r>
      <w:r w:rsidRPr="00936ACF">
        <w:rPr>
          <w:i/>
          <w:iCs/>
        </w:rPr>
        <w:t>Asian Education and Development Studies</w:t>
      </w:r>
      <w:r w:rsidRPr="00936ACF">
        <w:t xml:space="preserve"> 11, 356–365.</w:t>
      </w:r>
      <w:r w:rsidR="00AC217E">
        <w:t xml:space="preserve"> </w:t>
      </w:r>
      <w:r w:rsidRPr="00AC217E">
        <w:t>https://doi.org/10.1108/AEDS-05-2020-0118</w:t>
      </w:r>
    </w:p>
    <w:p w14:paraId="64CA857E" w14:textId="76140676" w:rsidR="007C3A08" w:rsidRPr="00936ACF" w:rsidRDefault="00EE27A1" w:rsidP="00AC217E">
      <w:pPr>
        <w:pStyle w:val="Bibliography"/>
        <w:ind w:left="360" w:hanging="360"/>
        <w:jc w:val="both"/>
      </w:pPr>
      <w:r w:rsidRPr="00936ACF">
        <w:t xml:space="preserve">Ciccarelli, F.C., Mariotti, I., 2024. Remote Work, Coworking Spaces, and Wellbeing During the COVID-19 Pandemic and Beyond: Exploring Peripheral and Rural Areas. In Andres, L., Bryson, J.R., Ersoy, A., Reardon, L. (Eds.), </w:t>
      </w:r>
      <w:r w:rsidRPr="00936ACF">
        <w:rPr>
          <w:i/>
          <w:iCs/>
        </w:rPr>
        <w:t>Pandemic Recovery? Reframing and Rescaling Societal Challenges</w:t>
      </w:r>
      <w:r w:rsidRPr="00936ACF">
        <w:t>, Chapter 15, pp. 209–220, Edward Elgar Publishing, Cheltenham, UK. https://doi.org/10.4337/9781802201116.00025</w:t>
      </w:r>
      <w:r w:rsidR="007C3A08" w:rsidRPr="00936ACF">
        <w:t>.</w:t>
      </w:r>
    </w:p>
    <w:p w14:paraId="48701BE6" w14:textId="7070CA49" w:rsidR="007C3A08" w:rsidRPr="00936ACF" w:rsidRDefault="007C3A08" w:rsidP="00AC217E">
      <w:pPr>
        <w:pStyle w:val="Bibliography"/>
        <w:ind w:left="360" w:hanging="360"/>
        <w:jc w:val="both"/>
      </w:pPr>
      <w:r w:rsidRPr="00936ACF">
        <w:t xml:space="preserve">Cochran, A.L., 2020. Impacts of COVID-19 on Access to Transportation for People with Disabilities. </w:t>
      </w:r>
      <w:r w:rsidRPr="00936ACF">
        <w:rPr>
          <w:i/>
          <w:iCs/>
        </w:rPr>
        <w:t>Transportation Research Interdisciplinary Perspectives</w:t>
      </w:r>
      <w:r w:rsidRPr="00936ACF">
        <w:t xml:space="preserve"> 8</w:t>
      </w:r>
      <w:r w:rsidR="00EE27A1" w:rsidRPr="00936ACF">
        <w:t>, 100263</w:t>
      </w:r>
      <w:r w:rsidRPr="00936ACF">
        <w:t>. https://doi.org/10.1016/j.trip.2020.100263</w:t>
      </w:r>
    </w:p>
    <w:p w14:paraId="0FEB1A54" w14:textId="77777777" w:rsidR="007C3A08" w:rsidRPr="00936ACF" w:rsidRDefault="007C3A08" w:rsidP="00AC217E">
      <w:pPr>
        <w:pStyle w:val="Bibliography"/>
        <w:ind w:left="360" w:hanging="360"/>
        <w:jc w:val="both"/>
      </w:pPr>
      <w:r w:rsidRPr="00936ACF">
        <w:t xml:space="preserve">Currie, G., Delbosc, A., Mahmoud, S., 2013. Factors Influencing Young Peoples ‘ Perceptions of Personal Safety on Public Transport. </w:t>
      </w:r>
      <w:r w:rsidRPr="00936ACF">
        <w:rPr>
          <w:i/>
          <w:iCs/>
        </w:rPr>
        <w:t>Journal of Public Transportation</w:t>
      </w:r>
      <w:r w:rsidRPr="00936ACF">
        <w:t xml:space="preserve"> 16, 1–19. https://doi.org/10.5038/2375-0901.16.1.1</w:t>
      </w:r>
    </w:p>
    <w:p w14:paraId="495DBED7" w14:textId="43882C8B" w:rsidR="007C3A08" w:rsidRPr="00936ACF" w:rsidRDefault="007C3A08" w:rsidP="00AC217E">
      <w:pPr>
        <w:pStyle w:val="Bibliography"/>
        <w:ind w:left="360" w:hanging="360"/>
        <w:jc w:val="both"/>
      </w:pPr>
      <w:r w:rsidRPr="00936ACF">
        <w:t xml:space="preserve">Dabelko-Schoeny, H., Maleku, A., Cao, Q., White, K., Ozbilen, B., 2021. “We Want to Go, but There Are No Options”: Exploring Barriers and Facilitators of Transportation Among Diverse Older Adults. </w:t>
      </w:r>
      <w:r w:rsidRPr="00936ACF">
        <w:rPr>
          <w:i/>
          <w:iCs/>
        </w:rPr>
        <w:t>Journal of Transport &amp; Health</w:t>
      </w:r>
      <w:r w:rsidRPr="00936ACF">
        <w:t xml:space="preserve"> 20</w:t>
      </w:r>
      <w:r w:rsidR="00EE27A1" w:rsidRPr="00936ACF">
        <w:t>, 100994</w:t>
      </w:r>
      <w:r w:rsidRPr="00936ACF">
        <w:t>. https://doi.org/10.1016/j.jth.2020.100994</w:t>
      </w:r>
    </w:p>
    <w:p w14:paraId="2C6F0C08" w14:textId="77777777" w:rsidR="007C3A08" w:rsidRPr="00936ACF" w:rsidRDefault="007C3A08" w:rsidP="00AC217E">
      <w:pPr>
        <w:pStyle w:val="Bibliography"/>
        <w:ind w:left="360" w:hanging="360"/>
        <w:jc w:val="both"/>
      </w:pPr>
      <w:r w:rsidRPr="00936ACF">
        <w:t xml:space="preserve">Dannenberg, P., Fuchs, M., Riedler, T., Wiedemann, C., 2020. Digital Transition by COVID-19 Pandemic? The German Food Online Retail. </w:t>
      </w:r>
      <w:r w:rsidRPr="00936ACF">
        <w:rPr>
          <w:i/>
          <w:iCs/>
        </w:rPr>
        <w:t>Tijdschrift voor Economische en Sociale Geografie</w:t>
      </w:r>
      <w:r w:rsidRPr="00936ACF">
        <w:t xml:space="preserve"> 111, 543–560. https://doi.org/10.1111/tesg.12453</w:t>
      </w:r>
    </w:p>
    <w:p w14:paraId="3B2D6526" w14:textId="77777777" w:rsidR="007C3A08" w:rsidRPr="00936ACF" w:rsidRDefault="007C3A08" w:rsidP="00AC217E">
      <w:pPr>
        <w:pStyle w:val="Bibliography"/>
        <w:ind w:left="360" w:hanging="360"/>
        <w:jc w:val="both"/>
      </w:pPr>
      <w:r w:rsidRPr="00936ACF">
        <w:t xml:space="preserve">De Vos, J., 2018. Do People Travel with Their Preferred Travel Mode? Analysing the Extent of Travel Mode Dissonance and Its Effect on Travel Satisfaction. </w:t>
      </w:r>
      <w:r w:rsidRPr="00936ACF">
        <w:rPr>
          <w:i/>
          <w:iCs/>
        </w:rPr>
        <w:t>Transportation Research Part A: Policy and Practice</w:t>
      </w:r>
      <w:r w:rsidRPr="00936ACF">
        <w:t xml:space="preserve"> 117, 261–274. https://doi.org/10.1016/j.tra.2018.08.034</w:t>
      </w:r>
    </w:p>
    <w:p w14:paraId="7D8AC77C" w14:textId="77777777" w:rsidR="00E62F62" w:rsidRPr="00936ACF" w:rsidRDefault="00E62F62" w:rsidP="00AC217E">
      <w:pPr>
        <w:pStyle w:val="Bibliography"/>
        <w:ind w:left="360" w:hanging="360"/>
        <w:jc w:val="both"/>
      </w:pPr>
      <w:r w:rsidRPr="00936ACF">
        <w:t xml:space="preserve">De Vos, J., Singleton, P.A., 2020. Travel and Cognitive Dissonance. </w:t>
      </w:r>
      <w:r w:rsidRPr="00936ACF">
        <w:rPr>
          <w:i/>
          <w:iCs/>
        </w:rPr>
        <w:t>Transportation Research Part A: Policy and Practice</w:t>
      </w:r>
      <w:r w:rsidRPr="00936ACF">
        <w:t xml:space="preserve"> 138, 525–536. https://doi.org/10.1016/j.tra.2020.06.014</w:t>
      </w:r>
    </w:p>
    <w:p w14:paraId="578E3F44" w14:textId="7D9F8D31" w:rsidR="007C3A08" w:rsidRPr="00936ACF" w:rsidRDefault="007C3A08" w:rsidP="00AC217E">
      <w:pPr>
        <w:pStyle w:val="Bibliography"/>
        <w:ind w:left="360" w:hanging="360"/>
        <w:jc w:val="both"/>
      </w:pPr>
      <w:r w:rsidRPr="00936ACF">
        <w:t xml:space="preserve">De Vos, J., Lättman, K., van der Vlugt, A.-L., Welsch, J., Otsuka, N., 2023. Determinants and Effects of Perceived Walkability: A Literature Review, Conceptual Model and Research Agenda. </w:t>
      </w:r>
      <w:r w:rsidRPr="00936ACF">
        <w:rPr>
          <w:i/>
          <w:iCs/>
        </w:rPr>
        <w:t>Transport Reviews</w:t>
      </w:r>
      <w:r w:rsidRPr="00936ACF">
        <w:t xml:space="preserve"> 43</w:t>
      </w:r>
      <w:r w:rsidR="00E62F62" w:rsidRPr="00936ACF">
        <w:t>(2)</w:t>
      </w:r>
      <w:r w:rsidRPr="00936ACF">
        <w:t>, 303–324.</w:t>
      </w:r>
      <w:r w:rsidR="001C2513" w:rsidRPr="00936ACF">
        <w:t xml:space="preserve"> </w:t>
      </w:r>
      <w:r w:rsidRPr="00936ACF">
        <w:t>https://doi.org/10.1080/01441647.2022.2101072</w:t>
      </w:r>
    </w:p>
    <w:p w14:paraId="2303759A" w14:textId="77777777" w:rsidR="007C3A08" w:rsidRPr="00936ACF" w:rsidRDefault="007C3A08" w:rsidP="00AC217E">
      <w:pPr>
        <w:pStyle w:val="Bibliography"/>
        <w:ind w:left="360" w:hanging="360"/>
        <w:jc w:val="both"/>
      </w:pPr>
      <w:r w:rsidRPr="00936ACF">
        <w:t xml:space="preserve">Dias, F.F., Lavieri, P.S., Sharda, S., Khoeini, S., Bhat, C.R., Pendyala, R.M., Pinjari, A.R., Ramadurai, G., Srinivasan, K.K., 2020. A Comparison of Online and in-Person Activity Engagement: The Case of Shopping and Eating Meals. </w:t>
      </w:r>
      <w:r w:rsidRPr="00936ACF">
        <w:rPr>
          <w:i/>
          <w:iCs/>
        </w:rPr>
        <w:t>Transportation Research Part C: Emerging Technologies</w:t>
      </w:r>
      <w:r w:rsidRPr="00936ACF">
        <w:t xml:space="preserve"> 114, 643–656. https://doi.org/10.1016/j.trc.2020.02.023</w:t>
      </w:r>
    </w:p>
    <w:p w14:paraId="56C349EB" w14:textId="515FD13C" w:rsidR="007C3A08" w:rsidRPr="00936ACF" w:rsidRDefault="007C3A08" w:rsidP="00AC217E">
      <w:pPr>
        <w:pStyle w:val="Bibliography"/>
        <w:ind w:left="360" w:hanging="360"/>
        <w:jc w:val="both"/>
      </w:pPr>
      <w:r w:rsidRPr="00936ACF">
        <w:t xml:space="preserve">Dillahunt, T.R., Veinot, T.C., 2018. Getting There: Barriers and Facilitators to Transportation Access in Underserved Communities. </w:t>
      </w:r>
      <w:r w:rsidRPr="00936ACF">
        <w:rPr>
          <w:i/>
          <w:iCs/>
        </w:rPr>
        <w:t>ACM Transactions on Computer-Human Interaction</w:t>
      </w:r>
      <w:r w:rsidRPr="00936ACF">
        <w:t xml:space="preserve"> 25</w:t>
      </w:r>
      <w:r w:rsidR="00E62F62" w:rsidRPr="00936ACF">
        <w:t>(5)</w:t>
      </w:r>
      <w:r w:rsidRPr="00936ACF">
        <w:t>, 29. https://doi.org/10.1145/3233985</w:t>
      </w:r>
    </w:p>
    <w:p w14:paraId="1CF7A652" w14:textId="787ECE66" w:rsidR="007C3A08" w:rsidRPr="00936ACF" w:rsidRDefault="007C3A08" w:rsidP="00AC217E">
      <w:pPr>
        <w:pStyle w:val="Bibliography"/>
        <w:keepLines/>
        <w:ind w:left="360" w:hanging="360"/>
        <w:jc w:val="both"/>
      </w:pPr>
      <w:r w:rsidRPr="00936ACF">
        <w:t xml:space="preserve">Dirks, A., Batur, I., Mondal, A., Magassy, T.B., Pendyala, R.M., Haddad, A., Bhat, C.R., Chen, C., Salon, D., Bhagat-Conway, M.W., Mohammadi, M., Chauhan, R., Mohammadian, A., Derrible, S., 2022. Access to Food in a Severe Prolonged Disruption: The Case of Grocery and Meal Shopping During the COVID-19 Pandemic. Technical paper, </w:t>
      </w:r>
      <w:r w:rsidR="00E62F62" w:rsidRPr="00936ACF">
        <w:t>School of Sustainable Engineering and the Built Environment, Arizona State University</w:t>
      </w:r>
      <w:r w:rsidRPr="00936ACF">
        <w:t>.</w:t>
      </w:r>
    </w:p>
    <w:p w14:paraId="63B46B7B" w14:textId="481829F6" w:rsidR="007C3A08" w:rsidRPr="00936ACF" w:rsidRDefault="007C3A08" w:rsidP="00AC217E">
      <w:pPr>
        <w:pStyle w:val="Bibliography"/>
        <w:ind w:left="360" w:hanging="360"/>
        <w:jc w:val="both"/>
      </w:pPr>
      <w:r w:rsidRPr="00936ACF">
        <w:lastRenderedPageBreak/>
        <w:t xml:space="preserve">Dixit, M., Sivakumar, A., 2020. Capturing the Impact of Individual Characteristics on Transport Accessibility and Equity Analysis. </w:t>
      </w:r>
      <w:r w:rsidRPr="00936ACF">
        <w:rPr>
          <w:i/>
          <w:iCs/>
        </w:rPr>
        <w:t>Transportation Research Part D: Transport and Environment</w:t>
      </w:r>
      <w:r w:rsidRPr="00936ACF">
        <w:t xml:space="preserve"> 87</w:t>
      </w:r>
      <w:r w:rsidR="00E62F62" w:rsidRPr="00936ACF">
        <w:t>, 102473</w:t>
      </w:r>
      <w:r w:rsidRPr="00936ACF">
        <w:t>. https://doi.org/10.1016/j.trd.2020.102473</w:t>
      </w:r>
    </w:p>
    <w:p w14:paraId="1B8C49C4" w14:textId="254DA3BC" w:rsidR="007C3A08" w:rsidRPr="00936ACF" w:rsidRDefault="007C3A08" w:rsidP="00AC217E">
      <w:pPr>
        <w:pStyle w:val="Bibliography"/>
        <w:ind w:left="360" w:hanging="360"/>
        <w:jc w:val="both"/>
      </w:pPr>
      <w:r w:rsidRPr="00936ACF">
        <w:t xml:space="preserve">Elldér, E., 2020. Telework and Daily Travel: New Evidence from Sweden. </w:t>
      </w:r>
      <w:r w:rsidRPr="00936ACF">
        <w:rPr>
          <w:i/>
          <w:iCs/>
        </w:rPr>
        <w:t>Journal of Transport Geography</w:t>
      </w:r>
      <w:r w:rsidRPr="00936ACF">
        <w:t xml:space="preserve"> 86</w:t>
      </w:r>
      <w:r w:rsidR="00E62F62" w:rsidRPr="00936ACF">
        <w:t>, 102777</w:t>
      </w:r>
      <w:r w:rsidRPr="00936ACF">
        <w:t>. https://doi.org/10.1016/j.jtrangeo.2020.102777</w:t>
      </w:r>
    </w:p>
    <w:p w14:paraId="6FF6B63F" w14:textId="33645A5C" w:rsidR="007C3A08" w:rsidRPr="00936ACF" w:rsidRDefault="007C3A08" w:rsidP="00AC217E">
      <w:pPr>
        <w:pStyle w:val="Bibliography"/>
        <w:ind w:left="360" w:hanging="360"/>
        <w:jc w:val="both"/>
      </w:pPr>
      <w:r w:rsidRPr="00936ACF">
        <w:t xml:space="preserve">Erjavec, J., Manfreda, A., 2022. Online Shopping Adoption During Covid-19 and Social Isolation: Extending the UTAUT Model with Herd Behavior. </w:t>
      </w:r>
      <w:r w:rsidRPr="00936ACF">
        <w:rPr>
          <w:i/>
          <w:iCs/>
        </w:rPr>
        <w:t>Journal of Retailing and Consumer Services</w:t>
      </w:r>
      <w:r w:rsidRPr="00936ACF">
        <w:t xml:space="preserve"> 65</w:t>
      </w:r>
      <w:r w:rsidR="00E62F62" w:rsidRPr="00936ACF">
        <w:t>, 102867</w:t>
      </w:r>
      <w:r w:rsidRPr="00936ACF">
        <w:t>. https://doi.org/10.1016/j.jretconser.2021.102867</w:t>
      </w:r>
    </w:p>
    <w:p w14:paraId="66BA8B1E" w14:textId="77777777" w:rsidR="007C3A08" w:rsidRPr="00936ACF" w:rsidRDefault="007C3A08" w:rsidP="00AC217E">
      <w:pPr>
        <w:pStyle w:val="Bibliography"/>
        <w:ind w:left="360" w:hanging="360"/>
        <w:jc w:val="both"/>
      </w:pPr>
      <w:r w:rsidRPr="00936ACF">
        <w:t xml:space="preserve">Ettema, D., van Lierop, D., Fu, X., van den Berg, P., Geigenmüller, I., 2025. What Is Transport Adequacy? Quantifying Experienced Transport Poverty in the Netherlands. </w:t>
      </w:r>
      <w:r w:rsidRPr="00936ACF">
        <w:rPr>
          <w:i/>
          <w:iCs/>
        </w:rPr>
        <w:t>Travel Behaviour and Society</w:t>
      </w:r>
      <w:r w:rsidRPr="00936ACF">
        <w:t xml:space="preserve"> 39, 100982. https://doi.org/10.1016/j.tbs.2024.100982</w:t>
      </w:r>
    </w:p>
    <w:p w14:paraId="1D77DE09" w14:textId="77777777" w:rsidR="007C3A08" w:rsidRPr="00936ACF" w:rsidRDefault="007C3A08" w:rsidP="00AC217E">
      <w:pPr>
        <w:pStyle w:val="Bibliography"/>
        <w:ind w:left="360" w:hanging="360"/>
        <w:jc w:val="both"/>
      </w:pPr>
      <w:r w:rsidRPr="00936ACF">
        <w:t>Federal Highway Administration, 2023. 2022 NextGen National Household Travel Survey. https://nhts.ornl.gov</w:t>
      </w:r>
    </w:p>
    <w:p w14:paraId="1A8DB479" w14:textId="3BE3C34B" w:rsidR="007C3A08" w:rsidRPr="00936ACF" w:rsidRDefault="007C3A08" w:rsidP="00AC217E">
      <w:pPr>
        <w:pStyle w:val="Bibliography"/>
        <w:ind w:left="360" w:hanging="360"/>
        <w:jc w:val="both"/>
      </w:pPr>
      <w:r w:rsidRPr="00936ACF">
        <w:t xml:space="preserve">Feraco, A., Armani, A., Amoah, I., Guseva, E., Camajani, E., Gorini, S., Strollo, R., Padua, E., Caprio, M., Lombardo, M., 2024. Assessing gender differences in food preferences and physical activity: a population-based survey. </w:t>
      </w:r>
      <w:r w:rsidR="00E62F62" w:rsidRPr="00936ACF">
        <w:rPr>
          <w:i/>
          <w:iCs/>
        </w:rPr>
        <w:t>Frontiers in Nutrition</w:t>
      </w:r>
      <w:r w:rsidR="00E62F62" w:rsidRPr="00936ACF">
        <w:t xml:space="preserve"> </w:t>
      </w:r>
      <w:r w:rsidRPr="00936ACF">
        <w:t>11. https://doi.org/10.3389/fnut.2024.1348456</w:t>
      </w:r>
    </w:p>
    <w:p w14:paraId="49513815" w14:textId="47818F35" w:rsidR="007C3A08" w:rsidRPr="00936ACF" w:rsidRDefault="007C3A08" w:rsidP="00AC217E">
      <w:pPr>
        <w:pStyle w:val="Bibliography"/>
        <w:ind w:left="360" w:hanging="360"/>
        <w:jc w:val="both"/>
      </w:pPr>
      <w:r w:rsidRPr="00936ACF">
        <w:t xml:space="preserve">Festinger, L., 1957. </w:t>
      </w:r>
      <w:r w:rsidRPr="00936ACF">
        <w:rPr>
          <w:i/>
          <w:iCs/>
        </w:rPr>
        <w:t>A Theory of Cognitive Dissonance</w:t>
      </w:r>
      <w:r w:rsidRPr="00936ACF">
        <w:t>. Row, Peterson, and Co, Evanston, IL.</w:t>
      </w:r>
    </w:p>
    <w:p w14:paraId="4BE16B53" w14:textId="77777777" w:rsidR="007C3A08" w:rsidRPr="00936ACF" w:rsidRDefault="007C3A08" w:rsidP="00AC217E">
      <w:pPr>
        <w:pStyle w:val="Bibliography"/>
        <w:ind w:left="360" w:hanging="360"/>
        <w:jc w:val="both"/>
      </w:pPr>
      <w:r w:rsidRPr="00936ACF">
        <w:t xml:space="preserve">Gauri, D.K., Jindal, R.P., Ratchford, B., Fox, E., Bhatnagar, A., Pandey, A., Navallo, J.R., Fogarty, J., Carr, S., Howerton, E., 2021. Evolution of Retail Formats: Past, Present, and Future. </w:t>
      </w:r>
      <w:r w:rsidRPr="00936ACF">
        <w:rPr>
          <w:i/>
          <w:iCs/>
        </w:rPr>
        <w:t>Journal of Retailing, Re-Strategizing Retailing in a Technology Based Era</w:t>
      </w:r>
      <w:r w:rsidRPr="00936ACF">
        <w:t xml:space="preserve"> 97, 42–61. https://doi.org/10.1016/j.jretai.2020.11.002</w:t>
      </w:r>
    </w:p>
    <w:p w14:paraId="21DF25FF" w14:textId="77777777" w:rsidR="007C3A08" w:rsidRPr="00936ACF" w:rsidRDefault="007C3A08" w:rsidP="00AC217E">
      <w:pPr>
        <w:pStyle w:val="Bibliography"/>
        <w:ind w:left="360" w:hanging="360"/>
        <w:jc w:val="both"/>
      </w:pPr>
      <w:r w:rsidRPr="00936ACF">
        <w:t xml:space="preserve">Geurs, K.T., van Wee, B., 2004. Accessibility Evaluation of Land-Use and Transport Strategies: Review and Research Directions. </w:t>
      </w:r>
      <w:r w:rsidRPr="00936ACF">
        <w:rPr>
          <w:i/>
          <w:iCs/>
        </w:rPr>
        <w:t>Journal of Transport Geography</w:t>
      </w:r>
      <w:r w:rsidRPr="00936ACF">
        <w:t xml:space="preserve"> 12, 127–140. https://doi.org/10.1016/j.jtrangeo.2003.10.005</w:t>
      </w:r>
    </w:p>
    <w:p w14:paraId="08C16F1F" w14:textId="561B6C8B" w:rsidR="007C3A08" w:rsidRPr="00936ACF" w:rsidRDefault="007C3A08" w:rsidP="00CA6803">
      <w:pPr>
        <w:pStyle w:val="Bibliography"/>
        <w:ind w:left="360" w:hanging="360"/>
        <w:jc w:val="both"/>
      </w:pPr>
      <w:r w:rsidRPr="00936ACF">
        <w:t>Gliebe, J.P., Koppelman, F.S., 2005. Modeling Household Activity–Travel Interactions as Parallel Constrained Choices</w:t>
      </w:r>
      <w:r w:rsidR="00CA6803">
        <w:t xml:space="preserve">. </w:t>
      </w:r>
      <w:r w:rsidRPr="00936ACF">
        <w:rPr>
          <w:i/>
          <w:iCs/>
        </w:rPr>
        <w:t>Transportation</w:t>
      </w:r>
      <w:r w:rsidRPr="00936ACF">
        <w:t xml:space="preserve"> 32, 449–471. https://doi.org/10.1007/</w:t>
      </w:r>
      <w:r w:rsidRPr="00B72DAC">
        <w:rPr>
          <w:sz w:val="23"/>
          <w:szCs w:val="23"/>
        </w:rPr>
        <w:t>s11116-005-5328-0</w:t>
      </w:r>
    </w:p>
    <w:p w14:paraId="7FD0B6AC" w14:textId="72CD2B3C" w:rsidR="007C3A08" w:rsidRPr="00936ACF" w:rsidRDefault="007C3A08" w:rsidP="00AC217E">
      <w:pPr>
        <w:pStyle w:val="Bibliography"/>
        <w:ind w:left="360" w:hanging="360"/>
        <w:jc w:val="both"/>
      </w:pPr>
      <w:r w:rsidRPr="00936ACF">
        <w:t xml:space="preserve">Gould-Werth, A., Griffin, J., Murphy, A.K., 2018. Developing a New Measure of Transportation Insecurity: An Exploratory Factor Analysis. </w:t>
      </w:r>
      <w:r w:rsidR="001A53CA" w:rsidRPr="00936ACF">
        <w:t>S</w:t>
      </w:r>
      <w:r w:rsidR="001A53CA" w:rsidRPr="00936ACF">
        <w:rPr>
          <w:i/>
          <w:iCs/>
          <w:color w:val="333333"/>
          <w:shd w:val="clear" w:color="auto" w:fill="FFFFFF"/>
        </w:rPr>
        <w:t>urvey Practice</w:t>
      </w:r>
      <w:r w:rsidR="001A53CA" w:rsidRPr="00936ACF">
        <w:rPr>
          <w:color w:val="333333"/>
          <w:shd w:val="clear" w:color="auto" w:fill="FFFFFF"/>
        </w:rPr>
        <w:t> 11(2). </w:t>
      </w:r>
      <w:r w:rsidR="001A53CA" w:rsidRPr="00936ACF">
        <w:rPr>
          <w:shd w:val="clear" w:color="auto" w:fill="FFFFFF"/>
        </w:rPr>
        <w:t>https:/​/​doi.org/​10.29115/​SP-2018-0024</w:t>
      </w:r>
      <w:r w:rsidR="001A53CA" w:rsidRPr="00936ACF">
        <w:rPr>
          <w:color w:val="333333"/>
          <w:shd w:val="clear" w:color="auto" w:fill="FFFFFF"/>
        </w:rPr>
        <w:t>.</w:t>
      </w:r>
    </w:p>
    <w:p w14:paraId="04FCF074" w14:textId="0C9C17D8" w:rsidR="007C3A08" w:rsidRPr="00936ACF" w:rsidRDefault="007C3A08" w:rsidP="00AC217E">
      <w:pPr>
        <w:pStyle w:val="Bibliography"/>
        <w:ind w:left="360" w:hanging="360"/>
        <w:jc w:val="both"/>
      </w:pPr>
      <w:r w:rsidRPr="00936ACF">
        <w:t xml:space="preserve">Guzman, L.A., Cantillo-Garcia, V.A., Oviedo, D., Arellana, J., 2023. How Much Is Accessibility Worth? Utility-Based Accessibility to Evaluate Transport Policies. </w:t>
      </w:r>
      <w:r w:rsidRPr="00936ACF">
        <w:rPr>
          <w:i/>
          <w:iCs/>
        </w:rPr>
        <w:t>Journal of Transport Geography</w:t>
      </w:r>
      <w:r w:rsidRPr="00936ACF">
        <w:t xml:space="preserve"> 112</w:t>
      </w:r>
      <w:r w:rsidR="001A53CA" w:rsidRPr="00936ACF">
        <w:t>, 103683</w:t>
      </w:r>
      <w:r w:rsidRPr="00936ACF">
        <w:t>. https://doi.org/10.1016/j.jtrangeo.2023.103683</w:t>
      </w:r>
    </w:p>
    <w:p w14:paraId="76A1514D" w14:textId="31E584B3" w:rsidR="007C3A08" w:rsidRPr="00936ACF" w:rsidRDefault="007C3A08" w:rsidP="00AC217E">
      <w:pPr>
        <w:pStyle w:val="Bibliography"/>
        <w:ind w:left="360" w:hanging="360"/>
        <w:jc w:val="both"/>
      </w:pPr>
      <w:r w:rsidRPr="00936ACF">
        <w:t xml:space="preserve">Haddad, A.J., Mondal, A., Bhat, C.R., Zhang, A., Liao, M.C., Macias, L.J., Lee, M.K., Watkins, S.C., 2023. Pedestrian Crash Frequency: Unpacking the Effects of Contributing Factors and Racial Disparities. </w:t>
      </w:r>
      <w:r w:rsidRPr="00936ACF">
        <w:rPr>
          <w:i/>
          <w:iCs/>
        </w:rPr>
        <w:t>Accident Analysis &amp; Prevention</w:t>
      </w:r>
      <w:r w:rsidRPr="00936ACF">
        <w:t xml:space="preserve"> 182</w:t>
      </w:r>
      <w:r w:rsidR="001A53CA" w:rsidRPr="00936ACF">
        <w:t>, 106954.</w:t>
      </w:r>
      <w:r w:rsidRPr="00936ACF">
        <w:t>. https://doi.org/10.1016/j.aap.2023.106954</w:t>
      </w:r>
    </w:p>
    <w:p w14:paraId="25B8FBE6" w14:textId="55249F35" w:rsidR="007C3A08" w:rsidRPr="00936ACF" w:rsidRDefault="007C3A08" w:rsidP="00AC217E">
      <w:pPr>
        <w:pStyle w:val="Bibliography"/>
        <w:keepLines/>
        <w:ind w:left="360" w:hanging="360"/>
        <w:jc w:val="both"/>
      </w:pPr>
      <w:r w:rsidRPr="00936ACF">
        <w:t xml:space="preserve">Haider, Z., Hu, Y., Charkhgard, H., Himmelgreen, D., Kwon, C., 2022. </w:t>
      </w:r>
      <w:r w:rsidR="001A53CA" w:rsidRPr="00936ACF">
        <w:t xml:space="preserve">Creating Grocery Delivery Hubs for Food Deserts at Local Convenience Stores via Spatial and Temporal Consolidation. </w:t>
      </w:r>
      <w:r w:rsidR="001A53CA" w:rsidRPr="00936ACF">
        <w:rPr>
          <w:i/>
          <w:iCs/>
        </w:rPr>
        <w:t>Socio-Economic Planning Sciences</w:t>
      </w:r>
      <w:r w:rsidR="001A53CA" w:rsidRPr="00936ACF">
        <w:t xml:space="preserve"> 82, Part B, 101301. https://doi.org/10.1016/j.seps.2022.101301</w:t>
      </w:r>
    </w:p>
    <w:p w14:paraId="322B0BC8" w14:textId="77777777" w:rsidR="00CA6803" w:rsidRDefault="007C3A08" w:rsidP="00CA6803">
      <w:pPr>
        <w:pStyle w:val="Bibliography"/>
        <w:ind w:left="360" w:hanging="360"/>
        <w:jc w:val="both"/>
      </w:pPr>
      <w:r w:rsidRPr="00936ACF">
        <w:t xml:space="preserve">Handy, S., 2020. Is Accessibility an Idea Whose Time Has Finally Come? </w:t>
      </w:r>
      <w:r w:rsidRPr="00936ACF">
        <w:rPr>
          <w:i/>
          <w:iCs/>
        </w:rPr>
        <w:t>Transportation Research Part D: Transport and Environment</w:t>
      </w:r>
      <w:r w:rsidRPr="00936ACF">
        <w:t xml:space="preserve"> 83</w:t>
      </w:r>
      <w:r w:rsidR="001A53CA" w:rsidRPr="00936ACF">
        <w:t>, 102319</w:t>
      </w:r>
      <w:r w:rsidRPr="00936ACF">
        <w:t>. https://doi.org/10.1016/j.trd.2020.102319</w:t>
      </w:r>
    </w:p>
    <w:p w14:paraId="7177A70E" w14:textId="3E9D4349" w:rsidR="007C3A08" w:rsidRPr="00936ACF" w:rsidRDefault="007C3A08" w:rsidP="00CA6803">
      <w:pPr>
        <w:pStyle w:val="Bibliography"/>
        <w:ind w:left="360" w:hanging="360"/>
        <w:jc w:val="both"/>
      </w:pPr>
      <w:r w:rsidRPr="00936ACF">
        <w:t xml:space="preserve">Hansen, W.G., 1959. How Accessibility Shapes Land Use. </w:t>
      </w:r>
      <w:r w:rsidRPr="00936ACF">
        <w:rPr>
          <w:i/>
          <w:iCs/>
        </w:rPr>
        <w:t xml:space="preserve">Journal of the American Institute of Planners </w:t>
      </w:r>
      <w:r w:rsidRPr="00936ACF">
        <w:t>25, 73–76. https://doi.org/10.1080/01944365908978307</w:t>
      </w:r>
    </w:p>
    <w:p w14:paraId="1650C80A" w14:textId="735A9176" w:rsidR="007C3A08" w:rsidRPr="00936ACF" w:rsidRDefault="007C3A08" w:rsidP="00AC217E">
      <w:pPr>
        <w:pStyle w:val="Bibliography"/>
        <w:ind w:left="360" w:hanging="360"/>
        <w:jc w:val="both"/>
      </w:pPr>
      <w:r w:rsidRPr="00936ACF">
        <w:lastRenderedPageBreak/>
        <w:t xml:space="preserve">Harmon-Jones, E., Mills, J., 2019. </w:t>
      </w:r>
      <w:r w:rsidR="001A53CA" w:rsidRPr="00936ACF">
        <w:t xml:space="preserve">An Introduction to Cognitive Dissonance Theory and an Overview of Current Perspectives on the Theory. In Harmon-Jones, E. (Ed.), </w:t>
      </w:r>
      <w:r w:rsidR="001A53CA" w:rsidRPr="00936ACF">
        <w:rPr>
          <w:i/>
          <w:iCs/>
        </w:rPr>
        <w:t>Cognitive Dissonance: Reexamining a Pivotal Theory in Psychology</w:t>
      </w:r>
      <w:r w:rsidR="001A53CA" w:rsidRPr="00936ACF">
        <w:t xml:space="preserve"> (2nd ed., pp. 3–24). American Psychological Association. https://doi.org/10.1037/0000135-001</w:t>
      </w:r>
    </w:p>
    <w:p w14:paraId="3416D62A" w14:textId="77777777" w:rsidR="007C3A08" w:rsidRPr="00936ACF" w:rsidRDefault="007C3A08" w:rsidP="00AC217E">
      <w:pPr>
        <w:pStyle w:val="Bibliography"/>
        <w:ind w:left="360" w:hanging="360"/>
        <w:jc w:val="both"/>
      </w:pPr>
      <w:r w:rsidRPr="00936ACF">
        <w:t>Har-Tal, I., Martens, K., 2025. Measuring Travel Problems: Towards a More Robust Measurement Tool. Presented at the 13th International Conference on Transport Survey Methods (ISCTSC), Da Nang, Vietnam.</w:t>
      </w:r>
    </w:p>
    <w:p w14:paraId="6B22DB60" w14:textId="77777777" w:rsidR="007C3A08" w:rsidRPr="00936ACF" w:rsidRDefault="007C3A08" w:rsidP="00AC217E">
      <w:pPr>
        <w:pStyle w:val="Bibliography"/>
        <w:ind w:left="360" w:hanging="360"/>
        <w:jc w:val="both"/>
      </w:pPr>
      <w:r w:rsidRPr="00936ACF">
        <w:t xml:space="preserve">Haustein, S., Siren, A., 2014. Seniors’ Unmet Mobility Needs – How Important Is a Driving Licence? </w:t>
      </w:r>
      <w:r w:rsidRPr="00936ACF">
        <w:rPr>
          <w:i/>
          <w:iCs/>
        </w:rPr>
        <w:t>Journal of Transport Geography</w:t>
      </w:r>
      <w:r w:rsidRPr="00936ACF">
        <w:t xml:space="preserve"> 41, 45–52. https://doi.org/10.1016/j.jtrangeo.2014.08.001</w:t>
      </w:r>
    </w:p>
    <w:p w14:paraId="3346F513" w14:textId="77777777" w:rsidR="007C3A08" w:rsidRPr="00936ACF" w:rsidRDefault="007C3A08" w:rsidP="00AC217E">
      <w:pPr>
        <w:pStyle w:val="Bibliography"/>
        <w:ind w:left="360" w:hanging="360"/>
        <w:jc w:val="both"/>
      </w:pPr>
      <w:r w:rsidRPr="00936ACF">
        <w:t xml:space="preserve">Hicks, M., Stickle, B., Harms, J., 2022. Assessing the Fear of Package Theft. </w:t>
      </w:r>
      <w:r w:rsidRPr="00936ACF">
        <w:rPr>
          <w:i/>
          <w:iCs/>
        </w:rPr>
        <w:t>American Journal of Criminal Justice</w:t>
      </w:r>
      <w:r w:rsidRPr="00936ACF">
        <w:t xml:space="preserve"> 47, 399–420. https://doi.org/10.1007/s12103-022-09687-4</w:t>
      </w:r>
    </w:p>
    <w:p w14:paraId="4434B5D7" w14:textId="77777777" w:rsidR="007C3A08" w:rsidRPr="00936ACF" w:rsidRDefault="007C3A08" w:rsidP="00AC217E">
      <w:pPr>
        <w:pStyle w:val="Bibliography"/>
        <w:ind w:left="360" w:hanging="360"/>
        <w:jc w:val="both"/>
      </w:pPr>
      <w:r w:rsidRPr="00936ACF">
        <w:t xml:space="preserve">Higham, J., Cohen, S.A., Peeters, P., Gössling, S., 2013. Psychological and Behavioural Approaches to Understanding and Governing Sustainable Mobility. </w:t>
      </w:r>
      <w:r w:rsidRPr="00936ACF">
        <w:rPr>
          <w:i/>
          <w:iCs/>
        </w:rPr>
        <w:t>Journal of Sustainable Tourism</w:t>
      </w:r>
      <w:r w:rsidRPr="00936ACF">
        <w:t xml:space="preserve"> 21, 949–967. https://doi.org/10.1080/09669582.2013.828733</w:t>
      </w:r>
    </w:p>
    <w:p w14:paraId="3530CE13" w14:textId="77777777" w:rsidR="007C3A08" w:rsidRPr="00936ACF" w:rsidRDefault="007C3A08" w:rsidP="00AC217E">
      <w:pPr>
        <w:pStyle w:val="Bibliography"/>
        <w:ind w:left="360" w:hanging="360"/>
        <w:jc w:val="both"/>
      </w:pPr>
      <w:r w:rsidRPr="00936ACF">
        <w:t xml:space="preserve">Jacobs, M., Burch, A.E., 2021. Anxiety During the Pandemic: Racial and Ethnic Differences in the Trajectory of Fear. </w:t>
      </w:r>
      <w:r w:rsidRPr="00936ACF">
        <w:rPr>
          <w:i/>
          <w:iCs/>
        </w:rPr>
        <w:t>Journal of Affective Disorders</w:t>
      </w:r>
      <w:r w:rsidRPr="00936ACF">
        <w:t xml:space="preserve"> 292, 58–66. https://doi.org/10.1016/j.jad.2021.05.027</w:t>
      </w:r>
    </w:p>
    <w:p w14:paraId="2C5E87FE" w14:textId="77777777" w:rsidR="007C3A08" w:rsidRPr="00936ACF" w:rsidRDefault="007C3A08" w:rsidP="00AC217E">
      <w:pPr>
        <w:pStyle w:val="Bibliography"/>
        <w:ind w:left="360" w:hanging="360"/>
        <w:jc w:val="both"/>
      </w:pPr>
      <w:r w:rsidRPr="00936ACF">
        <w:t xml:space="preserve">Javadinasr, M., Maggasy, T., Mohammadi, M., Mohammadain, K., Rahimi, E., Salon, D., Conway, M.W., Pendyala, R., Derrible, S., 2022. The Long-Term Effects of COVID-19 on Travel Behavior in the United States: A Panel Study on Work from Home, Mode Choice, Online Shopping, and Air Travel. </w:t>
      </w:r>
      <w:r w:rsidRPr="00936ACF">
        <w:rPr>
          <w:i/>
          <w:iCs/>
        </w:rPr>
        <w:t>Transportation Research Part F: Traffic Psychology and Behaviour</w:t>
      </w:r>
      <w:r w:rsidRPr="00936ACF">
        <w:t xml:space="preserve"> 90, 466–484. https://doi.org/10.1016/j.trf.2022.09.019</w:t>
      </w:r>
    </w:p>
    <w:p w14:paraId="4193F3FD" w14:textId="66A935F3" w:rsidR="007C3A08" w:rsidRPr="00936ACF" w:rsidRDefault="007C3A08" w:rsidP="00AC217E">
      <w:pPr>
        <w:pStyle w:val="Bibliography"/>
        <w:ind w:left="360" w:hanging="360"/>
        <w:jc w:val="both"/>
      </w:pPr>
      <w:r w:rsidRPr="00936ACF">
        <w:t xml:space="preserve">Kapatsila, B., Palacios, M.S., Grisé, E., El-Geneidy, A., 2023. Resolving the Accessibility Dilemma: Comparing Cumulative and Gravity-Based Measures of Accessibility in Eight Canadian Cities. </w:t>
      </w:r>
      <w:r w:rsidRPr="00936ACF">
        <w:rPr>
          <w:i/>
          <w:iCs/>
        </w:rPr>
        <w:t>Journal of Transport Geography</w:t>
      </w:r>
      <w:r w:rsidRPr="00936ACF">
        <w:t xml:space="preserve"> 107</w:t>
      </w:r>
      <w:r w:rsidR="001A53CA" w:rsidRPr="00936ACF">
        <w:t>, 103530</w:t>
      </w:r>
      <w:r w:rsidRPr="00936ACF">
        <w:t>. https://doi.org/10.1016/j.jtrangeo.2023.103530</w:t>
      </w:r>
    </w:p>
    <w:p w14:paraId="64040D25" w14:textId="77777777" w:rsidR="007C3A08" w:rsidRPr="00936ACF" w:rsidRDefault="007C3A08" w:rsidP="00AC217E">
      <w:pPr>
        <w:pStyle w:val="Bibliography"/>
        <w:ind w:left="360" w:hanging="360"/>
        <w:jc w:val="both"/>
      </w:pPr>
      <w:r w:rsidRPr="00936ACF">
        <w:t xml:space="preserve">Kaplan, M., Hotle, S., Heaslip, K., 2023. How Has COVID-19 Impacted Customer Perceptions and Demand for Delivery Services: An Exploratory Analysis. </w:t>
      </w:r>
      <w:r w:rsidRPr="00936ACF">
        <w:rPr>
          <w:i/>
          <w:iCs/>
        </w:rPr>
        <w:t>Transport Policy</w:t>
      </w:r>
      <w:r w:rsidRPr="00936ACF">
        <w:t xml:space="preserve"> 134, 217–230. https://doi.org/10.1016/j.tranpol.2023.02.020</w:t>
      </w:r>
    </w:p>
    <w:p w14:paraId="0A793549" w14:textId="77777777" w:rsidR="007C3A08" w:rsidRPr="00936ACF" w:rsidRDefault="007C3A08" w:rsidP="00AC217E">
      <w:pPr>
        <w:pStyle w:val="Bibliography"/>
        <w:ind w:left="360" w:hanging="360"/>
        <w:jc w:val="both"/>
      </w:pPr>
      <w:r w:rsidRPr="00936ACF">
        <w:t xml:space="preserve">Kaufman-Scarborough, C., Childers, T.L., 2009. Understanding Markets as Online Public Places: Insights from Consumers with Visual Impairments. </w:t>
      </w:r>
      <w:r w:rsidRPr="00936ACF">
        <w:rPr>
          <w:i/>
          <w:iCs/>
        </w:rPr>
        <w:t>Journal of Public Policy &amp; Marketing</w:t>
      </w:r>
      <w:r w:rsidRPr="00936ACF">
        <w:t xml:space="preserve"> 28, 16–28. https://doi.org/10.1509/jppm.28.1.16</w:t>
      </w:r>
    </w:p>
    <w:p w14:paraId="66FDFA1F" w14:textId="1CBB389D" w:rsidR="007C3A08" w:rsidRPr="00936ACF" w:rsidRDefault="007C3A08" w:rsidP="00AC217E">
      <w:pPr>
        <w:pStyle w:val="Bibliography"/>
        <w:ind w:left="360" w:hanging="360"/>
        <w:jc w:val="both"/>
      </w:pPr>
      <w:r w:rsidRPr="00936ACF">
        <w:t xml:space="preserve">Keeble, M., Adams, J., Burgoine, T., 2022. Investigating Experiences of Frequent Online Food Delivery Service Use: A Qualitative Study in UK Adults. </w:t>
      </w:r>
      <w:r w:rsidRPr="00936ACF">
        <w:rPr>
          <w:i/>
          <w:iCs/>
        </w:rPr>
        <w:t>BMC Public Health</w:t>
      </w:r>
      <w:r w:rsidRPr="00936ACF">
        <w:t xml:space="preserve"> 22</w:t>
      </w:r>
      <w:r w:rsidR="001A53CA" w:rsidRPr="00936ACF">
        <w:t>, 1365</w:t>
      </w:r>
      <w:r w:rsidRPr="00936ACF">
        <w:t>. https://doi.org/10.1186/s12889-022-13721-9</w:t>
      </w:r>
    </w:p>
    <w:p w14:paraId="387177D7" w14:textId="79ED9196" w:rsidR="007C3A08" w:rsidRPr="00936ACF" w:rsidRDefault="007C3A08" w:rsidP="00AC217E">
      <w:pPr>
        <w:pStyle w:val="Bibliography"/>
        <w:ind w:left="360" w:hanging="360"/>
        <w:jc w:val="both"/>
      </w:pPr>
      <w:r w:rsidRPr="00936ACF">
        <w:t>Kenyon, S., 2006. Reshaping Patterns of Mobility and Exclusion? The Impact of Virtual Mobility upon Accessibility, Mobility and Social Exclusion</w:t>
      </w:r>
      <w:r w:rsidR="001A53CA" w:rsidRPr="00936ACF">
        <w:t>.</w:t>
      </w:r>
      <w:r w:rsidRPr="00936ACF">
        <w:t xml:space="preserve"> </w:t>
      </w:r>
      <w:r w:rsidR="001A53CA" w:rsidRPr="00936ACF">
        <w:t xml:space="preserve">In Sheller, M., Urry, J. (Eds.), </w:t>
      </w:r>
      <w:r w:rsidR="001A53CA" w:rsidRPr="00936ACF">
        <w:rPr>
          <w:i/>
          <w:iCs/>
        </w:rPr>
        <w:t>Mobile Technologies of the City</w:t>
      </w:r>
      <w:r w:rsidR="001A53CA" w:rsidRPr="00936ACF">
        <w:t xml:space="preserve"> (1st ed.). Routledge. https://doi.org/10.4324/9780203098882</w:t>
      </w:r>
      <w:r w:rsidRPr="00936ACF">
        <w:t>.</w:t>
      </w:r>
    </w:p>
    <w:p w14:paraId="740F4141" w14:textId="24549379" w:rsidR="007C3A08" w:rsidRPr="00936ACF" w:rsidRDefault="007C3A08" w:rsidP="00AC217E">
      <w:pPr>
        <w:pStyle w:val="Bibliography"/>
        <w:ind w:left="360" w:hanging="360"/>
        <w:jc w:val="both"/>
      </w:pPr>
      <w:r w:rsidRPr="00936ACF">
        <w:t xml:space="preserve">Khaddar, S., Rahman Fatmi, M., 2024. </w:t>
      </w:r>
      <w:r w:rsidR="001A53CA" w:rsidRPr="00936ACF">
        <w:t xml:space="preserve">Modeling Telecommuting and Teleshopping Preferences in the Post-Pandemic Era. </w:t>
      </w:r>
      <w:r w:rsidR="001A53CA" w:rsidRPr="00936ACF">
        <w:rPr>
          <w:i/>
          <w:iCs/>
        </w:rPr>
        <w:t>Transportation Research Record</w:t>
      </w:r>
      <w:r w:rsidR="001A53CA" w:rsidRPr="00936ACF">
        <w:t xml:space="preserve"> 2678(8), 803–820. https://doi.org/10.1177/03611981231222238</w:t>
      </w:r>
    </w:p>
    <w:p w14:paraId="084745C4" w14:textId="77777777" w:rsidR="007C3A08" w:rsidRPr="00936ACF" w:rsidRDefault="007C3A08" w:rsidP="00CA6803">
      <w:pPr>
        <w:pStyle w:val="Bibliography"/>
        <w:keepLines/>
        <w:ind w:left="360" w:hanging="360"/>
        <w:jc w:val="both"/>
      </w:pPr>
      <w:r w:rsidRPr="00936ACF">
        <w:t xml:space="preserve">Kim, S., Ulfarsson, G.F., Todd Hennessy, J., 2007. Analysis of Light Rail Rider Travel Behavior: Impacts of Individual, Built Environment, and Crime Characteristics on Transit Access. </w:t>
      </w:r>
      <w:r w:rsidRPr="00936ACF">
        <w:rPr>
          <w:i/>
          <w:iCs/>
        </w:rPr>
        <w:t>Transportation Research Part A: Policy and Practice</w:t>
      </w:r>
      <w:r w:rsidRPr="00936ACF">
        <w:t xml:space="preserve"> 41, 511–522. https://doi.org/10.1016/j.tra.2006.11.001</w:t>
      </w:r>
    </w:p>
    <w:p w14:paraId="314C1A17" w14:textId="06E34415" w:rsidR="007C3A08" w:rsidRPr="00936ACF" w:rsidRDefault="007C3A08" w:rsidP="00AC217E">
      <w:pPr>
        <w:pStyle w:val="Bibliography"/>
        <w:ind w:left="360" w:hanging="360"/>
        <w:jc w:val="both"/>
      </w:pPr>
      <w:r w:rsidRPr="00936ACF">
        <w:lastRenderedPageBreak/>
        <w:t xml:space="preserve">Klein, N.J., Basu, R., Smart, M.J., 2023. Transitions into and Out of Car Ownership Among Low-Income Households in the United States. </w:t>
      </w:r>
      <w:r w:rsidR="001A53CA" w:rsidRPr="00936ACF">
        <w:rPr>
          <w:i/>
          <w:iCs/>
        </w:rPr>
        <w:t>Journal of Planning Education and Research</w:t>
      </w:r>
      <w:r w:rsidR="001A53CA" w:rsidRPr="00936ACF">
        <w:t xml:space="preserve"> 44(4), 2182–2195. https://doi.org/10.1177/0739456X231163755</w:t>
      </w:r>
    </w:p>
    <w:p w14:paraId="4F91AC70" w14:textId="3E7AF55E" w:rsidR="007C3A08" w:rsidRPr="00936ACF" w:rsidRDefault="007C3A08" w:rsidP="00AC217E">
      <w:pPr>
        <w:pStyle w:val="Bibliography"/>
        <w:ind w:left="360" w:hanging="360"/>
        <w:jc w:val="both"/>
      </w:pPr>
      <w:r w:rsidRPr="00936ACF">
        <w:t xml:space="preserve">Kunieda, M., Gauthier, A., 2007. Gender and Urban Transport: Smart and Affordable, in: Sustainable Transport: A Sourcebook for Poliymakers in Developing Cities. </w:t>
      </w:r>
      <w:r w:rsidR="001A53CA" w:rsidRPr="00936ACF">
        <w:t>Federal Ministry for Economic Cooperation and Development, Germany.</w:t>
      </w:r>
    </w:p>
    <w:p w14:paraId="2291147D" w14:textId="77777777" w:rsidR="007C3A08" w:rsidRPr="00936ACF" w:rsidRDefault="007C3A08" w:rsidP="00AC217E">
      <w:pPr>
        <w:pStyle w:val="Bibliography"/>
        <w:ind w:left="360" w:hanging="360"/>
        <w:jc w:val="both"/>
      </w:pPr>
      <w:r w:rsidRPr="00936ACF">
        <w:t xml:space="preserve">Landby, E., 2019. Everyday Travel for Families with Children Using Wheelchairs: Parents’ Perceptions of Constraints and Adaptation Strategies. </w:t>
      </w:r>
      <w:r w:rsidRPr="00936ACF">
        <w:rPr>
          <w:i/>
          <w:iCs/>
        </w:rPr>
        <w:t>Children’s Geographies</w:t>
      </w:r>
      <w:r w:rsidRPr="00936ACF">
        <w:t xml:space="preserve"> 17, 388–400. https://doi.org/10.1080/14733285.2018.1528342</w:t>
      </w:r>
    </w:p>
    <w:p w14:paraId="32CBC40C" w14:textId="35A33D61" w:rsidR="007C3A08" w:rsidRPr="00936ACF" w:rsidRDefault="007C3A08" w:rsidP="00AC217E">
      <w:pPr>
        <w:pStyle w:val="Bibliography"/>
        <w:ind w:left="360" w:hanging="360"/>
        <w:jc w:val="both"/>
      </w:pPr>
      <w:r w:rsidRPr="00936ACF">
        <w:t>Laumer, S., Maier, C., 2021. Why Do People (Not) Want to Work from Home? An Individual-Focused Literature Review on Telework</w:t>
      </w:r>
      <w:r w:rsidR="001C2513" w:rsidRPr="00936ACF">
        <w:t>.</w:t>
      </w:r>
      <w:r w:rsidRPr="00936ACF">
        <w:t xml:space="preserve"> </w:t>
      </w:r>
      <w:r w:rsidR="001C2513" w:rsidRPr="00936ACF">
        <w:t xml:space="preserve">In </w:t>
      </w:r>
      <w:r w:rsidR="001C2513" w:rsidRPr="00936ACF">
        <w:rPr>
          <w:i/>
          <w:iCs/>
        </w:rPr>
        <w:t>Proceedings of the 2021 Computers and People Research Conference (SIGMIS-CPR '21)</w:t>
      </w:r>
      <w:r w:rsidR="001C2513" w:rsidRPr="00936ACF">
        <w:t>. Association for Computing Machinery, New York, NY, USA, 41–49. https://doi.org/10.1145/3458026.3462155</w:t>
      </w:r>
    </w:p>
    <w:p w14:paraId="4E2CC285" w14:textId="77777777" w:rsidR="007C3A08" w:rsidRPr="00936ACF" w:rsidRDefault="007C3A08" w:rsidP="00AC217E">
      <w:pPr>
        <w:pStyle w:val="Bibliography"/>
        <w:ind w:left="360" w:hanging="360"/>
        <w:jc w:val="both"/>
      </w:pPr>
      <w:r w:rsidRPr="00936ACF">
        <w:t xml:space="preserve">Lavieri, P.S., Dai, Q., Bhat, C.R., 2018. Using Virtual Accessibility and Physical Accessibility as Joint Predictors of Activity-Travel Behavior. </w:t>
      </w:r>
      <w:r w:rsidRPr="00936ACF">
        <w:rPr>
          <w:i/>
          <w:iCs/>
        </w:rPr>
        <w:t>Transportation Research Part A: Policy and Practice</w:t>
      </w:r>
      <w:r w:rsidRPr="00936ACF">
        <w:t xml:space="preserve"> 118, 527–544. https://doi.org/10.1016/j.tra.2018.08.042</w:t>
      </w:r>
    </w:p>
    <w:p w14:paraId="262F5111" w14:textId="77777777" w:rsidR="007C3A08" w:rsidRPr="00936ACF" w:rsidRDefault="007C3A08" w:rsidP="00AC217E">
      <w:pPr>
        <w:pStyle w:val="Bibliography"/>
        <w:ind w:left="360" w:hanging="360"/>
        <w:jc w:val="both"/>
      </w:pPr>
      <w:r w:rsidRPr="00936ACF">
        <w:t xml:space="preserve">Le, H.T.K., Carrel, A.L., Shah, H., 2022. Impacts of Online Shopping on Travel Demand: A Systematic Review. </w:t>
      </w:r>
      <w:r w:rsidRPr="00936ACF">
        <w:rPr>
          <w:i/>
          <w:iCs/>
        </w:rPr>
        <w:t>Transport Reviews</w:t>
      </w:r>
      <w:r w:rsidRPr="00936ACF">
        <w:t xml:space="preserve"> 42, 273–295. https://doi.org/10.1080/01441647.2021.1961917</w:t>
      </w:r>
    </w:p>
    <w:p w14:paraId="0045D079" w14:textId="051E7C98" w:rsidR="007C3A08" w:rsidRPr="00936ACF" w:rsidRDefault="001C2513" w:rsidP="00AC217E">
      <w:pPr>
        <w:pStyle w:val="Bibliography"/>
        <w:ind w:left="360" w:hanging="360"/>
        <w:jc w:val="both"/>
      </w:pPr>
      <w:r w:rsidRPr="00936ACF">
        <w:t xml:space="preserve">Lee, R.E., O’Neal, A., Cameron, C., Hughes, R.B., O’Connor, D.P., Ohri-Vachaspati, P., Todd, M., Nosek, M.A., 2020. Developing Content for the Food Environment Assessment Survey Tool (FEAST): A Systematic Mixed Methods Study with People with Disabilities. </w:t>
      </w:r>
      <w:r w:rsidRPr="00CA6803">
        <w:rPr>
          <w:i/>
          <w:iCs/>
        </w:rPr>
        <w:t>International Journal of Environmental Research and Public Health</w:t>
      </w:r>
      <w:r w:rsidRPr="00936ACF">
        <w:t xml:space="preserve"> 17(21), 7781. https://doi.org/10.3390/ijerph17217781</w:t>
      </w:r>
    </w:p>
    <w:p w14:paraId="115B5686" w14:textId="77777777" w:rsidR="007C3A08" w:rsidRPr="00936ACF" w:rsidRDefault="007C3A08" w:rsidP="00AC217E">
      <w:pPr>
        <w:pStyle w:val="Bibliography"/>
        <w:ind w:left="360" w:hanging="360"/>
        <w:jc w:val="both"/>
      </w:pPr>
      <w:r w:rsidRPr="00936ACF">
        <w:t xml:space="preserve">Lee, R.J., Sener, I.N., Mokhtarian, P.L., Handy, S.L., 2017. Relationships Between the Online and in-Store Shopping Frequency of Davis, California Residents. </w:t>
      </w:r>
      <w:r w:rsidRPr="00936ACF">
        <w:rPr>
          <w:i/>
          <w:iCs/>
        </w:rPr>
        <w:t>Transportation Research Part A: Policy and Practice</w:t>
      </w:r>
      <w:r w:rsidRPr="00936ACF">
        <w:t xml:space="preserve"> 100, 40–52. https://doi.org/10.1016/j.tra.2017.03.001</w:t>
      </w:r>
    </w:p>
    <w:p w14:paraId="78131EBB" w14:textId="77777777" w:rsidR="007C3A08" w:rsidRPr="00936ACF" w:rsidRDefault="007C3A08" w:rsidP="00AC217E">
      <w:pPr>
        <w:pStyle w:val="Bibliography"/>
        <w:ind w:left="360" w:hanging="360"/>
        <w:jc w:val="both"/>
      </w:pPr>
      <w:r w:rsidRPr="00936ACF">
        <w:t xml:space="preserve">Lee, Y., Hickman, M., Washington, S., 2007. Household Type and Structure, Time-Use Pattern, and Trip-Chaining Behavior. </w:t>
      </w:r>
      <w:r w:rsidRPr="00936ACF">
        <w:rPr>
          <w:i/>
          <w:iCs/>
        </w:rPr>
        <w:t>Transportation Research Part A: Policy and Practice</w:t>
      </w:r>
      <w:r w:rsidRPr="00936ACF">
        <w:t xml:space="preserve"> 41, 1004–1020. https://doi.org/10.1016/j.tra.2007.06.007</w:t>
      </w:r>
    </w:p>
    <w:p w14:paraId="108EE228" w14:textId="0817E777" w:rsidR="007C3A08" w:rsidRPr="00936ACF" w:rsidRDefault="007C3A08" w:rsidP="00AC217E">
      <w:pPr>
        <w:pStyle w:val="Bibliography"/>
        <w:ind w:left="360" w:hanging="360"/>
        <w:jc w:val="both"/>
      </w:pPr>
      <w:r w:rsidRPr="00936ACF">
        <w:t xml:space="preserve">Leporini, B., Buzzi, M., Hersh, M., 2023. Video Conferencing Tools: Comparative Study of the Experiences of Screen Reader Users and the Development of More Inclusive Design Guidelines. </w:t>
      </w:r>
      <w:r w:rsidRPr="00936ACF">
        <w:rPr>
          <w:i/>
          <w:iCs/>
        </w:rPr>
        <w:t>ACM Transactions on Accessible Computing</w:t>
      </w:r>
      <w:r w:rsidRPr="00936ACF">
        <w:t xml:space="preserve"> 16</w:t>
      </w:r>
      <w:r w:rsidR="001C2513" w:rsidRPr="00936ACF">
        <w:t>(1)</w:t>
      </w:r>
      <w:r w:rsidRPr="00936ACF">
        <w:t xml:space="preserve">, </w:t>
      </w:r>
      <w:r w:rsidR="001C2513" w:rsidRPr="00936ACF">
        <w:t>7</w:t>
      </w:r>
      <w:r w:rsidRPr="00936ACF">
        <w:t>. https://doi.org/10.1145/3573012</w:t>
      </w:r>
    </w:p>
    <w:p w14:paraId="5486C5B6" w14:textId="4C48DBF0" w:rsidR="007C3A08" w:rsidRPr="00936ACF" w:rsidRDefault="007C3A08" w:rsidP="00AC217E">
      <w:pPr>
        <w:pStyle w:val="Bibliography"/>
        <w:ind w:left="360" w:hanging="360"/>
        <w:jc w:val="both"/>
      </w:pPr>
      <w:r w:rsidRPr="00936ACF">
        <w:t xml:space="preserve">Liu, J., Pei, S., Zhang, X. (Michael), 2023. Online Food Delivery Platforms and Female Labor Force Participation. </w:t>
      </w:r>
      <w:r w:rsidR="001C2513" w:rsidRPr="00936ACF">
        <w:rPr>
          <w:i/>
          <w:iCs/>
        </w:rPr>
        <w:t>Information Systems Research</w:t>
      </w:r>
      <w:r w:rsidR="001C2513" w:rsidRPr="00936ACF">
        <w:t xml:space="preserve"> 35(3), 1074–1091. https://doi.org/10.1287/isre.2021.0182</w:t>
      </w:r>
    </w:p>
    <w:p w14:paraId="515BC543" w14:textId="77777777" w:rsidR="007C3A08" w:rsidRPr="00936ACF" w:rsidRDefault="007C3A08" w:rsidP="00AC217E">
      <w:pPr>
        <w:pStyle w:val="Bibliography"/>
        <w:ind w:left="360" w:hanging="360"/>
        <w:jc w:val="both"/>
      </w:pPr>
      <w:r w:rsidRPr="00936ACF">
        <w:t xml:space="preserve">Lovejoy, K., Handy, S., 2008. A Case for Measuring Individuals’ Access to Private-Vehicle Travel as a Matter of Degrees: Lessons from Focus Groups with Mexican Immigrants in California. </w:t>
      </w:r>
      <w:r w:rsidRPr="00936ACF">
        <w:rPr>
          <w:i/>
          <w:iCs/>
        </w:rPr>
        <w:t>Transportation</w:t>
      </w:r>
      <w:r w:rsidRPr="00936ACF">
        <w:t xml:space="preserve"> 35, 601–612. https://doi.org/10.1007/s11116-008-9169-5</w:t>
      </w:r>
    </w:p>
    <w:p w14:paraId="48AB75A1" w14:textId="77777777" w:rsidR="007C3A08" w:rsidRPr="00936ACF" w:rsidRDefault="007C3A08" w:rsidP="00AC217E">
      <w:pPr>
        <w:pStyle w:val="Bibliography"/>
        <w:ind w:left="360" w:hanging="360"/>
        <w:jc w:val="both"/>
      </w:pPr>
      <w:r w:rsidRPr="00936ACF">
        <w:t xml:space="preserve">Lu, X., White, H., 2014. Robustness Checks and Robustness Tests in Applied Economics. </w:t>
      </w:r>
      <w:r w:rsidRPr="00936ACF">
        <w:rPr>
          <w:i/>
          <w:iCs/>
        </w:rPr>
        <w:t>Journal of Econometrics</w:t>
      </w:r>
      <w:r w:rsidRPr="00936ACF">
        <w:t>, Annals Issue: Misspecification Test Methods in Econometrics 178, 194–206. https://doi.org/10.1016/j.jeconom.2013.08.016</w:t>
      </w:r>
    </w:p>
    <w:p w14:paraId="74CC769B" w14:textId="7D6A4954" w:rsidR="007C3A08" w:rsidRPr="00936ACF" w:rsidRDefault="007C3A08" w:rsidP="00AC217E">
      <w:pPr>
        <w:pStyle w:val="Bibliography"/>
        <w:ind w:left="360" w:hanging="360"/>
        <w:jc w:val="both"/>
      </w:pPr>
      <w:r w:rsidRPr="00936ACF">
        <w:t xml:space="preserve">Lyons, G., Farag, S., Haddad, H., 2008. </w:t>
      </w:r>
      <w:r w:rsidR="001C2513" w:rsidRPr="00936ACF">
        <w:t xml:space="preserve">The Substitution of Communications for Travel? In Rye, T. , Ivson, S. (Ed.), </w:t>
      </w:r>
      <w:r w:rsidR="001C2513" w:rsidRPr="00936ACF">
        <w:rPr>
          <w:i/>
          <w:iCs/>
        </w:rPr>
        <w:t>The Implementation and Effectiveness of Transport Demand Management Measures</w:t>
      </w:r>
      <w:r w:rsidR="001C2513" w:rsidRPr="00936ACF">
        <w:t>, Chapter 11, Routledge</w:t>
      </w:r>
      <w:r w:rsidRPr="00936ACF">
        <w:t>.</w:t>
      </w:r>
    </w:p>
    <w:p w14:paraId="62EEFF55" w14:textId="77777777" w:rsidR="007C3A08" w:rsidRPr="00936ACF" w:rsidRDefault="007C3A08" w:rsidP="00AC217E">
      <w:pPr>
        <w:pStyle w:val="Bibliography"/>
        <w:ind w:left="360" w:hanging="360"/>
        <w:jc w:val="both"/>
      </w:pPr>
      <w:r w:rsidRPr="00936ACF">
        <w:lastRenderedPageBreak/>
        <w:t xml:space="preserve">Mackett, R.L., 2021. Mental Health and Travel Behaviour. </w:t>
      </w:r>
      <w:r w:rsidRPr="00936ACF">
        <w:rPr>
          <w:i/>
          <w:iCs/>
        </w:rPr>
        <w:t>Journal of Transport &amp; Health</w:t>
      </w:r>
      <w:r w:rsidRPr="00936ACF">
        <w:t xml:space="preserve"> 22, 101143. https://doi.org/10.1016/j.jth.2021.101143</w:t>
      </w:r>
    </w:p>
    <w:p w14:paraId="05C656CB" w14:textId="6F2DEC9F" w:rsidR="007C3A08" w:rsidRPr="00936ACF" w:rsidRDefault="007C3A08" w:rsidP="00AC217E">
      <w:pPr>
        <w:pStyle w:val="Bibliography"/>
        <w:ind w:left="360" w:hanging="360"/>
        <w:jc w:val="both"/>
      </w:pPr>
      <w:r w:rsidRPr="00936ACF">
        <w:t xml:space="preserve">Mackett, R.L., 2013. Children’s Travel Behaviour and Its Health Implications. </w:t>
      </w:r>
      <w:r w:rsidRPr="00936ACF">
        <w:rPr>
          <w:i/>
          <w:iCs/>
        </w:rPr>
        <w:t>Transport Policy</w:t>
      </w:r>
      <w:r w:rsidR="001C2513" w:rsidRPr="00936ACF">
        <w:t xml:space="preserve"> </w:t>
      </w:r>
      <w:r w:rsidRPr="00936ACF">
        <w:t>26, 66–72. https://doi.org/10.1016/j.tranpol.2012.01.002</w:t>
      </w:r>
    </w:p>
    <w:p w14:paraId="24FC6757" w14:textId="5333FEED" w:rsidR="007C3A08" w:rsidRPr="00936ACF" w:rsidRDefault="007C3A08" w:rsidP="00AC217E">
      <w:pPr>
        <w:pStyle w:val="Bibliography"/>
        <w:ind w:left="360" w:hanging="360"/>
        <w:jc w:val="both"/>
      </w:pPr>
      <w:r w:rsidRPr="00936ACF">
        <w:t xml:space="preserve">Makarewicz, C., Dantzler, P., Adkins, A., 2020. Another Look at Location Affordability: Understanding the Detailed Effects of Income and Urban Form on Housing and Transportation Expenditures. </w:t>
      </w:r>
      <w:r w:rsidRPr="00936ACF">
        <w:rPr>
          <w:i/>
          <w:iCs/>
        </w:rPr>
        <w:t>Housing Policy Debate</w:t>
      </w:r>
      <w:r w:rsidRPr="00936ACF">
        <w:t xml:space="preserve"> 30, 1033–1055.</w:t>
      </w:r>
      <w:r w:rsidR="00CA6803">
        <w:t xml:space="preserve"> </w:t>
      </w:r>
    </w:p>
    <w:p w14:paraId="021533ED" w14:textId="23EF4208" w:rsidR="007C3A08" w:rsidRPr="00936ACF" w:rsidRDefault="007C3A08" w:rsidP="00AC217E">
      <w:pPr>
        <w:pStyle w:val="Bibliography"/>
        <w:ind w:left="360" w:hanging="360"/>
        <w:jc w:val="both"/>
      </w:pPr>
      <w:r w:rsidRPr="00936ACF">
        <w:t xml:space="preserve">Martens, K., 2016. </w:t>
      </w:r>
      <w:r w:rsidR="001C2513" w:rsidRPr="00936ACF">
        <w:rPr>
          <w:i/>
          <w:iCs/>
        </w:rPr>
        <w:t>Transport Justice: Designing Fair Transportation Systems</w:t>
      </w:r>
      <w:r w:rsidR="001C2513" w:rsidRPr="00936ACF">
        <w:t xml:space="preserve"> (1st ed.). Routledge. https://doi.org/10.4324/9781315746852</w:t>
      </w:r>
    </w:p>
    <w:p w14:paraId="0275AADF" w14:textId="656F2D5B" w:rsidR="007C3A08" w:rsidRPr="00936ACF" w:rsidRDefault="007C3A08" w:rsidP="00AC217E">
      <w:pPr>
        <w:pStyle w:val="Bibliography"/>
        <w:ind w:left="360" w:hanging="360"/>
        <w:jc w:val="both"/>
      </w:pPr>
      <w:r w:rsidRPr="00936ACF">
        <w:t xml:space="preserve">Maslakçı, A., Sürücü, L., 2024. Gender Effects on Depression, Anxiety, and Stress Regarding the Fear of COVID-19. </w:t>
      </w:r>
      <w:r w:rsidR="009B7681" w:rsidRPr="00936ACF">
        <w:rPr>
          <w:i/>
          <w:iCs/>
        </w:rPr>
        <w:t>Trends in Psychology</w:t>
      </w:r>
      <w:r w:rsidR="009B7681" w:rsidRPr="00936ACF">
        <w:t xml:space="preserve"> </w:t>
      </w:r>
      <w:r w:rsidRPr="00936ACF">
        <w:t>32, 152–164. https://doi.org/10.1007/s43076-022-00227-x</w:t>
      </w:r>
    </w:p>
    <w:p w14:paraId="7728E116" w14:textId="77777777" w:rsidR="007C3A08" w:rsidRPr="00936ACF" w:rsidRDefault="007C3A08" w:rsidP="00AC217E">
      <w:pPr>
        <w:pStyle w:val="Bibliography"/>
        <w:ind w:left="360" w:hanging="360"/>
        <w:jc w:val="both"/>
      </w:pPr>
      <w:r w:rsidRPr="00936ACF">
        <w:t xml:space="preserve">McGrail, M.R., Humphreys, J.S., Ward, B., 2015. Accessing Doctors at Times of Need–Measuring the Distance Tolerance of Rural Residents for Health-Related Travel. </w:t>
      </w:r>
      <w:r w:rsidRPr="00936ACF">
        <w:rPr>
          <w:i/>
          <w:iCs/>
        </w:rPr>
        <w:t>BMC Health Services Research</w:t>
      </w:r>
      <w:r w:rsidRPr="00936ACF">
        <w:t xml:space="preserve"> 15, 212. https://doi.org/10.1186/s12913-015-0880-6</w:t>
      </w:r>
    </w:p>
    <w:p w14:paraId="7650030B" w14:textId="27FDA6EE" w:rsidR="007C3A08" w:rsidRPr="00936ACF" w:rsidRDefault="007C3A08" w:rsidP="00AC217E">
      <w:pPr>
        <w:pStyle w:val="Bibliography"/>
        <w:ind w:left="360" w:hanging="360"/>
        <w:jc w:val="both"/>
      </w:pPr>
      <w:r w:rsidRPr="00936ACF">
        <w:t xml:space="preserve">Mokhtarian, P.L., Salomon, I., 2002. Emerging Travel Patterns: Do Telecommunications Make a Difference. </w:t>
      </w:r>
      <w:r w:rsidR="009B7681" w:rsidRPr="00936ACF">
        <w:t xml:space="preserve">In Mahmassani, H.S. (Ed.), </w:t>
      </w:r>
      <w:r w:rsidR="009B7681" w:rsidRPr="00936ACF">
        <w:rPr>
          <w:i/>
          <w:iCs/>
        </w:rPr>
        <w:t>In Perpetual Motion: Travel Behavior Research Opportunities and Application Challenges</w:t>
      </w:r>
      <w:r w:rsidR="009B7681" w:rsidRPr="00936ACF">
        <w:t>, Chapter 7, 143–182, Emerald Group Publishing Limited, Bingley, UK</w:t>
      </w:r>
      <w:r w:rsidRPr="00936ACF">
        <w:t>.</w:t>
      </w:r>
    </w:p>
    <w:p w14:paraId="7691B182" w14:textId="66869E78" w:rsidR="007C3A08" w:rsidRPr="00936ACF" w:rsidRDefault="007C3A08" w:rsidP="00AC217E">
      <w:pPr>
        <w:pStyle w:val="Bibliography"/>
        <w:ind w:left="360" w:hanging="360"/>
        <w:jc w:val="both"/>
      </w:pPr>
      <w:r w:rsidRPr="00936ACF">
        <w:t xml:space="preserve">Morris, E.A., Speroni, S., Taylor, B.D., 2023. Going Nowhere Fast: Might Changing Activity Patterns Help Explain Falling Travel? </w:t>
      </w:r>
      <w:r w:rsidRPr="00936ACF">
        <w:rPr>
          <w:i/>
          <w:iCs/>
        </w:rPr>
        <w:t>Journal of Transport Geography</w:t>
      </w:r>
      <w:r w:rsidRPr="00936ACF">
        <w:t xml:space="preserve"> 110</w:t>
      </w:r>
      <w:r w:rsidR="009B7681" w:rsidRPr="00936ACF">
        <w:t>, 103620</w:t>
      </w:r>
      <w:r w:rsidRPr="00936ACF">
        <w:t>. https://doi.org/10.1016/j.jtrangeo.2023.103620</w:t>
      </w:r>
    </w:p>
    <w:p w14:paraId="4E53B373" w14:textId="77777777" w:rsidR="007C3A08" w:rsidRPr="00936ACF" w:rsidRDefault="007C3A08" w:rsidP="00AC217E">
      <w:pPr>
        <w:pStyle w:val="Bibliography"/>
        <w:ind w:left="360" w:hanging="360"/>
        <w:jc w:val="both"/>
      </w:pPr>
      <w:r w:rsidRPr="00936ACF">
        <w:t xml:space="preserve">Muhammad, S., de Jong, T., Ottens, H.F.L., 2008. Job Accessibility Under the Influence of Information and Communication Technologies, in the Netherlands. </w:t>
      </w:r>
      <w:r w:rsidRPr="00936ACF">
        <w:rPr>
          <w:i/>
          <w:iCs/>
        </w:rPr>
        <w:t>Journal of Transport Geography</w:t>
      </w:r>
      <w:r w:rsidRPr="00936ACF">
        <w:t xml:space="preserve"> 16, 203–216. https://doi.org/10.1016/j.jtrangeo.2007.05.005</w:t>
      </w:r>
    </w:p>
    <w:p w14:paraId="7C1819EA" w14:textId="5603FED0" w:rsidR="007C3A08" w:rsidRPr="00936ACF" w:rsidRDefault="007C3A08" w:rsidP="00AC217E">
      <w:pPr>
        <w:pStyle w:val="Bibliography"/>
        <w:ind w:left="360" w:hanging="360"/>
        <w:jc w:val="both"/>
      </w:pPr>
      <w:r w:rsidRPr="00936ACF">
        <w:t xml:space="preserve">Murphy, A.K., McDonald-Lopez, K., Pilkauskas, N., Gould-Werth, A., 2022. Transportation Insecurity in the United States: A Descriptive Portrait. </w:t>
      </w:r>
      <w:r w:rsidRPr="00936ACF">
        <w:rPr>
          <w:i/>
          <w:iCs/>
        </w:rPr>
        <w:t>Socius</w:t>
      </w:r>
      <w:r w:rsidRPr="00936ACF">
        <w:t xml:space="preserve"> 8. https://doi.org/10.1177/23780231221121060</w:t>
      </w:r>
    </w:p>
    <w:p w14:paraId="43A72FBA" w14:textId="77777777" w:rsidR="007C3A08" w:rsidRPr="00936ACF" w:rsidRDefault="007C3A08" w:rsidP="00AC217E">
      <w:pPr>
        <w:pStyle w:val="Bibliography"/>
        <w:ind w:left="360" w:hanging="360"/>
        <w:jc w:val="both"/>
      </w:pPr>
      <w:r w:rsidRPr="00936ACF">
        <w:t xml:space="preserve">Nagarajan, N.R., Sixsmith, A., 2023. Policy Initiatives to Address the Challenges of an Older Population in the Workforce. </w:t>
      </w:r>
      <w:r w:rsidRPr="00936ACF">
        <w:rPr>
          <w:i/>
          <w:iCs/>
        </w:rPr>
        <w:t>Ageing International</w:t>
      </w:r>
      <w:r w:rsidRPr="00936ACF">
        <w:t xml:space="preserve"> 48, 41–77. https://doi.org/10.1007/s12126-021-09442-w</w:t>
      </w:r>
    </w:p>
    <w:p w14:paraId="7FDEC703" w14:textId="77777777" w:rsidR="007C3A08" w:rsidRPr="00936ACF" w:rsidRDefault="007C3A08" w:rsidP="00AC217E">
      <w:pPr>
        <w:pStyle w:val="Bibliography"/>
        <w:ind w:left="360" w:hanging="360"/>
        <w:jc w:val="both"/>
      </w:pPr>
      <w:r w:rsidRPr="00936ACF">
        <w:t xml:space="preserve">Neutens, T., Delafontaine, M., Scott, D.M., De Maeyer, P., 2012. An Analysis of Day-to-Day Variations in Individual Space–Time Accessibility. </w:t>
      </w:r>
      <w:r w:rsidRPr="00936ACF">
        <w:rPr>
          <w:i/>
          <w:iCs/>
        </w:rPr>
        <w:t>Journal of Transport Geography</w:t>
      </w:r>
      <w:r w:rsidRPr="00936ACF">
        <w:t xml:space="preserve"> 23, 81–91. https://doi.org/10.1016/j.jtrangeo.2012.04.001</w:t>
      </w:r>
    </w:p>
    <w:p w14:paraId="2085B321" w14:textId="77777777" w:rsidR="007C3A08" w:rsidRPr="00936ACF" w:rsidRDefault="007C3A08" w:rsidP="00AC217E">
      <w:pPr>
        <w:pStyle w:val="Bibliography"/>
        <w:ind w:left="360" w:hanging="360"/>
        <w:jc w:val="both"/>
      </w:pPr>
      <w:r w:rsidRPr="00936ACF">
        <w:t xml:space="preserve">Ng, A., Debnath, A.K., Heesch, K.C., 2017. Cyclist’ Safety Perceptions of Cycling Infrastructure at Un-Signalised Intersections: Cross-Sectional Survey of Queensland Cyclists. </w:t>
      </w:r>
      <w:r w:rsidRPr="00936ACF">
        <w:rPr>
          <w:i/>
          <w:iCs/>
        </w:rPr>
        <w:t>Journal of Transport &amp; Health</w:t>
      </w:r>
      <w:r w:rsidRPr="00936ACF">
        <w:t xml:space="preserve"> 6, 13–22. https://doi.org/10.1016/j.jth.2017.03.001</w:t>
      </w:r>
    </w:p>
    <w:p w14:paraId="4435C856" w14:textId="77777777" w:rsidR="007C3A08" w:rsidRPr="00936ACF" w:rsidRDefault="007C3A08" w:rsidP="00AC217E">
      <w:pPr>
        <w:pStyle w:val="Bibliography"/>
        <w:ind w:left="360" w:hanging="360"/>
        <w:jc w:val="both"/>
      </w:pPr>
      <w:r w:rsidRPr="00936ACF">
        <w:t xml:space="preserve">Nguyen, M.H., 2021. Factors Influencing Home-Based Telework in Hanoi (Vietnam) During and After the COVID-19 Era. </w:t>
      </w:r>
      <w:r w:rsidRPr="00936ACF">
        <w:rPr>
          <w:i/>
          <w:iCs/>
        </w:rPr>
        <w:t>Transportation</w:t>
      </w:r>
      <w:r w:rsidRPr="00936ACF">
        <w:t xml:space="preserve"> 48, 3207–3238. https://doi.org/10.1007/s11116-021-10169-5</w:t>
      </w:r>
    </w:p>
    <w:p w14:paraId="5E5372CB" w14:textId="77777777" w:rsidR="007C3A08" w:rsidRPr="00936ACF" w:rsidRDefault="007C3A08" w:rsidP="00CA6803">
      <w:pPr>
        <w:pStyle w:val="Bibliography"/>
        <w:ind w:left="360" w:hanging="360"/>
        <w:jc w:val="both"/>
      </w:pPr>
      <w:r w:rsidRPr="00936ACF">
        <w:t xml:space="preserve">Ozbilen, B., Wang, K., Akar, G., 2021. Revisiting the Impacts of Virtual Mobility on Travel Behavior: An Exploration of Daily Travel Time Expenditures. </w:t>
      </w:r>
      <w:r w:rsidRPr="00936ACF">
        <w:rPr>
          <w:i/>
          <w:iCs/>
        </w:rPr>
        <w:t>Transportation Research Part A: Policy and Practice</w:t>
      </w:r>
      <w:r w:rsidRPr="00936ACF">
        <w:t xml:space="preserve"> 145, 49–62. https://doi.org/10.1016/j.tra.2021.01.002</w:t>
      </w:r>
    </w:p>
    <w:p w14:paraId="4267B0A2" w14:textId="77777777" w:rsidR="007C3A08" w:rsidRPr="00936ACF" w:rsidRDefault="007C3A08" w:rsidP="00CA6803">
      <w:pPr>
        <w:pStyle w:val="Bibliography"/>
        <w:ind w:left="360" w:hanging="360"/>
        <w:jc w:val="both"/>
      </w:pPr>
      <w:r w:rsidRPr="00936ACF">
        <w:t xml:space="preserve">Pabilonia, S., Vernon, V., 2022. Telework, Wages, and Time Use in the United States. </w:t>
      </w:r>
      <w:r w:rsidRPr="00936ACF">
        <w:rPr>
          <w:i/>
          <w:iCs/>
        </w:rPr>
        <w:t>Review of Economics of the Household</w:t>
      </w:r>
      <w:r w:rsidRPr="00936ACF">
        <w:t xml:space="preserve"> 20, 687–734. https://doi.org/10.1007/s11150-022-09601-1</w:t>
      </w:r>
    </w:p>
    <w:p w14:paraId="1EF01D5B" w14:textId="77777777" w:rsidR="007C3A08" w:rsidRPr="00936ACF" w:rsidRDefault="007C3A08" w:rsidP="00CA6803">
      <w:pPr>
        <w:pStyle w:val="Bibliography"/>
        <w:ind w:left="360" w:hanging="360"/>
        <w:jc w:val="both"/>
      </w:pPr>
      <w:r w:rsidRPr="00936ACF">
        <w:lastRenderedPageBreak/>
        <w:t xml:space="preserve">Palm, M., Nakshi, P., Yousefzadeh Barri, E., Farber, S., Widener, M., 2024. Uncovering Suppressed Travel: A Scoping Review of Surveys Measuring Unmet Transportation Need. </w:t>
      </w:r>
      <w:r w:rsidRPr="00936ACF">
        <w:rPr>
          <w:i/>
          <w:iCs/>
        </w:rPr>
        <w:t>Travel Behaviour and Society</w:t>
      </w:r>
      <w:r w:rsidRPr="00936ACF">
        <w:t xml:space="preserve"> 36, 100784. https://doi.org/10.1016/j.tbs.2024.100784</w:t>
      </w:r>
    </w:p>
    <w:p w14:paraId="7CA2F21D" w14:textId="2C444C8B" w:rsidR="007C3A08" w:rsidRPr="00936ACF" w:rsidRDefault="007C3A08" w:rsidP="00AC217E">
      <w:pPr>
        <w:pStyle w:val="Bibliography"/>
        <w:ind w:left="360" w:hanging="360"/>
        <w:jc w:val="both"/>
      </w:pPr>
      <w:r w:rsidRPr="00936ACF">
        <w:t xml:space="preserve">Pedreira Junior, J.U., Pitombo, C.S., 2024. Unveiling Substitution Patterns of Work Trips by Teleworking and Their Associations with Physical and Virtual Accessibility in the Brazilian COVID-19 Crisis. </w:t>
      </w:r>
      <w:r w:rsidRPr="00936ACF">
        <w:rPr>
          <w:i/>
          <w:iCs/>
        </w:rPr>
        <w:t>Travel Behaviour and Society</w:t>
      </w:r>
      <w:r w:rsidRPr="00936ACF">
        <w:t xml:space="preserve"> 34</w:t>
      </w:r>
      <w:r w:rsidR="009B7681" w:rsidRPr="00936ACF">
        <w:t>, 100657</w:t>
      </w:r>
      <w:r w:rsidRPr="00936ACF">
        <w:t>. https://doi.org/10.1016/j.tbs.2023.100657</w:t>
      </w:r>
    </w:p>
    <w:p w14:paraId="122F3C5F" w14:textId="2726E1DD" w:rsidR="007C3A08" w:rsidRPr="00936ACF" w:rsidRDefault="007C3A08" w:rsidP="00AC217E">
      <w:pPr>
        <w:pStyle w:val="Bibliography"/>
        <w:ind w:left="360" w:hanging="360"/>
        <w:jc w:val="both"/>
      </w:pPr>
      <w:r w:rsidRPr="00936ACF">
        <w:t>Pot, F.J., Heinen, E., Tillema, T., 202</w:t>
      </w:r>
      <w:r w:rsidR="009B7681" w:rsidRPr="00936ACF">
        <w:t>5</w:t>
      </w:r>
      <w:r w:rsidRPr="00936ACF">
        <w:t xml:space="preserve">. Sufficient Access? Activity Participation, Perceived Accessibility and Transport-Related Social Exclusion Across Spatial Contexts. </w:t>
      </w:r>
      <w:r w:rsidRPr="00936ACF">
        <w:rPr>
          <w:i/>
          <w:iCs/>
        </w:rPr>
        <w:t>Transportation</w:t>
      </w:r>
      <w:r w:rsidR="009B7681" w:rsidRPr="00936ACF">
        <w:t xml:space="preserve"> 52, 1679–1707</w:t>
      </w:r>
      <w:r w:rsidRPr="00936ACF">
        <w:t>. https://doi.org/10.1007/s11116-024-10470-z</w:t>
      </w:r>
    </w:p>
    <w:p w14:paraId="392BC97A" w14:textId="32CF0ED7" w:rsidR="007C3A08" w:rsidRPr="00936ACF" w:rsidRDefault="007C3A08" w:rsidP="00AC217E">
      <w:pPr>
        <w:pStyle w:val="Bibliography"/>
        <w:ind w:left="360" w:hanging="360"/>
        <w:jc w:val="both"/>
      </w:pPr>
      <w:r w:rsidRPr="00936ACF">
        <w:t xml:space="preserve">Pot, F.J., van Wee, B., Tillema, T., 2021. Perceived Accessibility: What It Is and Why It Differs from Calculated Accessibility Measures Based on Spatial Data. </w:t>
      </w:r>
      <w:r w:rsidRPr="00936ACF">
        <w:rPr>
          <w:i/>
          <w:iCs/>
        </w:rPr>
        <w:t>Journal of Transport Geography</w:t>
      </w:r>
      <w:r w:rsidRPr="00936ACF">
        <w:t xml:space="preserve"> 94</w:t>
      </w:r>
      <w:r w:rsidR="00D513E7" w:rsidRPr="00936ACF">
        <w:t>, 103090</w:t>
      </w:r>
      <w:r w:rsidRPr="00936ACF">
        <w:t>. https://doi.org/10.1016/j.jtrangeo.2021.103090</w:t>
      </w:r>
    </w:p>
    <w:p w14:paraId="5FDD134D" w14:textId="5C57DF1B" w:rsidR="007C3A08" w:rsidRPr="00936ACF" w:rsidRDefault="007C3A08" w:rsidP="00AC217E">
      <w:pPr>
        <w:pStyle w:val="Bibliography"/>
        <w:ind w:left="360" w:hanging="360"/>
        <w:jc w:val="both"/>
      </w:pPr>
      <w:r w:rsidRPr="00936ACF">
        <w:t xml:space="preserve">Priya Uteng, T., Turner, J., 2019. Addressing the Linkages Between Gender and Transport in Low- and Middle-Income Countries. </w:t>
      </w:r>
      <w:r w:rsidR="00D513E7" w:rsidRPr="00936ACF">
        <w:rPr>
          <w:i/>
          <w:iCs/>
        </w:rPr>
        <w:t>Sustainability</w:t>
      </w:r>
      <w:r w:rsidR="00D513E7" w:rsidRPr="00936ACF">
        <w:t xml:space="preserve"> 11(17), 4555</w:t>
      </w:r>
      <w:r w:rsidRPr="00936ACF">
        <w:t>. https://doi.org/10.3390/su11174555</w:t>
      </w:r>
    </w:p>
    <w:p w14:paraId="3F3A63D7" w14:textId="77777777" w:rsidR="007C3A08" w:rsidRPr="00936ACF" w:rsidRDefault="007C3A08" w:rsidP="00AC217E">
      <w:pPr>
        <w:pStyle w:val="Bibliography"/>
        <w:ind w:left="360" w:hanging="360"/>
        <w:jc w:val="both"/>
      </w:pPr>
      <w:r w:rsidRPr="00936ACF">
        <w:t xml:space="preserve">Roe, C.M., Rosnick, C.B., Colletta, A., Babulal, G.M., 2021. Reaction to a Pandemic: Social Distancing and Driving Among Older Adults During COVID-19. </w:t>
      </w:r>
      <w:r w:rsidRPr="00936ACF">
        <w:rPr>
          <w:i/>
          <w:iCs/>
        </w:rPr>
        <w:t>Journal of Applied Gerontology</w:t>
      </w:r>
      <w:r w:rsidRPr="00936ACF">
        <w:t xml:space="preserve"> 40, 263–267. https://doi.org/10.1177/0733464820966516</w:t>
      </w:r>
    </w:p>
    <w:p w14:paraId="3E14F40A" w14:textId="05EA3AE9" w:rsidR="007C3A08" w:rsidRPr="00936ACF" w:rsidRDefault="007C3A08" w:rsidP="00AC217E">
      <w:pPr>
        <w:pStyle w:val="Bibliography"/>
        <w:ind w:left="360" w:hanging="360"/>
        <w:jc w:val="both"/>
      </w:pPr>
      <w:r w:rsidRPr="00936ACF">
        <w:t xml:space="preserve">Roper, S., Alkhalifah, E.S., 2020. Online </w:t>
      </w:r>
      <w:r w:rsidR="00D513E7" w:rsidRPr="00936ACF">
        <w:t>S</w:t>
      </w:r>
      <w:r w:rsidRPr="00936ACF">
        <w:t xml:space="preserve">hopping in a </w:t>
      </w:r>
      <w:r w:rsidR="00D513E7" w:rsidRPr="00936ACF">
        <w:t>R</w:t>
      </w:r>
      <w:r w:rsidRPr="00936ACF">
        <w:t xml:space="preserve">estrictive </w:t>
      </w:r>
      <w:r w:rsidR="00D513E7" w:rsidRPr="00936ACF">
        <w:t>S</w:t>
      </w:r>
      <w:r w:rsidRPr="00936ACF">
        <w:t xml:space="preserve">ociety: </w:t>
      </w:r>
      <w:r w:rsidR="00D513E7" w:rsidRPr="00936ACF">
        <w:t>L</w:t>
      </w:r>
      <w:r w:rsidRPr="00936ACF">
        <w:t xml:space="preserve">essons from Saudi Arabia. </w:t>
      </w:r>
      <w:r w:rsidRPr="00936ACF">
        <w:rPr>
          <w:i/>
          <w:iCs/>
        </w:rPr>
        <w:t>Qualitative Market Research: An International Journal</w:t>
      </w:r>
      <w:r w:rsidRPr="00936ACF">
        <w:t xml:space="preserve"> 24, 449–469. https://doi.org/10.1108/QMR-01-2020-0012</w:t>
      </w:r>
    </w:p>
    <w:p w14:paraId="44E301AB" w14:textId="77777777" w:rsidR="007C3A08" w:rsidRPr="00936ACF" w:rsidRDefault="007C3A08" w:rsidP="00AC217E">
      <w:pPr>
        <w:pStyle w:val="Bibliography"/>
        <w:ind w:left="360" w:hanging="360"/>
        <w:jc w:val="both"/>
      </w:pPr>
      <w:r w:rsidRPr="00936ACF">
        <w:t xml:space="preserve">Salomon, I., 1985. Telecommunications and Travel: Substitution or Modified Mobility? </w:t>
      </w:r>
      <w:r w:rsidRPr="00936ACF">
        <w:rPr>
          <w:i/>
          <w:iCs/>
        </w:rPr>
        <w:t>Journal of Transport Economics and Policy</w:t>
      </w:r>
      <w:r w:rsidRPr="00936ACF">
        <w:t xml:space="preserve"> 19, 219–235.</w:t>
      </w:r>
    </w:p>
    <w:p w14:paraId="53C3D563" w14:textId="3183BD47" w:rsidR="007C3A08" w:rsidRPr="00936ACF" w:rsidRDefault="007C3A08" w:rsidP="00AC217E">
      <w:pPr>
        <w:pStyle w:val="Bibliography"/>
        <w:ind w:left="360" w:hanging="360"/>
        <w:jc w:val="both"/>
      </w:pPr>
      <w:r w:rsidRPr="00936ACF">
        <w:t xml:space="preserve">Saphores, J.-D., Xu, L., 2021. E-Shopping Changes and the State of E-Grocery Shopping in the US - Evidence from National Travel and Time Use Surveys. </w:t>
      </w:r>
      <w:r w:rsidRPr="00936ACF">
        <w:rPr>
          <w:i/>
          <w:iCs/>
        </w:rPr>
        <w:t>Research in Transportation Economics</w:t>
      </w:r>
      <w:r w:rsidRPr="00936ACF">
        <w:t xml:space="preserve"> 87</w:t>
      </w:r>
      <w:r w:rsidR="00D513E7" w:rsidRPr="00936ACF">
        <w:t>, 100864</w:t>
      </w:r>
      <w:r w:rsidRPr="00936ACF">
        <w:t>. https://doi.org/10.1016/j.retrec.2020.100864</w:t>
      </w:r>
    </w:p>
    <w:p w14:paraId="1ADE0FC2" w14:textId="06DB0C81" w:rsidR="007C3A08" w:rsidRPr="00936ACF" w:rsidRDefault="007C3A08" w:rsidP="00AC217E">
      <w:pPr>
        <w:pStyle w:val="Bibliography"/>
        <w:ind w:left="360" w:hanging="360"/>
        <w:jc w:val="both"/>
      </w:pPr>
      <w:r w:rsidRPr="00936ACF">
        <w:t xml:space="preserve">Seabra, C., Silva, C., Paiva, O., Reis, M., Abrantes, J.L., 2021. </w:t>
      </w:r>
      <w:r w:rsidR="00D513E7" w:rsidRPr="00936ACF">
        <w:t xml:space="preserve">Perceptions of Safety and Risk in the Daily Life and Travel Plans in the COVID-19 Context: One Year and Three Waves After. In Seabra, C., Paiva, O., Silva, C. and Abrantes, J.L. (Ed.) </w:t>
      </w:r>
      <w:r w:rsidR="00D513E7" w:rsidRPr="00936ACF">
        <w:rPr>
          <w:i/>
          <w:iCs/>
        </w:rPr>
        <w:t>Pandemics and Travel</w:t>
      </w:r>
      <w:r w:rsidR="00B72DAC">
        <w:rPr>
          <w:i/>
          <w:iCs/>
        </w:rPr>
        <w:t>:COVID-19 Impacts in the Tourism Industry</w:t>
      </w:r>
      <w:r w:rsidR="00D513E7" w:rsidRPr="00936ACF">
        <w:t>. Emerald Group Publishing Limited, Leeds, pp. 83–105.</w:t>
      </w:r>
    </w:p>
    <w:p w14:paraId="540F4251" w14:textId="77777777" w:rsidR="007C3A08" w:rsidRPr="00936ACF" w:rsidRDefault="007C3A08" w:rsidP="00AC217E">
      <w:pPr>
        <w:pStyle w:val="Bibliography"/>
        <w:ind w:left="360" w:hanging="360"/>
        <w:jc w:val="both"/>
      </w:pPr>
      <w:r w:rsidRPr="00936ACF">
        <w:t xml:space="preserve">Shah, A.M., Yan, X., Qayyum, A., 2021. Adoption of Mobile Food Ordering Apps for O2O Food Delivery Services During the COVID-19 Outbreak. </w:t>
      </w:r>
      <w:r w:rsidRPr="00936ACF">
        <w:rPr>
          <w:i/>
          <w:iCs/>
        </w:rPr>
        <w:t>British Food Journal</w:t>
      </w:r>
      <w:r w:rsidRPr="00936ACF">
        <w:t xml:space="preserve"> 124, 3368–3395. https://doi.org/10.1108/BFJ-09-2020-0781</w:t>
      </w:r>
    </w:p>
    <w:p w14:paraId="68700A25" w14:textId="77777777" w:rsidR="007C3A08" w:rsidRPr="00936ACF" w:rsidRDefault="007C3A08" w:rsidP="00AC217E">
      <w:pPr>
        <w:pStyle w:val="Bibliography"/>
        <w:ind w:left="360" w:hanging="360"/>
        <w:jc w:val="both"/>
      </w:pPr>
      <w:r w:rsidRPr="00936ACF">
        <w:t xml:space="preserve">Shah, H., Carrel, A.L., Le, H.T.K., 2024. Impacts of Teleworking and Online Shopping on Travel: A Tour-Based Analysis. </w:t>
      </w:r>
      <w:r w:rsidRPr="00936ACF">
        <w:rPr>
          <w:i/>
          <w:iCs/>
        </w:rPr>
        <w:t>Transportation</w:t>
      </w:r>
      <w:r w:rsidRPr="00936ACF">
        <w:t xml:space="preserve"> 51, 99–127. https://doi.org/10.1007/s11116-022-10321-9</w:t>
      </w:r>
    </w:p>
    <w:p w14:paraId="2D421CC9" w14:textId="18BFCAF3" w:rsidR="007C3A08" w:rsidRPr="00936ACF" w:rsidRDefault="007C3A08" w:rsidP="00AC217E">
      <w:pPr>
        <w:pStyle w:val="Bibliography"/>
        <w:ind w:left="360" w:hanging="360"/>
        <w:jc w:val="both"/>
      </w:pPr>
      <w:r w:rsidRPr="00936ACF">
        <w:t>Shao, R., Derudder, B., Witlox, F., 2022. The Geography of E-Shopping in China: On the Role of Physical and Virtual Accessibility. J</w:t>
      </w:r>
      <w:r w:rsidRPr="00936ACF">
        <w:rPr>
          <w:i/>
          <w:iCs/>
        </w:rPr>
        <w:t>ournal of Retailing and Consumer Services</w:t>
      </w:r>
      <w:r w:rsidRPr="00936ACF">
        <w:t xml:space="preserve"> 64</w:t>
      </w:r>
      <w:r w:rsidR="00D513E7" w:rsidRPr="00936ACF">
        <w:t>, 102753</w:t>
      </w:r>
      <w:r w:rsidRPr="00936ACF">
        <w:t>. https://doi.org/10.1016/j.jretconser.2021.102753</w:t>
      </w:r>
    </w:p>
    <w:p w14:paraId="5C5721B6" w14:textId="5BB938A7" w:rsidR="007C3A08" w:rsidRPr="00936ACF" w:rsidRDefault="007C3A08" w:rsidP="00AC217E">
      <w:pPr>
        <w:pStyle w:val="Bibliography"/>
        <w:ind w:left="360" w:hanging="360"/>
        <w:jc w:val="both"/>
      </w:pPr>
      <w:r w:rsidRPr="00936ACF">
        <w:t xml:space="preserve">Shukla, R., Raval, P.M., 2021. Impact of Virtual Accessibility on Out-of-Home Activity and Travel in Indian Urban Context: A Structural Equation Analysis. </w:t>
      </w:r>
      <w:r w:rsidRPr="00936ACF">
        <w:rPr>
          <w:i/>
          <w:iCs/>
        </w:rPr>
        <w:t>Transportation Research Interdisciplinary Perspectives</w:t>
      </w:r>
      <w:r w:rsidRPr="00936ACF">
        <w:t xml:space="preserve"> 12</w:t>
      </w:r>
      <w:r w:rsidR="00D513E7" w:rsidRPr="00936ACF">
        <w:t>, 100483</w:t>
      </w:r>
      <w:r w:rsidRPr="00936ACF">
        <w:t>. https://doi.org/10.1016/j.trip.2021.100483</w:t>
      </w:r>
    </w:p>
    <w:p w14:paraId="15B52307" w14:textId="38FF4607" w:rsidR="007C3A08" w:rsidRPr="00936ACF" w:rsidRDefault="007C3A08" w:rsidP="00AC217E">
      <w:pPr>
        <w:pStyle w:val="Bibliography"/>
        <w:ind w:left="360" w:hanging="360"/>
        <w:jc w:val="both"/>
      </w:pPr>
      <w:r w:rsidRPr="00936ACF">
        <w:t xml:space="preserve">Siddiq, F., Taylor, B.D., 2021. </w:t>
      </w:r>
      <w:r w:rsidR="00D513E7" w:rsidRPr="00936ACF">
        <w:t xml:space="preserve">Tools of the Trade? Assessing the Progress of Accessibility Measures for Planning Practice. </w:t>
      </w:r>
      <w:r w:rsidRPr="00936ACF">
        <w:t>Journal of the American Planning Association 87</w:t>
      </w:r>
      <w:r w:rsidR="00D513E7" w:rsidRPr="00936ACF">
        <w:t>(4)</w:t>
      </w:r>
      <w:r w:rsidRPr="00936ACF">
        <w:t>, 497–511. https://doi.org/10.1080/01944363.2021.1899036</w:t>
      </w:r>
    </w:p>
    <w:p w14:paraId="610D8A33" w14:textId="77777777" w:rsidR="007C3A08" w:rsidRPr="00936ACF" w:rsidRDefault="007C3A08" w:rsidP="00AC217E">
      <w:pPr>
        <w:pStyle w:val="Bibliography"/>
        <w:ind w:left="360" w:hanging="360"/>
        <w:jc w:val="both"/>
      </w:pPr>
      <w:r w:rsidRPr="00936ACF">
        <w:lastRenderedPageBreak/>
        <w:t xml:space="preserve">Singer, M.E., Martens, K., 2023. Measuring Travel Problems: Testing a Novel Survey Tool in a Natural Experiment. </w:t>
      </w:r>
      <w:r w:rsidRPr="00936ACF">
        <w:rPr>
          <w:i/>
          <w:iCs/>
        </w:rPr>
        <w:t>Transportation Research Part D: Transport and Environment</w:t>
      </w:r>
      <w:r w:rsidRPr="00936ACF">
        <w:t xml:space="preserve"> 121, 103834. https://doi.org/10.1016/j.trd.2023.103834</w:t>
      </w:r>
    </w:p>
    <w:p w14:paraId="5F7BAB61" w14:textId="75DB3386" w:rsidR="007C3A08" w:rsidRPr="00936ACF" w:rsidRDefault="007C3A08" w:rsidP="00AC217E">
      <w:pPr>
        <w:pStyle w:val="Bibliography"/>
        <w:ind w:left="360" w:hanging="360"/>
        <w:jc w:val="both"/>
      </w:pPr>
      <w:r w:rsidRPr="00936ACF">
        <w:t xml:space="preserve">Solon, G., Haider, S.J., Wooldridge, J.M., 2015. What Are We Weighting For? </w:t>
      </w:r>
      <w:r w:rsidRPr="00936ACF">
        <w:rPr>
          <w:i/>
          <w:iCs/>
        </w:rPr>
        <w:t>Journal of Human Resources</w:t>
      </w:r>
      <w:r w:rsidRPr="00936ACF">
        <w:t xml:space="preserve"> 50</w:t>
      </w:r>
      <w:r w:rsidR="00D513E7" w:rsidRPr="00936ACF">
        <w:t>(2)</w:t>
      </w:r>
      <w:r w:rsidRPr="00936ACF">
        <w:t>, 301–316. https://doi.org/10.3368/jhr.50.2.301</w:t>
      </w:r>
    </w:p>
    <w:p w14:paraId="266A94D0" w14:textId="59458AB3" w:rsidR="007C3A08" w:rsidRPr="00936ACF" w:rsidRDefault="007C3A08" w:rsidP="00AC217E">
      <w:pPr>
        <w:pStyle w:val="Bibliography"/>
        <w:ind w:left="360" w:hanging="360"/>
        <w:jc w:val="both"/>
      </w:pPr>
      <w:r w:rsidRPr="00936ACF">
        <w:t xml:space="preserve">Sousa, R., Horta, C., Ribeiro, R., Rabinovich, E., 2020. How to Serve Online Consumers in Rural Markets: Evidence-Based Recommendations. </w:t>
      </w:r>
      <w:r w:rsidRPr="00936ACF">
        <w:rPr>
          <w:i/>
          <w:iCs/>
        </w:rPr>
        <w:t>Business Horizons</w:t>
      </w:r>
      <w:r w:rsidRPr="00936ACF">
        <w:t xml:space="preserve"> 63</w:t>
      </w:r>
      <w:r w:rsidR="00D513E7" w:rsidRPr="00936ACF">
        <w:t>(3)</w:t>
      </w:r>
      <w:r w:rsidRPr="00936ACF">
        <w:t>, 351–362. https://doi.org/10.1016/j.bushor.2020.01.007</w:t>
      </w:r>
    </w:p>
    <w:p w14:paraId="61DBAA9B" w14:textId="2DC97B66" w:rsidR="007C3A08" w:rsidRPr="00936ACF" w:rsidRDefault="007C3A08" w:rsidP="00AC217E">
      <w:pPr>
        <w:pStyle w:val="Bibliography"/>
        <w:ind w:left="360" w:hanging="360"/>
        <w:jc w:val="both"/>
      </w:pPr>
      <w:r w:rsidRPr="00936ACF">
        <w:t xml:space="preserve">Spieler, C., 2020. Racism has </w:t>
      </w:r>
      <w:r w:rsidR="00D513E7" w:rsidRPr="00936ACF">
        <w:t>S</w:t>
      </w:r>
      <w:r w:rsidRPr="00936ACF">
        <w:t xml:space="preserve">haped </w:t>
      </w:r>
      <w:r w:rsidR="00D513E7" w:rsidRPr="00936ACF">
        <w:t>P</w:t>
      </w:r>
      <w:r w:rsidRPr="00936ACF">
        <w:t xml:space="preserve">ublic </w:t>
      </w:r>
      <w:r w:rsidR="00D513E7" w:rsidRPr="00936ACF">
        <w:t>T</w:t>
      </w:r>
      <w:r w:rsidRPr="00936ACF">
        <w:t xml:space="preserve">ransit, and it’s </w:t>
      </w:r>
      <w:r w:rsidR="00D513E7" w:rsidRPr="00936ACF">
        <w:t>R</w:t>
      </w:r>
      <w:r w:rsidRPr="00936ACF">
        <w:t xml:space="preserve">iddled with </w:t>
      </w:r>
      <w:r w:rsidR="00D513E7" w:rsidRPr="00936ACF">
        <w:t>I</w:t>
      </w:r>
      <w:r w:rsidRPr="00936ACF">
        <w:t>nequities</w:t>
      </w:r>
      <w:r w:rsidR="00D513E7" w:rsidRPr="00936ACF">
        <w:t>. Kinder Institute for Urban Research, Rice University. https://kinder.rice.edu/urbanedge/racism-has-shaped-public-transit-and-its-riddled-inequities (accessed 6.7.24)</w:t>
      </w:r>
      <w:r w:rsidRPr="00936ACF">
        <w:t>.</w:t>
      </w:r>
    </w:p>
    <w:p w14:paraId="432CDB3E" w14:textId="77777777" w:rsidR="007C3A08" w:rsidRPr="00936ACF" w:rsidRDefault="007C3A08" w:rsidP="00AC217E">
      <w:pPr>
        <w:pStyle w:val="Bibliography"/>
        <w:ind w:left="360" w:hanging="360"/>
        <w:jc w:val="both"/>
      </w:pPr>
      <w:r w:rsidRPr="00936ACF">
        <w:t xml:space="preserve">Spurlock, C.A., Todd-Blick, A., Wong-Parodi, G., Walker, V., 2020. Children, Income, and the Impact of Home Delivery on Household Shopping Trips. </w:t>
      </w:r>
      <w:r w:rsidRPr="00936ACF">
        <w:rPr>
          <w:i/>
          <w:iCs/>
        </w:rPr>
        <w:t>Transportation Research Record</w:t>
      </w:r>
      <w:r w:rsidRPr="00936ACF">
        <w:t xml:space="preserve"> 2674, 335–350. https://doi.org/10.1177/0361198120935113</w:t>
      </w:r>
    </w:p>
    <w:p w14:paraId="2AE3B8AF" w14:textId="7825296C" w:rsidR="007C3A08" w:rsidRPr="00936ACF" w:rsidRDefault="007C3A08" w:rsidP="00AC217E">
      <w:pPr>
        <w:pStyle w:val="Bibliography"/>
        <w:ind w:left="360" w:hanging="360"/>
        <w:jc w:val="both"/>
      </w:pPr>
      <w:r w:rsidRPr="00936ACF">
        <w:t xml:space="preserve">Squire, K.D., 2022. From Virtual to Participatory Learning with Technology During COVID-19. </w:t>
      </w:r>
      <w:r w:rsidRPr="00936ACF">
        <w:rPr>
          <w:i/>
          <w:iCs/>
        </w:rPr>
        <w:t>E-Learning and Digital Media</w:t>
      </w:r>
      <w:r w:rsidRPr="00936ACF">
        <w:t xml:space="preserve"> 19</w:t>
      </w:r>
      <w:r w:rsidR="00D513E7" w:rsidRPr="00936ACF">
        <w:t>(1)</w:t>
      </w:r>
      <w:r w:rsidRPr="00936ACF">
        <w:t>, 55–77. https://doi.org/10.1177/20427530211022926</w:t>
      </w:r>
    </w:p>
    <w:p w14:paraId="7D30DF45" w14:textId="77777777" w:rsidR="007C3A08" w:rsidRPr="00936ACF" w:rsidRDefault="007C3A08" w:rsidP="00AC217E">
      <w:pPr>
        <w:pStyle w:val="Bibliography"/>
        <w:ind w:left="360" w:hanging="360"/>
        <w:jc w:val="both"/>
      </w:pPr>
      <w:r w:rsidRPr="00936ACF">
        <w:t xml:space="preserve">Srivastava, A., Van Passel, S., Laes, E., 2018. Assessing the Success of Electricity Demand Response Programs: A Meta-Analysis. </w:t>
      </w:r>
      <w:r w:rsidRPr="00936ACF">
        <w:rPr>
          <w:i/>
          <w:iCs/>
        </w:rPr>
        <w:t>Energy Research &amp; Social Science</w:t>
      </w:r>
      <w:r w:rsidRPr="00936ACF">
        <w:t xml:space="preserve"> 40, 110–117. https://doi.org/10.1016/j.erss.2017.12.005</w:t>
      </w:r>
    </w:p>
    <w:p w14:paraId="56F26821" w14:textId="77777777" w:rsidR="007C3A08" w:rsidRPr="00936ACF" w:rsidRDefault="007C3A08" w:rsidP="00AC217E">
      <w:pPr>
        <w:pStyle w:val="Bibliography"/>
        <w:ind w:left="360" w:hanging="360"/>
        <w:jc w:val="both"/>
      </w:pPr>
      <w:r w:rsidRPr="00936ACF">
        <w:t xml:space="preserve">Stark, J., Meschik, M., 2018. Women’s Everyday Mobility: Frightening Situations and Their Impacts on Travel Behaviour. </w:t>
      </w:r>
      <w:r w:rsidRPr="00936ACF">
        <w:rPr>
          <w:i/>
          <w:iCs/>
        </w:rPr>
        <w:t>Transportation Research Part F: Traffic Psychology and Behaviour</w:t>
      </w:r>
      <w:r w:rsidRPr="00936ACF">
        <w:t xml:space="preserve"> 54, 311–323. https://doi.org/10.1016/j.trf.2018.02.017</w:t>
      </w:r>
    </w:p>
    <w:p w14:paraId="2C91A2D1" w14:textId="7794834C" w:rsidR="007C3A08" w:rsidRPr="00936ACF" w:rsidRDefault="007C3A08" w:rsidP="00AC217E">
      <w:pPr>
        <w:pStyle w:val="Bibliography"/>
        <w:ind w:left="360" w:hanging="360"/>
        <w:jc w:val="both"/>
      </w:pPr>
      <w:r w:rsidRPr="00936ACF">
        <w:t xml:space="preserve">Tagliaro, C., Migliore, A., 2021. “COVID-Working”: What to Keep and What to Leave? Evidence from an Italian Company. </w:t>
      </w:r>
      <w:r w:rsidRPr="00936ACF">
        <w:rPr>
          <w:i/>
          <w:iCs/>
        </w:rPr>
        <w:t>Journal of Corporate Real Estate</w:t>
      </w:r>
      <w:r w:rsidRPr="00936ACF">
        <w:t xml:space="preserve"> 24</w:t>
      </w:r>
      <w:r w:rsidR="00D513E7" w:rsidRPr="00936ACF">
        <w:t>(2)</w:t>
      </w:r>
      <w:r w:rsidRPr="00936ACF">
        <w:t>, 76–92. https://doi.org/10.1108/JCRE-10-2020-0053</w:t>
      </w:r>
    </w:p>
    <w:p w14:paraId="6A1FE3D2" w14:textId="75A67814" w:rsidR="007C3A08" w:rsidRPr="00936ACF" w:rsidRDefault="007C3A08" w:rsidP="00AC217E">
      <w:pPr>
        <w:pStyle w:val="Bibliography"/>
        <w:ind w:left="360" w:hanging="360"/>
        <w:jc w:val="both"/>
      </w:pPr>
      <w:r w:rsidRPr="00936ACF">
        <w:t xml:space="preserve">Taylor, M.A.P., 2013. Travel Through Time: The Story of Research on Travel Time Reliability. </w:t>
      </w:r>
      <w:r w:rsidRPr="00936ACF">
        <w:rPr>
          <w:i/>
          <w:iCs/>
        </w:rPr>
        <w:t>Transportmetrica B: Transport Dynamics</w:t>
      </w:r>
      <w:r w:rsidRPr="00936ACF">
        <w:t xml:space="preserve"> 1</w:t>
      </w:r>
      <w:r w:rsidR="00D513E7" w:rsidRPr="00936ACF">
        <w:t>(3)</w:t>
      </w:r>
      <w:r w:rsidRPr="00936ACF">
        <w:t>, 174–194. https://doi.org/10.1080/21680566.2013.859107</w:t>
      </w:r>
    </w:p>
    <w:p w14:paraId="6473DC75" w14:textId="221F6B13" w:rsidR="007C3A08" w:rsidRPr="00936ACF" w:rsidRDefault="007C3A08" w:rsidP="00AC217E">
      <w:pPr>
        <w:pStyle w:val="Bibliography"/>
        <w:keepLines/>
        <w:ind w:left="360" w:hanging="360"/>
        <w:jc w:val="both"/>
      </w:pPr>
      <w:r w:rsidRPr="00936ACF">
        <w:t xml:space="preserve">te Braak, P., van Tienoven, T.P., Minnen, J., Glorieux, I., 2023. Data Quality and Recall Bias in Time-Diary Research: The Effects of Prolonged Recall Periods in Self-Administered Online Time-Use Surveys. </w:t>
      </w:r>
      <w:r w:rsidRPr="00936ACF">
        <w:rPr>
          <w:i/>
          <w:iCs/>
        </w:rPr>
        <w:t>Sociological Methodology</w:t>
      </w:r>
      <w:r w:rsidRPr="00936ACF">
        <w:t xml:space="preserve"> 53</w:t>
      </w:r>
      <w:r w:rsidR="00D513E7" w:rsidRPr="00936ACF">
        <w:t>(1)</w:t>
      </w:r>
      <w:r w:rsidRPr="00936ACF">
        <w:t>, 115–138. https://doi.org/10.1177/00811750221126499</w:t>
      </w:r>
    </w:p>
    <w:p w14:paraId="4BDD674B" w14:textId="11DA6539" w:rsidR="007C3A08" w:rsidRPr="00936ACF" w:rsidRDefault="007C3A08" w:rsidP="00AC217E">
      <w:pPr>
        <w:pStyle w:val="Bibliography"/>
        <w:ind w:left="360" w:hanging="360"/>
        <w:jc w:val="both"/>
      </w:pPr>
      <w:r w:rsidRPr="00936ACF">
        <w:t xml:space="preserve">Thulin, E., Vilhelmson, B., Brundin, L., 2023. Telework After Confinement: Interrogating the Spatiotemporalities of Home-Based Work Life. </w:t>
      </w:r>
      <w:r w:rsidRPr="00936ACF">
        <w:rPr>
          <w:i/>
          <w:iCs/>
        </w:rPr>
        <w:t>Journal of Transport Geography</w:t>
      </w:r>
      <w:r w:rsidRPr="00936ACF">
        <w:t xml:space="preserve"> 113</w:t>
      </w:r>
      <w:r w:rsidR="008730E7" w:rsidRPr="00936ACF">
        <w:t>, 103740</w:t>
      </w:r>
      <w:r w:rsidRPr="00936ACF">
        <w:t>. https://doi.org/10.1016/j.jtrangeo.2023.103740</w:t>
      </w:r>
    </w:p>
    <w:p w14:paraId="07D08C94" w14:textId="77777777" w:rsidR="007C3A08" w:rsidRPr="00936ACF" w:rsidRDefault="007C3A08" w:rsidP="00AC217E">
      <w:pPr>
        <w:pStyle w:val="Bibliography"/>
        <w:ind w:left="360" w:hanging="360"/>
        <w:jc w:val="both"/>
      </w:pPr>
      <w:r w:rsidRPr="00936ACF">
        <w:t xml:space="preserve">Tiznado-Aitken, I., Lucas, K., Muñoz, J.C., Hurtubia, R., 2022. Freedom of Choice? Social and Spatial Disparities on Combined Housing and Transport Affordability. </w:t>
      </w:r>
      <w:r w:rsidRPr="00936ACF">
        <w:rPr>
          <w:i/>
          <w:iCs/>
        </w:rPr>
        <w:t>Transport Policy</w:t>
      </w:r>
      <w:r w:rsidRPr="00936ACF">
        <w:t xml:space="preserve"> 122, 39–53. https://doi.org/10.1016/j.tranpol.2022.04.005</w:t>
      </w:r>
    </w:p>
    <w:p w14:paraId="66ADC58E" w14:textId="72B1A869" w:rsidR="007C3A08" w:rsidRPr="00936ACF" w:rsidRDefault="007C3A08" w:rsidP="00AC217E">
      <w:pPr>
        <w:pStyle w:val="Bibliography"/>
        <w:ind w:left="360" w:hanging="360"/>
        <w:jc w:val="both"/>
      </w:pPr>
      <w:r w:rsidRPr="00936ACF">
        <w:t xml:space="preserve">Tiznado-Aitken, I., Lucas, K., Muñoz, J.C., Hurtubia, R., 2020. Understanding Accessibility Through Public Transport Users’ Experiences: A Mixed Methods Approach. </w:t>
      </w:r>
      <w:r w:rsidRPr="00936ACF">
        <w:rPr>
          <w:i/>
          <w:iCs/>
        </w:rPr>
        <w:t>Journal of Transport Geography</w:t>
      </w:r>
      <w:r w:rsidRPr="00936ACF">
        <w:t xml:space="preserve"> 88</w:t>
      </w:r>
      <w:r w:rsidR="00BF0062" w:rsidRPr="00936ACF">
        <w:t>, 102857</w:t>
      </w:r>
      <w:r w:rsidRPr="00936ACF">
        <w:t>. https://doi.org/10.1016/j.jtrangeo.2020.102857</w:t>
      </w:r>
    </w:p>
    <w:p w14:paraId="3380D6D7" w14:textId="739BE6AF" w:rsidR="007C3A08" w:rsidRPr="00936ACF" w:rsidRDefault="007C3A08" w:rsidP="00AC217E">
      <w:pPr>
        <w:pStyle w:val="Bibliography"/>
        <w:ind w:left="360" w:hanging="360"/>
        <w:jc w:val="both"/>
      </w:pPr>
      <w:r w:rsidRPr="00936ACF">
        <w:t xml:space="preserve">Tong, T., Lu, J., Yan, N., Wang, W., 2025. </w:t>
      </w:r>
      <w:r w:rsidR="00BF0062" w:rsidRPr="00936ACF">
        <w:t xml:space="preserve">Time Matters: Examining the Influence of Online Food Delivery on Restaurant Survival. Available at </w:t>
      </w:r>
      <w:r w:rsidR="00BF0062" w:rsidRPr="00936ACF">
        <w:rPr>
          <w:i/>
          <w:iCs/>
        </w:rPr>
        <w:t>SSRN</w:t>
      </w:r>
      <w:r w:rsidR="00BF0062" w:rsidRPr="00936ACF">
        <w:t>: https://doi.org/10.2139/ssrn.5109339</w:t>
      </w:r>
    </w:p>
    <w:p w14:paraId="70BED26A" w14:textId="7A8CC0F5" w:rsidR="007C3A08" w:rsidRPr="00936ACF" w:rsidRDefault="007C3A08" w:rsidP="00AC217E">
      <w:pPr>
        <w:pStyle w:val="Bibliography"/>
        <w:ind w:left="360" w:hanging="360"/>
        <w:jc w:val="both"/>
      </w:pPr>
      <w:r w:rsidRPr="00936ACF">
        <w:t>U.S. Census Bureau, 2020. Profile of General Population and Housing Characteristics. Decennial Census, DEC Demographic Profile, Table DP1.</w:t>
      </w:r>
    </w:p>
    <w:p w14:paraId="639B2451" w14:textId="77777777" w:rsidR="007C3A08" w:rsidRPr="00936ACF" w:rsidRDefault="007C3A08" w:rsidP="00AC217E">
      <w:pPr>
        <w:pStyle w:val="Bibliography"/>
        <w:ind w:left="360" w:hanging="360"/>
        <w:jc w:val="both"/>
      </w:pPr>
      <w:r w:rsidRPr="00936ACF">
        <w:lastRenderedPageBreak/>
        <w:t xml:space="preserve">van de Coevering, P., Maat, K., van Wee, B., 2018. Residential Self-Selection, Reverse Causality and Residential Dissonance. A Latent Class Transition Model of Interactions Between the Built Environment, Travel Attitudes and Travel Behavior. </w:t>
      </w:r>
      <w:r w:rsidRPr="00936ACF">
        <w:rPr>
          <w:i/>
          <w:iCs/>
        </w:rPr>
        <w:t>Transportation Research Part A: Policy and Practice</w:t>
      </w:r>
      <w:r w:rsidRPr="00936ACF">
        <w:t xml:space="preserve"> 118, 466–479. https://doi.org/10.1016/j.tra.2018.08.035</w:t>
      </w:r>
    </w:p>
    <w:p w14:paraId="51CD2259" w14:textId="04D0ED0B" w:rsidR="007C3A08" w:rsidRPr="00936ACF" w:rsidRDefault="007C3A08" w:rsidP="00AC217E">
      <w:pPr>
        <w:pStyle w:val="Bibliography"/>
        <w:ind w:left="360" w:hanging="360"/>
        <w:jc w:val="both"/>
      </w:pPr>
      <w:r w:rsidRPr="00936ACF">
        <w:t xml:space="preserve">van Wee, B., 2022. Accessibility and Equity: A Conceptual Framework and Research Agenda. </w:t>
      </w:r>
      <w:r w:rsidRPr="00936ACF">
        <w:rPr>
          <w:i/>
          <w:iCs/>
        </w:rPr>
        <w:t>Journal of Transport Geography</w:t>
      </w:r>
      <w:r w:rsidRPr="00936ACF">
        <w:t xml:space="preserve"> 104</w:t>
      </w:r>
      <w:r w:rsidR="00BF0062" w:rsidRPr="00936ACF">
        <w:t>, 103421</w:t>
      </w:r>
      <w:r w:rsidRPr="00936ACF">
        <w:t>. https://doi.org/10.1016/j.jtrangeo.2022.103421</w:t>
      </w:r>
    </w:p>
    <w:p w14:paraId="45AB91E3" w14:textId="436C2C30" w:rsidR="007C3A08" w:rsidRPr="00936ACF" w:rsidRDefault="007C3A08" w:rsidP="00AC217E">
      <w:pPr>
        <w:pStyle w:val="Bibliography"/>
        <w:ind w:left="360" w:hanging="360"/>
        <w:jc w:val="both"/>
      </w:pPr>
      <w:r w:rsidRPr="00936ACF">
        <w:t xml:space="preserve">Vansteenwegen, P., Melis, L., Aktaş, D., Montenegro, B.D.G., Sartori Vieira, F., Sörensen, K., 2022. A Survey on Demand-Responsive Public Bus Systems. </w:t>
      </w:r>
      <w:r w:rsidRPr="00936ACF">
        <w:rPr>
          <w:i/>
          <w:iCs/>
        </w:rPr>
        <w:t>Transportation Research Part C: Emerging Technologies</w:t>
      </w:r>
      <w:r w:rsidRPr="00936ACF">
        <w:t xml:space="preserve"> 137</w:t>
      </w:r>
      <w:r w:rsidR="00BF0062" w:rsidRPr="00936ACF">
        <w:t>, 103573</w:t>
      </w:r>
      <w:r w:rsidRPr="00936ACF">
        <w:t>. https://doi.org/10.1016/j.trc.2022.103573</w:t>
      </w:r>
    </w:p>
    <w:p w14:paraId="62089E55" w14:textId="3E893830" w:rsidR="007C3A08" w:rsidRPr="00936ACF" w:rsidRDefault="007C3A08" w:rsidP="00AC217E">
      <w:pPr>
        <w:pStyle w:val="Bibliography"/>
        <w:ind w:left="360" w:hanging="360"/>
        <w:jc w:val="both"/>
      </w:pPr>
      <w:r w:rsidRPr="00936ACF">
        <w:t xml:space="preserve">Vinella-Brusher, E., Cochran, A.L., Iacobucci, E., Wang, J., Wolfe, M., Oluyede, L., Prunkl, L., McDonald, N.C., 2022. Potential of Telehealth to Mitigate Transport Barriers: Evidence from the COVID-19 Pandemic. </w:t>
      </w:r>
      <w:r w:rsidRPr="00936ACF">
        <w:rPr>
          <w:i/>
          <w:iCs/>
        </w:rPr>
        <w:t>Findings</w:t>
      </w:r>
      <w:r w:rsidR="00BF0062" w:rsidRPr="00936ACF">
        <w:t>, July.</w:t>
      </w:r>
      <w:r w:rsidRPr="00936ACF">
        <w:t xml:space="preserve"> https://doi.org/10.32866/001c.37060</w:t>
      </w:r>
    </w:p>
    <w:p w14:paraId="7FAF2028" w14:textId="77777777" w:rsidR="007C3A08" w:rsidRPr="00936ACF" w:rsidRDefault="007C3A08" w:rsidP="00AC217E">
      <w:pPr>
        <w:pStyle w:val="Bibliography"/>
        <w:ind w:left="360" w:hanging="360"/>
        <w:jc w:val="both"/>
      </w:pPr>
      <w:r w:rsidRPr="00936ACF">
        <w:t xml:space="preserve">Wang, S., Cheng, C., 2024. Opportunity or Exploitation? A Longitudinal Dyadic Analysis of Flexible Working Arrangements and Gender Household Labor Inequality. </w:t>
      </w:r>
      <w:r w:rsidRPr="00936ACF">
        <w:rPr>
          <w:i/>
          <w:iCs/>
        </w:rPr>
        <w:t xml:space="preserve">Social Forces </w:t>
      </w:r>
      <w:r w:rsidRPr="00936ACF">
        <w:t>102, 1446–1466. https://doi.org/10.1093/sf/soad125</w:t>
      </w:r>
    </w:p>
    <w:p w14:paraId="7C719357" w14:textId="63E31D36" w:rsidR="007C3A08" w:rsidRPr="00936ACF" w:rsidRDefault="007C3A08" w:rsidP="00AC217E">
      <w:pPr>
        <w:pStyle w:val="Bibliography"/>
        <w:ind w:left="360" w:hanging="360"/>
        <w:jc w:val="both"/>
      </w:pPr>
      <w:r w:rsidRPr="00936ACF">
        <w:t xml:space="preserve">Wasserstein, R.L., Lazar, N.A., 2016. The ASA Statement on </w:t>
      </w:r>
      <w:r w:rsidR="00BF0062" w:rsidRPr="00936ACF">
        <w:rPr>
          <w:i/>
          <w:iCs/>
        </w:rPr>
        <w:t>p</w:t>
      </w:r>
      <w:r w:rsidRPr="00936ACF">
        <w:t xml:space="preserve">-Values: Context, Process, and Purpose. </w:t>
      </w:r>
      <w:r w:rsidRPr="00936ACF">
        <w:rPr>
          <w:i/>
          <w:iCs/>
        </w:rPr>
        <w:t>The American Statistician</w:t>
      </w:r>
      <w:r w:rsidRPr="00936ACF">
        <w:t xml:space="preserve"> 70</w:t>
      </w:r>
      <w:r w:rsidR="00BF0062" w:rsidRPr="00936ACF">
        <w:t>(2)</w:t>
      </w:r>
      <w:r w:rsidRPr="00936ACF">
        <w:t>, 129–133. https://doi.org/10.1080/00031305.2016.1154108</w:t>
      </w:r>
    </w:p>
    <w:p w14:paraId="2C2E77B4" w14:textId="2F059565" w:rsidR="007C3A08" w:rsidRPr="00936ACF" w:rsidRDefault="007C3A08" w:rsidP="00AC217E">
      <w:pPr>
        <w:pStyle w:val="Bibliography"/>
        <w:ind w:left="360" w:hanging="360"/>
        <w:jc w:val="both"/>
      </w:pPr>
      <w:r w:rsidRPr="00936ACF">
        <w:t>Wasserstein, R.L., Schirm, A.L., Lazar, N.A., 2019. Moving to a World Beyond “</w:t>
      </w:r>
      <w:r w:rsidRPr="00936ACF">
        <w:rPr>
          <w:i/>
          <w:iCs/>
        </w:rPr>
        <w:t xml:space="preserve">p </w:t>
      </w:r>
      <w:r w:rsidRPr="00936ACF">
        <w:t xml:space="preserve">&lt; 0.05.” </w:t>
      </w:r>
      <w:r w:rsidRPr="00936ACF">
        <w:rPr>
          <w:i/>
          <w:iCs/>
        </w:rPr>
        <w:t>The American Statistician</w:t>
      </w:r>
      <w:r w:rsidRPr="00936ACF">
        <w:t xml:space="preserve"> </w:t>
      </w:r>
      <w:r w:rsidR="00BF0062" w:rsidRPr="00C936AE">
        <w:t>73(sup1), 1–19</w:t>
      </w:r>
      <w:r w:rsidRPr="00C936AE">
        <w:t>.</w:t>
      </w:r>
      <w:r w:rsidRPr="00936ACF">
        <w:t xml:space="preserve"> https://doi.org/10.1080/00031305.2019.1583913</w:t>
      </w:r>
    </w:p>
    <w:p w14:paraId="0DB2FB0D" w14:textId="317685CC" w:rsidR="007C3A08" w:rsidRPr="00936ACF" w:rsidRDefault="007C3A08" w:rsidP="00AC217E">
      <w:pPr>
        <w:pStyle w:val="Bibliography"/>
        <w:ind w:left="360" w:hanging="360"/>
        <w:jc w:val="both"/>
      </w:pPr>
      <w:r w:rsidRPr="00936ACF">
        <w:t xml:space="preserve">Wooldridge, J.M., 1995. Selection Corrections for Panel Data Models Under Conditional Mean Independence Assumptions. </w:t>
      </w:r>
      <w:r w:rsidRPr="00936ACF">
        <w:rPr>
          <w:i/>
          <w:iCs/>
        </w:rPr>
        <w:t>Journal of Econometrics</w:t>
      </w:r>
      <w:r w:rsidRPr="00936ACF">
        <w:t xml:space="preserve"> 68</w:t>
      </w:r>
      <w:r w:rsidR="00BF0062" w:rsidRPr="00936ACF">
        <w:t>(1)</w:t>
      </w:r>
      <w:r w:rsidRPr="00936ACF">
        <w:t>, 115–132. https://doi.org/10.1016/0304-4076(94)01645-G</w:t>
      </w:r>
    </w:p>
    <w:p w14:paraId="2655E037" w14:textId="7B1A790A" w:rsidR="007C3A08" w:rsidRPr="00936ACF" w:rsidRDefault="007C3A08" w:rsidP="00AC217E">
      <w:pPr>
        <w:pStyle w:val="Bibliography"/>
        <w:ind w:left="360" w:hanging="360"/>
        <w:jc w:val="both"/>
      </w:pPr>
      <w:r w:rsidRPr="00936ACF">
        <w:t xml:space="preserve">Wu, S., Yang, Q., Yang, Z., 2022. Integrating Express Package Delivery Service with Offline Mobile Sales: A New Potential Solution to Sustainable Last-Mile Logistics in Rural China. </w:t>
      </w:r>
      <w:r w:rsidRPr="00936ACF">
        <w:rPr>
          <w:i/>
          <w:iCs/>
        </w:rPr>
        <w:t>International Journal of Logistics Research and Applications</w:t>
      </w:r>
      <w:r w:rsidRPr="00936ACF">
        <w:t xml:space="preserve"> </w:t>
      </w:r>
      <w:r w:rsidR="00BF0062" w:rsidRPr="00936ACF">
        <w:t>28(2), 121–149</w:t>
      </w:r>
      <w:r w:rsidRPr="00936ACF">
        <w:t>. https://doi.org/10.1080/13675567.2022.2153356</w:t>
      </w:r>
    </w:p>
    <w:p w14:paraId="47876430" w14:textId="77777777" w:rsidR="007C3A08" w:rsidRPr="00936ACF" w:rsidRDefault="007C3A08" w:rsidP="00AC217E">
      <w:pPr>
        <w:pStyle w:val="Bibliography"/>
        <w:ind w:left="360" w:hanging="360"/>
        <w:jc w:val="both"/>
      </w:pPr>
      <w:r w:rsidRPr="00936ACF">
        <w:t xml:space="preserve">Xiao, R., Wang, G., Wang, M., 2018. Transportation Disadvantage and Neighborhood Sociodemographics: A Composite Indicator Approach to Examining Social Inequalities. </w:t>
      </w:r>
      <w:r w:rsidRPr="00936ACF">
        <w:rPr>
          <w:i/>
          <w:iCs/>
        </w:rPr>
        <w:t>Social Indicators Research</w:t>
      </w:r>
      <w:r w:rsidRPr="00936ACF">
        <w:t xml:space="preserve"> 137, 29–43. https://doi.org/10.1007/s11205-017-1616-2</w:t>
      </w:r>
    </w:p>
    <w:p w14:paraId="301B66D8" w14:textId="64615C1D" w:rsidR="007C3A08" w:rsidRPr="00936ACF" w:rsidRDefault="007C3A08" w:rsidP="00AC217E">
      <w:pPr>
        <w:pStyle w:val="Bibliography"/>
        <w:ind w:left="360" w:hanging="360"/>
        <w:jc w:val="both"/>
      </w:pPr>
      <w:r w:rsidRPr="00936ACF">
        <w:t xml:space="preserve">Xu, L., Saphores, J.-D., 2024. Does E-Shopping Impact Household Travel? Evidence from the 2017 U.S. NHTS. </w:t>
      </w:r>
      <w:r w:rsidRPr="00936ACF">
        <w:rPr>
          <w:i/>
          <w:iCs/>
        </w:rPr>
        <w:t>Journal of Transport Geography</w:t>
      </w:r>
      <w:r w:rsidRPr="00936ACF">
        <w:t xml:space="preserve"> 115</w:t>
      </w:r>
      <w:r w:rsidR="00BF0062" w:rsidRPr="00936ACF">
        <w:t>, 103827</w:t>
      </w:r>
      <w:r w:rsidRPr="00936ACF">
        <w:t>. https://doi.org/10.1016/j.jtrangeo.2024.103827</w:t>
      </w:r>
    </w:p>
    <w:p w14:paraId="26454B68" w14:textId="77777777" w:rsidR="007C3A08" w:rsidRPr="00936ACF" w:rsidRDefault="007C3A08" w:rsidP="00AC217E">
      <w:pPr>
        <w:pStyle w:val="Bibliography"/>
        <w:ind w:left="360" w:hanging="360"/>
        <w:jc w:val="both"/>
      </w:pPr>
      <w:r w:rsidRPr="00936ACF">
        <w:t xml:space="preserve">Yavuz, N., Welch, E.W., 2010. Addressing Fear of Crime in Public Space: Gender Differences in Reaction to Safety Measures in Train Transit. </w:t>
      </w:r>
      <w:r w:rsidRPr="00936ACF">
        <w:rPr>
          <w:i/>
          <w:iCs/>
        </w:rPr>
        <w:t>Urban Studies</w:t>
      </w:r>
      <w:r w:rsidRPr="00936ACF">
        <w:t xml:space="preserve"> 47, 2491–2515. https://doi.org/10.1177/0042098009359033</w:t>
      </w:r>
    </w:p>
    <w:p w14:paraId="4B6A8D94" w14:textId="77777777" w:rsidR="007C3A08" w:rsidRPr="00936ACF" w:rsidRDefault="007C3A08" w:rsidP="00AC217E">
      <w:pPr>
        <w:pStyle w:val="Bibliography"/>
        <w:ind w:left="360" w:hanging="360"/>
        <w:jc w:val="both"/>
      </w:pPr>
      <w:r w:rsidRPr="00936ACF">
        <w:t xml:space="preserve">Young, M., Soza-Parra, J., Circella, G., 2022. The Increase in Online Shopping During COVID-19: Who Is Responsible, Will It Last, and What Does It Mean for Cities? </w:t>
      </w:r>
      <w:r w:rsidRPr="00936ACF">
        <w:rPr>
          <w:i/>
          <w:iCs/>
        </w:rPr>
        <w:t>Regional Science Policy &amp; Practice</w:t>
      </w:r>
      <w:r w:rsidRPr="00936ACF">
        <w:t xml:space="preserve"> 14, 162–178. https://doi.org/10.1111/rsp3.12514</w:t>
      </w:r>
    </w:p>
    <w:p w14:paraId="51C63477" w14:textId="5ED8DEC9" w:rsidR="007C3A08" w:rsidRPr="00BF0062" w:rsidRDefault="007C3A08" w:rsidP="00AC217E">
      <w:pPr>
        <w:pStyle w:val="Bibliography"/>
        <w:ind w:left="360" w:hanging="360"/>
        <w:jc w:val="both"/>
      </w:pPr>
      <w:r w:rsidRPr="00936ACF">
        <w:t xml:space="preserve">Yuan, B., Wang, M., 2023. How Work Pattern Transformation May Affect the Mental Health of Older Workers Faced With Unmet Health Care Needs During the Pandemic? A Comparative Investigation of Different Work Models. </w:t>
      </w:r>
      <w:r w:rsidRPr="00936ACF">
        <w:rPr>
          <w:i/>
          <w:iCs/>
        </w:rPr>
        <w:t>Journal of Occupational and Environmental Medicine</w:t>
      </w:r>
      <w:r w:rsidRPr="00936ACF">
        <w:t xml:space="preserve"> </w:t>
      </w:r>
      <w:r w:rsidR="00BF0062" w:rsidRPr="00936ACF">
        <w:t>65(5), e298-e305</w:t>
      </w:r>
      <w:r w:rsidRPr="00936ACF">
        <w:t>. https://doi.org/10.1097/JOM.0000000000002813</w:t>
      </w:r>
    </w:p>
    <w:p w14:paraId="07AA1AC8" w14:textId="1CD45D04" w:rsidR="009A0812" w:rsidRPr="000D3090" w:rsidRDefault="002B0064" w:rsidP="00AC217E">
      <w:pPr>
        <w:pStyle w:val="Bibliography"/>
        <w:ind w:left="540" w:hanging="540"/>
        <w:jc w:val="both"/>
      </w:pPr>
      <w:r w:rsidRPr="00BF0062">
        <w:fldChar w:fldCharType="end"/>
      </w:r>
      <w:r w:rsidR="009A0812" w:rsidRPr="000D3090">
        <w:br w:type="page"/>
      </w:r>
    </w:p>
    <w:p w14:paraId="646A2A66" w14:textId="77777777" w:rsidR="009A0812" w:rsidRPr="000D3090" w:rsidRDefault="009A0812"/>
    <w:p w14:paraId="23D22B52" w14:textId="77777777" w:rsidR="009A0812" w:rsidRPr="000D3090" w:rsidRDefault="009A0812" w:rsidP="009A0812">
      <w:pPr>
        <w:spacing w:after="0"/>
        <w:jc w:val="center"/>
        <w:rPr>
          <w:b/>
          <w:bCs/>
          <w:sz w:val="20"/>
          <w:szCs w:val="20"/>
        </w:rPr>
      </w:pPr>
      <w:r w:rsidRPr="000D3090">
        <w:rPr>
          <w:b/>
          <w:bCs/>
          <w:noProof/>
          <w:sz w:val="20"/>
          <w:szCs w:val="20"/>
        </w:rPr>
        <w:drawing>
          <wp:inline distT="0" distB="0" distL="0" distR="0" wp14:anchorId="634F85F3" wp14:editId="7CD2A765">
            <wp:extent cx="5528466" cy="3025454"/>
            <wp:effectExtent l="0" t="0" r="0" b="3810"/>
            <wp:docPr id="6681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546259" cy="3035191"/>
                    </a:xfrm>
                    <a:prstGeom prst="rect">
                      <a:avLst/>
                    </a:prstGeom>
                    <a:noFill/>
                  </pic:spPr>
                </pic:pic>
              </a:graphicData>
            </a:graphic>
          </wp:inline>
        </w:drawing>
      </w:r>
    </w:p>
    <w:p w14:paraId="50D4B943" w14:textId="77777777" w:rsidR="009A0812" w:rsidRPr="000D3090" w:rsidRDefault="009A0812" w:rsidP="009A0812">
      <w:pPr>
        <w:spacing w:after="0"/>
        <w:jc w:val="center"/>
        <w:rPr>
          <w:b/>
          <w:bCs/>
          <w:sz w:val="20"/>
          <w:szCs w:val="20"/>
        </w:rPr>
      </w:pPr>
    </w:p>
    <w:p w14:paraId="0BD41C54" w14:textId="57E96F28" w:rsidR="009A0812" w:rsidRPr="000D3090" w:rsidRDefault="009A0812" w:rsidP="009A0812">
      <w:pPr>
        <w:spacing w:after="0" w:line="240" w:lineRule="auto"/>
        <w:jc w:val="center"/>
        <w:rPr>
          <w:b/>
          <w:bCs/>
        </w:rPr>
      </w:pPr>
      <w:r w:rsidRPr="000D3090">
        <w:rPr>
          <w:b/>
          <w:bCs/>
        </w:rPr>
        <w:t>Figure 1 Framework of Physical Participation Dissonance (PPD)</w:t>
      </w:r>
    </w:p>
    <w:p w14:paraId="6DE21C54" w14:textId="75DBADDE" w:rsidR="005D67B1" w:rsidRPr="000D3090" w:rsidRDefault="005D67B1">
      <w:r w:rsidRPr="000D3090">
        <w:br w:type="page"/>
      </w:r>
    </w:p>
    <w:p w14:paraId="592CA784" w14:textId="1A31DD0A" w:rsidR="0009518B" w:rsidRPr="000D3090" w:rsidRDefault="00B81205" w:rsidP="00DE4E50">
      <w:pPr>
        <w:spacing w:after="0" w:line="240" w:lineRule="auto"/>
        <w:jc w:val="both"/>
        <w:rPr>
          <w:b/>
          <w:bCs/>
        </w:rPr>
      </w:pPr>
      <w:r w:rsidRPr="000D3090">
        <w:rPr>
          <w:b/>
          <w:bCs/>
        </w:rPr>
        <w:lastRenderedPageBreak/>
        <w:t xml:space="preserve">Table 1 </w:t>
      </w:r>
      <w:r w:rsidR="00624879" w:rsidRPr="000D3090">
        <w:rPr>
          <w:b/>
          <w:bCs/>
        </w:rPr>
        <w:t>Descriptive Statistics of Outcomes</w:t>
      </w:r>
    </w:p>
    <w:p w14:paraId="0D45BD26" w14:textId="77777777" w:rsidR="00624879" w:rsidRPr="000D3090" w:rsidRDefault="00624879" w:rsidP="00DE4E50">
      <w:pPr>
        <w:spacing w:after="0" w:line="240" w:lineRule="auto"/>
        <w:jc w:val="both"/>
        <w:rPr>
          <w:sz w:val="20"/>
          <w:szCs w:val="20"/>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1800"/>
        <w:gridCol w:w="1530"/>
      </w:tblGrid>
      <w:tr w:rsidR="009A0812" w:rsidRPr="000D3090" w14:paraId="5B134D6D" w14:textId="77777777" w:rsidTr="00AB1924">
        <w:trPr>
          <w:trHeight w:val="288"/>
          <w:jc w:val="center"/>
        </w:trPr>
        <w:tc>
          <w:tcPr>
            <w:tcW w:w="5925" w:type="dxa"/>
            <w:tcBorders>
              <w:top w:val="single" w:sz="12" w:space="0" w:color="auto"/>
              <w:left w:val="single" w:sz="12" w:space="0" w:color="auto"/>
              <w:bottom w:val="single" w:sz="6" w:space="0" w:color="auto"/>
              <w:right w:val="single" w:sz="6" w:space="0" w:color="auto"/>
            </w:tcBorders>
            <w:shd w:val="clear" w:color="000000" w:fill="FFFFFF"/>
            <w:vAlign w:val="center"/>
          </w:tcPr>
          <w:p w14:paraId="12CC45A8" w14:textId="77777777" w:rsidR="009A0812" w:rsidRPr="000D3090" w:rsidRDefault="009A0812" w:rsidP="00AB1924">
            <w:pPr>
              <w:spacing w:after="0" w:line="240" w:lineRule="auto"/>
              <w:jc w:val="center"/>
              <w:rPr>
                <w:rFonts w:eastAsia="Times New Roman"/>
                <w:b/>
                <w:bCs/>
                <w:color w:val="000000"/>
                <w:sz w:val="22"/>
                <w:szCs w:val="22"/>
              </w:rPr>
            </w:pPr>
            <w:r w:rsidRPr="000D3090">
              <w:rPr>
                <w:rFonts w:eastAsia="Times New Roman"/>
                <w:b/>
                <w:bCs/>
                <w:color w:val="000000"/>
                <w:sz w:val="22"/>
                <w:szCs w:val="22"/>
              </w:rPr>
              <w:t>Physical Participation Dissonance (PPD)</w:t>
            </w:r>
          </w:p>
        </w:tc>
        <w:tc>
          <w:tcPr>
            <w:tcW w:w="1800" w:type="dxa"/>
            <w:tcBorders>
              <w:top w:val="single" w:sz="12" w:space="0" w:color="auto"/>
              <w:left w:val="single" w:sz="6" w:space="0" w:color="auto"/>
              <w:bottom w:val="single" w:sz="6" w:space="0" w:color="auto"/>
              <w:right w:val="single" w:sz="6" w:space="0" w:color="auto"/>
            </w:tcBorders>
            <w:shd w:val="clear" w:color="000000" w:fill="FFFFFF"/>
            <w:vAlign w:val="center"/>
          </w:tcPr>
          <w:p w14:paraId="41990A89" w14:textId="77777777" w:rsidR="009A0812" w:rsidRPr="000D3090" w:rsidRDefault="009A0812" w:rsidP="00AB1924">
            <w:pPr>
              <w:spacing w:after="0" w:line="240" w:lineRule="auto"/>
              <w:jc w:val="center"/>
              <w:rPr>
                <w:rFonts w:eastAsia="Times New Roman"/>
                <w:b/>
                <w:bCs/>
                <w:color w:val="000000"/>
                <w:sz w:val="22"/>
                <w:szCs w:val="22"/>
              </w:rPr>
            </w:pPr>
            <w:r w:rsidRPr="000D3090">
              <w:rPr>
                <w:rFonts w:eastAsia="Times New Roman"/>
                <w:b/>
                <w:bCs/>
                <w:color w:val="000000"/>
                <w:sz w:val="22"/>
                <w:szCs w:val="22"/>
              </w:rPr>
              <w:t>Number</w:t>
            </w:r>
          </w:p>
        </w:tc>
        <w:tc>
          <w:tcPr>
            <w:tcW w:w="1530" w:type="dxa"/>
            <w:tcBorders>
              <w:top w:val="single" w:sz="12" w:space="0" w:color="auto"/>
              <w:left w:val="single" w:sz="6" w:space="0" w:color="auto"/>
              <w:bottom w:val="single" w:sz="6" w:space="0" w:color="auto"/>
              <w:right w:val="single" w:sz="12" w:space="0" w:color="auto"/>
            </w:tcBorders>
            <w:shd w:val="clear" w:color="000000" w:fill="FFFFFF"/>
            <w:vAlign w:val="center"/>
          </w:tcPr>
          <w:p w14:paraId="2735EEB5" w14:textId="77777777" w:rsidR="009A0812" w:rsidRPr="000D3090" w:rsidRDefault="009A0812" w:rsidP="00AB1924">
            <w:pPr>
              <w:spacing w:after="0" w:line="240" w:lineRule="auto"/>
              <w:jc w:val="center"/>
              <w:rPr>
                <w:rFonts w:eastAsia="Times New Roman"/>
                <w:b/>
                <w:bCs/>
                <w:color w:val="000000"/>
                <w:sz w:val="22"/>
                <w:szCs w:val="22"/>
              </w:rPr>
            </w:pPr>
            <w:r w:rsidRPr="000D3090">
              <w:rPr>
                <w:rFonts w:eastAsia="Times New Roman"/>
                <w:b/>
                <w:bCs/>
                <w:color w:val="000000"/>
                <w:sz w:val="22"/>
                <w:szCs w:val="22"/>
              </w:rPr>
              <w:t>Percent</w:t>
            </w:r>
          </w:p>
        </w:tc>
      </w:tr>
      <w:tr w:rsidR="009A0812" w:rsidRPr="000D3090" w14:paraId="7D98F187" w14:textId="77777777" w:rsidTr="00AB1924">
        <w:trPr>
          <w:trHeight w:val="288"/>
          <w:jc w:val="center"/>
        </w:trPr>
        <w:tc>
          <w:tcPr>
            <w:tcW w:w="5925" w:type="dxa"/>
            <w:tcBorders>
              <w:top w:val="single" w:sz="6" w:space="0" w:color="auto"/>
              <w:left w:val="single" w:sz="12" w:space="0" w:color="auto"/>
              <w:bottom w:val="nil"/>
              <w:right w:val="single" w:sz="6" w:space="0" w:color="auto"/>
            </w:tcBorders>
            <w:shd w:val="clear" w:color="000000" w:fill="FFFFFF"/>
            <w:vAlign w:val="center"/>
          </w:tcPr>
          <w:p w14:paraId="0E8E26DE" w14:textId="77777777" w:rsidR="009A0812" w:rsidRPr="000D3090" w:rsidRDefault="009A0812" w:rsidP="00AB1924">
            <w:pPr>
              <w:spacing w:after="0" w:line="240" w:lineRule="auto"/>
              <w:rPr>
                <w:rFonts w:eastAsia="Times New Roman"/>
                <w:color w:val="000000"/>
                <w:sz w:val="22"/>
                <w:szCs w:val="22"/>
              </w:rPr>
            </w:pPr>
            <w:r w:rsidRPr="000D3090">
              <w:rPr>
                <w:rFonts w:eastAsia="Times New Roman"/>
                <w:color w:val="000000"/>
                <w:sz w:val="22"/>
                <w:szCs w:val="22"/>
              </w:rPr>
              <w:t>Suppressed trips in the last 30 days</w:t>
            </w:r>
          </w:p>
        </w:tc>
        <w:tc>
          <w:tcPr>
            <w:tcW w:w="1800" w:type="dxa"/>
            <w:tcBorders>
              <w:top w:val="single" w:sz="6" w:space="0" w:color="auto"/>
              <w:left w:val="single" w:sz="6" w:space="0" w:color="auto"/>
              <w:bottom w:val="nil"/>
              <w:right w:val="single" w:sz="6" w:space="0" w:color="auto"/>
            </w:tcBorders>
            <w:shd w:val="clear" w:color="000000" w:fill="FFFFFF"/>
            <w:vAlign w:val="center"/>
          </w:tcPr>
          <w:p w14:paraId="7E75C512"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2553</w:t>
            </w:r>
          </w:p>
        </w:tc>
        <w:tc>
          <w:tcPr>
            <w:tcW w:w="1530" w:type="dxa"/>
            <w:tcBorders>
              <w:top w:val="single" w:sz="6" w:space="0" w:color="auto"/>
              <w:left w:val="single" w:sz="6" w:space="0" w:color="auto"/>
              <w:bottom w:val="nil"/>
              <w:right w:val="single" w:sz="12" w:space="0" w:color="auto"/>
            </w:tcBorders>
            <w:shd w:val="clear" w:color="000000" w:fill="FFFFFF"/>
            <w:vAlign w:val="center"/>
          </w:tcPr>
          <w:p w14:paraId="07164D1C"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20.5</w:t>
            </w:r>
          </w:p>
        </w:tc>
      </w:tr>
      <w:tr w:rsidR="009A0812" w:rsidRPr="000D3090" w14:paraId="465A92DC" w14:textId="77777777" w:rsidTr="00AB1924">
        <w:trPr>
          <w:trHeight w:val="288"/>
          <w:jc w:val="center"/>
        </w:trPr>
        <w:tc>
          <w:tcPr>
            <w:tcW w:w="5925" w:type="dxa"/>
            <w:tcBorders>
              <w:top w:val="nil"/>
              <w:left w:val="single" w:sz="12" w:space="0" w:color="auto"/>
              <w:bottom w:val="single" w:sz="12" w:space="0" w:color="auto"/>
              <w:right w:val="single" w:sz="6" w:space="0" w:color="auto"/>
            </w:tcBorders>
            <w:shd w:val="clear" w:color="000000" w:fill="FFFFFF"/>
            <w:vAlign w:val="center"/>
          </w:tcPr>
          <w:p w14:paraId="6F76B762" w14:textId="77777777" w:rsidR="009A0812" w:rsidRPr="000D3090" w:rsidRDefault="009A0812" w:rsidP="00AB1924">
            <w:pPr>
              <w:spacing w:after="0" w:line="240" w:lineRule="auto"/>
              <w:rPr>
                <w:rFonts w:eastAsia="Times New Roman"/>
                <w:color w:val="000000"/>
                <w:sz w:val="22"/>
                <w:szCs w:val="22"/>
              </w:rPr>
            </w:pPr>
            <w:r w:rsidRPr="000D3090">
              <w:rPr>
                <w:rFonts w:eastAsia="Times New Roman"/>
                <w:color w:val="000000"/>
                <w:sz w:val="22"/>
                <w:szCs w:val="22"/>
              </w:rPr>
              <w:t>No suppressed trips in the last 30 days</w:t>
            </w:r>
          </w:p>
        </w:tc>
        <w:tc>
          <w:tcPr>
            <w:tcW w:w="1800" w:type="dxa"/>
            <w:tcBorders>
              <w:top w:val="nil"/>
              <w:left w:val="single" w:sz="6" w:space="0" w:color="auto"/>
              <w:bottom w:val="single" w:sz="12" w:space="0" w:color="auto"/>
              <w:right w:val="single" w:sz="6" w:space="0" w:color="auto"/>
            </w:tcBorders>
            <w:shd w:val="clear" w:color="000000" w:fill="FFFFFF"/>
            <w:vAlign w:val="center"/>
          </w:tcPr>
          <w:p w14:paraId="386627CF"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9916</w:t>
            </w:r>
          </w:p>
        </w:tc>
        <w:tc>
          <w:tcPr>
            <w:tcW w:w="1530" w:type="dxa"/>
            <w:tcBorders>
              <w:top w:val="nil"/>
              <w:left w:val="single" w:sz="6" w:space="0" w:color="auto"/>
              <w:bottom w:val="single" w:sz="12" w:space="0" w:color="auto"/>
              <w:right w:val="single" w:sz="12" w:space="0" w:color="auto"/>
            </w:tcBorders>
            <w:shd w:val="clear" w:color="000000" w:fill="FFFFFF"/>
            <w:vAlign w:val="center"/>
          </w:tcPr>
          <w:p w14:paraId="4211F7C2"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79.5</w:t>
            </w:r>
          </w:p>
        </w:tc>
      </w:tr>
      <w:tr w:rsidR="009A0812" w:rsidRPr="000D3090" w14:paraId="22C2D318" w14:textId="77777777" w:rsidTr="00AB1924">
        <w:trPr>
          <w:trHeight w:val="288"/>
          <w:jc w:val="center"/>
        </w:trPr>
        <w:tc>
          <w:tcPr>
            <w:tcW w:w="5925" w:type="dxa"/>
            <w:tcBorders>
              <w:top w:val="single" w:sz="12" w:space="0" w:color="auto"/>
              <w:left w:val="single" w:sz="12" w:space="0" w:color="auto"/>
              <w:bottom w:val="single" w:sz="6" w:space="0" w:color="auto"/>
              <w:right w:val="single" w:sz="6" w:space="0" w:color="auto"/>
            </w:tcBorders>
            <w:shd w:val="clear" w:color="000000" w:fill="FFFFFF"/>
            <w:vAlign w:val="center"/>
            <w:hideMark/>
          </w:tcPr>
          <w:p w14:paraId="1BC0E368" w14:textId="77777777" w:rsidR="009A0812" w:rsidRPr="000D3090" w:rsidRDefault="009A0812" w:rsidP="00AB1924">
            <w:pPr>
              <w:spacing w:after="0" w:line="240" w:lineRule="auto"/>
              <w:jc w:val="center"/>
              <w:rPr>
                <w:rFonts w:eastAsia="Times New Roman"/>
                <w:b/>
                <w:bCs/>
                <w:color w:val="000000"/>
                <w:sz w:val="22"/>
                <w:szCs w:val="22"/>
              </w:rPr>
            </w:pPr>
            <w:r w:rsidRPr="000D3090">
              <w:rPr>
                <w:rFonts w:eastAsia="Times New Roman"/>
                <w:b/>
                <w:bCs/>
                <w:color w:val="000000"/>
                <w:sz w:val="22"/>
                <w:szCs w:val="22"/>
              </w:rPr>
              <w:t>PPD Reasons</w:t>
            </w:r>
          </w:p>
        </w:tc>
        <w:tc>
          <w:tcPr>
            <w:tcW w:w="1800" w:type="dxa"/>
            <w:tcBorders>
              <w:top w:val="single" w:sz="12" w:space="0" w:color="auto"/>
              <w:left w:val="single" w:sz="6" w:space="0" w:color="auto"/>
              <w:bottom w:val="single" w:sz="6" w:space="0" w:color="auto"/>
              <w:right w:val="single" w:sz="6" w:space="0" w:color="auto"/>
            </w:tcBorders>
            <w:shd w:val="clear" w:color="000000" w:fill="FFFFFF"/>
            <w:vAlign w:val="center"/>
            <w:hideMark/>
          </w:tcPr>
          <w:p w14:paraId="51E0CC52" w14:textId="77777777" w:rsidR="009A0812" w:rsidRPr="000D3090" w:rsidRDefault="009A0812" w:rsidP="00AB1924">
            <w:pPr>
              <w:tabs>
                <w:tab w:val="decimal" w:pos="391"/>
              </w:tabs>
              <w:spacing w:after="0" w:line="240" w:lineRule="auto"/>
              <w:jc w:val="center"/>
              <w:rPr>
                <w:rFonts w:eastAsia="Times New Roman"/>
                <w:b/>
                <w:bCs/>
                <w:color w:val="000000"/>
                <w:sz w:val="22"/>
                <w:szCs w:val="22"/>
              </w:rPr>
            </w:pPr>
            <w:r w:rsidRPr="000D3090">
              <w:rPr>
                <w:rFonts w:eastAsia="Times New Roman"/>
                <w:b/>
                <w:bCs/>
                <w:color w:val="000000"/>
                <w:sz w:val="22"/>
                <w:szCs w:val="22"/>
              </w:rPr>
              <w:t>Times Selected</w:t>
            </w:r>
          </w:p>
        </w:tc>
        <w:tc>
          <w:tcPr>
            <w:tcW w:w="1530" w:type="dxa"/>
            <w:tcBorders>
              <w:top w:val="single" w:sz="12" w:space="0" w:color="auto"/>
              <w:left w:val="single" w:sz="6" w:space="0" w:color="auto"/>
              <w:bottom w:val="single" w:sz="6" w:space="0" w:color="auto"/>
              <w:right w:val="single" w:sz="12" w:space="0" w:color="auto"/>
            </w:tcBorders>
            <w:shd w:val="clear" w:color="000000" w:fill="FFFFFF"/>
            <w:vAlign w:val="center"/>
            <w:hideMark/>
          </w:tcPr>
          <w:p w14:paraId="380B40D4" w14:textId="77777777" w:rsidR="009A0812" w:rsidRPr="000D3090" w:rsidRDefault="009A0812" w:rsidP="00AB1924">
            <w:pPr>
              <w:tabs>
                <w:tab w:val="decimal" w:pos="211"/>
              </w:tabs>
              <w:spacing w:after="0" w:line="240" w:lineRule="auto"/>
              <w:jc w:val="center"/>
              <w:rPr>
                <w:rFonts w:eastAsia="Times New Roman"/>
                <w:b/>
                <w:bCs/>
                <w:color w:val="000000"/>
                <w:sz w:val="22"/>
                <w:szCs w:val="22"/>
              </w:rPr>
            </w:pPr>
            <w:r w:rsidRPr="000D3090">
              <w:rPr>
                <w:rFonts w:eastAsia="Times New Roman"/>
                <w:b/>
                <w:bCs/>
                <w:color w:val="000000"/>
                <w:sz w:val="22"/>
                <w:szCs w:val="22"/>
              </w:rPr>
              <w:t>Percent</w:t>
            </w:r>
          </w:p>
        </w:tc>
      </w:tr>
      <w:tr w:rsidR="009A0812" w:rsidRPr="000D3090" w14:paraId="54901170" w14:textId="77777777" w:rsidTr="00AB1924">
        <w:trPr>
          <w:trHeight w:val="288"/>
          <w:jc w:val="center"/>
        </w:trPr>
        <w:tc>
          <w:tcPr>
            <w:tcW w:w="5925" w:type="dxa"/>
            <w:tcBorders>
              <w:top w:val="single" w:sz="6" w:space="0" w:color="auto"/>
              <w:left w:val="single" w:sz="12" w:space="0" w:color="auto"/>
              <w:bottom w:val="nil"/>
              <w:right w:val="single" w:sz="6" w:space="0" w:color="auto"/>
            </w:tcBorders>
            <w:shd w:val="clear" w:color="000000" w:fill="FFFFFF"/>
            <w:noWrap/>
            <w:vAlign w:val="center"/>
            <w:hideMark/>
          </w:tcPr>
          <w:p w14:paraId="2728FD89" w14:textId="77777777" w:rsidR="009A0812" w:rsidRPr="000D3090" w:rsidRDefault="009A0812" w:rsidP="00AB1924">
            <w:pPr>
              <w:spacing w:after="0" w:line="240" w:lineRule="auto"/>
              <w:rPr>
                <w:sz w:val="22"/>
                <w:szCs w:val="22"/>
              </w:rPr>
            </w:pPr>
            <w:r w:rsidRPr="000D3090">
              <w:rPr>
                <w:sz w:val="22"/>
                <w:szCs w:val="22"/>
              </w:rPr>
              <w:t>Transportation did not feel safe</w:t>
            </w:r>
          </w:p>
          <w:p w14:paraId="6A9344FD"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single" w:sz="6" w:space="0" w:color="auto"/>
              <w:left w:val="single" w:sz="6" w:space="0" w:color="auto"/>
              <w:bottom w:val="nil"/>
              <w:right w:val="single" w:sz="6" w:space="0" w:color="auto"/>
            </w:tcBorders>
            <w:shd w:val="clear" w:color="000000" w:fill="FFFFFF"/>
            <w:vAlign w:val="center"/>
            <w:hideMark/>
          </w:tcPr>
          <w:p w14:paraId="2ECA7E0B"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169</w:t>
            </w:r>
          </w:p>
        </w:tc>
        <w:tc>
          <w:tcPr>
            <w:tcW w:w="1530" w:type="dxa"/>
            <w:tcBorders>
              <w:top w:val="single" w:sz="6" w:space="0" w:color="auto"/>
              <w:left w:val="single" w:sz="6" w:space="0" w:color="auto"/>
              <w:bottom w:val="nil"/>
              <w:right w:val="single" w:sz="12" w:space="0" w:color="auto"/>
            </w:tcBorders>
            <w:shd w:val="clear" w:color="000000" w:fill="FFFFFF"/>
            <w:vAlign w:val="center"/>
            <w:hideMark/>
          </w:tcPr>
          <w:p w14:paraId="2952478F"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6.6</w:t>
            </w:r>
          </w:p>
        </w:tc>
      </w:tr>
      <w:tr w:rsidR="009A0812" w:rsidRPr="000D3090" w14:paraId="6CA4FDB2" w14:textId="77777777" w:rsidTr="00AB1924">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35F9E362" w14:textId="77777777" w:rsidR="009A0812" w:rsidRPr="000D3090" w:rsidRDefault="009A0812" w:rsidP="00AB1924">
            <w:pPr>
              <w:spacing w:after="0" w:line="240" w:lineRule="auto"/>
              <w:rPr>
                <w:sz w:val="22"/>
                <w:szCs w:val="22"/>
              </w:rPr>
            </w:pPr>
            <w:r w:rsidRPr="000D3090">
              <w:rPr>
                <w:sz w:val="22"/>
                <w:szCs w:val="22"/>
              </w:rPr>
              <w:t>Transportation did not feel clean or healthy</w:t>
            </w:r>
          </w:p>
          <w:p w14:paraId="4E94FD71"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nil"/>
              <w:right w:val="single" w:sz="6" w:space="0" w:color="auto"/>
            </w:tcBorders>
            <w:shd w:val="clear" w:color="000000" w:fill="FFFFFF"/>
            <w:vAlign w:val="center"/>
            <w:hideMark/>
          </w:tcPr>
          <w:p w14:paraId="44CBC5E5"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109</w:t>
            </w:r>
          </w:p>
        </w:tc>
        <w:tc>
          <w:tcPr>
            <w:tcW w:w="1530" w:type="dxa"/>
            <w:tcBorders>
              <w:top w:val="nil"/>
              <w:left w:val="single" w:sz="6" w:space="0" w:color="auto"/>
              <w:bottom w:val="nil"/>
              <w:right w:val="single" w:sz="12" w:space="0" w:color="auto"/>
            </w:tcBorders>
            <w:shd w:val="clear" w:color="000000" w:fill="FFFFFF"/>
            <w:vAlign w:val="center"/>
          </w:tcPr>
          <w:p w14:paraId="5873C6F8"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4.3</w:t>
            </w:r>
          </w:p>
        </w:tc>
      </w:tr>
      <w:tr w:rsidR="009A0812" w:rsidRPr="000D3090" w14:paraId="1D30CBDC" w14:textId="77777777" w:rsidTr="00AB1924">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10A57B32" w14:textId="77777777" w:rsidR="009A0812" w:rsidRPr="000D3090" w:rsidRDefault="009A0812" w:rsidP="00AB1924">
            <w:pPr>
              <w:spacing w:after="0" w:line="240" w:lineRule="auto"/>
              <w:rPr>
                <w:sz w:val="22"/>
                <w:szCs w:val="22"/>
              </w:rPr>
            </w:pPr>
            <w:r w:rsidRPr="000D3090">
              <w:rPr>
                <w:sz w:val="22"/>
                <w:szCs w:val="22"/>
              </w:rPr>
              <w:t>Transportation was not reliable</w:t>
            </w:r>
          </w:p>
          <w:p w14:paraId="3773E570"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nil"/>
              <w:right w:val="single" w:sz="6" w:space="0" w:color="auto"/>
            </w:tcBorders>
            <w:shd w:val="clear" w:color="000000" w:fill="FFFFFF"/>
            <w:vAlign w:val="center"/>
            <w:hideMark/>
          </w:tcPr>
          <w:p w14:paraId="7435BCF8"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234</w:t>
            </w:r>
          </w:p>
        </w:tc>
        <w:tc>
          <w:tcPr>
            <w:tcW w:w="1530" w:type="dxa"/>
            <w:tcBorders>
              <w:top w:val="nil"/>
              <w:left w:val="single" w:sz="6" w:space="0" w:color="auto"/>
              <w:bottom w:val="nil"/>
              <w:right w:val="single" w:sz="12" w:space="0" w:color="auto"/>
            </w:tcBorders>
            <w:shd w:val="clear" w:color="000000" w:fill="FFFFFF"/>
            <w:vAlign w:val="center"/>
          </w:tcPr>
          <w:p w14:paraId="4C9F7AA4"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9.2</w:t>
            </w:r>
          </w:p>
        </w:tc>
      </w:tr>
      <w:tr w:rsidR="009A0812" w:rsidRPr="000D3090" w14:paraId="565F8B6C" w14:textId="77777777" w:rsidTr="00AB1924">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74096812" w14:textId="77777777" w:rsidR="009A0812" w:rsidRPr="000D3090" w:rsidRDefault="009A0812" w:rsidP="00AB1924">
            <w:pPr>
              <w:spacing w:after="0" w:line="240" w:lineRule="auto"/>
              <w:rPr>
                <w:sz w:val="22"/>
                <w:szCs w:val="22"/>
              </w:rPr>
            </w:pPr>
            <w:r w:rsidRPr="000D3090">
              <w:rPr>
                <w:sz w:val="22"/>
                <w:szCs w:val="22"/>
              </w:rPr>
              <w:t>Available transportation did not go where I need to go</w:t>
            </w:r>
          </w:p>
          <w:p w14:paraId="27EA80BD"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nil"/>
              <w:right w:val="single" w:sz="6" w:space="0" w:color="auto"/>
            </w:tcBorders>
            <w:shd w:val="clear" w:color="000000" w:fill="FFFFFF"/>
            <w:vAlign w:val="center"/>
            <w:hideMark/>
          </w:tcPr>
          <w:p w14:paraId="6A59926C"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199</w:t>
            </w:r>
          </w:p>
        </w:tc>
        <w:tc>
          <w:tcPr>
            <w:tcW w:w="1530" w:type="dxa"/>
            <w:tcBorders>
              <w:top w:val="nil"/>
              <w:left w:val="single" w:sz="6" w:space="0" w:color="auto"/>
              <w:bottom w:val="nil"/>
              <w:right w:val="single" w:sz="12" w:space="0" w:color="auto"/>
            </w:tcBorders>
            <w:shd w:val="clear" w:color="000000" w:fill="FFFFFF"/>
            <w:vAlign w:val="center"/>
          </w:tcPr>
          <w:p w14:paraId="0953292E"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7.8</w:t>
            </w:r>
          </w:p>
        </w:tc>
      </w:tr>
      <w:tr w:rsidR="009A0812" w:rsidRPr="000D3090" w14:paraId="7637C2AA" w14:textId="77777777" w:rsidTr="00AB1924">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2A74938A" w14:textId="77777777" w:rsidR="009A0812" w:rsidRPr="000D3090" w:rsidRDefault="009A0812" w:rsidP="00AB1924">
            <w:pPr>
              <w:spacing w:after="0" w:line="240" w:lineRule="auto"/>
              <w:rPr>
                <w:sz w:val="22"/>
                <w:szCs w:val="22"/>
              </w:rPr>
            </w:pPr>
            <w:r w:rsidRPr="000D3090">
              <w:rPr>
                <w:sz w:val="22"/>
                <w:szCs w:val="22"/>
              </w:rPr>
              <w:t xml:space="preserve">Unable to afford available forms of transportation </w:t>
            </w:r>
          </w:p>
          <w:p w14:paraId="554CDEC9"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nil"/>
              <w:right w:val="single" w:sz="6" w:space="0" w:color="auto"/>
            </w:tcBorders>
            <w:shd w:val="clear" w:color="000000" w:fill="FFFFFF"/>
            <w:vAlign w:val="center"/>
            <w:hideMark/>
          </w:tcPr>
          <w:p w14:paraId="010BB411"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482</w:t>
            </w:r>
          </w:p>
        </w:tc>
        <w:tc>
          <w:tcPr>
            <w:tcW w:w="1530" w:type="dxa"/>
            <w:tcBorders>
              <w:top w:val="nil"/>
              <w:left w:val="single" w:sz="6" w:space="0" w:color="auto"/>
              <w:bottom w:val="nil"/>
              <w:right w:val="single" w:sz="12" w:space="0" w:color="auto"/>
            </w:tcBorders>
            <w:shd w:val="clear" w:color="000000" w:fill="FFFFFF"/>
            <w:vAlign w:val="center"/>
          </w:tcPr>
          <w:p w14:paraId="3907AAFF"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18.9</w:t>
            </w:r>
          </w:p>
        </w:tc>
      </w:tr>
      <w:tr w:rsidR="009A0812" w:rsidRPr="000D3090" w14:paraId="205EFA26" w14:textId="77777777" w:rsidTr="00AB1924">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5433EABE" w14:textId="77777777" w:rsidR="009A0812" w:rsidRPr="000D3090" w:rsidRDefault="009A0812" w:rsidP="00AB1924">
            <w:pPr>
              <w:spacing w:after="0" w:line="240" w:lineRule="auto"/>
              <w:rPr>
                <w:sz w:val="22"/>
                <w:szCs w:val="22"/>
              </w:rPr>
            </w:pPr>
            <w:r w:rsidRPr="000D3090">
              <w:rPr>
                <w:sz w:val="22"/>
                <w:szCs w:val="22"/>
              </w:rPr>
              <w:t>Had health problems and unable to travel</w:t>
            </w:r>
          </w:p>
          <w:p w14:paraId="66C165F2"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nil"/>
              <w:right w:val="single" w:sz="6" w:space="0" w:color="auto"/>
            </w:tcBorders>
            <w:shd w:val="clear" w:color="000000" w:fill="FFFFFF"/>
            <w:vAlign w:val="center"/>
            <w:hideMark/>
          </w:tcPr>
          <w:p w14:paraId="2470D679"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732</w:t>
            </w:r>
          </w:p>
        </w:tc>
        <w:tc>
          <w:tcPr>
            <w:tcW w:w="1530" w:type="dxa"/>
            <w:tcBorders>
              <w:top w:val="nil"/>
              <w:left w:val="single" w:sz="6" w:space="0" w:color="auto"/>
              <w:bottom w:val="nil"/>
              <w:right w:val="single" w:sz="12" w:space="0" w:color="auto"/>
            </w:tcBorders>
            <w:shd w:val="clear" w:color="000000" w:fill="FFFFFF"/>
            <w:vAlign w:val="center"/>
          </w:tcPr>
          <w:p w14:paraId="17E0A678"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28.7</w:t>
            </w:r>
          </w:p>
        </w:tc>
      </w:tr>
      <w:tr w:rsidR="009A0812" w:rsidRPr="000D3090" w14:paraId="005A191A" w14:textId="77777777" w:rsidTr="00AB1924">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76AF5240" w14:textId="77777777" w:rsidR="009A0812" w:rsidRPr="000D3090" w:rsidRDefault="009A0812" w:rsidP="00AB1924">
            <w:pPr>
              <w:spacing w:after="0" w:line="240" w:lineRule="auto"/>
              <w:rPr>
                <w:sz w:val="22"/>
                <w:szCs w:val="22"/>
              </w:rPr>
            </w:pPr>
            <w:r w:rsidRPr="000D3090">
              <w:rPr>
                <w:sz w:val="22"/>
                <w:szCs w:val="22"/>
              </w:rPr>
              <w:t>Did not have time to travel</w:t>
            </w:r>
          </w:p>
          <w:p w14:paraId="3EF36845"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nil"/>
              <w:right w:val="single" w:sz="6" w:space="0" w:color="auto"/>
            </w:tcBorders>
            <w:shd w:val="clear" w:color="000000" w:fill="FFFFFF"/>
            <w:vAlign w:val="center"/>
            <w:hideMark/>
          </w:tcPr>
          <w:p w14:paraId="1AF40532"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643</w:t>
            </w:r>
          </w:p>
        </w:tc>
        <w:tc>
          <w:tcPr>
            <w:tcW w:w="1530" w:type="dxa"/>
            <w:tcBorders>
              <w:top w:val="nil"/>
              <w:left w:val="single" w:sz="6" w:space="0" w:color="auto"/>
              <w:bottom w:val="nil"/>
              <w:right w:val="single" w:sz="12" w:space="0" w:color="auto"/>
            </w:tcBorders>
            <w:shd w:val="clear" w:color="000000" w:fill="FFFFFF"/>
            <w:vAlign w:val="center"/>
          </w:tcPr>
          <w:p w14:paraId="1E7818BF"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25.2</w:t>
            </w:r>
          </w:p>
        </w:tc>
      </w:tr>
      <w:tr w:rsidR="009A0812" w:rsidRPr="000D3090" w14:paraId="409D62E9" w14:textId="77777777" w:rsidTr="00AB1924">
        <w:trPr>
          <w:trHeight w:val="288"/>
          <w:jc w:val="center"/>
        </w:trPr>
        <w:tc>
          <w:tcPr>
            <w:tcW w:w="5925" w:type="dxa"/>
            <w:tcBorders>
              <w:top w:val="nil"/>
              <w:left w:val="single" w:sz="12" w:space="0" w:color="auto"/>
              <w:bottom w:val="single" w:sz="12" w:space="0" w:color="auto"/>
              <w:right w:val="single" w:sz="6" w:space="0" w:color="auto"/>
            </w:tcBorders>
            <w:shd w:val="clear" w:color="000000" w:fill="FFFFFF"/>
            <w:noWrap/>
            <w:vAlign w:val="center"/>
            <w:hideMark/>
          </w:tcPr>
          <w:p w14:paraId="1B81B963" w14:textId="77777777" w:rsidR="009A0812" w:rsidRPr="000D3090" w:rsidRDefault="009A0812" w:rsidP="00AB1924">
            <w:pPr>
              <w:spacing w:after="0" w:line="240" w:lineRule="auto"/>
              <w:rPr>
                <w:sz w:val="22"/>
                <w:szCs w:val="22"/>
              </w:rPr>
            </w:pPr>
            <w:r w:rsidRPr="000D3090">
              <w:rPr>
                <w:sz w:val="22"/>
                <w:szCs w:val="22"/>
              </w:rPr>
              <w:t>Concerns related to COVID-19</w:t>
            </w:r>
          </w:p>
          <w:p w14:paraId="5AB1D49F" w14:textId="77777777" w:rsidR="009A0812" w:rsidRPr="000D3090" w:rsidRDefault="009A0812" w:rsidP="00AB1924">
            <w:pPr>
              <w:spacing w:after="0" w:line="240" w:lineRule="auto"/>
              <w:ind w:firstLineChars="100" w:firstLine="220"/>
              <w:rPr>
                <w:rFonts w:eastAsia="Times New Roman"/>
                <w:color w:val="000000"/>
                <w:sz w:val="22"/>
                <w:szCs w:val="22"/>
              </w:rPr>
            </w:pPr>
          </w:p>
        </w:tc>
        <w:tc>
          <w:tcPr>
            <w:tcW w:w="1800" w:type="dxa"/>
            <w:tcBorders>
              <w:top w:val="nil"/>
              <w:left w:val="single" w:sz="6" w:space="0" w:color="auto"/>
              <w:bottom w:val="single" w:sz="12" w:space="0" w:color="auto"/>
              <w:right w:val="single" w:sz="6" w:space="0" w:color="auto"/>
            </w:tcBorders>
            <w:shd w:val="clear" w:color="000000" w:fill="FFFFFF"/>
            <w:vAlign w:val="center"/>
            <w:hideMark/>
          </w:tcPr>
          <w:p w14:paraId="7336AED3"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1028</w:t>
            </w:r>
          </w:p>
        </w:tc>
        <w:tc>
          <w:tcPr>
            <w:tcW w:w="1530" w:type="dxa"/>
            <w:tcBorders>
              <w:top w:val="nil"/>
              <w:left w:val="single" w:sz="6" w:space="0" w:color="auto"/>
              <w:bottom w:val="single" w:sz="12" w:space="0" w:color="auto"/>
              <w:right w:val="single" w:sz="12" w:space="0" w:color="auto"/>
            </w:tcBorders>
            <w:shd w:val="clear" w:color="000000" w:fill="FFFFFF"/>
            <w:vAlign w:val="center"/>
          </w:tcPr>
          <w:p w14:paraId="13DDD768"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40.3</w:t>
            </w:r>
          </w:p>
        </w:tc>
      </w:tr>
      <w:tr w:rsidR="009A0812" w:rsidRPr="000D3090" w14:paraId="161D71D0" w14:textId="77777777" w:rsidTr="00AB1924">
        <w:trPr>
          <w:trHeight w:val="288"/>
          <w:jc w:val="center"/>
        </w:trPr>
        <w:tc>
          <w:tcPr>
            <w:tcW w:w="5925" w:type="dxa"/>
            <w:tcBorders>
              <w:top w:val="single" w:sz="12" w:space="0" w:color="auto"/>
              <w:left w:val="single" w:sz="12" w:space="0" w:color="auto"/>
              <w:bottom w:val="single" w:sz="6" w:space="0" w:color="auto"/>
              <w:right w:val="single" w:sz="6" w:space="0" w:color="auto"/>
            </w:tcBorders>
            <w:shd w:val="clear" w:color="000000" w:fill="FFFFFF"/>
            <w:noWrap/>
            <w:vAlign w:val="center"/>
          </w:tcPr>
          <w:p w14:paraId="70E84BF9" w14:textId="77777777" w:rsidR="009A0812" w:rsidRPr="000D3090" w:rsidRDefault="009A0812" w:rsidP="00AB1924">
            <w:pPr>
              <w:spacing w:after="0" w:line="240" w:lineRule="auto"/>
              <w:jc w:val="center"/>
              <w:rPr>
                <w:rFonts w:eastAsia="Times New Roman"/>
                <w:b/>
                <w:bCs/>
                <w:color w:val="000000"/>
                <w:sz w:val="22"/>
                <w:szCs w:val="22"/>
              </w:rPr>
            </w:pPr>
            <w:r w:rsidRPr="000D3090">
              <w:rPr>
                <w:rFonts w:eastAsia="Times New Roman"/>
                <w:b/>
                <w:bCs/>
                <w:color w:val="000000"/>
                <w:sz w:val="22"/>
                <w:szCs w:val="22"/>
              </w:rPr>
              <w:t xml:space="preserve">Virtual Participation </w:t>
            </w:r>
          </w:p>
        </w:tc>
        <w:tc>
          <w:tcPr>
            <w:tcW w:w="1800" w:type="dxa"/>
            <w:tcBorders>
              <w:top w:val="single" w:sz="12" w:space="0" w:color="auto"/>
              <w:left w:val="single" w:sz="6" w:space="0" w:color="auto"/>
              <w:bottom w:val="single" w:sz="6" w:space="0" w:color="auto"/>
              <w:right w:val="single" w:sz="6" w:space="0" w:color="auto"/>
            </w:tcBorders>
            <w:shd w:val="clear" w:color="000000" w:fill="FFFFFF"/>
            <w:noWrap/>
            <w:vAlign w:val="center"/>
          </w:tcPr>
          <w:p w14:paraId="1AB78CAA" w14:textId="77777777" w:rsidR="009A0812" w:rsidRPr="000D3090" w:rsidRDefault="009A0812" w:rsidP="00AB1924">
            <w:pPr>
              <w:tabs>
                <w:tab w:val="decimal" w:pos="391"/>
              </w:tabs>
              <w:spacing w:after="0" w:line="240" w:lineRule="auto"/>
              <w:jc w:val="center"/>
              <w:rPr>
                <w:rFonts w:eastAsia="Times New Roman"/>
                <w:b/>
                <w:bCs/>
                <w:color w:val="000000"/>
                <w:sz w:val="22"/>
                <w:szCs w:val="22"/>
              </w:rPr>
            </w:pPr>
            <w:r w:rsidRPr="000D3090">
              <w:rPr>
                <w:rFonts w:eastAsia="Times New Roman"/>
                <w:b/>
                <w:bCs/>
                <w:color w:val="000000"/>
                <w:sz w:val="22"/>
                <w:szCs w:val="22"/>
              </w:rPr>
              <w:t>Number</w:t>
            </w:r>
          </w:p>
        </w:tc>
        <w:tc>
          <w:tcPr>
            <w:tcW w:w="1530" w:type="dxa"/>
            <w:tcBorders>
              <w:top w:val="single" w:sz="12" w:space="0" w:color="auto"/>
              <w:left w:val="single" w:sz="6" w:space="0" w:color="auto"/>
              <w:bottom w:val="single" w:sz="6" w:space="0" w:color="auto"/>
              <w:right w:val="single" w:sz="12" w:space="0" w:color="auto"/>
            </w:tcBorders>
            <w:shd w:val="clear" w:color="000000" w:fill="FFFFFF"/>
            <w:noWrap/>
            <w:vAlign w:val="center"/>
          </w:tcPr>
          <w:p w14:paraId="0E9C1D51" w14:textId="77777777" w:rsidR="009A0812" w:rsidRPr="000D3090" w:rsidRDefault="009A0812" w:rsidP="00AB1924">
            <w:pPr>
              <w:tabs>
                <w:tab w:val="decimal" w:pos="211"/>
              </w:tabs>
              <w:spacing w:after="0" w:line="240" w:lineRule="auto"/>
              <w:jc w:val="center"/>
              <w:rPr>
                <w:rFonts w:eastAsia="Times New Roman"/>
                <w:b/>
                <w:bCs/>
                <w:color w:val="000000"/>
                <w:sz w:val="22"/>
                <w:szCs w:val="22"/>
              </w:rPr>
            </w:pPr>
            <w:r w:rsidRPr="000D3090">
              <w:rPr>
                <w:rFonts w:eastAsia="Times New Roman"/>
                <w:b/>
                <w:bCs/>
                <w:color w:val="000000"/>
                <w:sz w:val="22"/>
                <w:szCs w:val="22"/>
              </w:rPr>
              <w:t>Percent</w:t>
            </w:r>
          </w:p>
        </w:tc>
      </w:tr>
      <w:tr w:rsidR="009A0812" w:rsidRPr="000D3090" w14:paraId="486EB37B" w14:textId="77777777" w:rsidTr="00AB1924">
        <w:tblPrEx>
          <w:tblCellMar>
            <w:left w:w="43" w:type="dxa"/>
            <w:right w:w="43" w:type="dxa"/>
          </w:tblCellMar>
        </w:tblPrEx>
        <w:trPr>
          <w:trHeight w:val="288"/>
          <w:jc w:val="center"/>
        </w:trPr>
        <w:tc>
          <w:tcPr>
            <w:tcW w:w="5925" w:type="dxa"/>
            <w:tcBorders>
              <w:top w:val="single" w:sz="6" w:space="0" w:color="auto"/>
              <w:left w:val="single" w:sz="12" w:space="0" w:color="auto"/>
              <w:bottom w:val="nil"/>
              <w:right w:val="single" w:sz="6" w:space="0" w:color="auto"/>
            </w:tcBorders>
            <w:shd w:val="clear" w:color="000000" w:fill="FFFFFF"/>
            <w:noWrap/>
            <w:vAlign w:val="center"/>
          </w:tcPr>
          <w:p w14:paraId="02A3F3AF" w14:textId="77777777" w:rsidR="009A0812" w:rsidRPr="000D3090" w:rsidRDefault="009A0812" w:rsidP="00AB1924">
            <w:pPr>
              <w:spacing w:after="0" w:line="240" w:lineRule="auto"/>
              <w:rPr>
                <w:rFonts w:eastAsia="Times New Roman"/>
                <w:b/>
                <w:bCs/>
                <w:color w:val="000000"/>
                <w:sz w:val="22"/>
                <w:szCs w:val="22"/>
              </w:rPr>
            </w:pPr>
            <w:r w:rsidRPr="000D3090">
              <w:rPr>
                <w:rFonts w:eastAsia="Times New Roman"/>
                <w:b/>
                <w:bCs/>
                <w:color w:val="000000"/>
                <w:sz w:val="22"/>
                <w:szCs w:val="22"/>
              </w:rPr>
              <w:t>Work from home</w:t>
            </w:r>
          </w:p>
        </w:tc>
        <w:tc>
          <w:tcPr>
            <w:tcW w:w="1800" w:type="dxa"/>
            <w:tcBorders>
              <w:top w:val="single" w:sz="6" w:space="0" w:color="auto"/>
              <w:left w:val="single" w:sz="6" w:space="0" w:color="auto"/>
              <w:bottom w:val="nil"/>
              <w:right w:val="single" w:sz="6" w:space="0" w:color="auto"/>
            </w:tcBorders>
            <w:shd w:val="clear" w:color="000000" w:fill="FFFFFF"/>
            <w:noWrap/>
            <w:vAlign w:val="center"/>
          </w:tcPr>
          <w:p w14:paraId="66C8401D" w14:textId="77777777" w:rsidR="009A0812" w:rsidRPr="000D3090" w:rsidRDefault="009A0812" w:rsidP="00AB1924">
            <w:pPr>
              <w:tabs>
                <w:tab w:val="decimal" w:pos="391"/>
              </w:tabs>
              <w:spacing w:after="0" w:line="240" w:lineRule="auto"/>
              <w:jc w:val="center"/>
              <w:rPr>
                <w:rFonts w:eastAsia="Times New Roman"/>
                <w:color w:val="000000"/>
                <w:sz w:val="22"/>
                <w:szCs w:val="22"/>
              </w:rPr>
            </w:pPr>
          </w:p>
        </w:tc>
        <w:tc>
          <w:tcPr>
            <w:tcW w:w="1530" w:type="dxa"/>
            <w:tcBorders>
              <w:top w:val="single" w:sz="6" w:space="0" w:color="auto"/>
              <w:left w:val="single" w:sz="6" w:space="0" w:color="auto"/>
              <w:bottom w:val="nil"/>
              <w:right w:val="single" w:sz="12" w:space="0" w:color="auto"/>
            </w:tcBorders>
            <w:shd w:val="clear" w:color="000000" w:fill="FFFFFF"/>
            <w:vAlign w:val="center"/>
          </w:tcPr>
          <w:p w14:paraId="2B507394" w14:textId="77777777" w:rsidR="009A0812" w:rsidRPr="000D3090" w:rsidRDefault="009A0812" w:rsidP="00AB1924">
            <w:pPr>
              <w:tabs>
                <w:tab w:val="decimal" w:pos="211"/>
              </w:tabs>
              <w:spacing w:after="0" w:line="240" w:lineRule="auto"/>
              <w:jc w:val="center"/>
              <w:rPr>
                <w:rFonts w:eastAsia="Times New Roman"/>
                <w:color w:val="000000"/>
                <w:sz w:val="22"/>
                <w:szCs w:val="22"/>
              </w:rPr>
            </w:pPr>
          </w:p>
        </w:tc>
      </w:tr>
      <w:tr w:rsidR="009A0812" w:rsidRPr="000D3090" w14:paraId="215ACCAB"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tcPr>
          <w:p w14:paraId="59E850CC" w14:textId="29E96E1D" w:rsidR="009A0812" w:rsidRPr="000D3090" w:rsidRDefault="009A0812" w:rsidP="00AB1924">
            <w:pPr>
              <w:spacing w:after="0" w:line="240" w:lineRule="auto"/>
              <w:rPr>
                <w:rFonts w:eastAsia="Times New Roman"/>
                <w:color w:val="000000"/>
                <w:sz w:val="22"/>
                <w:szCs w:val="22"/>
              </w:rPr>
            </w:pPr>
            <w:r w:rsidRPr="000D3090">
              <w:rPr>
                <w:rFonts w:eastAsia="Times New Roman"/>
                <w:b/>
                <w:bCs/>
                <w:color w:val="000000"/>
                <w:sz w:val="22"/>
                <w:szCs w:val="22"/>
              </w:rPr>
              <w:t xml:space="preserve">   </w:t>
            </w:r>
            <w:r w:rsidRPr="000D3090">
              <w:rPr>
                <w:rFonts w:eastAsia="Times New Roman"/>
                <w:color w:val="000000"/>
                <w:sz w:val="22"/>
                <w:szCs w:val="22"/>
              </w:rPr>
              <w:t xml:space="preserve"> NA (</w:t>
            </w:r>
            <w:r w:rsidR="00B4754C">
              <w:rPr>
                <w:rFonts w:eastAsia="Times New Roman"/>
                <w:color w:val="000000"/>
                <w:sz w:val="22"/>
                <w:szCs w:val="22"/>
              </w:rPr>
              <w:t>u</w:t>
            </w:r>
            <w:r w:rsidRPr="000D3090">
              <w:rPr>
                <w:rFonts w:eastAsia="Times New Roman"/>
                <w:color w:val="000000"/>
                <w:sz w:val="22"/>
                <w:szCs w:val="22"/>
              </w:rPr>
              <w:t xml:space="preserve">nemployed or </w:t>
            </w:r>
            <w:r w:rsidR="00B4754C">
              <w:rPr>
                <w:rFonts w:eastAsia="Times New Roman"/>
                <w:color w:val="000000"/>
                <w:sz w:val="22"/>
                <w:szCs w:val="22"/>
              </w:rPr>
              <w:t>r</w:t>
            </w:r>
            <w:r w:rsidRPr="000D3090">
              <w:rPr>
                <w:rFonts w:eastAsia="Times New Roman"/>
                <w:color w:val="000000"/>
                <w:sz w:val="22"/>
                <w:szCs w:val="22"/>
              </w:rPr>
              <w:t>etired)</w:t>
            </w:r>
          </w:p>
        </w:tc>
        <w:tc>
          <w:tcPr>
            <w:tcW w:w="1800" w:type="dxa"/>
            <w:tcBorders>
              <w:top w:val="nil"/>
              <w:left w:val="single" w:sz="6" w:space="0" w:color="auto"/>
              <w:bottom w:val="nil"/>
              <w:right w:val="single" w:sz="6" w:space="0" w:color="auto"/>
            </w:tcBorders>
            <w:shd w:val="clear" w:color="000000" w:fill="FFFFFF"/>
            <w:noWrap/>
            <w:vAlign w:val="center"/>
          </w:tcPr>
          <w:p w14:paraId="40707727"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5693</w:t>
            </w:r>
          </w:p>
        </w:tc>
        <w:tc>
          <w:tcPr>
            <w:tcW w:w="1530" w:type="dxa"/>
            <w:tcBorders>
              <w:top w:val="nil"/>
              <w:left w:val="single" w:sz="6" w:space="0" w:color="auto"/>
              <w:bottom w:val="nil"/>
              <w:right w:val="single" w:sz="12" w:space="0" w:color="auto"/>
            </w:tcBorders>
            <w:shd w:val="clear" w:color="000000" w:fill="FFFFFF"/>
            <w:vAlign w:val="center"/>
          </w:tcPr>
          <w:p w14:paraId="3597F33A"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45.7</w:t>
            </w:r>
          </w:p>
        </w:tc>
      </w:tr>
      <w:tr w:rsidR="009A0812" w:rsidRPr="000D3090" w14:paraId="1F938918"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tcPr>
          <w:p w14:paraId="336A725F" w14:textId="77777777" w:rsidR="009A0812" w:rsidRPr="000D3090" w:rsidRDefault="009A0812" w:rsidP="00AB1924">
            <w:pPr>
              <w:spacing w:after="0" w:line="240" w:lineRule="auto"/>
              <w:rPr>
                <w:rFonts w:eastAsia="Times New Roman"/>
                <w:b/>
                <w:bCs/>
                <w:color w:val="000000"/>
                <w:sz w:val="22"/>
                <w:szCs w:val="22"/>
              </w:rPr>
            </w:pPr>
            <w:r w:rsidRPr="000D3090">
              <w:rPr>
                <w:rFonts w:eastAsia="Times New Roman"/>
                <w:color w:val="000000"/>
                <w:sz w:val="22"/>
                <w:szCs w:val="22"/>
              </w:rPr>
              <w:t xml:space="preserve">    0 days per week</w:t>
            </w:r>
          </w:p>
        </w:tc>
        <w:tc>
          <w:tcPr>
            <w:tcW w:w="1800" w:type="dxa"/>
            <w:tcBorders>
              <w:top w:val="nil"/>
              <w:left w:val="single" w:sz="6" w:space="0" w:color="auto"/>
              <w:bottom w:val="nil"/>
              <w:right w:val="single" w:sz="6" w:space="0" w:color="auto"/>
            </w:tcBorders>
            <w:shd w:val="clear" w:color="000000" w:fill="FFFFFF"/>
            <w:noWrap/>
            <w:vAlign w:val="center"/>
          </w:tcPr>
          <w:p w14:paraId="15B26D79"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3821</w:t>
            </w:r>
          </w:p>
        </w:tc>
        <w:tc>
          <w:tcPr>
            <w:tcW w:w="1530" w:type="dxa"/>
            <w:tcBorders>
              <w:top w:val="nil"/>
              <w:left w:val="single" w:sz="6" w:space="0" w:color="auto"/>
              <w:bottom w:val="nil"/>
              <w:right w:val="single" w:sz="12" w:space="0" w:color="auto"/>
            </w:tcBorders>
            <w:shd w:val="clear" w:color="000000" w:fill="FFFFFF"/>
            <w:vAlign w:val="center"/>
          </w:tcPr>
          <w:p w14:paraId="791E6EF4"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30.6</w:t>
            </w:r>
          </w:p>
        </w:tc>
      </w:tr>
      <w:tr w:rsidR="009A0812" w:rsidRPr="000D3090" w14:paraId="142BDA51"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tcPr>
          <w:p w14:paraId="79FF1A55" w14:textId="77777777" w:rsidR="009A0812" w:rsidRPr="000D3090" w:rsidRDefault="009A0812" w:rsidP="00AB1924">
            <w:pPr>
              <w:spacing w:after="0" w:line="240" w:lineRule="auto"/>
              <w:rPr>
                <w:rFonts w:eastAsia="Times New Roman"/>
                <w:b/>
                <w:bCs/>
                <w:color w:val="000000"/>
                <w:sz w:val="22"/>
                <w:szCs w:val="22"/>
              </w:rPr>
            </w:pPr>
            <w:r w:rsidRPr="000D3090">
              <w:rPr>
                <w:rFonts w:eastAsia="Times New Roman"/>
                <w:color w:val="000000"/>
                <w:sz w:val="22"/>
                <w:szCs w:val="22"/>
              </w:rPr>
              <w:t xml:space="preserve">    1 – 2 days per week</w:t>
            </w:r>
          </w:p>
        </w:tc>
        <w:tc>
          <w:tcPr>
            <w:tcW w:w="1800" w:type="dxa"/>
            <w:tcBorders>
              <w:top w:val="nil"/>
              <w:left w:val="single" w:sz="6" w:space="0" w:color="auto"/>
              <w:bottom w:val="nil"/>
              <w:right w:val="single" w:sz="6" w:space="0" w:color="auto"/>
            </w:tcBorders>
            <w:shd w:val="clear" w:color="000000" w:fill="FFFFFF"/>
            <w:noWrap/>
            <w:vAlign w:val="center"/>
          </w:tcPr>
          <w:p w14:paraId="4AA22D0F"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961</w:t>
            </w:r>
          </w:p>
        </w:tc>
        <w:tc>
          <w:tcPr>
            <w:tcW w:w="1530" w:type="dxa"/>
            <w:tcBorders>
              <w:top w:val="nil"/>
              <w:left w:val="single" w:sz="6" w:space="0" w:color="auto"/>
              <w:bottom w:val="nil"/>
              <w:right w:val="single" w:sz="12" w:space="0" w:color="auto"/>
            </w:tcBorders>
            <w:shd w:val="clear" w:color="000000" w:fill="FFFFFF"/>
            <w:vAlign w:val="center"/>
          </w:tcPr>
          <w:p w14:paraId="4AA76DCB"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7.7</w:t>
            </w:r>
          </w:p>
        </w:tc>
      </w:tr>
      <w:tr w:rsidR="009A0812" w:rsidRPr="000D3090" w14:paraId="72A36D20"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tcPr>
          <w:p w14:paraId="71631988" w14:textId="77777777" w:rsidR="009A0812" w:rsidRPr="000D3090" w:rsidRDefault="009A0812" w:rsidP="00AB1924">
            <w:pPr>
              <w:spacing w:after="0" w:line="240" w:lineRule="auto"/>
              <w:rPr>
                <w:rFonts w:eastAsia="Times New Roman"/>
                <w:b/>
                <w:bCs/>
                <w:color w:val="000000"/>
                <w:sz w:val="22"/>
                <w:szCs w:val="22"/>
              </w:rPr>
            </w:pPr>
            <w:r w:rsidRPr="000D3090">
              <w:rPr>
                <w:rFonts w:eastAsia="Times New Roman"/>
                <w:color w:val="000000"/>
                <w:sz w:val="22"/>
                <w:szCs w:val="22"/>
              </w:rPr>
              <w:t xml:space="preserve">    3 – 4 days per week</w:t>
            </w:r>
          </w:p>
        </w:tc>
        <w:tc>
          <w:tcPr>
            <w:tcW w:w="1800" w:type="dxa"/>
            <w:tcBorders>
              <w:top w:val="nil"/>
              <w:left w:val="single" w:sz="6" w:space="0" w:color="auto"/>
              <w:bottom w:val="nil"/>
              <w:right w:val="single" w:sz="6" w:space="0" w:color="auto"/>
            </w:tcBorders>
            <w:shd w:val="clear" w:color="000000" w:fill="FFFFFF"/>
            <w:noWrap/>
            <w:vAlign w:val="center"/>
          </w:tcPr>
          <w:p w14:paraId="01D77AE2"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536</w:t>
            </w:r>
          </w:p>
        </w:tc>
        <w:tc>
          <w:tcPr>
            <w:tcW w:w="1530" w:type="dxa"/>
            <w:tcBorders>
              <w:top w:val="nil"/>
              <w:left w:val="single" w:sz="6" w:space="0" w:color="auto"/>
              <w:bottom w:val="nil"/>
              <w:right w:val="single" w:sz="12" w:space="0" w:color="auto"/>
            </w:tcBorders>
            <w:shd w:val="clear" w:color="000000" w:fill="FFFFFF"/>
            <w:vAlign w:val="center"/>
          </w:tcPr>
          <w:p w14:paraId="4291E8F9"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4.3</w:t>
            </w:r>
          </w:p>
        </w:tc>
      </w:tr>
      <w:tr w:rsidR="009A0812" w:rsidRPr="000D3090" w14:paraId="356B6B8A"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tcPr>
          <w:p w14:paraId="029E5F36" w14:textId="77777777" w:rsidR="009A0812" w:rsidRPr="000D3090" w:rsidRDefault="009A0812" w:rsidP="00AB1924">
            <w:pPr>
              <w:spacing w:after="0" w:line="240" w:lineRule="auto"/>
              <w:rPr>
                <w:rFonts w:eastAsia="Times New Roman"/>
                <w:b/>
                <w:bCs/>
                <w:color w:val="000000"/>
                <w:sz w:val="22"/>
                <w:szCs w:val="22"/>
              </w:rPr>
            </w:pPr>
            <w:r w:rsidRPr="000D3090">
              <w:rPr>
                <w:rFonts w:eastAsia="Times New Roman"/>
                <w:color w:val="000000"/>
                <w:sz w:val="22"/>
                <w:szCs w:val="22"/>
              </w:rPr>
              <w:t xml:space="preserve">    5 or more days per week</w:t>
            </w:r>
          </w:p>
        </w:tc>
        <w:tc>
          <w:tcPr>
            <w:tcW w:w="1800" w:type="dxa"/>
            <w:tcBorders>
              <w:top w:val="nil"/>
              <w:left w:val="single" w:sz="6" w:space="0" w:color="auto"/>
              <w:bottom w:val="nil"/>
              <w:right w:val="single" w:sz="6" w:space="0" w:color="auto"/>
            </w:tcBorders>
            <w:shd w:val="clear" w:color="000000" w:fill="FFFFFF"/>
            <w:noWrap/>
            <w:vAlign w:val="center"/>
          </w:tcPr>
          <w:p w14:paraId="10B75464"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1458</w:t>
            </w:r>
          </w:p>
        </w:tc>
        <w:tc>
          <w:tcPr>
            <w:tcW w:w="1530" w:type="dxa"/>
            <w:tcBorders>
              <w:top w:val="nil"/>
              <w:left w:val="single" w:sz="6" w:space="0" w:color="auto"/>
              <w:bottom w:val="nil"/>
              <w:right w:val="single" w:sz="12" w:space="0" w:color="auto"/>
            </w:tcBorders>
            <w:shd w:val="clear" w:color="000000" w:fill="FFFFFF"/>
            <w:vAlign w:val="center"/>
          </w:tcPr>
          <w:p w14:paraId="642D3587"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11.7</w:t>
            </w:r>
          </w:p>
        </w:tc>
      </w:tr>
      <w:tr w:rsidR="009A0812" w:rsidRPr="000D3090" w14:paraId="455C3B97"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75094B65" w14:textId="77777777" w:rsidR="009A0812" w:rsidRPr="000D3090" w:rsidRDefault="009A0812" w:rsidP="00AB1924">
            <w:pPr>
              <w:spacing w:after="0" w:line="240" w:lineRule="auto"/>
              <w:rPr>
                <w:rFonts w:eastAsia="Times New Roman"/>
                <w:b/>
                <w:bCs/>
                <w:color w:val="000000"/>
                <w:sz w:val="22"/>
                <w:szCs w:val="22"/>
              </w:rPr>
            </w:pPr>
            <w:r w:rsidRPr="000D3090">
              <w:rPr>
                <w:rFonts w:eastAsia="Times New Roman"/>
                <w:b/>
                <w:bCs/>
                <w:color w:val="000000"/>
                <w:sz w:val="22"/>
                <w:szCs w:val="22"/>
              </w:rPr>
              <w:t>Number of deliveries in the last 30 days</w:t>
            </w:r>
          </w:p>
        </w:tc>
        <w:tc>
          <w:tcPr>
            <w:tcW w:w="1800" w:type="dxa"/>
            <w:tcBorders>
              <w:top w:val="nil"/>
              <w:left w:val="single" w:sz="6" w:space="0" w:color="auto"/>
              <w:bottom w:val="nil"/>
              <w:right w:val="single" w:sz="6" w:space="0" w:color="auto"/>
            </w:tcBorders>
            <w:shd w:val="clear" w:color="000000" w:fill="FFFFFF"/>
            <w:noWrap/>
            <w:vAlign w:val="center"/>
            <w:hideMark/>
          </w:tcPr>
          <w:p w14:paraId="009E5FBA" w14:textId="77777777" w:rsidR="009A0812" w:rsidRPr="000D3090" w:rsidRDefault="009A0812" w:rsidP="00AB1924">
            <w:pPr>
              <w:tabs>
                <w:tab w:val="decimal" w:pos="391"/>
              </w:tabs>
              <w:spacing w:after="0" w:line="240" w:lineRule="auto"/>
              <w:jc w:val="center"/>
              <w:rPr>
                <w:rFonts w:eastAsia="Times New Roman"/>
                <w:color w:val="000000"/>
                <w:sz w:val="22"/>
                <w:szCs w:val="22"/>
              </w:rPr>
            </w:pPr>
          </w:p>
        </w:tc>
        <w:tc>
          <w:tcPr>
            <w:tcW w:w="1530" w:type="dxa"/>
            <w:tcBorders>
              <w:top w:val="nil"/>
              <w:left w:val="single" w:sz="6" w:space="0" w:color="auto"/>
              <w:bottom w:val="nil"/>
              <w:right w:val="single" w:sz="12" w:space="0" w:color="auto"/>
            </w:tcBorders>
            <w:shd w:val="clear" w:color="000000" w:fill="FFFFFF"/>
            <w:vAlign w:val="center"/>
          </w:tcPr>
          <w:p w14:paraId="56CB03C3" w14:textId="77777777" w:rsidR="009A0812" w:rsidRPr="000D3090" w:rsidRDefault="009A0812" w:rsidP="00AB1924">
            <w:pPr>
              <w:tabs>
                <w:tab w:val="decimal" w:pos="211"/>
              </w:tabs>
              <w:spacing w:after="0" w:line="240" w:lineRule="auto"/>
              <w:jc w:val="center"/>
              <w:rPr>
                <w:rFonts w:eastAsia="Times New Roman"/>
                <w:color w:val="000000"/>
                <w:sz w:val="22"/>
                <w:szCs w:val="22"/>
              </w:rPr>
            </w:pPr>
          </w:p>
        </w:tc>
      </w:tr>
      <w:tr w:rsidR="009A0812" w:rsidRPr="000D3090" w14:paraId="5ADF37D6"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7E66D66F" w14:textId="77777777" w:rsidR="009A0812" w:rsidRPr="000D3090" w:rsidRDefault="009A0812" w:rsidP="00AB1924">
            <w:pPr>
              <w:spacing w:after="0" w:line="240" w:lineRule="auto"/>
              <w:ind w:firstLineChars="100" w:firstLine="220"/>
              <w:rPr>
                <w:rFonts w:eastAsia="Times New Roman"/>
                <w:color w:val="000000"/>
                <w:sz w:val="22"/>
                <w:szCs w:val="22"/>
              </w:rPr>
            </w:pPr>
            <w:r w:rsidRPr="000D3090">
              <w:rPr>
                <w:rFonts w:eastAsia="Times New Roman"/>
                <w:color w:val="000000"/>
                <w:sz w:val="22"/>
                <w:szCs w:val="22"/>
              </w:rPr>
              <w:t>0</w:t>
            </w:r>
          </w:p>
        </w:tc>
        <w:tc>
          <w:tcPr>
            <w:tcW w:w="1800" w:type="dxa"/>
            <w:tcBorders>
              <w:top w:val="nil"/>
              <w:left w:val="single" w:sz="6" w:space="0" w:color="auto"/>
              <w:bottom w:val="nil"/>
              <w:right w:val="single" w:sz="6" w:space="0" w:color="auto"/>
            </w:tcBorders>
            <w:shd w:val="clear" w:color="000000" w:fill="FFFFFF"/>
            <w:noWrap/>
            <w:vAlign w:val="center"/>
          </w:tcPr>
          <w:p w14:paraId="4A3D6493"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3125</w:t>
            </w:r>
          </w:p>
        </w:tc>
        <w:tc>
          <w:tcPr>
            <w:tcW w:w="1530" w:type="dxa"/>
            <w:tcBorders>
              <w:top w:val="nil"/>
              <w:left w:val="single" w:sz="6" w:space="0" w:color="auto"/>
              <w:bottom w:val="nil"/>
              <w:right w:val="single" w:sz="12" w:space="0" w:color="auto"/>
            </w:tcBorders>
            <w:shd w:val="clear" w:color="000000" w:fill="FFFFFF"/>
            <w:vAlign w:val="center"/>
          </w:tcPr>
          <w:p w14:paraId="304825CF"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25.1</w:t>
            </w:r>
          </w:p>
        </w:tc>
      </w:tr>
      <w:tr w:rsidR="009A0812" w:rsidRPr="000D3090" w14:paraId="4328F0AD"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406DEB14" w14:textId="77777777" w:rsidR="009A0812" w:rsidRPr="000D3090" w:rsidRDefault="009A0812" w:rsidP="00AB1924">
            <w:pPr>
              <w:spacing w:after="0" w:line="240" w:lineRule="auto"/>
              <w:ind w:firstLineChars="100" w:firstLine="220"/>
              <w:rPr>
                <w:rFonts w:eastAsia="Times New Roman"/>
                <w:color w:val="000000"/>
                <w:sz w:val="22"/>
                <w:szCs w:val="22"/>
              </w:rPr>
            </w:pPr>
            <w:r w:rsidRPr="000D3090">
              <w:rPr>
                <w:rFonts w:eastAsia="Times New Roman"/>
                <w:color w:val="000000"/>
                <w:sz w:val="22"/>
                <w:szCs w:val="22"/>
              </w:rPr>
              <w:t>1 – 5</w:t>
            </w:r>
          </w:p>
        </w:tc>
        <w:tc>
          <w:tcPr>
            <w:tcW w:w="1800" w:type="dxa"/>
            <w:tcBorders>
              <w:top w:val="nil"/>
              <w:left w:val="single" w:sz="6" w:space="0" w:color="auto"/>
              <w:bottom w:val="nil"/>
              <w:right w:val="single" w:sz="6" w:space="0" w:color="auto"/>
            </w:tcBorders>
            <w:shd w:val="clear" w:color="000000" w:fill="FFFFFF"/>
            <w:noWrap/>
            <w:vAlign w:val="center"/>
          </w:tcPr>
          <w:p w14:paraId="53E02C0A"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5245</w:t>
            </w:r>
          </w:p>
        </w:tc>
        <w:tc>
          <w:tcPr>
            <w:tcW w:w="1530" w:type="dxa"/>
            <w:tcBorders>
              <w:top w:val="nil"/>
              <w:left w:val="single" w:sz="6" w:space="0" w:color="auto"/>
              <w:bottom w:val="nil"/>
              <w:right w:val="single" w:sz="12" w:space="0" w:color="auto"/>
            </w:tcBorders>
            <w:shd w:val="clear" w:color="000000" w:fill="FFFFFF"/>
            <w:vAlign w:val="center"/>
          </w:tcPr>
          <w:p w14:paraId="5A066A4D"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42.1</w:t>
            </w:r>
          </w:p>
        </w:tc>
      </w:tr>
      <w:tr w:rsidR="009A0812" w:rsidRPr="000D3090" w14:paraId="4C489A04" w14:textId="77777777" w:rsidTr="00AB1924">
        <w:tblPrEx>
          <w:tblCellMar>
            <w:left w:w="43" w:type="dxa"/>
            <w:right w:w="43" w:type="dxa"/>
          </w:tblCellMar>
        </w:tblPrEx>
        <w:trPr>
          <w:trHeight w:val="288"/>
          <w:jc w:val="center"/>
        </w:trPr>
        <w:tc>
          <w:tcPr>
            <w:tcW w:w="5925" w:type="dxa"/>
            <w:tcBorders>
              <w:top w:val="nil"/>
              <w:left w:val="single" w:sz="12" w:space="0" w:color="auto"/>
              <w:bottom w:val="nil"/>
              <w:right w:val="single" w:sz="6" w:space="0" w:color="auto"/>
            </w:tcBorders>
            <w:shd w:val="clear" w:color="000000" w:fill="FFFFFF"/>
            <w:noWrap/>
            <w:vAlign w:val="center"/>
            <w:hideMark/>
          </w:tcPr>
          <w:p w14:paraId="14A5FB7C" w14:textId="77777777" w:rsidR="009A0812" w:rsidRPr="000D3090" w:rsidRDefault="009A0812" w:rsidP="00AB1924">
            <w:pPr>
              <w:spacing w:after="0" w:line="240" w:lineRule="auto"/>
              <w:ind w:firstLineChars="100" w:firstLine="220"/>
              <w:rPr>
                <w:rFonts w:eastAsia="Times New Roman"/>
                <w:color w:val="000000"/>
                <w:sz w:val="22"/>
                <w:szCs w:val="22"/>
              </w:rPr>
            </w:pPr>
            <w:r w:rsidRPr="000D3090">
              <w:rPr>
                <w:rFonts w:eastAsia="Times New Roman"/>
                <w:color w:val="000000"/>
                <w:sz w:val="22"/>
                <w:szCs w:val="22"/>
              </w:rPr>
              <w:t>6 – 10</w:t>
            </w:r>
          </w:p>
        </w:tc>
        <w:tc>
          <w:tcPr>
            <w:tcW w:w="1800" w:type="dxa"/>
            <w:tcBorders>
              <w:top w:val="nil"/>
              <w:left w:val="single" w:sz="6" w:space="0" w:color="auto"/>
              <w:bottom w:val="nil"/>
              <w:right w:val="single" w:sz="6" w:space="0" w:color="auto"/>
            </w:tcBorders>
            <w:shd w:val="clear" w:color="000000" w:fill="FFFFFF"/>
            <w:noWrap/>
            <w:vAlign w:val="center"/>
          </w:tcPr>
          <w:p w14:paraId="3EAD8755"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2323</w:t>
            </w:r>
          </w:p>
        </w:tc>
        <w:tc>
          <w:tcPr>
            <w:tcW w:w="1530" w:type="dxa"/>
            <w:tcBorders>
              <w:top w:val="nil"/>
              <w:left w:val="single" w:sz="6" w:space="0" w:color="auto"/>
              <w:bottom w:val="nil"/>
              <w:right w:val="single" w:sz="12" w:space="0" w:color="auto"/>
            </w:tcBorders>
            <w:shd w:val="clear" w:color="000000" w:fill="FFFFFF"/>
            <w:vAlign w:val="center"/>
          </w:tcPr>
          <w:p w14:paraId="222DA611"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18.6</w:t>
            </w:r>
          </w:p>
        </w:tc>
      </w:tr>
      <w:tr w:rsidR="009A0812" w:rsidRPr="000D3090" w14:paraId="0E98F4ED" w14:textId="77777777" w:rsidTr="00AB1924">
        <w:tblPrEx>
          <w:tblCellMar>
            <w:left w:w="43" w:type="dxa"/>
            <w:right w:w="43" w:type="dxa"/>
          </w:tblCellMar>
        </w:tblPrEx>
        <w:trPr>
          <w:trHeight w:val="288"/>
          <w:jc w:val="center"/>
        </w:trPr>
        <w:tc>
          <w:tcPr>
            <w:tcW w:w="5925" w:type="dxa"/>
            <w:tcBorders>
              <w:top w:val="nil"/>
              <w:left w:val="single" w:sz="12" w:space="0" w:color="auto"/>
              <w:bottom w:val="single" w:sz="12" w:space="0" w:color="auto"/>
              <w:right w:val="single" w:sz="6" w:space="0" w:color="auto"/>
            </w:tcBorders>
            <w:shd w:val="clear" w:color="000000" w:fill="FFFFFF"/>
            <w:noWrap/>
            <w:vAlign w:val="center"/>
            <w:hideMark/>
          </w:tcPr>
          <w:p w14:paraId="18495C01" w14:textId="77777777" w:rsidR="009A0812" w:rsidRPr="000D3090" w:rsidRDefault="009A0812" w:rsidP="00AB1924">
            <w:pPr>
              <w:spacing w:after="0" w:line="240" w:lineRule="auto"/>
              <w:ind w:firstLineChars="100" w:firstLine="220"/>
              <w:rPr>
                <w:rFonts w:eastAsia="Times New Roman"/>
                <w:color w:val="000000"/>
                <w:sz w:val="22"/>
                <w:szCs w:val="22"/>
              </w:rPr>
            </w:pPr>
            <w:r w:rsidRPr="000D3090">
              <w:rPr>
                <w:rFonts w:eastAsia="Times New Roman"/>
                <w:color w:val="000000"/>
                <w:sz w:val="22"/>
                <w:szCs w:val="22"/>
              </w:rPr>
              <w:t>More than 10</w:t>
            </w:r>
          </w:p>
        </w:tc>
        <w:tc>
          <w:tcPr>
            <w:tcW w:w="1800" w:type="dxa"/>
            <w:tcBorders>
              <w:top w:val="nil"/>
              <w:left w:val="single" w:sz="6" w:space="0" w:color="auto"/>
              <w:bottom w:val="single" w:sz="12" w:space="0" w:color="auto"/>
              <w:right w:val="single" w:sz="6" w:space="0" w:color="auto"/>
            </w:tcBorders>
            <w:shd w:val="clear" w:color="000000" w:fill="FFFFFF"/>
            <w:noWrap/>
            <w:vAlign w:val="center"/>
          </w:tcPr>
          <w:p w14:paraId="515B4FF4" w14:textId="77777777" w:rsidR="009A0812" w:rsidRPr="000D3090" w:rsidRDefault="009A0812" w:rsidP="00AB1924">
            <w:pPr>
              <w:tabs>
                <w:tab w:val="decimal" w:pos="391"/>
              </w:tabs>
              <w:spacing w:after="0" w:line="240" w:lineRule="auto"/>
              <w:jc w:val="center"/>
              <w:rPr>
                <w:rFonts w:eastAsia="Times New Roman"/>
                <w:color w:val="000000"/>
                <w:sz w:val="22"/>
                <w:szCs w:val="22"/>
              </w:rPr>
            </w:pPr>
            <w:r w:rsidRPr="000D3090">
              <w:rPr>
                <w:rFonts w:eastAsia="Times New Roman"/>
                <w:color w:val="000000"/>
                <w:sz w:val="22"/>
                <w:szCs w:val="22"/>
              </w:rPr>
              <w:t>1776</w:t>
            </w:r>
          </w:p>
        </w:tc>
        <w:tc>
          <w:tcPr>
            <w:tcW w:w="1530" w:type="dxa"/>
            <w:tcBorders>
              <w:top w:val="nil"/>
              <w:left w:val="single" w:sz="6" w:space="0" w:color="auto"/>
              <w:bottom w:val="single" w:sz="12" w:space="0" w:color="auto"/>
              <w:right w:val="single" w:sz="12" w:space="0" w:color="auto"/>
            </w:tcBorders>
            <w:shd w:val="clear" w:color="000000" w:fill="FFFFFF"/>
            <w:vAlign w:val="center"/>
          </w:tcPr>
          <w:p w14:paraId="37172952" w14:textId="77777777" w:rsidR="009A0812" w:rsidRPr="000D3090" w:rsidRDefault="009A0812" w:rsidP="00AB1924">
            <w:pPr>
              <w:tabs>
                <w:tab w:val="decimal" w:pos="211"/>
              </w:tabs>
              <w:spacing w:after="0" w:line="240" w:lineRule="auto"/>
              <w:jc w:val="center"/>
              <w:rPr>
                <w:rFonts w:eastAsia="Times New Roman"/>
                <w:color w:val="000000"/>
                <w:sz w:val="22"/>
                <w:szCs w:val="22"/>
              </w:rPr>
            </w:pPr>
            <w:r w:rsidRPr="000D3090">
              <w:rPr>
                <w:rFonts w:eastAsia="Times New Roman"/>
                <w:color w:val="000000"/>
                <w:sz w:val="22"/>
                <w:szCs w:val="22"/>
              </w:rPr>
              <w:t>14.2</w:t>
            </w:r>
          </w:p>
        </w:tc>
      </w:tr>
    </w:tbl>
    <w:p w14:paraId="0FD2D09C" w14:textId="77777777" w:rsidR="00B81205" w:rsidRPr="000D3090" w:rsidRDefault="00B81205" w:rsidP="00DE4E50">
      <w:pPr>
        <w:spacing w:after="0" w:line="240" w:lineRule="auto"/>
        <w:jc w:val="both"/>
      </w:pPr>
    </w:p>
    <w:p w14:paraId="4CF0638C" w14:textId="77777777" w:rsidR="00703AA2" w:rsidRPr="000D3090" w:rsidRDefault="00703AA2" w:rsidP="00DE4E50">
      <w:pPr>
        <w:spacing w:after="0" w:line="240" w:lineRule="auto"/>
        <w:jc w:val="both"/>
      </w:pPr>
    </w:p>
    <w:p w14:paraId="3917D6B6" w14:textId="6294D57D" w:rsidR="00703AA2" w:rsidRPr="000D3090" w:rsidRDefault="00703AA2">
      <w:r w:rsidRPr="000D3090">
        <w:br w:type="page"/>
      </w:r>
    </w:p>
    <w:p w14:paraId="02CF004B" w14:textId="58E2377D" w:rsidR="00703AA2" w:rsidRPr="000D3090" w:rsidRDefault="00832DE9" w:rsidP="00DE4E50">
      <w:pPr>
        <w:spacing w:after="0" w:line="240" w:lineRule="auto"/>
        <w:jc w:val="both"/>
        <w:rPr>
          <w:b/>
          <w:bCs/>
        </w:rPr>
      </w:pPr>
      <w:bookmarkStart w:id="16" w:name="_Hlk196127088"/>
      <w:r w:rsidRPr="000D3090">
        <w:rPr>
          <w:b/>
          <w:bCs/>
        </w:rPr>
        <w:lastRenderedPageBreak/>
        <w:t xml:space="preserve">Table </w:t>
      </w:r>
      <w:r w:rsidR="00BE1F79" w:rsidRPr="000D3090">
        <w:rPr>
          <w:b/>
          <w:bCs/>
        </w:rPr>
        <w:t>2</w:t>
      </w:r>
      <w:r w:rsidRPr="000D3090">
        <w:rPr>
          <w:b/>
          <w:bCs/>
        </w:rPr>
        <w:t xml:space="preserve"> Descriptive Statistics of </w:t>
      </w:r>
      <w:r w:rsidR="00BE1F79" w:rsidRPr="000D3090">
        <w:rPr>
          <w:b/>
          <w:bCs/>
        </w:rPr>
        <w:t>Exogenous Variables</w:t>
      </w:r>
    </w:p>
    <w:p w14:paraId="1EE95B17" w14:textId="77777777" w:rsidR="00BE1F79" w:rsidRPr="000D3090" w:rsidRDefault="00BE1F79" w:rsidP="00DE4E50">
      <w:pPr>
        <w:spacing w:after="0" w:line="240" w:lineRule="auto"/>
        <w:jc w:val="both"/>
        <w:rPr>
          <w:sz w:val="20"/>
          <w:szCs w:val="20"/>
        </w:rPr>
      </w:pPr>
    </w:p>
    <w:tbl>
      <w:tblPr>
        <w:tblW w:w="9821" w:type="dxa"/>
        <w:jc w:val="center"/>
        <w:tblLayout w:type="fixed"/>
        <w:tblCellMar>
          <w:left w:w="43" w:type="dxa"/>
          <w:right w:w="43" w:type="dxa"/>
        </w:tblCellMar>
        <w:tblLook w:val="04A0" w:firstRow="1" w:lastRow="0" w:firstColumn="1" w:lastColumn="0" w:noHBand="0" w:noVBand="1"/>
      </w:tblPr>
      <w:tblGrid>
        <w:gridCol w:w="3405"/>
        <w:gridCol w:w="720"/>
        <w:gridCol w:w="720"/>
        <w:gridCol w:w="3477"/>
        <w:gridCol w:w="777"/>
        <w:gridCol w:w="722"/>
      </w:tblGrid>
      <w:tr w:rsidR="00581E66" w:rsidRPr="000D3090" w14:paraId="3EC12505" w14:textId="77777777" w:rsidTr="004B5462">
        <w:trPr>
          <w:trHeight w:val="20"/>
          <w:jc w:val="center"/>
        </w:trPr>
        <w:tc>
          <w:tcPr>
            <w:tcW w:w="3405" w:type="dxa"/>
            <w:tcBorders>
              <w:top w:val="single" w:sz="12" w:space="0" w:color="auto"/>
              <w:left w:val="single" w:sz="12" w:space="0" w:color="auto"/>
              <w:bottom w:val="single" w:sz="12" w:space="0" w:color="auto"/>
              <w:right w:val="nil"/>
            </w:tcBorders>
            <w:shd w:val="clear" w:color="000000" w:fill="FFFFFF"/>
            <w:vAlign w:val="center"/>
            <w:hideMark/>
          </w:tcPr>
          <w:p w14:paraId="1BE719F3" w14:textId="77777777" w:rsidR="00A51394" w:rsidRPr="000D3090" w:rsidRDefault="00A51394" w:rsidP="00440B8E">
            <w:pPr>
              <w:spacing w:after="0" w:line="240" w:lineRule="auto"/>
              <w:rPr>
                <w:rFonts w:eastAsia="Times New Roman"/>
                <w:b/>
                <w:bCs/>
                <w:color w:val="000000"/>
                <w:sz w:val="20"/>
                <w:szCs w:val="20"/>
              </w:rPr>
            </w:pPr>
            <w:bookmarkStart w:id="17" w:name="_Hlk163134384"/>
            <w:r w:rsidRPr="000D3090">
              <w:rPr>
                <w:rFonts w:eastAsia="Times New Roman"/>
                <w:b/>
                <w:bCs/>
                <w:color w:val="000000"/>
                <w:sz w:val="20"/>
                <w:szCs w:val="20"/>
              </w:rPr>
              <w:t>Variable</w:t>
            </w:r>
          </w:p>
        </w:tc>
        <w:tc>
          <w:tcPr>
            <w:tcW w:w="720" w:type="dxa"/>
            <w:tcBorders>
              <w:top w:val="single" w:sz="12" w:space="0" w:color="auto"/>
              <w:left w:val="nil"/>
              <w:bottom w:val="single" w:sz="12" w:space="0" w:color="auto"/>
              <w:right w:val="nil"/>
            </w:tcBorders>
            <w:shd w:val="clear" w:color="000000" w:fill="FFFFFF"/>
            <w:vAlign w:val="center"/>
            <w:hideMark/>
          </w:tcPr>
          <w:p w14:paraId="0BDB30E2" w14:textId="459F5A1E" w:rsidR="00A51394" w:rsidRPr="000D3090" w:rsidRDefault="00A51394" w:rsidP="00440B8E">
            <w:pPr>
              <w:spacing w:after="0" w:line="240" w:lineRule="auto"/>
              <w:jc w:val="center"/>
              <w:rPr>
                <w:rFonts w:eastAsia="Times New Roman"/>
                <w:b/>
                <w:bCs/>
                <w:color w:val="000000"/>
                <w:sz w:val="20"/>
                <w:szCs w:val="20"/>
              </w:rPr>
            </w:pPr>
            <w:r w:rsidRPr="000D3090">
              <w:rPr>
                <w:rFonts w:eastAsia="Times New Roman"/>
                <w:b/>
                <w:bCs/>
                <w:color w:val="000000"/>
                <w:sz w:val="20"/>
                <w:szCs w:val="20"/>
              </w:rPr>
              <w:t>% in Sample</w:t>
            </w:r>
          </w:p>
        </w:tc>
        <w:tc>
          <w:tcPr>
            <w:tcW w:w="720" w:type="dxa"/>
            <w:tcBorders>
              <w:top w:val="single" w:sz="12" w:space="0" w:color="auto"/>
              <w:left w:val="nil"/>
              <w:bottom w:val="single" w:sz="12" w:space="0" w:color="auto"/>
              <w:right w:val="single" w:sz="12" w:space="0" w:color="auto"/>
            </w:tcBorders>
            <w:shd w:val="clear" w:color="000000" w:fill="FFFFFF"/>
            <w:vAlign w:val="center"/>
            <w:hideMark/>
          </w:tcPr>
          <w:p w14:paraId="72EF0B04" w14:textId="51393FAB" w:rsidR="00A51394" w:rsidRPr="000D3090" w:rsidRDefault="00A51394" w:rsidP="00440B8E">
            <w:pPr>
              <w:spacing w:after="0" w:line="240" w:lineRule="auto"/>
              <w:jc w:val="center"/>
              <w:rPr>
                <w:rFonts w:eastAsia="Times New Roman"/>
                <w:b/>
                <w:bCs/>
                <w:color w:val="000000"/>
                <w:sz w:val="20"/>
                <w:szCs w:val="20"/>
              </w:rPr>
            </w:pPr>
            <w:r w:rsidRPr="000D3090">
              <w:rPr>
                <w:rFonts w:eastAsia="Times New Roman"/>
                <w:b/>
                <w:bCs/>
                <w:color w:val="000000"/>
                <w:sz w:val="20"/>
                <w:szCs w:val="20"/>
              </w:rPr>
              <w:t>% in Census</w:t>
            </w:r>
          </w:p>
        </w:tc>
        <w:tc>
          <w:tcPr>
            <w:tcW w:w="3477" w:type="dxa"/>
            <w:tcBorders>
              <w:top w:val="single" w:sz="12" w:space="0" w:color="auto"/>
              <w:left w:val="single" w:sz="12" w:space="0" w:color="auto"/>
              <w:bottom w:val="single" w:sz="12" w:space="0" w:color="auto"/>
              <w:right w:val="nil"/>
            </w:tcBorders>
            <w:shd w:val="clear" w:color="000000" w:fill="FFFFFF"/>
            <w:vAlign w:val="center"/>
            <w:hideMark/>
          </w:tcPr>
          <w:p w14:paraId="57868C24" w14:textId="77777777" w:rsidR="00A51394" w:rsidRPr="000D3090" w:rsidRDefault="00A51394" w:rsidP="00440B8E">
            <w:pPr>
              <w:spacing w:after="0" w:line="240" w:lineRule="auto"/>
              <w:rPr>
                <w:rFonts w:eastAsia="Times New Roman"/>
                <w:b/>
                <w:bCs/>
                <w:color w:val="000000"/>
                <w:sz w:val="20"/>
                <w:szCs w:val="20"/>
              </w:rPr>
            </w:pPr>
            <w:r w:rsidRPr="000D3090">
              <w:rPr>
                <w:rFonts w:eastAsia="Times New Roman"/>
                <w:b/>
                <w:bCs/>
                <w:color w:val="000000"/>
                <w:sz w:val="20"/>
                <w:szCs w:val="20"/>
              </w:rPr>
              <w:t>Variable</w:t>
            </w:r>
          </w:p>
        </w:tc>
        <w:tc>
          <w:tcPr>
            <w:tcW w:w="777" w:type="dxa"/>
            <w:tcBorders>
              <w:top w:val="single" w:sz="12" w:space="0" w:color="auto"/>
              <w:left w:val="nil"/>
              <w:bottom w:val="single" w:sz="12" w:space="0" w:color="auto"/>
              <w:right w:val="nil"/>
            </w:tcBorders>
            <w:shd w:val="clear" w:color="000000" w:fill="FFFFFF"/>
            <w:vAlign w:val="center"/>
            <w:hideMark/>
          </w:tcPr>
          <w:p w14:paraId="5FBB2C4D" w14:textId="3B3D1F03" w:rsidR="00A51394" w:rsidRPr="000D3090" w:rsidRDefault="00A51394" w:rsidP="00440B8E">
            <w:pPr>
              <w:spacing w:after="0" w:line="240" w:lineRule="auto"/>
              <w:jc w:val="center"/>
              <w:rPr>
                <w:rFonts w:eastAsia="Times New Roman"/>
                <w:b/>
                <w:bCs/>
                <w:color w:val="000000"/>
                <w:sz w:val="20"/>
                <w:szCs w:val="20"/>
              </w:rPr>
            </w:pPr>
            <w:r w:rsidRPr="000D3090">
              <w:rPr>
                <w:rFonts w:eastAsia="Times New Roman"/>
                <w:b/>
                <w:bCs/>
                <w:color w:val="000000"/>
                <w:sz w:val="20"/>
                <w:szCs w:val="20"/>
              </w:rPr>
              <w:t>% in Sample</w:t>
            </w:r>
          </w:p>
        </w:tc>
        <w:tc>
          <w:tcPr>
            <w:tcW w:w="720" w:type="dxa"/>
            <w:tcBorders>
              <w:top w:val="single" w:sz="12" w:space="0" w:color="auto"/>
              <w:left w:val="nil"/>
              <w:bottom w:val="single" w:sz="12" w:space="0" w:color="auto"/>
              <w:right w:val="single" w:sz="12" w:space="0" w:color="auto"/>
            </w:tcBorders>
            <w:shd w:val="clear" w:color="000000" w:fill="FFFFFF"/>
            <w:vAlign w:val="center"/>
            <w:hideMark/>
          </w:tcPr>
          <w:p w14:paraId="2A9F5D0A" w14:textId="2B0DFC11" w:rsidR="00A51394" w:rsidRPr="000D3090" w:rsidRDefault="00A51394" w:rsidP="00440B8E">
            <w:pPr>
              <w:spacing w:after="0" w:line="240" w:lineRule="auto"/>
              <w:jc w:val="center"/>
              <w:rPr>
                <w:rFonts w:eastAsia="Times New Roman"/>
                <w:b/>
                <w:bCs/>
                <w:color w:val="000000"/>
                <w:sz w:val="20"/>
                <w:szCs w:val="20"/>
              </w:rPr>
            </w:pPr>
            <w:r w:rsidRPr="000D3090">
              <w:rPr>
                <w:rFonts w:eastAsia="Times New Roman"/>
                <w:b/>
                <w:bCs/>
                <w:color w:val="000000"/>
                <w:sz w:val="20"/>
                <w:szCs w:val="20"/>
              </w:rPr>
              <w:t>% in Census</w:t>
            </w:r>
          </w:p>
        </w:tc>
      </w:tr>
      <w:tr w:rsidR="001E7206" w:rsidRPr="000D3090" w14:paraId="324F2F43" w14:textId="77777777" w:rsidTr="004B5462">
        <w:trPr>
          <w:trHeight w:val="20"/>
          <w:jc w:val="center"/>
        </w:trPr>
        <w:tc>
          <w:tcPr>
            <w:tcW w:w="9821"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3BFB49E8" w14:textId="3F562717" w:rsidR="001E7206" w:rsidRPr="000D3090" w:rsidRDefault="001E7206" w:rsidP="00440B8E">
            <w:pPr>
              <w:spacing w:after="0" w:line="240" w:lineRule="auto"/>
              <w:jc w:val="center"/>
              <w:rPr>
                <w:rFonts w:eastAsia="Times New Roman"/>
                <w:i/>
                <w:iCs/>
                <w:color w:val="000000"/>
                <w:sz w:val="20"/>
                <w:szCs w:val="20"/>
              </w:rPr>
            </w:pPr>
            <w:r w:rsidRPr="000D3090">
              <w:rPr>
                <w:rFonts w:eastAsia="Times New Roman"/>
                <w:i/>
                <w:iCs/>
                <w:color w:val="000000"/>
                <w:sz w:val="20"/>
                <w:szCs w:val="20"/>
              </w:rPr>
              <w:t xml:space="preserve">Household </w:t>
            </w:r>
            <w:r w:rsidR="00581E66" w:rsidRPr="000D3090">
              <w:rPr>
                <w:rFonts w:eastAsia="Times New Roman"/>
                <w:i/>
                <w:iCs/>
                <w:color w:val="000000"/>
                <w:sz w:val="20"/>
                <w:szCs w:val="20"/>
              </w:rPr>
              <w:t>Location</w:t>
            </w:r>
          </w:p>
        </w:tc>
      </w:tr>
      <w:tr w:rsidR="00581E66" w:rsidRPr="000D3090" w14:paraId="18109DAD" w14:textId="77777777" w:rsidTr="004B5462">
        <w:trPr>
          <w:trHeight w:val="20"/>
          <w:jc w:val="center"/>
        </w:trPr>
        <w:tc>
          <w:tcPr>
            <w:tcW w:w="4125" w:type="dxa"/>
            <w:gridSpan w:val="2"/>
            <w:tcBorders>
              <w:top w:val="single" w:sz="12" w:space="0" w:color="auto"/>
              <w:left w:val="single" w:sz="12" w:space="0" w:color="auto"/>
              <w:right w:val="nil"/>
            </w:tcBorders>
            <w:shd w:val="clear" w:color="000000" w:fill="FFFFFF"/>
            <w:vAlign w:val="bottom"/>
          </w:tcPr>
          <w:p w14:paraId="190BB84B" w14:textId="098A7383" w:rsidR="00581E66" w:rsidRPr="000D3090" w:rsidRDefault="00581E66" w:rsidP="002517BE">
            <w:pPr>
              <w:spacing w:after="0" w:line="240" w:lineRule="auto"/>
              <w:rPr>
                <w:rFonts w:eastAsia="Times New Roman"/>
                <w:b/>
                <w:bCs/>
                <w:color w:val="000000"/>
                <w:sz w:val="20"/>
                <w:szCs w:val="20"/>
              </w:rPr>
            </w:pPr>
            <w:r w:rsidRPr="000D3090">
              <w:rPr>
                <w:rFonts w:eastAsia="Times New Roman"/>
                <w:b/>
                <w:bCs/>
                <w:color w:val="000000"/>
                <w:sz w:val="20"/>
                <w:szCs w:val="20"/>
              </w:rPr>
              <w:t xml:space="preserve">Census </w:t>
            </w:r>
            <w:r w:rsidR="00AF3DDB" w:rsidRPr="000D3090">
              <w:rPr>
                <w:rFonts w:eastAsia="Times New Roman"/>
                <w:b/>
                <w:bCs/>
                <w:color w:val="000000"/>
                <w:sz w:val="20"/>
                <w:szCs w:val="20"/>
              </w:rPr>
              <w:t>d</w:t>
            </w:r>
            <w:r w:rsidRPr="000D3090">
              <w:rPr>
                <w:rFonts w:eastAsia="Times New Roman"/>
                <w:b/>
                <w:bCs/>
                <w:color w:val="000000"/>
                <w:sz w:val="20"/>
                <w:szCs w:val="20"/>
              </w:rPr>
              <w:t xml:space="preserve">ivision of </w:t>
            </w:r>
            <w:r w:rsidR="00AF3DDB" w:rsidRPr="000D3090">
              <w:rPr>
                <w:rFonts w:eastAsia="Times New Roman"/>
                <w:b/>
                <w:bCs/>
                <w:color w:val="000000"/>
                <w:sz w:val="20"/>
                <w:szCs w:val="20"/>
              </w:rPr>
              <w:t>h</w:t>
            </w:r>
            <w:r w:rsidRPr="000D3090">
              <w:rPr>
                <w:rFonts w:eastAsia="Times New Roman"/>
                <w:b/>
                <w:bCs/>
                <w:color w:val="000000"/>
                <w:sz w:val="20"/>
                <w:szCs w:val="20"/>
              </w:rPr>
              <w:t xml:space="preserve">ousehold </w:t>
            </w:r>
            <w:r w:rsidR="00AF3DDB" w:rsidRPr="000D3090">
              <w:rPr>
                <w:rFonts w:eastAsia="Times New Roman"/>
                <w:b/>
                <w:bCs/>
                <w:color w:val="000000"/>
                <w:sz w:val="20"/>
                <w:szCs w:val="20"/>
              </w:rPr>
              <w:t>r</w:t>
            </w:r>
            <w:r w:rsidRPr="000D3090">
              <w:rPr>
                <w:rFonts w:eastAsia="Times New Roman"/>
                <w:b/>
                <w:bCs/>
                <w:color w:val="000000"/>
                <w:sz w:val="20"/>
                <w:szCs w:val="20"/>
              </w:rPr>
              <w:t>esidence</w:t>
            </w:r>
          </w:p>
        </w:tc>
        <w:tc>
          <w:tcPr>
            <w:tcW w:w="720" w:type="dxa"/>
            <w:tcBorders>
              <w:top w:val="single" w:sz="12" w:space="0" w:color="auto"/>
              <w:left w:val="nil"/>
              <w:right w:val="single" w:sz="12" w:space="0" w:color="auto"/>
            </w:tcBorders>
            <w:shd w:val="clear" w:color="000000" w:fill="FFFFFF"/>
            <w:vAlign w:val="center"/>
          </w:tcPr>
          <w:p w14:paraId="71A9D622" w14:textId="1F7E316C" w:rsidR="00581E66" w:rsidRPr="000D3090" w:rsidRDefault="00581E66" w:rsidP="005C7F75">
            <w:pPr>
              <w:tabs>
                <w:tab w:val="decimal" w:pos="255"/>
              </w:tabs>
              <w:spacing w:after="0" w:line="240" w:lineRule="auto"/>
              <w:jc w:val="center"/>
              <w:rPr>
                <w:rFonts w:eastAsia="Times New Roman"/>
                <w:b/>
                <w:bCs/>
                <w:color w:val="000000"/>
                <w:sz w:val="20"/>
                <w:szCs w:val="20"/>
              </w:rPr>
            </w:pPr>
          </w:p>
        </w:tc>
        <w:tc>
          <w:tcPr>
            <w:tcW w:w="3477" w:type="dxa"/>
            <w:tcBorders>
              <w:top w:val="single" w:sz="12" w:space="0" w:color="auto"/>
              <w:left w:val="single" w:sz="12" w:space="0" w:color="auto"/>
              <w:right w:val="nil"/>
            </w:tcBorders>
            <w:shd w:val="clear" w:color="000000" w:fill="FFFFFF"/>
            <w:vAlign w:val="bottom"/>
          </w:tcPr>
          <w:p w14:paraId="1B88BBBB" w14:textId="473AC4FD" w:rsidR="00581E66" w:rsidRPr="000D3090" w:rsidRDefault="00581E66" w:rsidP="001E7206">
            <w:pPr>
              <w:spacing w:after="0" w:line="240" w:lineRule="auto"/>
              <w:rPr>
                <w:rFonts w:eastAsia="Times New Roman"/>
                <w:b/>
                <w:bCs/>
                <w:color w:val="000000"/>
                <w:sz w:val="20"/>
                <w:szCs w:val="20"/>
              </w:rPr>
            </w:pPr>
            <w:r w:rsidRPr="000D3090">
              <w:rPr>
                <w:rFonts w:eastAsia="Times New Roman"/>
                <w:b/>
                <w:bCs/>
                <w:color w:val="000000"/>
                <w:sz w:val="20"/>
                <w:szCs w:val="20"/>
              </w:rPr>
              <w:t xml:space="preserve">Road </w:t>
            </w:r>
            <w:r w:rsidR="00AF3DDB" w:rsidRPr="000D3090">
              <w:rPr>
                <w:rFonts w:eastAsia="Times New Roman"/>
                <w:b/>
                <w:bCs/>
                <w:color w:val="000000"/>
                <w:sz w:val="20"/>
                <w:szCs w:val="20"/>
              </w:rPr>
              <w:t>n</w:t>
            </w:r>
            <w:r w:rsidRPr="000D3090">
              <w:rPr>
                <w:rFonts w:eastAsia="Times New Roman"/>
                <w:b/>
                <w:bCs/>
                <w:color w:val="000000"/>
                <w:sz w:val="20"/>
                <w:szCs w:val="20"/>
              </w:rPr>
              <w:t xml:space="preserve">etwork </w:t>
            </w:r>
            <w:r w:rsidR="00AF3DDB" w:rsidRPr="000D3090">
              <w:rPr>
                <w:rFonts w:eastAsia="Times New Roman"/>
                <w:b/>
                <w:bCs/>
                <w:color w:val="000000"/>
                <w:sz w:val="20"/>
                <w:szCs w:val="20"/>
              </w:rPr>
              <w:t>d</w:t>
            </w:r>
            <w:r w:rsidRPr="000D3090">
              <w:rPr>
                <w:rFonts w:eastAsia="Times New Roman"/>
                <w:b/>
                <w:bCs/>
                <w:color w:val="000000"/>
                <w:sz w:val="20"/>
                <w:szCs w:val="20"/>
              </w:rPr>
              <w:t xml:space="preserve">ensity </w:t>
            </w:r>
          </w:p>
        </w:tc>
        <w:tc>
          <w:tcPr>
            <w:tcW w:w="777" w:type="dxa"/>
            <w:tcBorders>
              <w:top w:val="single" w:sz="12" w:space="0" w:color="auto"/>
              <w:left w:val="nil"/>
              <w:right w:val="nil"/>
            </w:tcBorders>
            <w:shd w:val="clear" w:color="000000" w:fill="FFFFFF"/>
            <w:vAlign w:val="center"/>
          </w:tcPr>
          <w:p w14:paraId="6796C5A1" w14:textId="34A40610" w:rsidR="00581E66" w:rsidRPr="000D3090" w:rsidRDefault="00581E66" w:rsidP="005C7F75">
            <w:pPr>
              <w:tabs>
                <w:tab w:val="decimal" w:pos="165"/>
              </w:tabs>
              <w:spacing w:after="0" w:line="240" w:lineRule="auto"/>
              <w:jc w:val="center"/>
              <w:rPr>
                <w:rFonts w:eastAsia="Times New Roman"/>
                <w:b/>
                <w:bCs/>
                <w:color w:val="000000"/>
                <w:sz w:val="20"/>
                <w:szCs w:val="20"/>
              </w:rPr>
            </w:pPr>
          </w:p>
        </w:tc>
        <w:tc>
          <w:tcPr>
            <w:tcW w:w="720" w:type="dxa"/>
            <w:tcBorders>
              <w:top w:val="single" w:sz="12" w:space="0" w:color="auto"/>
              <w:left w:val="nil"/>
              <w:right w:val="single" w:sz="12" w:space="0" w:color="auto"/>
            </w:tcBorders>
            <w:shd w:val="clear" w:color="000000" w:fill="FFFFFF"/>
            <w:vAlign w:val="center"/>
          </w:tcPr>
          <w:p w14:paraId="1E28A362" w14:textId="138959B9" w:rsidR="00581E66" w:rsidRPr="000D3090" w:rsidRDefault="00581E66" w:rsidP="005C7F75">
            <w:pPr>
              <w:tabs>
                <w:tab w:val="decimal" w:pos="180"/>
              </w:tabs>
              <w:spacing w:after="0" w:line="240" w:lineRule="auto"/>
              <w:jc w:val="center"/>
              <w:rPr>
                <w:rFonts w:eastAsia="Times New Roman"/>
                <w:b/>
                <w:bCs/>
                <w:color w:val="000000"/>
                <w:sz w:val="20"/>
                <w:szCs w:val="20"/>
              </w:rPr>
            </w:pPr>
          </w:p>
        </w:tc>
      </w:tr>
      <w:tr w:rsidR="00D432BE" w:rsidRPr="000D3090" w14:paraId="78EBA65E" w14:textId="77777777" w:rsidTr="004B5462">
        <w:trPr>
          <w:trHeight w:val="20"/>
          <w:jc w:val="center"/>
        </w:trPr>
        <w:tc>
          <w:tcPr>
            <w:tcW w:w="3405" w:type="dxa"/>
            <w:tcBorders>
              <w:left w:val="single" w:sz="12" w:space="0" w:color="auto"/>
              <w:right w:val="nil"/>
            </w:tcBorders>
            <w:shd w:val="clear" w:color="000000" w:fill="FFFFFF"/>
            <w:vAlign w:val="bottom"/>
          </w:tcPr>
          <w:p w14:paraId="0A4C9122" w14:textId="409B866E"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New England</w:t>
            </w:r>
          </w:p>
        </w:tc>
        <w:tc>
          <w:tcPr>
            <w:tcW w:w="720" w:type="dxa"/>
            <w:tcBorders>
              <w:left w:val="nil"/>
              <w:right w:val="nil"/>
            </w:tcBorders>
            <w:shd w:val="clear" w:color="000000" w:fill="FFFFFF"/>
            <w:vAlign w:val="center"/>
          </w:tcPr>
          <w:p w14:paraId="36686CC4" w14:textId="298112DD"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5.9</w:t>
            </w:r>
          </w:p>
        </w:tc>
        <w:tc>
          <w:tcPr>
            <w:tcW w:w="720" w:type="dxa"/>
            <w:tcBorders>
              <w:left w:val="nil"/>
              <w:right w:val="single" w:sz="12" w:space="0" w:color="auto"/>
            </w:tcBorders>
            <w:shd w:val="clear" w:color="000000" w:fill="FFFFFF"/>
            <w:vAlign w:val="center"/>
          </w:tcPr>
          <w:p w14:paraId="5F216382" w14:textId="57BD6726"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4.6</w:t>
            </w:r>
          </w:p>
        </w:tc>
        <w:tc>
          <w:tcPr>
            <w:tcW w:w="3477" w:type="dxa"/>
            <w:tcBorders>
              <w:left w:val="single" w:sz="12" w:space="0" w:color="auto"/>
              <w:right w:val="nil"/>
            </w:tcBorders>
            <w:shd w:val="clear" w:color="000000" w:fill="FFFFFF"/>
            <w:vAlign w:val="center"/>
          </w:tcPr>
          <w:p w14:paraId="1EF356EF" w14:textId="0F55FFB0" w:rsidR="00581E66" w:rsidRPr="000D3090" w:rsidDel="00581E66"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0 – 9 link-miles per square mile   </w:t>
            </w:r>
          </w:p>
        </w:tc>
        <w:tc>
          <w:tcPr>
            <w:tcW w:w="777" w:type="dxa"/>
            <w:tcBorders>
              <w:left w:val="nil"/>
              <w:right w:val="nil"/>
            </w:tcBorders>
            <w:shd w:val="clear" w:color="000000" w:fill="FFFFFF"/>
            <w:vAlign w:val="center"/>
          </w:tcPr>
          <w:p w14:paraId="785AC718" w14:textId="0679E375" w:rsidR="00581E66" w:rsidRPr="000D3090" w:rsidDel="00581E66"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40.0</w:t>
            </w:r>
          </w:p>
        </w:tc>
        <w:tc>
          <w:tcPr>
            <w:tcW w:w="720" w:type="dxa"/>
            <w:tcBorders>
              <w:left w:val="nil"/>
              <w:right w:val="single" w:sz="12" w:space="0" w:color="auto"/>
            </w:tcBorders>
            <w:shd w:val="clear" w:color="000000" w:fill="FFFFFF"/>
            <w:vAlign w:val="center"/>
          </w:tcPr>
          <w:p w14:paraId="4D94CD5E" w14:textId="2E2569E5" w:rsidR="00581E66" w:rsidRPr="000D3090" w:rsidDel="00581E66"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4A396BEC" w14:textId="77777777" w:rsidTr="004B5462">
        <w:trPr>
          <w:trHeight w:val="20"/>
          <w:jc w:val="center"/>
        </w:trPr>
        <w:tc>
          <w:tcPr>
            <w:tcW w:w="3405" w:type="dxa"/>
            <w:tcBorders>
              <w:left w:val="single" w:sz="12" w:space="0" w:color="auto"/>
              <w:right w:val="nil"/>
            </w:tcBorders>
            <w:shd w:val="clear" w:color="000000" w:fill="FFFFFF"/>
            <w:vAlign w:val="bottom"/>
          </w:tcPr>
          <w:p w14:paraId="2C53A5E7" w14:textId="37C8B241"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Middle Atlantic</w:t>
            </w:r>
          </w:p>
        </w:tc>
        <w:tc>
          <w:tcPr>
            <w:tcW w:w="720" w:type="dxa"/>
            <w:tcBorders>
              <w:left w:val="nil"/>
              <w:right w:val="nil"/>
            </w:tcBorders>
            <w:shd w:val="clear" w:color="000000" w:fill="FFFFFF"/>
            <w:vAlign w:val="center"/>
          </w:tcPr>
          <w:p w14:paraId="20105D4C" w14:textId="65C97772" w:rsidR="00581E66" w:rsidRPr="000D3090" w:rsidRDefault="00581E66" w:rsidP="00581E66">
            <w:pPr>
              <w:tabs>
                <w:tab w:val="decimal" w:pos="225"/>
              </w:tabs>
              <w:spacing w:after="0" w:line="240" w:lineRule="auto"/>
              <w:jc w:val="center"/>
              <w:rPr>
                <w:rFonts w:eastAsia="Times New Roman"/>
                <w:b/>
                <w:bCs/>
                <w:color w:val="000000"/>
                <w:sz w:val="20"/>
                <w:szCs w:val="20"/>
              </w:rPr>
            </w:pPr>
            <w:r w:rsidRPr="000D3090">
              <w:rPr>
                <w:rFonts w:eastAsia="Times New Roman"/>
                <w:color w:val="000000"/>
                <w:sz w:val="20"/>
                <w:szCs w:val="20"/>
              </w:rPr>
              <w:t>11.8</w:t>
            </w:r>
          </w:p>
        </w:tc>
        <w:tc>
          <w:tcPr>
            <w:tcW w:w="720" w:type="dxa"/>
            <w:tcBorders>
              <w:left w:val="nil"/>
              <w:right w:val="single" w:sz="12" w:space="0" w:color="auto"/>
            </w:tcBorders>
            <w:shd w:val="clear" w:color="000000" w:fill="FFFFFF"/>
            <w:vAlign w:val="center"/>
          </w:tcPr>
          <w:p w14:paraId="2ED7DFF0" w14:textId="7CF8423A" w:rsidR="00581E66" w:rsidRPr="000D3090" w:rsidRDefault="00581E66" w:rsidP="00581E66">
            <w:pPr>
              <w:tabs>
                <w:tab w:val="decimal" w:pos="255"/>
              </w:tabs>
              <w:spacing w:after="0" w:line="240" w:lineRule="auto"/>
              <w:jc w:val="center"/>
              <w:rPr>
                <w:rFonts w:eastAsia="Times New Roman"/>
                <w:b/>
                <w:bCs/>
                <w:color w:val="000000"/>
                <w:sz w:val="20"/>
                <w:szCs w:val="20"/>
              </w:rPr>
            </w:pPr>
            <w:r w:rsidRPr="000D3090">
              <w:rPr>
                <w:rFonts w:eastAsia="Times New Roman"/>
                <w:color w:val="000000"/>
                <w:sz w:val="20"/>
                <w:szCs w:val="20"/>
              </w:rPr>
              <w:t>12.8</w:t>
            </w:r>
          </w:p>
        </w:tc>
        <w:tc>
          <w:tcPr>
            <w:tcW w:w="3477" w:type="dxa"/>
            <w:tcBorders>
              <w:left w:val="single" w:sz="12" w:space="0" w:color="auto"/>
              <w:right w:val="nil"/>
            </w:tcBorders>
            <w:shd w:val="clear" w:color="000000" w:fill="FFFFFF"/>
            <w:vAlign w:val="center"/>
          </w:tcPr>
          <w:p w14:paraId="2AB6BDED" w14:textId="1743D3BE"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10 – 19 link-miles per square mile</w:t>
            </w:r>
          </w:p>
        </w:tc>
        <w:tc>
          <w:tcPr>
            <w:tcW w:w="777" w:type="dxa"/>
            <w:tcBorders>
              <w:left w:val="nil"/>
              <w:right w:val="nil"/>
            </w:tcBorders>
            <w:shd w:val="clear" w:color="000000" w:fill="FFFFFF"/>
            <w:vAlign w:val="center"/>
          </w:tcPr>
          <w:p w14:paraId="3FA0E85E" w14:textId="201EE915" w:rsidR="00581E66" w:rsidRPr="000D3090" w:rsidRDefault="00581E66" w:rsidP="00581E66">
            <w:pPr>
              <w:tabs>
                <w:tab w:val="decimal" w:pos="165"/>
              </w:tabs>
              <w:spacing w:after="0" w:line="240" w:lineRule="auto"/>
              <w:jc w:val="center"/>
              <w:rPr>
                <w:rFonts w:eastAsia="Times New Roman"/>
                <w:b/>
                <w:bCs/>
                <w:color w:val="000000"/>
                <w:sz w:val="20"/>
                <w:szCs w:val="20"/>
              </w:rPr>
            </w:pPr>
            <w:r w:rsidRPr="000D3090">
              <w:rPr>
                <w:rFonts w:eastAsia="Times New Roman"/>
                <w:color w:val="000000"/>
                <w:sz w:val="20"/>
                <w:szCs w:val="20"/>
              </w:rPr>
              <w:t>32.2</w:t>
            </w:r>
          </w:p>
        </w:tc>
        <w:tc>
          <w:tcPr>
            <w:tcW w:w="720" w:type="dxa"/>
            <w:tcBorders>
              <w:left w:val="nil"/>
              <w:right w:val="single" w:sz="12" w:space="0" w:color="auto"/>
            </w:tcBorders>
            <w:shd w:val="clear" w:color="000000" w:fill="FFFFFF"/>
            <w:vAlign w:val="center"/>
          </w:tcPr>
          <w:p w14:paraId="1AFF2BA0" w14:textId="5CE081ED" w:rsidR="00581E66" w:rsidRPr="000D3090" w:rsidRDefault="00581E66" w:rsidP="00581E66">
            <w:pPr>
              <w:tabs>
                <w:tab w:val="decimal" w:pos="180"/>
              </w:tabs>
              <w:spacing w:after="0" w:line="240" w:lineRule="auto"/>
              <w:jc w:val="center"/>
              <w:rPr>
                <w:rFonts w:eastAsia="Times New Roman"/>
                <w:b/>
                <w:bCs/>
                <w:color w:val="000000"/>
                <w:sz w:val="20"/>
                <w:szCs w:val="20"/>
              </w:rPr>
            </w:pPr>
          </w:p>
        </w:tc>
      </w:tr>
      <w:tr w:rsidR="00581E66" w:rsidRPr="000D3090" w14:paraId="2A3F3A33" w14:textId="77777777" w:rsidTr="004B5462">
        <w:trPr>
          <w:trHeight w:val="20"/>
          <w:jc w:val="center"/>
        </w:trPr>
        <w:tc>
          <w:tcPr>
            <w:tcW w:w="3405" w:type="dxa"/>
            <w:tcBorders>
              <w:left w:val="single" w:sz="12" w:space="0" w:color="auto"/>
              <w:right w:val="nil"/>
            </w:tcBorders>
            <w:shd w:val="clear" w:color="000000" w:fill="FFFFFF"/>
            <w:vAlign w:val="bottom"/>
          </w:tcPr>
          <w:p w14:paraId="6320D3AD" w14:textId="5B11A7E6"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East North Central</w:t>
            </w:r>
          </w:p>
        </w:tc>
        <w:tc>
          <w:tcPr>
            <w:tcW w:w="720" w:type="dxa"/>
            <w:tcBorders>
              <w:left w:val="nil"/>
              <w:right w:val="nil"/>
            </w:tcBorders>
            <w:shd w:val="clear" w:color="000000" w:fill="FFFFFF"/>
            <w:vAlign w:val="center"/>
          </w:tcPr>
          <w:p w14:paraId="7D6587E8" w14:textId="4F631412" w:rsidR="00581E66" w:rsidRPr="000D3090" w:rsidRDefault="00581E66" w:rsidP="00581E66">
            <w:pPr>
              <w:tabs>
                <w:tab w:val="decimal" w:pos="225"/>
              </w:tabs>
              <w:spacing w:after="0" w:line="240" w:lineRule="auto"/>
              <w:jc w:val="center"/>
              <w:rPr>
                <w:rFonts w:eastAsia="Times New Roman"/>
                <w:b/>
                <w:bCs/>
                <w:color w:val="000000"/>
                <w:sz w:val="20"/>
                <w:szCs w:val="20"/>
              </w:rPr>
            </w:pPr>
            <w:r w:rsidRPr="000D3090">
              <w:rPr>
                <w:rFonts w:eastAsia="Times New Roman"/>
                <w:color w:val="000000"/>
                <w:sz w:val="20"/>
                <w:szCs w:val="20"/>
              </w:rPr>
              <w:t>16.0</w:t>
            </w:r>
          </w:p>
        </w:tc>
        <w:tc>
          <w:tcPr>
            <w:tcW w:w="720" w:type="dxa"/>
            <w:tcBorders>
              <w:left w:val="nil"/>
              <w:right w:val="single" w:sz="12" w:space="0" w:color="auto"/>
            </w:tcBorders>
            <w:shd w:val="clear" w:color="000000" w:fill="FFFFFF"/>
            <w:vAlign w:val="center"/>
          </w:tcPr>
          <w:p w14:paraId="3B1BDD59" w14:textId="7BF7EBAC" w:rsidR="00581E66" w:rsidRPr="000D3090" w:rsidRDefault="00581E66" w:rsidP="00581E66">
            <w:pPr>
              <w:tabs>
                <w:tab w:val="decimal" w:pos="255"/>
              </w:tabs>
              <w:spacing w:after="0" w:line="240" w:lineRule="auto"/>
              <w:jc w:val="center"/>
              <w:rPr>
                <w:rFonts w:eastAsia="Times New Roman"/>
                <w:b/>
                <w:bCs/>
                <w:color w:val="000000"/>
                <w:sz w:val="20"/>
                <w:szCs w:val="20"/>
              </w:rPr>
            </w:pPr>
            <w:r w:rsidRPr="000D3090">
              <w:rPr>
                <w:rFonts w:eastAsia="Times New Roman"/>
                <w:color w:val="000000"/>
                <w:sz w:val="20"/>
                <w:szCs w:val="20"/>
              </w:rPr>
              <w:t xml:space="preserve">14.3 </w:t>
            </w:r>
          </w:p>
        </w:tc>
        <w:tc>
          <w:tcPr>
            <w:tcW w:w="3477" w:type="dxa"/>
            <w:tcBorders>
              <w:left w:val="single" w:sz="12" w:space="0" w:color="auto"/>
              <w:right w:val="nil"/>
            </w:tcBorders>
            <w:shd w:val="clear" w:color="000000" w:fill="FFFFFF"/>
            <w:vAlign w:val="bottom"/>
          </w:tcPr>
          <w:p w14:paraId="370761CB" w14:textId="2BE53CE3"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20 or more link-miles per square mile</w:t>
            </w:r>
          </w:p>
        </w:tc>
        <w:tc>
          <w:tcPr>
            <w:tcW w:w="777" w:type="dxa"/>
            <w:tcBorders>
              <w:left w:val="nil"/>
              <w:right w:val="nil"/>
            </w:tcBorders>
            <w:shd w:val="clear" w:color="000000" w:fill="FFFFFF"/>
            <w:vAlign w:val="center"/>
          </w:tcPr>
          <w:p w14:paraId="313F8702" w14:textId="145D9780" w:rsidR="00581E66" w:rsidRPr="000D3090" w:rsidRDefault="00581E66" w:rsidP="00581E66">
            <w:pPr>
              <w:tabs>
                <w:tab w:val="decimal" w:pos="165"/>
              </w:tabs>
              <w:spacing w:after="0" w:line="240" w:lineRule="auto"/>
              <w:jc w:val="center"/>
              <w:rPr>
                <w:rFonts w:eastAsia="Times New Roman"/>
                <w:b/>
                <w:bCs/>
                <w:color w:val="000000"/>
                <w:sz w:val="20"/>
                <w:szCs w:val="20"/>
              </w:rPr>
            </w:pPr>
            <w:r w:rsidRPr="000D3090">
              <w:rPr>
                <w:rFonts w:eastAsia="Times New Roman"/>
                <w:color w:val="000000"/>
                <w:sz w:val="20"/>
                <w:szCs w:val="20"/>
              </w:rPr>
              <w:t>27.8</w:t>
            </w:r>
          </w:p>
        </w:tc>
        <w:tc>
          <w:tcPr>
            <w:tcW w:w="720" w:type="dxa"/>
            <w:tcBorders>
              <w:left w:val="nil"/>
              <w:right w:val="single" w:sz="12" w:space="0" w:color="auto"/>
            </w:tcBorders>
            <w:shd w:val="clear" w:color="000000" w:fill="FFFFFF"/>
            <w:vAlign w:val="center"/>
          </w:tcPr>
          <w:p w14:paraId="6D2B1E88" w14:textId="6589C477" w:rsidR="00581E66" w:rsidRPr="000D3090" w:rsidRDefault="00581E66" w:rsidP="00581E66">
            <w:pPr>
              <w:tabs>
                <w:tab w:val="decimal" w:pos="180"/>
              </w:tabs>
              <w:spacing w:after="0" w:line="240" w:lineRule="auto"/>
              <w:jc w:val="center"/>
              <w:rPr>
                <w:rFonts w:eastAsia="Times New Roman"/>
                <w:b/>
                <w:bCs/>
                <w:color w:val="000000"/>
                <w:sz w:val="20"/>
                <w:szCs w:val="20"/>
              </w:rPr>
            </w:pPr>
          </w:p>
        </w:tc>
      </w:tr>
      <w:tr w:rsidR="00581E66" w:rsidRPr="000D3090" w14:paraId="2F715742" w14:textId="77777777" w:rsidTr="004B5462">
        <w:trPr>
          <w:trHeight w:val="20"/>
          <w:jc w:val="center"/>
        </w:trPr>
        <w:tc>
          <w:tcPr>
            <w:tcW w:w="3405" w:type="dxa"/>
            <w:tcBorders>
              <w:left w:val="single" w:sz="12" w:space="0" w:color="auto"/>
              <w:right w:val="nil"/>
            </w:tcBorders>
            <w:shd w:val="clear" w:color="000000" w:fill="FFFFFF"/>
            <w:vAlign w:val="bottom"/>
          </w:tcPr>
          <w:p w14:paraId="59FD2D68" w14:textId="70D36684"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West North Central</w:t>
            </w:r>
          </w:p>
        </w:tc>
        <w:tc>
          <w:tcPr>
            <w:tcW w:w="720" w:type="dxa"/>
            <w:tcBorders>
              <w:left w:val="nil"/>
              <w:right w:val="nil"/>
            </w:tcBorders>
            <w:shd w:val="clear" w:color="000000" w:fill="FFFFFF"/>
            <w:vAlign w:val="center"/>
          </w:tcPr>
          <w:p w14:paraId="60C3C493" w14:textId="0DBD11A6" w:rsidR="00581E66" w:rsidRPr="000D3090" w:rsidRDefault="00581E66" w:rsidP="00581E66">
            <w:pPr>
              <w:tabs>
                <w:tab w:val="decimal" w:pos="225"/>
              </w:tabs>
              <w:spacing w:after="0" w:line="240" w:lineRule="auto"/>
              <w:jc w:val="center"/>
              <w:rPr>
                <w:rFonts w:eastAsia="Times New Roman"/>
                <w:b/>
                <w:bCs/>
                <w:color w:val="000000"/>
                <w:sz w:val="20"/>
                <w:szCs w:val="20"/>
              </w:rPr>
            </w:pPr>
            <w:r w:rsidRPr="000D3090">
              <w:rPr>
                <w:rFonts w:eastAsia="Times New Roman"/>
                <w:color w:val="000000"/>
                <w:sz w:val="20"/>
                <w:szCs w:val="20"/>
              </w:rPr>
              <w:t>7.2</w:t>
            </w:r>
          </w:p>
        </w:tc>
        <w:tc>
          <w:tcPr>
            <w:tcW w:w="720" w:type="dxa"/>
            <w:tcBorders>
              <w:left w:val="nil"/>
              <w:right w:val="single" w:sz="12" w:space="0" w:color="auto"/>
            </w:tcBorders>
            <w:shd w:val="clear" w:color="000000" w:fill="FFFFFF"/>
            <w:vAlign w:val="center"/>
          </w:tcPr>
          <w:p w14:paraId="5159146B" w14:textId="295AD8C2" w:rsidR="00581E66" w:rsidRPr="000D3090" w:rsidRDefault="00581E66" w:rsidP="00581E66">
            <w:pPr>
              <w:tabs>
                <w:tab w:val="decimal" w:pos="255"/>
              </w:tabs>
              <w:spacing w:after="0" w:line="240" w:lineRule="auto"/>
              <w:jc w:val="center"/>
              <w:rPr>
                <w:rFonts w:eastAsia="Times New Roman"/>
                <w:b/>
                <w:bCs/>
                <w:color w:val="000000"/>
                <w:sz w:val="20"/>
                <w:szCs w:val="20"/>
              </w:rPr>
            </w:pPr>
            <w:r w:rsidRPr="000D3090">
              <w:rPr>
                <w:rFonts w:eastAsia="Times New Roman"/>
                <w:color w:val="000000"/>
                <w:sz w:val="20"/>
                <w:szCs w:val="20"/>
              </w:rPr>
              <w:t>6.5</w:t>
            </w:r>
          </w:p>
        </w:tc>
        <w:tc>
          <w:tcPr>
            <w:tcW w:w="3477" w:type="dxa"/>
            <w:tcBorders>
              <w:left w:val="single" w:sz="12" w:space="0" w:color="auto"/>
              <w:right w:val="nil"/>
            </w:tcBorders>
            <w:shd w:val="clear" w:color="000000" w:fill="FFFFFF"/>
            <w:vAlign w:val="bottom"/>
          </w:tcPr>
          <w:p w14:paraId="61711E9E" w14:textId="7143078F" w:rsidR="00581E66" w:rsidRPr="000D3090" w:rsidRDefault="00581E66" w:rsidP="00581E66">
            <w:pPr>
              <w:spacing w:after="0" w:line="240" w:lineRule="auto"/>
              <w:rPr>
                <w:rFonts w:eastAsia="Times New Roman"/>
                <w:color w:val="000000"/>
                <w:sz w:val="20"/>
                <w:szCs w:val="20"/>
              </w:rPr>
            </w:pPr>
            <w:r w:rsidRPr="000D3090">
              <w:rPr>
                <w:rFonts w:eastAsia="Times New Roman"/>
                <w:b/>
                <w:bCs/>
                <w:color w:val="000000"/>
                <w:sz w:val="20"/>
                <w:szCs w:val="20"/>
              </w:rPr>
              <w:t xml:space="preserve">Employment </w:t>
            </w:r>
            <w:r w:rsidR="00AF3DDB" w:rsidRPr="000D3090">
              <w:rPr>
                <w:rFonts w:eastAsia="Times New Roman"/>
                <w:b/>
                <w:bCs/>
                <w:color w:val="000000"/>
                <w:sz w:val="20"/>
                <w:szCs w:val="20"/>
              </w:rPr>
              <w:t>d</w:t>
            </w:r>
            <w:r w:rsidRPr="000D3090">
              <w:rPr>
                <w:rFonts w:eastAsia="Times New Roman"/>
                <w:b/>
                <w:bCs/>
                <w:color w:val="000000"/>
                <w:sz w:val="20"/>
                <w:szCs w:val="20"/>
              </w:rPr>
              <w:t>ensity</w:t>
            </w:r>
          </w:p>
        </w:tc>
        <w:tc>
          <w:tcPr>
            <w:tcW w:w="777" w:type="dxa"/>
            <w:tcBorders>
              <w:left w:val="nil"/>
              <w:right w:val="nil"/>
            </w:tcBorders>
            <w:shd w:val="clear" w:color="000000" w:fill="FFFFFF"/>
            <w:vAlign w:val="center"/>
          </w:tcPr>
          <w:p w14:paraId="4BB073C1" w14:textId="3385DC3B"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left w:val="nil"/>
              <w:right w:val="single" w:sz="12" w:space="0" w:color="auto"/>
            </w:tcBorders>
            <w:shd w:val="clear" w:color="000000" w:fill="FFFFFF"/>
            <w:vAlign w:val="center"/>
          </w:tcPr>
          <w:p w14:paraId="4B55A395" w14:textId="315E90D6" w:rsidR="00581E66" w:rsidRPr="000D3090" w:rsidRDefault="00581E66" w:rsidP="00581E66">
            <w:pPr>
              <w:tabs>
                <w:tab w:val="decimal" w:pos="180"/>
              </w:tabs>
              <w:spacing w:after="0" w:line="240" w:lineRule="auto"/>
              <w:jc w:val="center"/>
              <w:rPr>
                <w:rFonts w:eastAsia="Times New Roman"/>
                <w:b/>
                <w:bCs/>
                <w:color w:val="000000"/>
                <w:sz w:val="20"/>
                <w:szCs w:val="20"/>
              </w:rPr>
            </w:pPr>
          </w:p>
        </w:tc>
      </w:tr>
      <w:tr w:rsidR="00581E66" w:rsidRPr="000D3090" w14:paraId="1832CBCA" w14:textId="77777777" w:rsidTr="004B5462">
        <w:trPr>
          <w:trHeight w:val="20"/>
          <w:jc w:val="center"/>
        </w:trPr>
        <w:tc>
          <w:tcPr>
            <w:tcW w:w="3405" w:type="dxa"/>
            <w:tcBorders>
              <w:left w:val="single" w:sz="12" w:space="0" w:color="auto"/>
              <w:right w:val="nil"/>
            </w:tcBorders>
            <w:shd w:val="clear" w:color="000000" w:fill="FFFFFF"/>
            <w:vAlign w:val="bottom"/>
          </w:tcPr>
          <w:p w14:paraId="21439C68" w14:textId="168FE751"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South Atlantic</w:t>
            </w:r>
          </w:p>
        </w:tc>
        <w:tc>
          <w:tcPr>
            <w:tcW w:w="720" w:type="dxa"/>
            <w:tcBorders>
              <w:left w:val="nil"/>
              <w:right w:val="nil"/>
            </w:tcBorders>
            <w:shd w:val="clear" w:color="000000" w:fill="FFFFFF"/>
            <w:vAlign w:val="center"/>
          </w:tcPr>
          <w:p w14:paraId="39D40B23" w14:textId="63A5EEEA" w:rsidR="00581E66" w:rsidRPr="000D3090" w:rsidRDefault="00581E66" w:rsidP="00581E66">
            <w:pPr>
              <w:tabs>
                <w:tab w:val="decimal" w:pos="225"/>
              </w:tabs>
              <w:spacing w:after="0" w:line="240" w:lineRule="auto"/>
              <w:jc w:val="center"/>
              <w:rPr>
                <w:rFonts w:eastAsia="Times New Roman"/>
                <w:b/>
                <w:bCs/>
                <w:color w:val="000000"/>
                <w:sz w:val="20"/>
                <w:szCs w:val="20"/>
              </w:rPr>
            </w:pPr>
            <w:r w:rsidRPr="000D3090">
              <w:rPr>
                <w:rFonts w:eastAsia="Times New Roman"/>
                <w:color w:val="000000"/>
                <w:sz w:val="20"/>
                <w:szCs w:val="20"/>
              </w:rPr>
              <w:t>19.9</w:t>
            </w:r>
          </w:p>
        </w:tc>
        <w:tc>
          <w:tcPr>
            <w:tcW w:w="720" w:type="dxa"/>
            <w:tcBorders>
              <w:left w:val="nil"/>
              <w:right w:val="single" w:sz="12" w:space="0" w:color="auto"/>
            </w:tcBorders>
            <w:shd w:val="clear" w:color="000000" w:fill="FFFFFF"/>
            <w:vAlign w:val="center"/>
          </w:tcPr>
          <w:p w14:paraId="16BC10E3" w14:textId="6FCB8064" w:rsidR="00581E66" w:rsidRPr="000D3090" w:rsidRDefault="00581E66" w:rsidP="00581E66">
            <w:pPr>
              <w:tabs>
                <w:tab w:val="decimal" w:pos="255"/>
              </w:tabs>
              <w:spacing w:after="0" w:line="240" w:lineRule="auto"/>
              <w:jc w:val="center"/>
              <w:rPr>
                <w:rFonts w:eastAsia="Times New Roman"/>
                <w:b/>
                <w:bCs/>
                <w:color w:val="000000"/>
                <w:sz w:val="20"/>
                <w:szCs w:val="20"/>
              </w:rPr>
            </w:pPr>
            <w:r w:rsidRPr="000D3090">
              <w:rPr>
                <w:rFonts w:eastAsia="Times New Roman"/>
                <w:color w:val="000000"/>
                <w:sz w:val="20"/>
                <w:szCs w:val="20"/>
              </w:rPr>
              <w:t>19.9</w:t>
            </w:r>
          </w:p>
        </w:tc>
        <w:tc>
          <w:tcPr>
            <w:tcW w:w="3477" w:type="dxa"/>
            <w:tcBorders>
              <w:left w:val="single" w:sz="12" w:space="0" w:color="auto"/>
              <w:right w:val="nil"/>
            </w:tcBorders>
            <w:shd w:val="clear" w:color="000000" w:fill="FFFFFF"/>
            <w:vAlign w:val="bottom"/>
          </w:tcPr>
          <w:p w14:paraId="47E09FC5" w14:textId="219E9D21"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0 – 999 workers per square mile</w:t>
            </w:r>
          </w:p>
        </w:tc>
        <w:tc>
          <w:tcPr>
            <w:tcW w:w="777" w:type="dxa"/>
            <w:tcBorders>
              <w:left w:val="nil"/>
              <w:right w:val="nil"/>
            </w:tcBorders>
            <w:shd w:val="clear" w:color="000000" w:fill="FFFFFF"/>
            <w:vAlign w:val="center"/>
          </w:tcPr>
          <w:p w14:paraId="0F5E111A" w14:textId="5CFEC05F"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47.1</w:t>
            </w:r>
          </w:p>
        </w:tc>
        <w:tc>
          <w:tcPr>
            <w:tcW w:w="720" w:type="dxa"/>
            <w:tcBorders>
              <w:left w:val="nil"/>
              <w:right w:val="single" w:sz="12" w:space="0" w:color="auto"/>
            </w:tcBorders>
            <w:shd w:val="clear" w:color="000000" w:fill="FFFFFF"/>
            <w:vAlign w:val="center"/>
          </w:tcPr>
          <w:p w14:paraId="26C2BF54" w14:textId="3426DDFF"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color w:val="000000"/>
                <w:sz w:val="20"/>
                <w:szCs w:val="20"/>
              </w:rPr>
              <w:t>--</w:t>
            </w:r>
          </w:p>
        </w:tc>
      </w:tr>
      <w:tr w:rsidR="00D432BE" w:rsidRPr="000D3090" w14:paraId="26C58B1C" w14:textId="77777777" w:rsidTr="004B5462">
        <w:trPr>
          <w:trHeight w:val="20"/>
          <w:jc w:val="center"/>
        </w:trPr>
        <w:tc>
          <w:tcPr>
            <w:tcW w:w="3405" w:type="dxa"/>
            <w:tcBorders>
              <w:left w:val="single" w:sz="12" w:space="0" w:color="auto"/>
              <w:right w:val="nil"/>
            </w:tcBorders>
            <w:shd w:val="clear" w:color="000000" w:fill="FFFFFF"/>
            <w:vAlign w:val="bottom"/>
          </w:tcPr>
          <w:p w14:paraId="4065D77A" w14:textId="2CD28962"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East South Central</w:t>
            </w:r>
          </w:p>
        </w:tc>
        <w:tc>
          <w:tcPr>
            <w:tcW w:w="720" w:type="dxa"/>
            <w:tcBorders>
              <w:left w:val="nil"/>
              <w:right w:val="nil"/>
            </w:tcBorders>
            <w:shd w:val="clear" w:color="000000" w:fill="FFFFFF"/>
            <w:vAlign w:val="center"/>
          </w:tcPr>
          <w:p w14:paraId="1E082E07" w14:textId="23ED4168"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5.6</w:t>
            </w:r>
          </w:p>
        </w:tc>
        <w:tc>
          <w:tcPr>
            <w:tcW w:w="720" w:type="dxa"/>
            <w:tcBorders>
              <w:left w:val="nil"/>
              <w:right w:val="single" w:sz="12" w:space="0" w:color="auto"/>
            </w:tcBorders>
            <w:shd w:val="clear" w:color="000000" w:fill="FFFFFF"/>
            <w:vAlign w:val="center"/>
          </w:tcPr>
          <w:p w14:paraId="3ADA79B1" w14:textId="5FF2ED39"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5.9</w:t>
            </w:r>
          </w:p>
        </w:tc>
        <w:tc>
          <w:tcPr>
            <w:tcW w:w="3477" w:type="dxa"/>
            <w:tcBorders>
              <w:left w:val="single" w:sz="12" w:space="0" w:color="auto"/>
              <w:right w:val="nil"/>
            </w:tcBorders>
            <w:shd w:val="clear" w:color="000000" w:fill="FFFFFF"/>
            <w:vAlign w:val="center"/>
          </w:tcPr>
          <w:p w14:paraId="6A7B4926" w14:textId="521F3F2D"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1,000 – 1,999 workers per square mile</w:t>
            </w:r>
          </w:p>
        </w:tc>
        <w:tc>
          <w:tcPr>
            <w:tcW w:w="777" w:type="dxa"/>
            <w:tcBorders>
              <w:left w:val="nil"/>
              <w:right w:val="nil"/>
            </w:tcBorders>
            <w:shd w:val="clear" w:color="000000" w:fill="FFFFFF"/>
            <w:vAlign w:val="center"/>
          </w:tcPr>
          <w:p w14:paraId="16B22C72" w14:textId="13C77C63"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19.1</w:t>
            </w:r>
          </w:p>
        </w:tc>
        <w:tc>
          <w:tcPr>
            <w:tcW w:w="720" w:type="dxa"/>
            <w:tcBorders>
              <w:left w:val="nil"/>
              <w:right w:val="single" w:sz="12" w:space="0" w:color="auto"/>
            </w:tcBorders>
            <w:shd w:val="clear" w:color="000000" w:fill="FFFFFF"/>
            <w:vAlign w:val="center"/>
          </w:tcPr>
          <w:p w14:paraId="4C5FCBA2" w14:textId="66FBB00A"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b/>
                <w:bCs/>
                <w:color w:val="000000"/>
                <w:sz w:val="20"/>
                <w:szCs w:val="20"/>
              </w:rPr>
              <w:t>--</w:t>
            </w:r>
          </w:p>
        </w:tc>
      </w:tr>
      <w:tr w:rsidR="00D432BE" w:rsidRPr="000D3090" w14:paraId="7BA5273A" w14:textId="77777777" w:rsidTr="004B5462">
        <w:trPr>
          <w:trHeight w:val="20"/>
          <w:jc w:val="center"/>
        </w:trPr>
        <w:tc>
          <w:tcPr>
            <w:tcW w:w="3405" w:type="dxa"/>
            <w:tcBorders>
              <w:left w:val="single" w:sz="12" w:space="0" w:color="auto"/>
              <w:right w:val="nil"/>
            </w:tcBorders>
            <w:shd w:val="clear" w:color="000000" w:fill="FFFFFF"/>
            <w:vAlign w:val="bottom"/>
          </w:tcPr>
          <w:p w14:paraId="7BC88A57" w14:textId="058397A0"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West South Central</w:t>
            </w:r>
          </w:p>
        </w:tc>
        <w:tc>
          <w:tcPr>
            <w:tcW w:w="720" w:type="dxa"/>
            <w:tcBorders>
              <w:left w:val="nil"/>
              <w:right w:val="nil"/>
            </w:tcBorders>
            <w:shd w:val="clear" w:color="000000" w:fill="FFFFFF"/>
            <w:vAlign w:val="center"/>
          </w:tcPr>
          <w:p w14:paraId="57701374" w14:textId="245C8887"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11.1</w:t>
            </w:r>
          </w:p>
        </w:tc>
        <w:tc>
          <w:tcPr>
            <w:tcW w:w="720" w:type="dxa"/>
            <w:tcBorders>
              <w:left w:val="nil"/>
              <w:right w:val="single" w:sz="12" w:space="0" w:color="auto"/>
            </w:tcBorders>
            <w:shd w:val="clear" w:color="000000" w:fill="FFFFFF"/>
            <w:vAlign w:val="center"/>
          </w:tcPr>
          <w:p w14:paraId="01A7400E" w14:textId="0CEE6DC0"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12.3</w:t>
            </w:r>
          </w:p>
        </w:tc>
        <w:tc>
          <w:tcPr>
            <w:tcW w:w="3477" w:type="dxa"/>
            <w:tcBorders>
              <w:left w:val="single" w:sz="12" w:space="0" w:color="auto"/>
              <w:right w:val="nil"/>
            </w:tcBorders>
            <w:shd w:val="clear" w:color="000000" w:fill="FFFFFF"/>
            <w:vAlign w:val="center"/>
          </w:tcPr>
          <w:p w14:paraId="085116AE" w14:textId="609D53CF"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2,000 or more workers per square mile</w:t>
            </w:r>
          </w:p>
        </w:tc>
        <w:tc>
          <w:tcPr>
            <w:tcW w:w="777" w:type="dxa"/>
            <w:tcBorders>
              <w:left w:val="nil"/>
              <w:right w:val="nil"/>
            </w:tcBorders>
            <w:shd w:val="clear" w:color="000000" w:fill="FFFFFF"/>
            <w:vAlign w:val="center"/>
          </w:tcPr>
          <w:p w14:paraId="29DFD087" w14:textId="0EA526C9" w:rsidR="00581E66" w:rsidRPr="000D3090" w:rsidRDefault="00581E66" w:rsidP="00581E66">
            <w:pPr>
              <w:tabs>
                <w:tab w:val="decimal" w:pos="165"/>
              </w:tabs>
              <w:spacing w:after="0" w:line="240" w:lineRule="auto"/>
              <w:jc w:val="center"/>
              <w:rPr>
                <w:rFonts w:eastAsia="Times New Roman"/>
                <w:b/>
                <w:bCs/>
                <w:color w:val="000000"/>
                <w:sz w:val="20"/>
                <w:szCs w:val="20"/>
              </w:rPr>
            </w:pPr>
            <w:r w:rsidRPr="000D3090">
              <w:rPr>
                <w:rFonts w:eastAsia="Times New Roman"/>
                <w:color w:val="000000"/>
                <w:sz w:val="20"/>
                <w:szCs w:val="20"/>
              </w:rPr>
              <w:t>33.8</w:t>
            </w:r>
          </w:p>
        </w:tc>
        <w:tc>
          <w:tcPr>
            <w:tcW w:w="720" w:type="dxa"/>
            <w:tcBorders>
              <w:left w:val="nil"/>
              <w:right w:val="single" w:sz="12" w:space="0" w:color="auto"/>
            </w:tcBorders>
            <w:shd w:val="clear" w:color="000000" w:fill="FFFFFF"/>
            <w:vAlign w:val="center"/>
          </w:tcPr>
          <w:p w14:paraId="0A4F9CAE" w14:textId="70CDA6C9"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b/>
                <w:bCs/>
                <w:color w:val="000000"/>
                <w:sz w:val="20"/>
                <w:szCs w:val="20"/>
              </w:rPr>
              <w:t>--</w:t>
            </w:r>
          </w:p>
        </w:tc>
      </w:tr>
      <w:tr w:rsidR="00581E66" w:rsidRPr="000D3090" w14:paraId="78FF8FC5" w14:textId="77777777" w:rsidTr="004B5462">
        <w:trPr>
          <w:trHeight w:val="20"/>
          <w:jc w:val="center"/>
        </w:trPr>
        <w:tc>
          <w:tcPr>
            <w:tcW w:w="3405" w:type="dxa"/>
            <w:tcBorders>
              <w:left w:val="single" w:sz="12" w:space="0" w:color="auto"/>
              <w:right w:val="nil"/>
            </w:tcBorders>
            <w:shd w:val="clear" w:color="000000" w:fill="FFFFFF"/>
            <w:vAlign w:val="bottom"/>
          </w:tcPr>
          <w:p w14:paraId="2AC0E3E1" w14:textId="31F515E6"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Mountain</w:t>
            </w:r>
          </w:p>
        </w:tc>
        <w:tc>
          <w:tcPr>
            <w:tcW w:w="720" w:type="dxa"/>
            <w:tcBorders>
              <w:left w:val="nil"/>
              <w:right w:val="nil"/>
            </w:tcBorders>
            <w:shd w:val="clear" w:color="000000" w:fill="FFFFFF"/>
            <w:vAlign w:val="center"/>
          </w:tcPr>
          <w:p w14:paraId="44F2F40C" w14:textId="2255E668"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7.8</w:t>
            </w:r>
          </w:p>
        </w:tc>
        <w:tc>
          <w:tcPr>
            <w:tcW w:w="720" w:type="dxa"/>
            <w:tcBorders>
              <w:left w:val="nil"/>
              <w:right w:val="single" w:sz="12" w:space="0" w:color="auto"/>
            </w:tcBorders>
            <w:shd w:val="clear" w:color="000000" w:fill="FFFFFF"/>
            <w:vAlign w:val="center"/>
          </w:tcPr>
          <w:p w14:paraId="37894AE0" w14:textId="5474F30E"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7.5</w:t>
            </w:r>
          </w:p>
        </w:tc>
        <w:tc>
          <w:tcPr>
            <w:tcW w:w="3477" w:type="dxa"/>
            <w:tcBorders>
              <w:left w:val="single" w:sz="12" w:space="0" w:color="auto"/>
              <w:right w:val="nil"/>
            </w:tcBorders>
            <w:shd w:val="clear" w:color="000000" w:fill="FFFFFF"/>
            <w:vAlign w:val="center"/>
          </w:tcPr>
          <w:p w14:paraId="290A3709" w14:textId="1C846EF3" w:rsidR="00581E66" w:rsidRPr="000D3090" w:rsidRDefault="00581E66" w:rsidP="00581E66">
            <w:pPr>
              <w:spacing w:after="0" w:line="240" w:lineRule="auto"/>
              <w:rPr>
                <w:rFonts w:eastAsia="Times New Roman"/>
                <w:color w:val="000000"/>
                <w:sz w:val="20"/>
                <w:szCs w:val="20"/>
              </w:rPr>
            </w:pPr>
            <w:r w:rsidRPr="000D3090">
              <w:rPr>
                <w:rFonts w:eastAsia="Times New Roman"/>
                <w:b/>
                <w:bCs/>
                <w:color w:val="000000"/>
                <w:sz w:val="20"/>
                <w:szCs w:val="20"/>
              </w:rPr>
              <w:t>Walkability</w:t>
            </w:r>
          </w:p>
        </w:tc>
        <w:tc>
          <w:tcPr>
            <w:tcW w:w="777" w:type="dxa"/>
            <w:tcBorders>
              <w:left w:val="nil"/>
              <w:right w:val="nil"/>
            </w:tcBorders>
            <w:shd w:val="clear" w:color="000000" w:fill="FFFFFF"/>
            <w:vAlign w:val="center"/>
          </w:tcPr>
          <w:p w14:paraId="07EE2EF0" w14:textId="342B4BB8"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left w:val="nil"/>
              <w:right w:val="single" w:sz="12" w:space="0" w:color="auto"/>
            </w:tcBorders>
            <w:shd w:val="clear" w:color="000000" w:fill="FFFFFF"/>
            <w:vAlign w:val="center"/>
          </w:tcPr>
          <w:p w14:paraId="578B586C" w14:textId="22CD2C5A" w:rsidR="00581E66" w:rsidRPr="000D3090" w:rsidRDefault="00581E66" w:rsidP="00581E66">
            <w:pPr>
              <w:tabs>
                <w:tab w:val="decimal" w:pos="180"/>
              </w:tabs>
              <w:spacing w:after="0" w:line="240" w:lineRule="auto"/>
              <w:jc w:val="center"/>
              <w:rPr>
                <w:rFonts w:eastAsia="Times New Roman"/>
                <w:b/>
                <w:bCs/>
                <w:color w:val="000000"/>
                <w:sz w:val="20"/>
                <w:szCs w:val="20"/>
              </w:rPr>
            </w:pPr>
          </w:p>
        </w:tc>
      </w:tr>
      <w:tr w:rsidR="00581E66" w:rsidRPr="000D3090" w14:paraId="24B761B1" w14:textId="77777777" w:rsidTr="004B5462">
        <w:trPr>
          <w:trHeight w:val="20"/>
          <w:jc w:val="center"/>
        </w:trPr>
        <w:tc>
          <w:tcPr>
            <w:tcW w:w="3405" w:type="dxa"/>
            <w:tcBorders>
              <w:left w:val="single" w:sz="12" w:space="0" w:color="auto"/>
              <w:right w:val="nil"/>
            </w:tcBorders>
            <w:shd w:val="clear" w:color="000000" w:fill="FFFFFF"/>
            <w:vAlign w:val="bottom"/>
          </w:tcPr>
          <w:p w14:paraId="29AC3B2A" w14:textId="259D40AC"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Pacific</w:t>
            </w:r>
          </w:p>
        </w:tc>
        <w:tc>
          <w:tcPr>
            <w:tcW w:w="720" w:type="dxa"/>
            <w:tcBorders>
              <w:left w:val="nil"/>
              <w:right w:val="nil"/>
            </w:tcBorders>
            <w:shd w:val="clear" w:color="000000" w:fill="FFFFFF"/>
            <w:vAlign w:val="center"/>
          </w:tcPr>
          <w:p w14:paraId="4F6672D4" w14:textId="1CC6BF22"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14.7</w:t>
            </w:r>
          </w:p>
        </w:tc>
        <w:tc>
          <w:tcPr>
            <w:tcW w:w="720" w:type="dxa"/>
            <w:tcBorders>
              <w:left w:val="nil"/>
              <w:right w:val="single" w:sz="12" w:space="0" w:color="auto"/>
            </w:tcBorders>
            <w:shd w:val="clear" w:color="000000" w:fill="FFFFFF"/>
            <w:vAlign w:val="center"/>
          </w:tcPr>
          <w:p w14:paraId="28500E2D" w14:textId="0F9F3B1E"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16.2</w:t>
            </w:r>
          </w:p>
        </w:tc>
        <w:tc>
          <w:tcPr>
            <w:tcW w:w="3477" w:type="dxa"/>
            <w:tcBorders>
              <w:left w:val="single" w:sz="12" w:space="0" w:color="auto"/>
              <w:right w:val="nil"/>
            </w:tcBorders>
            <w:shd w:val="clear" w:color="000000" w:fill="FFFFFF"/>
            <w:vAlign w:val="center"/>
          </w:tcPr>
          <w:p w14:paraId="223CA20D" w14:textId="1FA1128E"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Low walkability</w:t>
            </w:r>
          </w:p>
        </w:tc>
        <w:tc>
          <w:tcPr>
            <w:tcW w:w="777" w:type="dxa"/>
            <w:tcBorders>
              <w:left w:val="nil"/>
              <w:right w:val="nil"/>
            </w:tcBorders>
            <w:shd w:val="clear" w:color="000000" w:fill="FFFFFF"/>
            <w:vAlign w:val="center"/>
          </w:tcPr>
          <w:p w14:paraId="0B218E10" w14:textId="0151A6DC"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61.5</w:t>
            </w:r>
          </w:p>
        </w:tc>
        <w:tc>
          <w:tcPr>
            <w:tcW w:w="720" w:type="dxa"/>
            <w:tcBorders>
              <w:left w:val="nil"/>
              <w:right w:val="single" w:sz="12" w:space="0" w:color="auto"/>
            </w:tcBorders>
            <w:shd w:val="clear" w:color="000000" w:fill="FFFFFF"/>
            <w:vAlign w:val="center"/>
          </w:tcPr>
          <w:p w14:paraId="2153BE47" w14:textId="347AEE29"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b/>
                <w:bCs/>
                <w:color w:val="000000"/>
                <w:sz w:val="20"/>
                <w:szCs w:val="20"/>
              </w:rPr>
              <w:t>--</w:t>
            </w:r>
          </w:p>
        </w:tc>
      </w:tr>
      <w:tr w:rsidR="00581E66" w:rsidRPr="000D3090" w14:paraId="649E6047" w14:textId="77777777" w:rsidTr="004B5462">
        <w:trPr>
          <w:trHeight w:val="20"/>
          <w:jc w:val="center"/>
        </w:trPr>
        <w:tc>
          <w:tcPr>
            <w:tcW w:w="3405" w:type="dxa"/>
            <w:tcBorders>
              <w:left w:val="single" w:sz="12" w:space="0" w:color="auto"/>
              <w:right w:val="nil"/>
            </w:tcBorders>
            <w:shd w:val="clear" w:color="000000" w:fill="FFFFFF"/>
            <w:vAlign w:val="bottom"/>
          </w:tcPr>
          <w:p w14:paraId="7053E6B6" w14:textId="09E4951F"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Household location type</w:t>
            </w:r>
          </w:p>
        </w:tc>
        <w:tc>
          <w:tcPr>
            <w:tcW w:w="720" w:type="dxa"/>
            <w:tcBorders>
              <w:left w:val="nil"/>
              <w:right w:val="nil"/>
            </w:tcBorders>
            <w:shd w:val="clear" w:color="000000" w:fill="FFFFFF"/>
            <w:vAlign w:val="center"/>
          </w:tcPr>
          <w:p w14:paraId="5DC6C3E9" w14:textId="77777777" w:rsidR="00581E66" w:rsidRPr="000D3090" w:rsidRDefault="00581E66" w:rsidP="00581E66">
            <w:pPr>
              <w:tabs>
                <w:tab w:val="decimal" w:pos="225"/>
              </w:tabs>
              <w:spacing w:after="0" w:line="240" w:lineRule="auto"/>
              <w:jc w:val="center"/>
              <w:rPr>
                <w:rFonts w:eastAsia="Times New Roman"/>
                <w:color w:val="000000"/>
                <w:sz w:val="20"/>
                <w:szCs w:val="20"/>
              </w:rPr>
            </w:pPr>
          </w:p>
        </w:tc>
        <w:tc>
          <w:tcPr>
            <w:tcW w:w="720" w:type="dxa"/>
            <w:tcBorders>
              <w:left w:val="nil"/>
              <w:right w:val="single" w:sz="12" w:space="0" w:color="auto"/>
            </w:tcBorders>
            <w:shd w:val="clear" w:color="000000" w:fill="FFFFFF"/>
            <w:vAlign w:val="center"/>
          </w:tcPr>
          <w:p w14:paraId="2D569BC9" w14:textId="77777777" w:rsidR="00581E66" w:rsidRPr="000D3090" w:rsidRDefault="00581E66" w:rsidP="00581E66">
            <w:pPr>
              <w:tabs>
                <w:tab w:val="decimal" w:pos="255"/>
              </w:tabs>
              <w:spacing w:after="0" w:line="240" w:lineRule="auto"/>
              <w:jc w:val="center"/>
              <w:rPr>
                <w:rFonts w:eastAsia="Times New Roman"/>
                <w:color w:val="000000"/>
                <w:sz w:val="20"/>
                <w:szCs w:val="20"/>
              </w:rPr>
            </w:pPr>
          </w:p>
        </w:tc>
        <w:tc>
          <w:tcPr>
            <w:tcW w:w="3477" w:type="dxa"/>
            <w:tcBorders>
              <w:left w:val="single" w:sz="12" w:space="0" w:color="auto"/>
              <w:right w:val="nil"/>
            </w:tcBorders>
            <w:shd w:val="clear" w:color="000000" w:fill="FFFFFF"/>
            <w:vAlign w:val="center"/>
          </w:tcPr>
          <w:p w14:paraId="6EA33533" w14:textId="6B0F6320"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High walkability</w:t>
            </w:r>
          </w:p>
        </w:tc>
        <w:tc>
          <w:tcPr>
            <w:tcW w:w="777" w:type="dxa"/>
            <w:tcBorders>
              <w:left w:val="nil"/>
              <w:right w:val="nil"/>
            </w:tcBorders>
            <w:shd w:val="clear" w:color="000000" w:fill="FFFFFF"/>
            <w:vAlign w:val="center"/>
          </w:tcPr>
          <w:p w14:paraId="063CD4CD" w14:textId="485AABDD"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38.5</w:t>
            </w:r>
          </w:p>
        </w:tc>
        <w:tc>
          <w:tcPr>
            <w:tcW w:w="720" w:type="dxa"/>
            <w:tcBorders>
              <w:left w:val="nil"/>
              <w:right w:val="single" w:sz="12" w:space="0" w:color="auto"/>
            </w:tcBorders>
            <w:shd w:val="clear" w:color="000000" w:fill="FFFFFF"/>
            <w:vAlign w:val="center"/>
          </w:tcPr>
          <w:p w14:paraId="66BC65E8" w14:textId="59800870"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b/>
                <w:bCs/>
                <w:color w:val="000000"/>
                <w:sz w:val="20"/>
                <w:szCs w:val="20"/>
              </w:rPr>
              <w:t>--</w:t>
            </w:r>
          </w:p>
        </w:tc>
      </w:tr>
      <w:tr w:rsidR="00581E66" w:rsidRPr="000D3090" w14:paraId="64889333" w14:textId="77777777" w:rsidTr="004B5462">
        <w:trPr>
          <w:trHeight w:val="20"/>
          <w:jc w:val="center"/>
        </w:trPr>
        <w:tc>
          <w:tcPr>
            <w:tcW w:w="3405" w:type="dxa"/>
            <w:tcBorders>
              <w:left w:val="single" w:sz="12" w:space="0" w:color="auto"/>
              <w:right w:val="nil"/>
            </w:tcBorders>
            <w:shd w:val="clear" w:color="000000" w:fill="FFFFFF"/>
            <w:vAlign w:val="center"/>
          </w:tcPr>
          <w:p w14:paraId="35459B34" w14:textId="21396C41"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Rural</w:t>
            </w:r>
          </w:p>
        </w:tc>
        <w:tc>
          <w:tcPr>
            <w:tcW w:w="720" w:type="dxa"/>
            <w:tcBorders>
              <w:left w:val="nil"/>
              <w:right w:val="nil"/>
            </w:tcBorders>
            <w:shd w:val="clear" w:color="000000" w:fill="FFFFFF"/>
            <w:vAlign w:val="center"/>
          </w:tcPr>
          <w:p w14:paraId="4A5FEC76" w14:textId="32FAB09D"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28.5</w:t>
            </w:r>
          </w:p>
        </w:tc>
        <w:tc>
          <w:tcPr>
            <w:tcW w:w="720" w:type="dxa"/>
            <w:tcBorders>
              <w:left w:val="nil"/>
              <w:right w:val="single" w:sz="12" w:space="0" w:color="auto"/>
            </w:tcBorders>
            <w:shd w:val="clear" w:color="000000" w:fill="FFFFFF"/>
            <w:vAlign w:val="center"/>
          </w:tcPr>
          <w:p w14:paraId="5CFF4B26" w14:textId="565636F3"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21.2</w:t>
            </w:r>
          </w:p>
        </w:tc>
        <w:tc>
          <w:tcPr>
            <w:tcW w:w="3477" w:type="dxa"/>
            <w:tcBorders>
              <w:left w:val="single" w:sz="12" w:space="0" w:color="auto"/>
              <w:right w:val="nil"/>
            </w:tcBorders>
            <w:shd w:val="clear" w:color="000000" w:fill="FFFFFF"/>
            <w:vAlign w:val="center"/>
          </w:tcPr>
          <w:p w14:paraId="48F2DA4E" w14:textId="7E980991" w:rsidR="00581E66" w:rsidRPr="000D3090" w:rsidRDefault="00581E66" w:rsidP="00581E66">
            <w:pPr>
              <w:spacing w:after="0" w:line="240" w:lineRule="auto"/>
              <w:rPr>
                <w:rFonts w:eastAsia="Times New Roman"/>
                <w:color w:val="000000"/>
                <w:sz w:val="20"/>
                <w:szCs w:val="20"/>
              </w:rPr>
            </w:pPr>
            <w:r w:rsidRPr="000D3090">
              <w:rPr>
                <w:rFonts w:eastAsia="Times New Roman"/>
                <w:b/>
                <w:bCs/>
                <w:color w:val="000000"/>
                <w:sz w:val="20"/>
                <w:szCs w:val="20"/>
              </w:rPr>
              <w:t xml:space="preserve">Transit </w:t>
            </w:r>
            <w:r w:rsidR="00AF3DDB" w:rsidRPr="000D3090">
              <w:rPr>
                <w:rFonts w:eastAsia="Times New Roman"/>
                <w:b/>
                <w:bCs/>
                <w:color w:val="000000"/>
                <w:sz w:val="20"/>
                <w:szCs w:val="20"/>
              </w:rPr>
              <w:t>a</w:t>
            </w:r>
            <w:r w:rsidRPr="000D3090">
              <w:rPr>
                <w:rFonts w:eastAsia="Times New Roman"/>
                <w:b/>
                <w:bCs/>
                <w:color w:val="000000"/>
                <w:sz w:val="20"/>
                <w:szCs w:val="20"/>
              </w:rPr>
              <w:t xml:space="preserve">ccessibility </w:t>
            </w:r>
          </w:p>
        </w:tc>
        <w:tc>
          <w:tcPr>
            <w:tcW w:w="777" w:type="dxa"/>
            <w:tcBorders>
              <w:left w:val="nil"/>
              <w:right w:val="nil"/>
            </w:tcBorders>
            <w:shd w:val="clear" w:color="000000" w:fill="FFFFFF"/>
            <w:vAlign w:val="center"/>
          </w:tcPr>
          <w:p w14:paraId="27ADB296" w14:textId="12E699C9"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left w:val="nil"/>
              <w:right w:val="single" w:sz="12" w:space="0" w:color="auto"/>
            </w:tcBorders>
            <w:shd w:val="clear" w:color="000000" w:fill="FFFFFF"/>
            <w:vAlign w:val="center"/>
          </w:tcPr>
          <w:p w14:paraId="4DA8EC93" w14:textId="1061CC48" w:rsidR="00581E66" w:rsidRPr="000D3090" w:rsidRDefault="00581E66" w:rsidP="00581E66">
            <w:pPr>
              <w:tabs>
                <w:tab w:val="decimal" w:pos="180"/>
              </w:tabs>
              <w:spacing w:after="0" w:line="240" w:lineRule="auto"/>
              <w:jc w:val="center"/>
              <w:rPr>
                <w:rFonts w:eastAsia="Times New Roman"/>
                <w:b/>
                <w:bCs/>
                <w:color w:val="000000"/>
                <w:sz w:val="20"/>
                <w:szCs w:val="20"/>
              </w:rPr>
            </w:pPr>
          </w:p>
        </w:tc>
      </w:tr>
      <w:tr w:rsidR="00581E66" w:rsidRPr="000D3090" w14:paraId="510677FE" w14:textId="77777777" w:rsidTr="004B5462">
        <w:trPr>
          <w:trHeight w:val="20"/>
          <w:jc w:val="center"/>
        </w:trPr>
        <w:tc>
          <w:tcPr>
            <w:tcW w:w="3405" w:type="dxa"/>
            <w:tcBorders>
              <w:left w:val="single" w:sz="12" w:space="0" w:color="auto"/>
              <w:right w:val="nil"/>
            </w:tcBorders>
            <w:shd w:val="clear" w:color="000000" w:fill="FFFFFF"/>
            <w:vAlign w:val="center"/>
          </w:tcPr>
          <w:p w14:paraId="5707B729" w14:textId="4486DFCB"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Urban</w:t>
            </w:r>
          </w:p>
        </w:tc>
        <w:tc>
          <w:tcPr>
            <w:tcW w:w="720" w:type="dxa"/>
            <w:tcBorders>
              <w:left w:val="nil"/>
              <w:right w:val="nil"/>
            </w:tcBorders>
            <w:shd w:val="clear" w:color="000000" w:fill="FFFFFF"/>
            <w:vAlign w:val="center"/>
          </w:tcPr>
          <w:p w14:paraId="5E0A7B61" w14:textId="05444E95"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71.5</w:t>
            </w:r>
          </w:p>
        </w:tc>
        <w:tc>
          <w:tcPr>
            <w:tcW w:w="720" w:type="dxa"/>
            <w:tcBorders>
              <w:left w:val="nil"/>
              <w:right w:val="single" w:sz="12" w:space="0" w:color="auto"/>
            </w:tcBorders>
            <w:shd w:val="clear" w:color="000000" w:fill="FFFFFF"/>
            <w:vAlign w:val="center"/>
          </w:tcPr>
          <w:p w14:paraId="532C301F" w14:textId="288769D2"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78.8</w:t>
            </w:r>
          </w:p>
        </w:tc>
        <w:tc>
          <w:tcPr>
            <w:tcW w:w="3477" w:type="dxa"/>
            <w:tcBorders>
              <w:left w:val="single" w:sz="12" w:space="0" w:color="auto"/>
              <w:right w:val="nil"/>
            </w:tcBorders>
            <w:shd w:val="clear" w:color="000000" w:fill="FFFFFF"/>
            <w:vAlign w:val="center"/>
          </w:tcPr>
          <w:p w14:paraId="613F0713" w14:textId="1F70426E"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Low transit accessibility</w:t>
            </w:r>
          </w:p>
        </w:tc>
        <w:tc>
          <w:tcPr>
            <w:tcW w:w="777" w:type="dxa"/>
            <w:tcBorders>
              <w:left w:val="nil"/>
              <w:right w:val="nil"/>
            </w:tcBorders>
            <w:shd w:val="clear" w:color="000000" w:fill="FFFFFF"/>
            <w:vAlign w:val="center"/>
          </w:tcPr>
          <w:p w14:paraId="49FF60BC" w14:textId="30B1477C"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85.2</w:t>
            </w:r>
          </w:p>
        </w:tc>
        <w:tc>
          <w:tcPr>
            <w:tcW w:w="720" w:type="dxa"/>
            <w:tcBorders>
              <w:left w:val="nil"/>
              <w:right w:val="single" w:sz="12" w:space="0" w:color="auto"/>
            </w:tcBorders>
            <w:shd w:val="clear" w:color="000000" w:fill="FFFFFF"/>
            <w:vAlign w:val="center"/>
          </w:tcPr>
          <w:p w14:paraId="652ED74C" w14:textId="1C102B81"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b/>
                <w:bCs/>
                <w:color w:val="000000"/>
                <w:sz w:val="20"/>
                <w:szCs w:val="20"/>
              </w:rPr>
              <w:t>--</w:t>
            </w:r>
          </w:p>
        </w:tc>
      </w:tr>
      <w:tr w:rsidR="00581E66" w:rsidRPr="000D3090" w14:paraId="5CB1FFC2" w14:textId="77777777" w:rsidTr="004B5462">
        <w:trPr>
          <w:trHeight w:val="20"/>
          <w:jc w:val="center"/>
        </w:trPr>
        <w:tc>
          <w:tcPr>
            <w:tcW w:w="3405" w:type="dxa"/>
            <w:tcBorders>
              <w:left w:val="single" w:sz="12" w:space="0" w:color="auto"/>
              <w:bottom w:val="single" w:sz="12" w:space="0" w:color="auto"/>
              <w:right w:val="nil"/>
            </w:tcBorders>
            <w:shd w:val="clear" w:color="000000" w:fill="FFFFFF"/>
            <w:vAlign w:val="bottom"/>
          </w:tcPr>
          <w:p w14:paraId="1E5B9824" w14:textId="05EFF2CC" w:rsidR="00581E66" w:rsidRPr="000D3090" w:rsidRDefault="00581E66" w:rsidP="00581E66">
            <w:pPr>
              <w:spacing w:after="0" w:line="240" w:lineRule="auto"/>
              <w:rPr>
                <w:rFonts w:eastAsia="Times New Roman"/>
                <w:color w:val="000000"/>
                <w:sz w:val="20"/>
                <w:szCs w:val="20"/>
              </w:rPr>
            </w:pPr>
          </w:p>
        </w:tc>
        <w:tc>
          <w:tcPr>
            <w:tcW w:w="720" w:type="dxa"/>
            <w:tcBorders>
              <w:left w:val="nil"/>
              <w:bottom w:val="single" w:sz="12" w:space="0" w:color="auto"/>
              <w:right w:val="nil"/>
            </w:tcBorders>
            <w:shd w:val="clear" w:color="000000" w:fill="FFFFFF"/>
            <w:vAlign w:val="center"/>
          </w:tcPr>
          <w:p w14:paraId="3AE85C3E" w14:textId="77777777" w:rsidR="00581E66" w:rsidRPr="000D3090" w:rsidRDefault="00581E66" w:rsidP="00581E66">
            <w:pPr>
              <w:tabs>
                <w:tab w:val="decimal" w:pos="225"/>
              </w:tabs>
              <w:spacing w:after="0" w:line="240" w:lineRule="auto"/>
              <w:jc w:val="center"/>
              <w:rPr>
                <w:rFonts w:eastAsia="Times New Roman"/>
                <w:color w:val="000000"/>
                <w:sz w:val="20"/>
                <w:szCs w:val="20"/>
              </w:rPr>
            </w:pPr>
          </w:p>
        </w:tc>
        <w:tc>
          <w:tcPr>
            <w:tcW w:w="720" w:type="dxa"/>
            <w:tcBorders>
              <w:left w:val="nil"/>
              <w:bottom w:val="single" w:sz="12" w:space="0" w:color="auto"/>
              <w:right w:val="single" w:sz="12" w:space="0" w:color="auto"/>
            </w:tcBorders>
            <w:shd w:val="clear" w:color="000000" w:fill="FFFFFF"/>
            <w:vAlign w:val="center"/>
          </w:tcPr>
          <w:p w14:paraId="7F279514" w14:textId="77777777" w:rsidR="00581E66" w:rsidRPr="000D3090" w:rsidRDefault="00581E66" w:rsidP="00581E66">
            <w:pPr>
              <w:tabs>
                <w:tab w:val="decimal" w:pos="255"/>
              </w:tabs>
              <w:spacing w:after="0" w:line="240" w:lineRule="auto"/>
              <w:jc w:val="center"/>
              <w:rPr>
                <w:rFonts w:eastAsia="Times New Roman"/>
                <w:color w:val="000000"/>
                <w:sz w:val="20"/>
                <w:szCs w:val="20"/>
              </w:rPr>
            </w:pPr>
          </w:p>
        </w:tc>
        <w:tc>
          <w:tcPr>
            <w:tcW w:w="3477" w:type="dxa"/>
            <w:tcBorders>
              <w:left w:val="single" w:sz="12" w:space="0" w:color="auto"/>
              <w:bottom w:val="single" w:sz="12" w:space="0" w:color="auto"/>
              <w:right w:val="nil"/>
            </w:tcBorders>
            <w:shd w:val="clear" w:color="000000" w:fill="FFFFFF"/>
            <w:vAlign w:val="center"/>
          </w:tcPr>
          <w:p w14:paraId="2C8F2950" w14:textId="3361A3F8" w:rsidR="00581E66" w:rsidRPr="000D3090" w:rsidRDefault="00581E66" w:rsidP="00581E66">
            <w:pPr>
              <w:spacing w:after="0" w:line="240" w:lineRule="auto"/>
              <w:rPr>
                <w:rFonts w:eastAsia="Times New Roman"/>
                <w:color w:val="000000"/>
                <w:sz w:val="20"/>
                <w:szCs w:val="20"/>
              </w:rPr>
            </w:pPr>
            <w:r w:rsidRPr="000D3090">
              <w:rPr>
                <w:rFonts w:eastAsia="Times New Roman"/>
                <w:color w:val="000000"/>
                <w:sz w:val="20"/>
                <w:szCs w:val="20"/>
              </w:rPr>
              <w:t xml:space="preserve">    High transit accessibility </w:t>
            </w:r>
          </w:p>
        </w:tc>
        <w:tc>
          <w:tcPr>
            <w:tcW w:w="777" w:type="dxa"/>
            <w:tcBorders>
              <w:left w:val="nil"/>
              <w:bottom w:val="single" w:sz="12" w:space="0" w:color="auto"/>
              <w:right w:val="nil"/>
            </w:tcBorders>
            <w:shd w:val="clear" w:color="000000" w:fill="FFFFFF"/>
            <w:vAlign w:val="center"/>
          </w:tcPr>
          <w:p w14:paraId="0B309E15" w14:textId="43DC2C19"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14.8</w:t>
            </w:r>
          </w:p>
        </w:tc>
        <w:tc>
          <w:tcPr>
            <w:tcW w:w="720" w:type="dxa"/>
            <w:tcBorders>
              <w:left w:val="nil"/>
              <w:bottom w:val="single" w:sz="12" w:space="0" w:color="auto"/>
              <w:right w:val="single" w:sz="12" w:space="0" w:color="auto"/>
            </w:tcBorders>
            <w:shd w:val="clear" w:color="000000" w:fill="FFFFFF"/>
            <w:vAlign w:val="center"/>
          </w:tcPr>
          <w:p w14:paraId="632D520F" w14:textId="70948E1A" w:rsidR="00581E66" w:rsidRPr="000D3090" w:rsidRDefault="00581E66" w:rsidP="00581E66">
            <w:pPr>
              <w:tabs>
                <w:tab w:val="decimal" w:pos="180"/>
              </w:tabs>
              <w:spacing w:after="0" w:line="240" w:lineRule="auto"/>
              <w:jc w:val="center"/>
              <w:rPr>
                <w:rFonts w:eastAsia="Times New Roman"/>
                <w:b/>
                <w:bCs/>
                <w:color w:val="000000"/>
                <w:sz w:val="20"/>
                <w:szCs w:val="20"/>
              </w:rPr>
            </w:pPr>
            <w:r w:rsidRPr="000D3090">
              <w:rPr>
                <w:rFonts w:eastAsia="Times New Roman"/>
                <w:b/>
                <w:bCs/>
                <w:color w:val="000000"/>
                <w:sz w:val="20"/>
                <w:szCs w:val="20"/>
              </w:rPr>
              <w:t>--</w:t>
            </w:r>
          </w:p>
        </w:tc>
      </w:tr>
      <w:tr w:rsidR="00581E66" w:rsidRPr="000D3090" w14:paraId="6C8D0328" w14:textId="77777777" w:rsidTr="004B5462">
        <w:trPr>
          <w:trHeight w:val="20"/>
          <w:jc w:val="center"/>
        </w:trPr>
        <w:tc>
          <w:tcPr>
            <w:tcW w:w="9821" w:type="dxa"/>
            <w:gridSpan w:val="6"/>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2B6093C" w14:textId="77777777" w:rsidR="00581E66" w:rsidRPr="000D3090" w:rsidRDefault="00581E66" w:rsidP="00581E66">
            <w:pPr>
              <w:spacing w:after="0" w:line="240" w:lineRule="auto"/>
              <w:jc w:val="center"/>
              <w:rPr>
                <w:rFonts w:eastAsia="Times New Roman"/>
                <w:i/>
                <w:iCs/>
                <w:color w:val="000000"/>
                <w:sz w:val="20"/>
                <w:szCs w:val="20"/>
              </w:rPr>
            </w:pPr>
            <w:r w:rsidRPr="000D3090">
              <w:rPr>
                <w:rFonts w:eastAsia="Times New Roman"/>
                <w:i/>
                <w:iCs/>
                <w:color w:val="000000"/>
                <w:sz w:val="20"/>
                <w:szCs w:val="20"/>
              </w:rPr>
              <w:t>Household Demographics</w:t>
            </w:r>
          </w:p>
        </w:tc>
      </w:tr>
      <w:tr w:rsidR="00581E66" w:rsidRPr="000D3090" w14:paraId="2075871B" w14:textId="77777777" w:rsidTr="004B5462">
        <w:trPr>
          <w:trHeight w:val="20"/>
          <w:jc w:val="center"/>
        </w:trPr>
        <w:tc>
          <w:tcPr>
            <w:tcW w:w="3405" w:type="dxa"/>
            <w:tcBorders>
              <w:top w:val="single" w:sz="12" w:space="0" w:color="auto"/>
              <w:left w:val="single" w:sz="12" w:space="0" w:color="auto"/>
              <w:bottom w:val="nil"/>
              <w:right w:val="nil"/>
            </w:tcBorders>
            <w:shd w:val="clear" w:color="000000" w:fill="FFFFFF"/>
            <w:noWrap/>
            <w:vAlign w:val="center"/>
            <w:hideMark/>
          </w:tcPr>
          <w:p w14:paraId="78BF16DB"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 xml:space="preserve">Household composition </w:t>
            </w:r>
          </w:p>
        </w:tc>
        <w:tc>
          <w:tcPr>
            <w:tcW w:w="720" w:type="dxa"/>
            <w:tcBorders>
              <w:top w:val="single" w:sz="12" w:space="0" w:color="auto"/>
              <w:left w:val="nil"/>
              <w:bottom w:val="nil"/>
              <w:right w:val="nil"/>
            </w:tcBorders>
            <w:shd w:val="clear" w:color="000000" w:fill="FFFFFF"/>
            <w:noWrap/>
            <w:vAlign w:val="center"/>
            <w:hideMark/>
          </w:tcPr>
          <w:p w14:paraId="55DCBD2D" w14:textId="1964EFC1" w:rsidR="00581E66" w:rsidRPr="000D3090" w:rsidRDefault="00581E66" w:rsidP="00581E66">
            <w:pPr>
              <w:spacing w:after="0" w:line="240" w:lineRule="auto"/>
              <w:jc w:val="center"/>
              <w:rPr>
                <w:rFonts w:eastAsia="Times New Roman"/>
                <w:color w:val="000000"/>
                <w:sz w:val="20"/>
                <w:szCs w:val="20"/>
              </w:rPr>
            </w:pPr>
          </w:p>
        </w:tc>
        <w:tc>
          <w:tcPr>
            <w:tcW w:w="720" w:type="dxa"/>
            <w:tcBorders>
              <w:top w:val="single" w:sz="12" w:space="0" w:color="auto"/>
              <w:left w:val="nil"/>
              <w:bottom w:val="nil"/>
              <w:right w:val="single" w:sz="12" w:space="0" w:color="auto"/>
            </w:tcBorders>
            <w:shd w:val="clear" w:color="000000" w:fill="FFFFFF"/>
            <w:noWrap/>
            <w:vAlign w:val="center"/>
            <w:hideMark/>
          </w:tcPr>
          <w:p w14:paraId="10525DAA" w14:textId="504E7D4E" w:rsidR="00581E66" w:rsidRPr="000D3090" w:rsidRDefault="00581E66" w:rsidP="00581E66">
            <w:pPr>
              <w:spacing w:after="0" w:line="240" w:lineRule="auto"/>
              <w:jc w:val="center"/>
              <w:rPr>
                <w:rFonts w:eastAsia="Times New Roman"/>
                <w:color w:val="000000"/>
                <w:sz w:val="20"/>
                <w:szCs w:val="20"/>
              </w:rPr>
            </w:pPr>
          </w:p>
        </w:tc>
        <w:tc>
          <w:tcPr>
            <w:tcW w:w="3477" w:type="dxa"/>
            <w:tcBorders>
              <w:top w:val="single" w:sz="12" w:space="0" w:color="auto"/>
              <w:left w:val="single" w:sz="12" w:space="0" w:color="auto"/>
              <w:bottom w:val="nil"/>
              <w:right w:val="nil"/>
            </w:tcBorders>
            <w:shd w:val="clear" w:color="000000" w:fill="FFFFFF"/>
            <w:noWrap/>
            <w:vAlign w:val="center"/>
            <w:hideMark/>
          </w:tcPr>
          <w:p w14:paraId="42DFEEF7" w14:textId="64F9EBA8"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Household income</w:t>
            </w:r>
          </w:p>
        </w:tc>
        <w:tc>
          <w:tcPr>
            <w:tcW w:w="777" w:type="dxa"/>
            <w:tcBorders>
              <w:top w:val="single" w:sz="12" w:space="0" w:color="auto"/>
              <w:left w:val="nil"/>
              <w:bottom w:val="nil"/>
              <w:right w:val="nil"/>
            </w:tcBorders>
            <w:shd w:val="clear" w:color="000000" w:fill="FFFFFF"/>
            <w:noWrap/>
            <w:vAlign w:val="center"/>
            <w:hideMark/>
          </w:tcPr>
          <w:p w14:paraId="23DF5A04" w14:textId="02588DF8" w:rsidR="00581E66" w:rsidRPr="000D3090" w:rsidRDefault="00581E66" w:rsidP="00581E66">
            <w:pPr>
              <w:spacing w:after="0" w:line="240" w:lineRule="auto"/>
              <w:jc w:val="center"/>
              <w:rPr>
                <w:rFonts w:eastAsia="Times New Roman"/>
                <w:color w:val="000000"/>
                <w:sz w:val="20"/>
                <w:szCs w:val="20"/>
              </w:rPr>
            </w:pPr>
          </w:p>
        </w:tc>
        <w:tc>
          <w:tcPr>
            <w:tcW w:w="720" w:type="dxa"/>
            <w:tcBorders>
              <w:top w:val="single" w:sz="12" w:space="0" w:color="auto"/>
              <w:left w:val="nil"/>
              <w:bottom w:val="nil"/>
              <w:right w:val="single" w:sz="12" w:space="0" w:color="auto"/>
            </w:tcBorders>
            <w:shd w:val="clear" w:color="000000" w:fill="FFFFFF"/>
            <w:noWrap/>
            <w:vAlign w:val="center"/>
            <w:hideMark/>
          </w:tcPr>
          <w:p w14:paraId="4A8D0E97" w14:textId="1A4B062A" w:rsidR="00581E66" w:rsidRPr="000D3090" w:rsidRDefault="00581E66" w:rsidP="00581E66">
            <w:pPr>
              <w:spacing w:after="0" w:line="240" w:lineRule="auto"/>
              <w:jc w:val="center"/>
              <w:rPr>
                <w:rFonts w:eastAsia="Times New Roman"/>
                <w:color w:val="000000"/>
                <w:sz w:val="20"/>
                <w:szCs w:val="20"/>
              </w:rPr>
            </w:pPr>
          </w:p>
        </w:tc>
      </w:tr>
      <w:tr w:rsidR="00581E66" w:rsidRPr="000D3090" w14:paraId="1E6583DA"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57CCDEE3"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One adult, no children</w:t>
            </w:r>
          </w:p>
        </w:tc>
        <w:tc>
          <w:tcPr>
            <w:tcW w:w="720" w:type="dxa"/>
            <w:tcBorders>
              <w:top w:val="nil"/>
              <w:left w:val="nil"/>
              <w:bottom w:val="nil"/>
              <w:right w:val="nil"/>
            </w:tcBorders>
            <w:shd w:val="clear" w:color="000000" w:fill="FFFFFF"/>
            <w:noWrap/>
            <w:vAlign w:val="center"/>
            <w:hideMark/>
          </w:tcPr>
          <w:p w14:paraId="698FA0A0" w14:textId="04F872D5" w:rsidR="00581E66" w:rsidRPr="000D3090" w:rsidRDefault="00581E66" w:rsidP="00581E66">
            <w:pPr>
              <w:tabs>
                <w:tab w:val="decimal" w:pos="225"/>
              </w:tabs>
              <w:spacing w:after="0" w:line="240" w:lineRule="auto"/>
              <w:jc w:val="center"/>
              <w:rPr>
                <w:rFonts w:eastAsia="Times New Roman"/>
                <w:sz w:val="20"/>
                <w:szCs w:val="20"/>
              </w:rPr>
            </w:pPr>
            <w:r w:rsidRPr="000D3090">
              <w:rPr>
                <w:rFonts w:eastAsia="Times New Roman"/>
                <w:color w:val="000000"/>
                <w:sz w:val="20"/>
                <w:szCs w:val="20"/>
              </w:rPr>
              <w:t>14.7</w:t>
            </w:r>
          </w:p>
        </w:tc>
        <w:tc>
          <w:tcPr>
            <w:tcW w:w="720" w:type="dxa"/>
            <w:tcBorders>
              <w:top w:val="nil"/>
              <w:left w:val="nil"/>
              <w:bottom w:val="nil"/>
              <w:right w:val="single" w:sz="12" w:space="0" w:color="auto"/>
            </w:tcBorders>
            <w:shd w:val="clear" w:color="000000" w:fill="FFFFFF"/>
            <w:noWrap/>
            <w:vAlign w:val="center"/>
            <w:hideMark/>
          </w:tcPr>
          <w:p w14:paraId="4612051F" w14:textId="6DE6CE67"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27.6</w:t>
            </w:r>
          </w:p>
        </w:tc>
        <w:tc>
          <w:tcPr>
            <w:tcW w:w="3477" w:type="dxa"/>
            <w:tcBorders>
              <w:top w:val="nil"/>
              <w:left w:val="single" w:sz="12" w:space="0" w:color="auto"/>
              <w:bottom w:val="nil"/>
              <w:right w:val="nil"/>
            </w:tcBorders>
            <w:shd w:val="clear" w:color="000000" w:fill="FFFFFF"/>
            <w:noWrap/>
            <w:vAlign w:val="center"/>
            <w:hideMark/>
          </w:tcPr>
          <w:p w14:paraId="3C5B5ECA" w14:textId="20DD540B"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Less than $50,000</w:t>
            </w:r>
          </w:p>
        </w:tc>
        <w:tc>
          <w:tcPr>
            <w:tcW w:w="777" w:type="dxa"/>
            <w:tcBorders>
              <w:top w:val="nil"/>
              <w:left w:val="nil"/>
              <w:bottom w:val="nil"/>
              <w:right w:val="nil"/>
            </w:tcBorders>
            <w:shd w:val="clear" w:color="000000" w:fill="FFFFFF"/>
            <w:noWrap/>
            <w:vAlign w:val="center"/>
            <w:hideMark/>
          </w:tcPr>
          <w:p w14:paraId="18502DC6" w14:textId="7B81E42E"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24.4</w:t>
            </w:r>
          </w:p>
        </w:tc>
        <w:tc>
          <w:tcPr>
            <w:tcW w:w="720" w:type="dxa"/>
            <w:tcBorders>
              <w:top w:val="nil"/>
              <w:left w:val="nil"/>
              <w:bottom w:val="nil"/>
              <w:right w:val="single" w:sz="12" w:space="0" w:color="auto"/>
            </w:tcBorders>
            <w:shd w:val="clear" w:color="000000" w:fill="FFFFFF"/>
            <w:noWrap/>
            <w:vAlign w:val="center"/>
            <w:hideMark/>
          </w:tcPr>
          <w:p w14:paraId="56F8B5DB" w14:textId="2D4712A3"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33.8</w:t>
            </w:r>
          </w:p>
        </w:tc>
      </w:tr>
      <w:tr w:rsidR="00581E66" w:rsidRPr="000D3090" w14:paraId="73DFF8B4"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37800E40" w14:textId="083049D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Two or more adults, no children</w:t>
            </w:r>
          </w:p>
        </w:tc>
        <w:tc>
          <w:tcPr>
            <w:tcW w:w="720" w:type="dxa"/>
            <w:tcBorders>
              <w:top w:val="nil"/>
              <w:left w:val="nil"/>
              <w:bottom w:val="nil"/>
              <w:right w:val="nil"/>
            </w:tcBorders>
            <w:shd w:val="clear" w:color="000000" w:fill="FFFFFF"/>
            <w:noWrap/>
            <w:vAlign w:val="center"/>
            <w:hideMark/>
          </w:tcPr>
          <w:p w14:paraId="46AF6EBD" w14:textId="6D68913C" w:rsidR="00581E66" w:rsidRPr="000D3090" w:rsidRDefault="00581E66" w:rsidP="00581E66">
            <w:pPr>
              <w:tabs>
                <w:tab w:val="decimal" w:pos="225"/>
              </w:tabs>
              <w:spacing w:after="0" w:line="240" w:lineRule="auto"/>
              <w:jc w:val="center"/>
              <w:rPr>
                <w:rFonts w:eastAsia="Times New Roman"/>
                <w:sz w:val="20"/>
                <w:szCs w:val="20"/>
              </w:rPr>
            </w:pPr>
            <w:r w:rsidRPr="000D3090">
              <w:rPr>
                <w:rFonts w:eastAsia="Times New Roman"/>
                <w:color w:val="000000"/>
                <w:sz w:val="20"/>
                <w:szCs w:val="20"/>
              </w:rPr>
              <w:t>52.9</w:t>
            </w:r>
          </w:p>
        </w:tc>
        <w:tc>
          <w:tcPr>
            <w:tcW w:w="720" w:type="dxa"/>
            <w:tcBorders>
              <w:top w:val="nil"/>
              <w:left w:val="nil"/>
              <w:bottom w:val="nil"/>
              <w:right w:val="single" w:sz="12" w:space="0" w:color="auto"/>
            </w:tcBorders>
            <w:shd w:val="clear" w:color="000000" w:fill="FFFFFF"/>
            <w:noWrap/>
            <w:vAlign w:val="center"/>
            <w:hideMark/>
          </w:tcPr>
          <w:p w14:paraId="5338190F" w14:textId="5F9894AB"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42.0</w:t>
            </w:r>
          </w:p>
        </w:tc>
        <w:tc>
          <w:tcPr>
            <w:tcW w:w="3477" w:type="dxa"/>
            <w:tcBorders>
              <w:top w:val="nil"/>
              <w:left w:val="single" w:sz="12" w:space="0" w:color="auto"/>
              <w:bottom w:val="nil"/>
              <w:right w:val="nil"/>
            </w:tcBorders>
            <w:shd w:val="clear" w:color="000000" w:fill="FFFFFF"/>
            <w:noWrap/>
            <w:vAlign w:val="center"/>
            <w:hideMark/>
          </w:tcPr>
          <w:p w14:paraId="2A262A78" w14:textId="3982F8F2"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$50,000 – $99,999</w:t>
            </w:r>
          </w:p>
        </w:tc>
        <w:tc>
          <w:tcPr>
            <w:tcW w:w="777" w:type="dxa"/>
            <w:tcBorders>
              <w:top w:val="nil"/>
              <w:left w:val="nil"/>
              <w:bottom w:val="nil"/>
              <w:right w:val="nil"/>
            </w:tcBorders>
            <w:shd w:val="clear" w:color="000000" w:fill="FFFFFF"/>
            <w:noWrap/>
            <w:vAlign w:val="center"/>
            <w:hideMark/>
          </w:tcPr>
          <w:p w14:paraId="15380527" w14:textId="403BB231"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31.6</w:t>
            </w:r>
          </w:p>
        </w:tc>
        <w:tc>
          <w:tcPr>
            <w:tcW w:w="720" w:type="dxa"/>
            <w:tcBorders>
              <w:top w:val="nil"/>
              <w:left w:val="nil"/>
              <w:bottom w:val="nil"/>
              <w:right w:val="single" w:sz="12" w:space="0" w:color="auto"/>
            </w:tcBorders>
            <w:shd w:val="clear" w:color="000000" w:fill="FFFFFF"/>
            <w:noWrap/>
            <w:vAlign w:val="center"/>
            <w:hideMark/>
          </w:tcPr>
          <w:p w14:paraId="212A6E8E" w14:textId="4D2FE215"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28.9</w:t>
            </w:r>
          </w:p>
        </w:tc>
      </w:tr>
      <w:tr w:rsidR="00581E66" w:rsidRPr="000D3090" w14:paraId="7D92A13E"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7254F74A" w14:textId="13E72D93"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Single parent</w:t>
            </w:r>
          </w:p>
        </w:tc>
        <w:tc>
          <w:tcPr>
            <w:tcW w:w="720" w:type="dxa"/>
            <w:tcBorders>
              <w:top w:val="nil"/>
              <w:left w:val="nil"/>
              <w:bottom w:val="nil"/>
              <w:right w:val="nil"/>
            </w:tcBorders>
            <w:shd w:val="clear" w:color="000000" w:fill="FFFFFF"/>
            <w:noWrap/>
            <w:vAlign w:val="center"/>
            <w:hideMark/>
          </w:tcPr>
          <w:p w14:paraId="409FD349" w14:textId="44D685F1" w:rsidR="00581E66" w:rsidRPr="000D3090" w:rsidRDefault="00581E66" w:rsidP="00581E66">
            <w:pPr>
              <w:tabs>
                <w:tab w:val="decimal" w:pos="225"/>
              </w:tabs>
              <w:spacing w:after="0" w:line="240" w:lineRule="auto"/>
              <w:jc w:val="center"/>
              <w:rPr>
                <w:rFonts w:eastAsia="Times New Roman"/>
                <w:sz w:val="20"/>
                <w:szCs w:val="20"/>
              </w:rPr>
            </w:pPr>
            <w:r w:rsidRPr="000D3090">
              <w:rPr>
                <w:rFonts w:eastAsia="Times New Roman"/>
                <w:color w:val="000000"/>
                <w:sz w:val="20"/>
                <w:szCs w:val="20"/>
              </w:rPr>
              <w:t>3.2</w:t>
            </w:r>
          </w:p>
        </w:tc>
        <w:tc>
          <w:tcPr>
            <w:tcW w:w="720" w:type="dxa"/>
            <w:tcBorders>
              <w:top w:val="nil"/>
              <w:left w:val="nil"/>
              <w:bottom w:val="nil"/>
              <w:right w:val="single" w:sz="12" w:space="0" w:color="auto"/>
            </w:tcBorders>
            <w:shd w:val="clear" w:color="000000" w:fill="FFFFFF"/>
            <w:noWrap/>
            <w:vAlign w:val="center"/>
            <w:hideMark/>
          </w:tcPr>
          <w:p w14:paraId="4E7965AB" w14:textId="74DD3941"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6.8</w:t>
            </w:r>
          </w:p>
        </w:tc>
        <w:tc>
          <w:tcPr>
            <w:tcW w:w="3477" w:type="dxa"/>
            <w:tcBorders>
              <w:top w:val="nil"/>
              <w:left w:val="single" w:sz="12" w:space="0" w:color="auto"/>
              <w:bottom w:val="nil"/>
              <w:right w:val="nil"/>
            </w:tcBorders>
            <w:shd w:val="clear" w:color="000000" w:fill="FFFFFF"/>
            <w:noWrap/>
            <w:vAlign w:val="center"/>
          </w:tcPr>
          <w:p w14:paraId="223E3C45" w14:textId="7F851F0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$100,000 – $149,999</w:t>
            </w:r>
          </w:p>
        </w:tc>
        <w:tc>
          <w:tcPr>
            <w:tcW w:w="777" w:type="dxa"/>
            <w:tcBorders>
              <w:top w:val="nil"/>
              <w:left w:val="nil"/>
              <w:bottom w:val="nil"/>
              <w:right w:val="nil"/>
            </w:tcBorders>
            <w:shd w:val="clear" w:color="000000" w:fill="FFFFFF"/>
            <w:noWrap/>
            <w:vAlign w:val="center"/>
          </w:tcPr>
          <w:p w14:paraId="489AF32A" w14:textId="3104591D"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22.0</w:t>
            </w:r>
          </w:p>
        </w:tc>
        <w:tc>
          <w:tcPr>
            <w:tcW w:w="720" w:type="dxa"/>
            <w:tcBorders>
              <w:top w:val="nil"/>
              <w:left w:val="nil"/>
              <w:bottom w:val="nil"/>
              <w:right w:val="single" w:sz="12" w:space="0" w:color="auto"/>
            </w:tcBorders>
            <w:shd w:val="clear" w:color="000000" w:fill="FFFFFF"/>
            <w:noWrap/>
            <w:vAlign w:val="center"/>
          </w:tcPr>
          <w:p w14:paraId="7B6F72C3" w14:textId="0EDB73E5"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17.1</w:t>
            </w:r>
          </w:p>
        </w:tc>
      </w:tr>
      <w:tr w:rsidR="00581E66" w:rsidRPr="000D3090" w14:paraId="706B9695"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7D40B1D8" w14:textId="32F4DB6A"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Two or more adults with children</w:t>
            </w:r>
          </w:p>
        </w:tc>
        <w:tc>
          <w:tcPr>
            <w:tcW w:w="720" w:type="dxa"/>
            <w:tcBorders>
              <w:top w:val="nil"/>
              <w:left w:val="nil"/>
              <w:bottom w:val="nil"/>
              <w:right w:val="nil"/>
            </w:tcBorders>
            <w:shd w:val="clear" w:color="000000" w:fill="FFFFFF"/>
            <w:noWrap/>
            <w:vAlign w:val="center"/>
            <w:hideMark/>
          </w:tcPr>
          <w:p w14:paraId="35F3A215" w14:textId="7DB658E5"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29.2</w:t>
            </w:r>
          </w:p>
        </w:tc>
        <w:tc>
          <w:tcPr>
            <w:tcW w:w="720" w:type="dxa"/>
            <w:tcBorders>
              <w:top w:val="nil"/>
              <w:left w:val="nil"/>
              <w:bottom w:val="nil"/>
              <w:right w:val="single" w:sz="12" w:space="0" w:color="auto"/>
            </w:tcBorders>
            <w:shd w:val="clear" w:color="000000" w:fill="FFFFFF"/>
            <w:noWrap/>
            <w:vAlign w:val="center"/>
            <w:hideMark/>
          </w:tcPr>
          <w:p w14:paraId="5E9DC7C9" w14:textId="2C91A5DC"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23.6</w:t>
            </w:r>
          </w:p>
        </w:tc>
        <w:tc>
          <w:tcPr>
            <w:tcW w:w="3477" w:type="dxa"/>
            <w:tcBorders>
              <w:top w:val="nil"/>
              <w:left w:val="single" w:sz="12" w:space="0" w:color="auto"/>
              <w:bottom w:val="nil"/>
              <w:right w:val="nil"/>
            </w:tcBorders>
            <w:shd w:val="clear" w:color="000000" w:fill="FFFFFF"/>
            <w:noWrap/>
            <w:vAlign w:val="center"/>
          </w:tcPr>
          <w:p w14:paraId="660640C9" w14:textId="23CE6DB0"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$150,000 – $199,999</w:t>
            </w:r>
          </w:p>
        </w:tc>
        <w:tc>
          <w:tcPr>
            <w:tcW w:w="777" w:type="dxa"/>
            <w:tcBorders>
              <w:top w:val="nil"/>
              <w:left w:val="nil"/>
              <w:bottom w:val="nil"/>
              <w:right w:val="nil"/>
            </w:tcBorders>
            <w:shd w:val="clear" w:color="000000" w:fill="FFFFFF"/>
            <w:noWrap/>
            <w:vAlign w:val="center"/>
          </w:tcPr>
          <w:p w14:paraId="18F045E6" w14:textId="4152C43E"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9.2</w:t>
            </w:r>
          </w:p>
        </w:tc>
        <w:tc>
          <w:tcPr>
            <w:tcW w:w="720" w:type="dxa"/>
            <w:tcBorders>
              <w:top w:val="nil"/>
              <w:left w:val="nil"/>
              <w:bottom w:val="nil"/>
              <w:right w:val="single" w:sz="12" w:space="0" w:color="auto"/>
            </w:tcBorders>
            <w:shd w:val="clear" w:color="000000" w:fill="FFFFFF"/>
            <w:noWrap/>
            <w:vAlign w:val="center"/>
          </w:tcPr>
          <w:p w14:paraId="54B64B17" w14:textId="1F3F470E"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8.8</w:t>
            </w:r>
          </w:p>
        </w:tc>
      </w:tr>
      <w:tr w:rsidR="00581E66" w:rsidRPr="000D3090" w14:paraId="7FD238A1"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6A7CBB2D"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Number of workers</w:t>
            </w:r>
          </w:p>
        </w:tc>
        <w:tc>
          <w:tcPr>
            <w:tcW w:w="720" w:type="dxa"/>
            <w:tcBorders>
              <w:top w:val="nil"/>
              <w:left w:val="nil"/>
              <w:bottom w:val="nil"/>
              <w:right w:val="nil"/>
            </w:tcBorders>
            <w:shd w:val="clear" w:color="000000" w:fill="FFFFFF"/>
            <w:noWrap/>
            <w:vAlign w:val="center"/>
            <w:hideMark/>
          </w:tcPr>
          <w:p w14:paraId="4E25A0A9" w14:textId="6E29EA08" w:rsidR="00581E66" w:rsidRPr="000D3090" w:rsidRDefault="00581E66" w:rsidP="00581E66">
            <w:pPr>
              <w:tabs>
                <w:tab w:val="decimal" w:pos="22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hideMark/>
          </w:tcPr>
          <w:p w14:paraId="14916224" w14:textId="590426CC" w:rsidR="00581E66" w:rsidRPr="000D3090" w:rsidRDefault="00581E66" w:rsidP="00581E66">
            <w:pPr>
              <w:tabs>
                <w:tab w:val="decimal" w:pos="255"/>
              </w:tabs>
              <w:spacing w:after="0" w:line="240" w:lineRule="auto"/>
              <w:jc w:val="center"/>
              <w:rPr>
                <w:rFonts w:eastAsia="Times New Roman"/>
                <w:color w:val="000000"/>
                <w:sz w:val="20"/>
                <w:szCs w:val="20"/>
              </w:rPr>
            </w:pPr>
          </w:p>
        </w:tc>
        <w:tc>
          <w:tcPr>
            <w:tcW w:w="3477" w:type="dxa"/>
            <w:tcBorders>
              <w:top w:val="nil"/>
              <w:left w:val="single" w:sz="12" w:space="0" w:color="auto"/>
              <w:bottom w:val="nil"/>
              <w:right w:val="nil"/>
            </w:tcBorders>
            <w:shd w:val="clear" w:color="000000" w:fill="FFFFFF"/>
            <w:noWrap/>
            <w:vAlign w:val="center"/>
          </w:tcPr>
          <w:p w14:paraId="286EC463" w14:textId="7835238E"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$200,000 or more</w:t>
            </w:r>
          </w:p>
        </w:tc>
        <w:tc>
          <w:tcPr>
            <w:tcW w:w="777" w:type="dxa"/>
            <w:tcBorders>
              <w:top w:val="nil"/>
              <w:left w:val="nil"/>
              <w:bottom w:val="nil"/>
              <w:right w:val="nil"/>
            </w:tcBorders>
            <w:shd w:val="clear" w:color="000000" w:fill="FFFFFF"/>
            <w:noWrap/>
            <w:vAlign w:val="center"/>
          </w:tcPr>
          <w:p w14:paraId="3C70E47B" w14:textId="7D0BFA34"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12.8</w:t>
            </w:r>
          </w:p>
        </w:tc>
        <w:tc>
          <w:tcPr>
            <w:tcW w:w="720" w:type="dxa"/>
            <w:tcBorders>
              <w:top w:val="nil"/>
              <w:left w:val="nil"/>
              <w:bottom w:val="nil"/>
              <w:right w:val="single" w:sz="12" w:space="0" w:color="auto"/>
            </w:tcBorders>
            <w:shd w:val="clear" w:color="000000" w:fill="FFFFFF"/>
            <w:noWrap/>
            <w:vAlign w:val="center"/>
          </w:tcPr>
          <w:p w14:paraId="51FA0658" w14:textId="6A4373B7"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11.4</w:t>
            </w:r>
          </w:p>
        </w:tc>
      </w:tr>
      <w:tr w:rsidR="00581E66" w:rsidRPr="000D3090" w14:paraId="45FA5372"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3ED37073"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0</w:t>
            </w:r>
          </w:p>
        </w:tc>
        <w:tc>
          <w:tcPr>
            <w:tcW w:w="720" w:type="dxa"/>
            <w:tcBorders>
              <w:top w:val="nil"/>
              <w:left w:val="nil"/>
              <w:bottom w:val="nil"/>
              <w:right w:val="nil"/>
            </w:tcBorders>
            <w:shd w:val="clear" w:color="000000" w:fill="FFFFFF"/>
            <w:noWrap/>
            <w:vAlign w:val="center"/>
            <w:hideMark/>
          </w:tcPr>
          <w:p w14:paraId="508DBE46" w14:textId="01007563"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28.8</w:t>
            </w:r>
          </w:p>
        </w:tc>
        <w:tc>
          <w:tcPr>
            <w:tcW w:w="720" w:type="dxa"/>
            <w:tcBorders>
              <w:top w:val="nil"/>
              <w:left w:val="nil"/>
              <w:bottom w:val="nil"/>
              <w:right w:val="single" w:sz="12" w:space="0" w:color="auto"/>
            </w:tcBorders>
            <w:shd w:val="clear" w:color="000000" w:fill="FFFFFF"/>
            <w:noWrap/>
            <w:vAlign w:val="center"/>
            <w:hideMark/>
          </w:tcPr>
          <w:p w14:paraId="68C95CBE" w14:textId="09A410F7"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w:t>
            </w:r>
          </w:p>
        </w:tc>
        <w:tc>
          <w:tcPr>
            <w:tcW w:w="3477" w:type="dxa"/>
            <w:tcBorders>
              <w:top w:val="nil"/>
              <w:left w:val="single" w:sz="12" w:space="0" w:color="auto"/>
              <w:bottom w:val="nil"/>
              <w:right w:val="nil"/>
            </w:tcBorders>
            <w:shd w:val="clear" w:color="000000" w:fill="FFFFFF"/>
            <w:noWrap/>
            <w:vAlign w:val="center"/>
          </w:tcPr>
          <w:p w14:paraId="0FF7D2A6" w14:textId="26CC0CFD" w:rsidR="00581E66" w:rsidRPr="000D3090" w:rsidRDefault="00581E66" w:rsidP="00581E66">
            <w:pPr>
              <w:spacing w:after="0" w:line="240" w:lineRule="auto"/>
              <w:rPr>
                <w:rFonts w:eastAsia="Times New Roman"/>
                <w:color w:val="000000"/>
                <w:sz w:val="20"/>
                <w:szCs w:val="20"/>
                <w:highlight w:val="yellow"/>
              </w:rPr>
            </w:pPr>
            <w:r w:rsidRPr="000D3090">
              <w:rPr>
                <w:rFonts w:eastAsia="Times New Roman"/>
                <w:b/>
                <w:bCs/>
                <w:color w:val="000000"/>
                <w:sz w:val="20"/>
                <w:szCs w:val="20"/>
              </w:rPr>
              <w:t>Vehicles per driver</w:t>
            </w:r>
          </w:p>
        </w:tc>
        <w:tc>
          <w:tcPr>
            <w:tcW w:w="777" w:type="dxa"/>
            <w:tcBorders>
              <w:top w:val="nil"/>
              <w:left w:val="nil"/>
              <w:bottom w:val="nil"/>
              <w:right w:val="nil"/>
            </w:tcBorders>
            <w:shd w:val="clear" w:color="000000" w:fill="FFFFFF"/>
            <w:noWrap/>
            <w:vAlign w:val="center"/>
          </w:tcPr>
          <w:p w14:paraId="3158D3D1" w14:textId="2EEFA1C7" w:rsidR="00581E66" w:rsidRPr="000D3090" w:rsidRDefault="00581E66" w:rsidP="00581E66">
            <w:pPr>
              <w:tabs>
                <w:tab w:val="decimal" w:pos="165"/>
              </w:tabs>
              <w:spacing w:after="0" w:line="240" w:lineRule="auto"/>
              <w:jc w:val="center"/>
              <w:rPr>
                <w:rFonts w:eastAsia="Times New Roman"/>
                <w:color w:val="000000"/>
                <w:sz w:val="20"/>
                <w:szCs w:val="20"/>
                <w:highlight w:val="yellow"/>
              </w:rPr>
            </w:pPr>
          </w:p>
        </w:tc>
        <w:tc>
          <w:tcPr>
            <w:tcW w:w="720" w:type="dxa"/>
            <w:tcBorders>
              <w:top w:val="nil"/>
              <w:left w:val="nil"/>
              <w:bottom w:val="nil"/>
              <w:right w:val="single" w:sz="12" w:space="0" w:color="auto"/>
            </w:tcBorders>
            <w:shd w:val="clear" w:color="000000" w:fill="FFFFFF"/>
            <w:noWrap/>
            <w:vAlign w:val="center"/>
          </w:tcPr>
          <w:p w14:paraId="37C2C487" w14:textId="563F1F2E" w:rsidR="00581E66" w:rsidRPr="000D3090" w:rsidRDefault="00581E66" w:rsidP="00581E66">
            <w:pPr>
              <w:tabs>
                <w:tab w:val="decimal" w:pos="180"/>
              </w:tabs>
              <w:spacing w:after="0" w:line="240" w:lineRule="auto"/>
              <w:jc w:val="center"/>
              <w:rPr>
                <w:rFonts w:eastAsia="Times New Roman"/>
                <w:color w:val="000000"/>
                <w:sz w:val="20"/>
                <w:szCs w:val="20"/>
                <w:highlight w:val="yellow"/>
              </w:rPr>
            </w:pPr>
          </w:p>
        </w:tc>
      </w:tr>
      <w:tr w:rsidR="00581E66" w:rsidRPr="000D3090" w14:paraId="4E98241A"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2F60258A"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1</w:t>
            </w:r>
          </w:p>
        </w:tc>
        <w:tc>
          <w:tcPr>
            <w:tcW w:w="720" w:type="dxa"/>
            <w:tcBorders>
              <w:top w:val="nil"/>
              <w:left w:val="nil"/>
              <w:bottom w:val="nil"/>
              <w:right w:val="nil"/>
            </w:tcBorders>
            <w:shd w:val="clear" w:color="000000" w:fill="FFFFFF"/>
            <w:noWrap/>
            <w:vAlign w:val="center"/>
            <w:hideMark/>
          </w:tcPr>
          <w:p w14:paraId="168CF2E8" w14:textId="7DF76B47"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31.1</w:t>
            </w:r>
          </w:p>
        </w:tc>
        <w:tc>
          <w:tcPr>
            <w:tcW w:w="720" w:type="dxa"/>
            <w:tcBorders>
              <w:top w:val="nil"/>
              <w:left w:val="nil"/>
              <w:bottom w:val="nil"/>
              <w:right w:val="single" w:sz="12" w:space="0" w:color="auto"/>
            </w:tcBorders>
            <w:shd w:val="clear" w:color="000000" w:fill="FFFFFF"/>
            <w:noWrap/>
            <w:vAlign w:val="center"/>
            <w:hideMark/>
          </w:tcPr>
          <w:p w14:paraId="384F649B" w14:textId="17DB846C"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w:t>
            </w:r>
          </w:p>
        </w:tc>
        <w:tc>
          <w:tcPr>
            <w:tcW w:w="3477" w:type="dxa"/>
            <w:tcBorders>
              <w:top w:val="nil"/>
              <w:left w:val="single" w:sz="12" w:space="0" w:color="auto"/>
              <w:bottom w:val="nil"/>
              <w:right w:val="nil"/>
            </w:tcBorders>
            <w:shd w:val="clear" w:color="000000" w:fill="FFFFFF"/>
            <w:noWrap/>
            <w:vAlign w:val="center"/>
          </w:tcPr>
          <w:p w14:paraId="58D35C3C" w14:textId="7D1AFC4E" w:rsidR="00581E66" w:rsidRPr="000D3090" w:rsidRDefault="00581E66" w:rsidP="00581E66">
            <w:pPr>
              <w:spacing w:after="0" w:line="240" w:lineRule="auto"/>
              <w:ind w:firstLineChars="100" w:firstLine="200"/>
              <w:rPr>
                <w:rFonts w:eastAsia="Times New Roman"/>
                <w:color w:val="000000"/>
                <w:sz w:val="20"/>
                <w:szCs w:val="20"/>
                <w:highlight w:val="yellow"/>
              </w:rPr>
            </w:pPr>
            <w:r w:rsidRPr="000D3090">
              <w:rPr>
                <w:rFonts w:eastAsia="Times New Roman"/>
                <w:color w:val="000000"/>
                <w:sz w:val="20"/>
                <w:szCs w:val="20"/>
              </w:rPr>
              <w:t>More vehicles than drivers</w:t>
            </w:r>
          </w:p>
        </w:tc>
        <w:tc>
          <w:tcPr>
            <w:tcW w:w="777" w:type="dxa"/>
            <w:tcBorders>
              <w:top w:val="nil"/>
              <w:left w:val="nil"/>
              <w:bottom w:val="nil"/>
              <w:right w:val="nil"/>
            </w:tcBorders>
            <w:shd w:val="clear" w:color="000000" w:fill="FFFFFF"/>
            <w:noWrap/>
            <w:vAlign w:val="center"/>
          </w:tcPr>
          <w:p w14:paraId="3F86400A" w14:textId="0F4E3799" w:rsidR="00581E66" w:rsidRPr="000D3090" w:rsidRDefault="00581E66" w:rsidP="00581E66">
            <w:pPr>
              <w:tabs>
                <w:tab w:val="decimal" w:pos="165"/>
              </w:tabs>
              <w:spacing w:after="0" w:line="240" w:lineRule="auto"/>
              <w:jc w:val="center"/>
              <w:rPr>
                <w:rFonts w:eastAsia="Times New Roman"/>
                <w:color w:val="000000"/>
                <w:sz w:val="20"/>
                <w:szCs w:val="20"/>
                <w:highlight w:val="yellow"/>
              </w:rPr>
            </w:pPr>
            <w:r w:rsidRPr="000D3090">
              <w:rPr>
                <w:rFonts w:eastAsia="Times New Roman"/>
                <w:color w:val="000000"/>
                <w:sz w:val="20"/>
                <w:szCs w:val="20"/>
              </w:rPr>
              <w:t>15.6</w:t>
            </w:r>
          </w:p>
        </w:tc>
        <w:tc>
          <w:tcPr>
            <w:tcW w:w="720" w:type="dxa"/>
            <w:tcBorders>
              <w:top w:val="nil"/>
              <w:left w:val="nil"/>
              <w:bottom w:val="nil"/>
              <w:right w:val="single" w:sz="12" w:space="0" w:color="auto"/>
            </w:tcBorders>
            <w:shd w:val="clear" w:color="000000" w:fill="FFFFFF"/>
            <w:noWrap/>
            <w:vAlign w:val="center"/>
          </w:tcPr>
          <w:p w14:paraId="1C539C19" w14:textId="46B7946A" w:rsidR="00581E66" w:rsidRPr="000D3090" w:rsidRDefault="00581E66" w:rsidP="00581E66">
            <w:pPr>
              <w:tabs>
                <w:tab w:val="decimal" w:pos="180"/>
              </w:tabs>
              <w:spacing w:after="0" w:line="240" w:lineRule="auto"/>
              <w:jc w:val="center"/>
              <w:rPr>
                <w:rFonts w:eastAsia="Times New Roman"/>
                <w:color w:val="000000"/>
                <w:sz w:val="20"/>
                <w:szCs w:val="20"/>
                <w:highlight w:val="yellow"/>
              </w:rPr>
            </w:pPr>
            <w:r w:rsidRPr="000D3090">
              <w:rPr>
                <w:rFonts w:eastAsia="Times New Roman"/>
                <w:color w:val="000000"/>
                <w:sz w:val="20"/>
                <w:szCs w:val="20"/>
              </w:rPr>
              <w:t>--</w:t>
            </w:r>
          </w:p>
        </w:tc>
      </w:tr>
      <w:tr w:rsidR="00581E66" w:rsidRPr="000D3090" w14:paraId="1EE0CC73"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3DADDC0D"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2</w:t>
            </w:r>
          </w:p>
        </w:tc>
        <w:tc>
          <w:tcPr>
            <w:tcW w:w="720" w:type="dxa"/>
            <w:tcBorders>
              <w:top w:val="nil"/>
              <w:left w:val="nil"/>
              <w:bottom w:val="nil"/>
              <w:right w:val="nil"/>
            </w:tcBorders>
            <w:shd w:val="clear" w:color="000000" w:fill="FFFFFF"/>
            <w:noWrap/>
            <w:vAlign w:val="center"/>
            <w:hideMark/>
          </w:tcPr>
          <w:p w14:paraId="51DFBA0F" w14:textId="3827764C"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31.9</w:t>
            </w:r>
          </w:p>
        </w:tc>
        <w:tc>
          <w:tcPr>
            <w:tcW w:w="720" w:type="dxa"/>
            <w:tcBorders>
              <w:top w:val="nil"/>
              <w:left w:val="nil"/>
              <w:bottom w:val="nil"/>
              <w:right w:val="single" w:sz="12" w:space="0" w:color="auto"/>
            </w:tcBorders>
            <w:shd w:val="clear" w:color="000000" w:fill="FFFFFF"/>
            <w:noWrap/>
            <w:vAlign w:val="center"/>
            <w:hideMark/>
          </w:tcPr>
          <w:p w14:paraId="0EF1BB67" w14:textId="5CF2250A"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w:t>
            </w:r>
          </w:p>
        </w:tc>
        <w:tc>
          <w:tcPr>
            <w:tcW w:w="3477" w:type="dxa"/>
            <w:tcBorders>
              <w:top w:val="nil"/>
              <w:left w:val="single" w:sz="12" w:space="0" w:color="auto"/>
              <w:bottom w:val="nil"/>
              <w:right w:val="nil"/>
            </w:tcBorders>
            <w:shd w:val="clear" w:color="000000" w:fill="FFFFFF"/>
            <w:noWrap/>
            <w:vAlign w:val="center"/>
          </w:tcPr>
          <w:p w14:paraId="6AAF0BBF" w14:textId="0BC58A51" w:rsidR="00581E66" w:rsidRPr="000D3090" w:rsidRDefault="00581E66" w:rsidP="00581E66">
            <w:pPr>
              <w:spacing w:after="0" w:line="240" w:lineRule="auto"/>
              <w:ind w:firstLineChars="100" w:firstLine="200"/>
              <w:rPr>
                <w:rFonts w:eastAsia="Times New Roman"/>
                <w:color w:val="000000"/>
                <w:sz w:val="20"/>
                <w:szCs w:val="20"/>
                <w:highlight w:val="yellow"/>
              </w:rPr>
            </w:pPr>
            <w:r w:rsidRPr="000D3090">
              <w:rPr>
                <w:rFonts w:eastAsia="Times New Roman"/>
                <w:color w:val="000000"/>
                <w:sz w:val="20"/>
                <w:szCs w:val="20"/>
              </w:rPr>
              <w:t>Equal vehicles and drivers</w:t>
            </w:r>
          </w:p>
        </w:tc>
        <w:tc>
          <w:tcPr>
            <w:tcW w:w="777" w:type="dxa"/>
            <w:tcBorders>
              <w:top w:val="nil"/>
              <w:left w:val="nil"/>
              <w:bottom w:val="nil"/>
              <w:right w:val="nil"/>
            </w:tcBorders>
            <w:shd w:val="clear" w:color="000000" w:fill="FFFFFF"/>
            <w:noWrap/>
            <w:vAlign w:val="center"/>
          </w:tcPr>
          <w:p w14:paraId="58629A78" w14:textId="3457F6CE" w:rsidR="00581E66" w:rsidRPr="000D3090" w:rsidRDefault="00581E66" w:rsidP="00581E66">
            <w:pPr>
              <w:tabs>
                <w:tab w:val="decimal" w:pos="165"/>
              </w:tabs>
              <w:spacing w:after="0" w:line="240" w:lineRule="auto"/>
              <w:jc w:val="center"/>
              <w:rPr>
                <w:rFonts w:eastAsia="Times New Roman"/>
                <w:color w:val="000000"/>
                <w:sz w:val="20"/>
                <w:szCs w:val="20"/>
                <w:highlight w:val="yellow"/>
              </w:rPr>
            </w:pPr>
            <w:r w:rsidRPr="000D3090">
              <w:rPr>
                <w:rFonts w:eastAsia="Times New Roman"/>
                <w:color w:val="000000"/>
                <w:sz w:val="20"/>
                <w:szCs w:val="20"/>
              </w:rPr>
              <w:t>64.5</w:t>
            </w:r>
          </w:p>
        </w:tc>
        <w:tc>
          <w:tcPr>
            <w:tcW w:w="720" w:type="dxa"/>
            <w:tcBorders>
              <w:top w:val="nil"/>
              <w:left w:val="nil"/>
              <w:bottom w:val="nil"/>
              <w:right w:val="single" w:sz="12" w:space="0" w:color="auto"/>
            </w:tcBorders>
            <w:shd w:val="clear" w:color="000000" w:fill="FFFFFF"/>
            <w:noWrap/>
            <w:vAlign w:val="center"/>
          </w:tcPr>
          <w:p w14:paraId="59CCBFA4" w14:textId="2DA40B36" w:rsidR="00581E66" w:rsidRPr="000D3090" w:rsidRDefault="00581E66" w:rsidP="00581E66">
            <w:pPr>
              <w:tabs>
                <w:tab w:val="decimal" w:pos="180"/>
              </w:tabs>
              <w:spacing w:after="0" w:line="240" w:lineRule="auto"/>
              <w:jc w:val="center"/>
              <w:rPr>
                <w:rFonts w:eastAsia="Times New Roman"/>
                <w:color w:val="000000"/>
                <w:sz w:val="20"/>
                <w:szCs w:val="20"/>
                <w:highlight w:val="yellow"/>
              </w:rPr>
            </w:pPr>
            <w:r w:rsidRPr="000D3090">
              <w:rPr>
                <w:rFonts w:eastAsia="Times New Roman"/>
                <w:color w:val="000000"/>
                <w:sz w:val="20"/>
                <w:szCs w:val="20"/>
              </w:rPr>
              <w:t>--</w:t>
            </w:r>
          </w:p>
        </w:tc>
      </w:tr>
      <w:tr w:rsidR="00581E66" w:rsidRPr="000D3090" w14:paraId="10F37E43"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31101166" w14:textId="2BA3AAB0"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3 or more</w:t>
            </w:r>
          </w:p>
        </w:tc>
        <w:tc>
          <w:tcPr>
            <w:tcW w:w="720" w:type="dxa"/>
            <w:tcBorders>
              <w:top w:val="nil"/>
              <w:left w:val="nil"/>
              <w:bottom w:val="nil"/>
              <w:right w:val="nil"/>
            </w:tcBorders>
            <w:shd w:val="clear" w:color="000000" w:fill="FFFFFF"/>
            <w:noWrap/>
            <w:vAlign w:val="center"/>
            <w:hideMark/>
          </w:tcPr>
          <w:p w14:paraId="507843AE" w14:textId="764AB6CC"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8.2</w:t>
            </w:r>
          </w:p>
        </w:tc>
        <w:tc>
          <w:tcPr>
            <w:tcW w:w="720" w:type="dxa"/>
            <w:tcBorders>
              <w:top w:val="nil"/>
              <w:left w:val="nil"/>
              <w:bottom w:val="nil"/>
              <w:right w:val="single" w:sz="12" w:space="0" w:color="auto"/>
            </w:tcBorders>
            <w:shd w:val="clear" w:color="000000" w:fill="FFFFFF"/>
            <w:noWrap/>
            <w:vAlign w:val="center"/>
            <w:hideMark/>
          </w:tcPr>
          <w:p w14:paraId="30C94AF2" w14:textId="2B53ABD1"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w:t>
            </w:r>
          </w:p>
        </w:tc>
        <w:tc>
          <w:tcPr>
            <w:tcW w:w="3477" w:type="dxa"/>
            <w:tcBorders>
              <w:top w:val="nil"/>
              <w:left w:val="single" w:sz="12" w:space="0" w:color="auto"/>
              <w:bottom w:val="nil"/>
              <w:right w:val="nil"/>
            </w:tcBorders>
            <w:shd w:val="clear" w:color="000000" w:fill="FFFFFF"/>
            <w:noWrap/>
            <w:vAlign w:val="center"/>
          </w:tcPr>
          <w:p w14:paraId="354CEC7F" w14:textId="094EF04F"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Fewer vehicles than drivers</w:t>
            </w:r>
          </w:p>
        </w:tc>
        <w:tc>
          <w:tcPr>
            <w:tcW w:w="777" w:type="dxa"/>
            <w:tcBorders>
              <w:top w:val="nil"/>
              <w:left w:val="nil"/>
              <w:bottom w:val="nil"/>
              <w:right w:val="nil"/>
            </w:tcBorders>
            <w:shd w:val="clear" w:color="000000" w:fill="FFFFFF"/>
            <w:noWrap/>
            <w:vAlign w:val="center"/>
          </w:tcPr>
          <w:p w14:paraId="6319A205" w14:textId="23E1565F"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19.9</w:t>
            </w:r>
          </w:p>
        </w:tc>
        <w:tc>
          <w:tcPr>
            <w:tcW w:w="720" w:type="dxa"/>
            <w:tcBorders>
              <w:top w:val="nil"/>
              <w:left w:val="nil"/>
              <w:bottom w:val="nil"/>
              <w:right w:val="single" w:sz="12" w:space="0" w:color="auto"/>
            </w:tcBorders>
            <w:shd w:val="clear" w:color="000000" w:fill="FFFFFF"/>
            <w:noWrap/>
            <w:vAlign w:val="center"/>
          </w:tcPr>
          <w:p w14:paraId="69698A82" w14:textId="16BB41EC"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w:t>
            </w:r>
          </w:p>
        </w:tc>
      </w:tr>
      <w:tr w:rsidR="00581E66" w:rsidRPr="000D3090" w14:paraId="470DC929"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683F8C6E" w14:textId="3465CA6F"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Household ownership</w:t>
            </w:r>
          </w:p>
        </w:tc>
        <w:tc>
          <w:tcPr>
            <w:tcW w:w="720" w:type="dxa"/>
            <w:tcBorders>
              <w:top w:val="nil"/>
              <w:left w:val="nil"/>
              <w:bottom w:val="nil"/>
              <w:right w:val="nil"/>
            </w:tcBorders>
            <w:shd w:val="clear" w:color="000000" w:fill="FFFFFF"/>
            <w:noWrap/>
            <w:vAlign w:val="center"/>
            <w:hideMark/>
          </w:tcPr>
          <w:p w14:paraId="68FB4BB9" w14:textId="0F513D8C" w:rsidR="00581E66" w:rsidRPr="000D3090" w:rsidRDefault="00581E66" w:rsidP="00581E66">
            <w:pPr>
              <w:tabs>
                <w:tab w:val="decimal" w:pos="22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hideMark/>
          </w:tcPr>
          <w:p w14:paraId="0B94EA67" w14:textId="3AB2EABE" w:rsidR="00581E66" w:rsidRPr="000D3090" w:rsidRDefault="00581E66" w:rsidP="00581E66">
            <w:pPr>
              <w:tabs>
                <w:tab w:val="decimal" w:pos="255"/>
              </w:tabs>
              <w:spacing w:after="0" w:line="240" w:lineRule="auto"/>
              <w:jc w:val="center"/>
              <w:rPr>
                <w:rFonts w:eastAsia="Times New Roman"/>
                <w:color w:val="000000"/>
                <w:sz w:val="20"/>
                <w:szCs w:val="20"/>
              </w:rPr>
            </w:pPr>
          </w:p>
        </w:tc>
        <w:tc>
          <w:tcPr>
            <w:tcW w:w="3477" w:type="dxa"/>
            <w:tcBorders>
              <w:top w:val="nil"/>
              <w:left w:val="single" w:sz="12" w:space="0" w:color="auto"/>
              <w:bottom w:val="nil"/>
              <w:right w:val="nil"/>
            </w:tcBorders>
            <w:shd w:val="clear" w:color="000000" w:fill="FFFFFF"/>
            <w:noWrap/>
            <w:vAlign w:val="center"/>
          </w:tcPr>
          <w:p w14:paraId="6AF11DFF" w14:textId="4013E5F5" w:rsidR="00581E66" w:rsidRPr="000D3090" w:rsidRDefault="00581E66" w:rsidP="00581E66">
            <w:pPr>
              <w:spacing w:after="0" w:line="240" w:lineRule="auto"/>
              <w:ind w:firstLineChars="100" w:firstLine="200"/>
              <w:rPr>
                <w:rFonts w:eastAsia="Times New Roman"/>
                <w:color w:val="000000"/>
                <w:sz w:val="20"/>
                <w:szCs w:val="20"/>
              </w:rPr>
            </w:pPr>
          </w:p>
        </w:tc>
        <w:tc>
          <w:tcPr>
            <w:tcW w:w="777" w:type="dxa"/>
            <w:tcBorders>
              <w:top w:val="nil"/>
              <w:left w:val="nil"/>
              <w:bottom w:val="nil"/>
              <w:right w:val="nil"/>
            </w:tcBorders>
            <w:shd w:val="clear" w:color="000000" w:fill="FFFFFF"/>
            <w:noWrap/>
            <w:vAlign w:val="center"/>
          </w:tcPr>
          <w:p w14:paraId="3F18C2C3" w14:textId="5669B57B"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tcPr>
          <w:p w14:paraId="33F487E2" w14:textId="3064027B" w:rsidR="00581E66" w:rsidRPr="000D3090"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54CE9ACB"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76EAFE7C" w14:textId="07BFF783"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Own</w:t>
            </w:r>
          </w:p>
        </w:tc>
        <w:tc>
          <w:tcPr>
            <w:tcW w:w="720" w:type="dxa"/>
            <w:tcBorders>
              <w:top w:val="nil"/>
              <w:left w:val="nil"/>
              <w:bottom w:val="nil"/>
              <w:right w:val="nil"/>
            </w:tcBorders>
            <w:shd w:val="clear" w:color="000000" w:fill="FFFFFF"/>
            <w:noWrap/>
            <w:vAlign w:val="center"/>
          </w:tcPr>
          <w:p w14:paraId="3031DE06" w14:textId="6A87135C"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78.4</w:t>
            </w:r>
          </w:p>
        </w:tc>
        <w:tc>
          <w:tcPr>
            <w:tcW w:w="720" w:type="dxa"/>
            <w:tcBorders>
              <w:top w:val="nil"/>
              <w:left w:val="nil"/>
              <w:bottom w:val="nil"/>
              <w:right w:val="single" w:sz="12" w:space="0" w:color="auto"/>
            </w:tcBorders>
            <w:shd w:val="clear" w:color="000000" w:fill="FFFFFF"/>
            <w:noWrap/>
            <w:vAlign w:val="center"/>
          </w:tcPr>
          <w:p w14:paraId="041F5324" w14:textId="5AFEA828"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63.1</w:t>
            </w:r>
          </w:p>
        </w:tc>
        <w:tc>
          <w:tcPr>
            <w:tcW w:w="3477" w:type="dxa"/>
            <w:tcBorders>
              <w:top w:val="nil"/>
              <w:left w:val="single" w:sz="12" w:space="0" w:color="auto"/>
              <w:bottom w:val="nil"/>
              <w:right w:val="nil"/>
            </w:tcBorders>
            <w:shd w:val="clear" w:color="000000" w:fill="FFFFFF"/>
            <w:noWrap/>
            <w:vAlign w:val="center"/>
          </w:tcPr>
          <w:p w14:paraId="40C54014" w14:textId="7685EA68" w:rsidR="00581E66" w:rsidRPr="000D3090" w:rsidRDefault="00581E66" w:rsidP="00581E66">
            <w:pPr>
              <w:spacing w:after="0" w:line="240" w:lineRule="auto"/>
              <w:ind w:firstLineChars="100" w:firstLine="200"/>
              <w:rPr>
                <w:rFonts w:eastAsia="Times New Roman"/>
                <w:color w:val="000000"/>
                <w:sz w:val="20"/>
                <w:szCs w:val="20"/>
              </w:rPr>
            </w:pPr>
          </w:p>
        </w:tc>
        <w:tc>
          <w:tcPr>
            <w:tcW w:w="777" w:type="dxa"/>
            <w:tcBorders>
              <w:top w:val="nil"/>
              <w:left w:val="nil"/>
              <w:bottom w:val="nil"/>
              <w:right w:val="nil"/>
            </w:tcBorders>
            <w:shd w:val="clear" w:color="000000" w:fill="FFFFFF"/>
            <w:noWrap/>
            <w:vAlign w:val="center"/>
          </w:tcPr>
          <w:p w14:paraId="6A381B5A" w14:textId="0A7E9CDC"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tcPr>
          <w:p w14:paraId="057E2E9B" w14:textId="365447D0" w:rsidR="00581E66" w:rsidRPr="000D3090"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7995951E"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15153737" w14:textId="5A53D0A0"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Rent</w:t>
            </w:r>
          </w:p>
        </w:tc>
        <w:tc>
          <w:tcPr>
            <w:tcW w:w="720" w:type="dxa"/>
            <w:tcBorders>
              <w:top w:val="nil"/>
              <w:left w:val="nil"/>
              <w:bottom w:val="nil"/>
              <w:right w:val="nil"/>
            </w:tcBorders>
            <w:shd w:val="clear" w:color="000000" w:fill="FFFFFF"/>
            <w:noWrap/>
            <w:vAlign w:val="center"/>
          </w:tcPr>
          <w:p w14:paraId="69F3E7CF" w14:textId="5C7770B3"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21.6</w:t>
            </w:r>
          </w:p>
        </w:tc>
        <w:tc>
          <w:tcPr>
            <w:tcW w:w="720" w:type="dxa"/>
            <w:tcBorders>
              <w:top w:val="nil"/>
              <w:left w:val="nil"/>
              <w:bottom w:val="nil"/>
              <w:right w:val="single" w:sz="12" w:space="0" w:color="auto"/>
            </w:tcBorders>
            <w:shd w:val="clear" w:color="000000" w:fill="FFFFFF"/>
            <w:noWrap/>
            <w:vAlign w:val="center"/>
          </w:tcPr>
          <w:p w14:paraId="4D10DE32" w14:textId="6D2B766A"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36.9</w:t>
            </w:r>
          </w:p>
        </w:tc>
        <w:tc>
          <w:tcPr>
            <w:tcW w:w="3477" w:type="dxa"/>
            <w:tcBorders>
              <w:top w:val="nil"/>
              <w:left w:val="single" w:sz="12" w:space="0" w:color="auto"/>
              <w:bottom w:val="nil"/>
              <w:right w:val="nil"/>
            </w:tcBorders>
            <w:shd w:val="clear" w:color="000000" w:fill="FFFFFF"/>
            <w:noWrap/>
            <w:vAlign w:val="center"/>
          </w:tcPr>
          <w:p w14:paraId="1B28F085" w14:textId="7A80C60D" w:rsidR="00581E66" w:rsidRPr="000D3090" w:rsidRDefault="00581E66" w:rsidP="00581E66">
            <w:pPr>
              <w:spacing w:after="0" w:line="240" w:lineRule="auto"/>
              <w:rPr>
                <w:rFonts w:eastAsia="Times New Roman"/>
                <w:b/>
                <w:bCs/>
                <w:color w:val="000000"/>
                <w:sz w:val="20"/>
                <w:szCs w:val="20"/>
              </w:rPr>
            </w:pPr>
          </w:p>
        </w:tc>
        <w:tc>
          <w:tcPr>
            <w:tcW w:w="777" w:type="dxa"/>
            <w:tcBorders>
              <w:top w:val="nil"/>
              <w:left w:val="nil"/>
              <w:bottom w:val="nil"/>
              <w:right w:val="nil"/>
            </w:tcBorders>
            <w:shd w:val="clear" w:color="000000" w:fill="FFFFFF"/>
            <w:noWrap/>
            <w:vAlign w:val="center"/>
          </w:tcPr>
          <w:p w14:paraId="0C9FD551" w14:textId="6F8FE56D"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tcPr>
          <w:p w14:paraId="6AC74456" w14:textId="31D53EBF" w:rsidR="00581E66" w:rsidRPr="000D3090"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30E1B3AC" w14:textId="77777777" w:rsidTr="004B5462">
        <w:trPr>
          <w:trHeight w:val="20"/>
          <w:jc w:val="center"/>
        </w:trPr>
        <w:tc>
          <w:tcPr>
            <w:tcW w:w="9821" w:type="dxa"/>
            <w:gridSpan w:val="6"/>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8AFF1F3" w14:textId="0DFDC4CD" w:rsidR="00581E66" w:rsidRPr="000D3090" w:rsidRDefault="00581E66" w:rsidP="00581E66">
            <w:pPr>
              <w:spacing w:after="0" w:line="240" w:lineRule="auto"/>
              <w:jc w:val="center"/>
              <w:rPr>
                <w:rFonts w:eastAsia="Times New Roman"/>
                <w:i/>
                <w:iCs/>
                <w:color w:val="000000"/>
                <w:sz w:val="20"/>
                <w:szCs w:val="20"/>
              </w:rPr>
            </w:pPr>
            <w:r w:rsidRPr="000D3090">
              <w:rPr>
                <w:rFonts w:eastAsia="Times New Roman"/>
                <w:i/>
                <w:iCs/>
                <w:color w:val="000000"/>
                <w:sz w:val="20"/>
                <w:szCs w:val="20"/>
              </w:rPr>
              <w:t>Individual Characteristics</w:t>
            </w:r>
          </w:p>
        </w:tc>
      </w:tr>
      <w:tr w:rsidR="00581E66" w:rsidRPr="000D3090" w14:paraId="2DEE2017" w14:textId="77777777" w:rsidTr="004B5462">
        <w:trPr>
          <w:trHeight w:val="20"/>
          <w:jc w:val="center"/>
        </w:trPr>
        <w:tc>
          <w:tcPr>
            <w:tcW w:w="3405" w:type="dxa"/>
            <w:tcBorders>
              <w:top w:val="single" w:sz="12" w:space="0" w:color="auto"/>
              <w:left w:val="single" w:sz="12" w:space="0" w:color="auto"/>
              <w:bottom w:val="nil"/>
              <w:right w:val="nil"/>
            </w:tcBorders>
            <w:shd w:val="clear" w:color="000000" w:fill="FFFFFF"/>
            <w:noWrap/>
            <w:vAlign w:val="center"/>
            <w:hideMark/>
          </w:tcPr>
          <w:p w14:paraId="5DB69065"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Gender</w:t>
            </w:r>
          </w:p>
        </w:tc>
        <w:tc>
          <w:tcPr>
            <w:tcW w:w="720" w:type="dxa"/>
            <w:tcBorders>
              <w:top w:val="single" w:sz="12" w:space="0" w:color="auto"/>
              <w:left w:val="nil"/>
              <w:bottom w:val="nil"/>
              <w:right w:val="nil"/>
            </w:tcBorders>
            <w:shd w:val="clear" w:color="000000" w:fill="FFFFFF"/>
            <w:noWrap/>
            <w:vAlign w:val="center"/>
            <w:hideMark/>
          </w:tcPr>
          <w:p w14:paraId="3FCE5466" w14:textId="5B739A7A" w:rsidR="00581E66" w:rsidRPr="000D3090" w:rsidRDefault="00581E66" w:rsidP="00581E66">
            <w:pPr>
              <w:spacing w:after="0" w:line="240" w:lineRule="auto"/>
              <w:jc w:val="center"/>
              <w:rPr>
                <w:rFonts w:eastAsia="Times New Roman"/>
                <w:color w:val="000000"/>
                <w:sz w:val="20"/>
                <w:szCs w:val="20"/>
              </w:rPr>
            </w:pPr>
          </w:p>
        </w:tc>
        <w:tc>
          <w:tcPr>
            <w:tcW w:w="720" w:type="dxa"/>
            <w:tcBorders>
              <w:top w:val="single" w:sz="12" w:space="0" w:color="auto"/>
              <w:left w:val="nil"/>
              <w:bottom w:val="nil"/>
              <w:right w:val="single" w:sz="12" w:space="0" w:color="auto"/>
            </w:tcBorders>
            <w:shd w:val="clear" w:color="000000" w:fill="FFFFFF"/>
            <w:noWrap/>
            <w:vAlign w:val="center"/>
            <w:hideMark/>
          </w:tcPr>
          <w:p w14:paraId="6988A17F" w14:textId="7CFA2863" w:rsidR="00581E66" w:rsidRPr="000D3090" w:rsidRDefault="00581E66" w:rsidP="00581E66">
            <w:pPr>
              <w:spacing w:after="0" w:line="240" w:lineRule="auto"/>
              <w:jc w:val="center"/>
              <w:rPr>
                <w:rFonts w:eastAsia="Times New Roman"/>
                <w:color w:val="000000"/>
                <w:sz w:val="20"/>
                <w:szCs w:val="20"/>
              </w:rPr>
            </w:pPr>
          </w:p>
        </w:tc>
        <w:tc>
          <w:tcPr>
            <w:tcW w:w="3477" w:type="dxa"/>
            <w:tcBorders>
              <w:top w:val="single" w:sz="12" w:space="0" w:color="auto"/>
              <w:left w:val="single" w:sz="12" w:space="0" w:color="auto"/>
              <w:bottom w:val="nil"/>
              <w:right w:val="nil"/>
            </w:tcBorders>
            <w:shd w:val="clear" w:color="000000" w:fill="FFFFFF"/>
            <w:noWrap/>
            <w:vAlign w:val="center"/>
            <w:hideMark/>
          </w:tcPr>
          <w:p w14:paraId="39A87A2D"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Race</w:t>
            </w:r>
          </w:p>
        </w:tc>
        <w:tc>
          <w:tcPr>
            <w:tcW w:w="777" w:type="dxa"/>
            <w:tcBorders>
              <w:top w:val="single" w:sz="12" w:space="0" w:color="auto"/>
              <w:left w:val="nil"/>
              <w:bottom w:val="nil"/>
              <w:right w:val="nil"/>
            </w:tcBorders>
            <w:shd w:val="clear" w:color="000000" w:fill="FFFFFF"/>
            <w:noWrap/>
            <w:vAlign w:val="center"/>
          </w:tcPr>
          <w:p w14:paraId="0F63DF8D" w14:textId="47B803E8" w:rsidR="00581E66" w:rsidRPr="000D3090" w:rsidRDefault="00581E66" w:rsidP="00581E66">
            <w:pPr>
              <w:spacing w:after="0" w:line="240" w:lineRule="auto"/>
              <w:jc w:val="center"/>
              <w:rPr>
                <w:rFonts w:eastAsia="Times New Roman"/>
                <w:color w:val="000000"/>
                <w:sz w:val="20"/>
                <w:szCs w:val="20"/>
              </w:rPr>
            </w:pPr>
          </w:p>
        </w:tc>
        <w:tc>
          <w:tcPr>
            <w:tcW w:w="720" w:type="dxa"/>
            <w:tcBorders>
              <w:top w:val="single" w:sz="12" w:space="0" w:color="auto"/>
              <w:left w:val="nil"/>
              <w:bottom w:val="nil"/>
              <w:right w:val="single" w:sz="12" w:space="0" w:color="auto"/>
            </w:tcBorders>
            <w:shd w:val="clear" w:color="000000" w:fill="FFFFFF"/>
            <w:noWrap/>
            <w:vAlign w:val="center"/>
            <w:hideMark/>
          </w:tcPr>
          <w:p w14:paraId="0583D77A" w14:textId="797AC0F5" w:rsidR="00581E66" w:rsidRPr="000D3090" w:rsidRDefault="00581E66" w:rsidP="00581E66">
            <w:pPr>
              <w:spacing w:after="0" w:line="240" w:lineRule="auto"/>
              <w:jc w:val="center"/>
              <w:rPr>
                <w:rFonts w:eastAsia="Times New Roman"/>
                <w:color w:val="000000"/>
                <w:sz w:val="20"/>
                <w:szCs w:val="20"/>
              </w:rPr>
            </w:pPr>
          </w:p>
        </w:tc>
      </w:tr>
      <w:tr w:rsidR="00581E66" w:rsidRPr="000D3090" w14:paraId="0518D0FA"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2351D1BF"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Male</w:t>
            </w:r>
          </w:p>
        </w:tc>
        <w:tc>
          <w:tcPr>
            <w:tcW w:w="720" w:type="dxa"/>
            <w:tcBorders>
              <w:top w:val="nil"/>
              <w:left w:val="nil"/>
              <w:bottom w:val="nil"/>
              <w:right w:val="nil"/>
            </w:tcBorders>
            <w:shd w:val="clear" w:color="000000" w:fill="FFFFFF"/>
            <w:noWrap/>
            <w:vAlign w:val="center"/>
            <w:hideMark/>
          </w:tcPr>
          <w:p w14:paraId="14E8597E" w14:textId="2B84DB6A"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48.7</w:t>
            </w:r>
          </w:p>
        </w:tc>
        <w:tc>
          <w:tcPr>
            <w:tcW w:w="720" w:type="dxa"/>
            <w:tcBorders>
              <w:top w:val="nil"/>
              <w:left w:val="nil"/>
              <w:bottom w:val="nil"/>
              <w:right w:val="single" w:sz="12" w:space="0" w:color="auto"/>
            </w:tcBorders>
            <w:shd w:val="clear" w:color="000000" w:fill="FFFFFF"/>
            <w:noWrap/>
            <w:vAlign w:val="center"/>
            <w:hideMark/>
          </w:tcPr>
          <w:p w14:paraId="30BDE6BB" w14:textId="22E2352C"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49.1</w:t>
            </w:r>
          </w:p>
        </w:tc>
        <w:tc>
          <w:tcPr>
            <w:tcW w:w="3477" w:type="dxa"/>
            <w:tcBorders>
              <w:top w:val="nil"/>
              <w:left w:val="single" w:sz="12" w:space="0" w:color="auto"/>
              <w:bottom w:val="nil"/>
              <w:right w:val="nil"/>
            </w:tcBorders>
            <w:shd w:val="clear" w:color="000000" w:fill="FFFFFF"/>
            <w:noWrap/>
            <w:vAlign w:val="center"/>
            <w:hideMark/>
          </w:tcPr>
          <w:p w14:paraId="00495101" w14:textId="77777777"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White</w:t>
            </w:r>
          </w:p>
        </w:tc>
        <w:tc>
          <w:tcPr>
            <w:tcW w:w="777" w:type="dxa"/>
            <w:tcBorders>
              <w:top w:val="nil"/>
              <w:left w:val="nil"/>
              <w:bottom w:val="nil"/>
              <w:right w:val="nil"/>
            </w:tcBorders>
            <w:shd w:val="clear" w:color="000000" w:fill="FFFFFF"/>
            <w:noWrap/>
            <w:vAlign w:val="center"/>
            <w:hideMark/>
          </w:tcPr>
          <w:p w14:paraId="17B54844" w14:textId="5B1E8D48"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83.5</w:t>
            </w:r>
          </w:p>
        </w:tc>
        <w:tc>
          <w:tcPr>
            <w:tcW w:w="720" w:type="dxa"/>
            <w:tcBorders>
              <w:top w:val="nil"/>
              <w:left w:val="nil"/>
              <w:bottom w:val="nil"/>
              <w:right w:val="single" w:sz="12" w:space="0" w:color="auto"/>
            </w:tcBorders>
            <w:shd w:val="clear" w:color="000000" w:fill="FFFFFF"/>
            <w:noWrap/>
            <w:vAlign w:val="center"/>
            <w:hideMark/>
          </w:tcPr>
          <w:p w14:paraId="20A21553" w14:textId="3E1EFB1E"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61.6</w:t>
            </w:r>
          </w:p>
        </w:tc>
      </w:tr>
      <w:tr w:rsidR="00581E66" w:rsidRPr="000D3090" w14:paraId="1892235B"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2415B8E0"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Female</w:t>
            </w:r>
          </w:p>
        </w:tc>
        <w:tc>
          <w:tcPr>
            <w:tcW w:w="720" w:type="dxa"/>
            <w:tcBorders>
              <w:top w:val="nil"/>
              <w:left w:val="nil"/>
              <w:bottom w:val="nil"/>
              <w:right w:val="nil"/>
            </w:tcBorders>
            <w:shd w:val="clear" w:color="000000" w:fill="FFFFFF"/>
            <w:noWrap/>
            <w:vAlign w:val="center"/>
            <w:hideMark/>
          </w:tcPr>
          <w:p w14:paraId="706229BC" w14:textId="45948052"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51.3</w:t>
            </w:r>
          </w:p>
        </w:tc>
        <w:tc>
          <w:tcPr>
            <w:tcW w:w="720" w:type="dxa"/>
            <w:tcBorders>
              <w:top w:val="nil"/>
              <w:left w:val="nil"/>
              <w:bottom w:val="nil"/>
              <w:right w:val="single" w:sz="12" w:space="0" w:color="auto"/>
            </w:tcBorders>
            <w:shd w:val="clear" w:color="000000" w:fill="FFFFFF"/>
            <w:noWrap/>
            <w:vAlign w:val="center"/>
            <w:hideMark/>
          </w:tcPr>
          <w:p w14:paraId="00E812A1" w14:textId="6D0B9C22"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50.9</w:t>
            </w:r>
          </w:p>
        </w:tc>
        <w:tc>
          <w:tcPr>
            <w:tcW w:w="3477" w:type="dxa"/>
            <w:tcBorders>
              <w:top w:val="nil"/>
              <w:left w:val="single" w:sz="12" w:space="0" w:color="auto"/>
              <w:bottom w:val="nil"/>
              <w:right w:val="nil"/>
            </w:tcBorders>
            <w:shd w:val="clear" w:color="000000" w:fill="FFFFFF"/>
            <w:noWrap/>
            <w:vAlign w:val="center"/>
            <w:hideMark/>
          </w:tcPr>
          <w:p w14:paraId="621F4B61" w14:textId="77777777"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Black</w:t>
            </w:r>
          </w:p>
        </w:tc>
        <w:tc>
          <w:tcPr>
            <w:tcW w:w="777" w:type="dxa"/>
            <w:tcBorders>
              <w:top w:val="nil"/>
              <w:left w:val="nil"/>
              <w:bottom w:val="nil"/>
              <w:right w:val="nil"/>
            </w:tcBorders>
            <w:shd w:val="clear" w:color="000000" w:fill="FFFFFF"/>
            <w:noWrap/>
            <w:vAlign w:val="center"/>
            <w:hideMark/>
          </w:tcPr>
          <w:p w14:paraId="659BBE79" w14:textId="7171B617"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6.9</w:t>
            </w:r>
          </w:p>
        </w:tc>
        <w:tc>
          <w:tcPr>
            <w:tcW w:w="720" w:type="dxa"/>
            <w:tcBorders>
              <w:top w:val="nil"/>
              <w:left w:val="nil"/>
              <w:bottom w:val="nil"/>
              <w:right w:val="single" w:sz="12" w:space="0" w:color="auto"/>
            </w:tcBorders>
            <w:shd w:val="clear" w:color="000000" w:fill="FFFFFF"/>
            <w:noWrap/>
            <w:vAlign w:val="center"/>
            <w:hideMark/>
          </w:tcPr>
          <w:p w14:paraId="22E72564" w14:textId="3263865E"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12.4</w:t>
            </w:r>
          </w:p>
        </w:tc>
      </w:tr>
      <w:tr w:rsidR="00581E66" w:rsidRPr="000D3090" w14:paraId="532167B0"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39630C1D"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Age</w:t>
            </w:r>
          </w:p>
        </w:tc>
        <w:tc>
          <w:tcPr>
            <w:tcW w:w="720" w:type="dxa"/>
            <w:tcBorders>
              <w:top w:val="nil"/>
              <w:left w:val="nil"/>
              <w:bottom w:val="nil"/>
              <w:right w:val="nil"/>
            </w:tcBorders>
            <w:shd w:val="clear" w:color="000000" w:fill="FFFFFF"/>
            <w:noWrap/>
            <w:vAlign w:val="center"/>
            <w:hideMark/>
          </w:tcPr>
          <w:p w14:paraId="27D474E6" w14:textId="23EC57A7" w:rsidR="00581E66" w:rsidRPr="000D3090" w:rsidRDefault="00581E66" w:rsidP="00581E66">
            <w:pPr>
              <w:tabs>
                <w:tab w:val="decimal" w:pos="22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hideMark/>
          </w:tcPr>
          <w:p w14:paraId="1C957685" w14:textId="3CEB548B" w:rsidR="00581E66" w:rsidRPr="000D3090" w:rsidRDefault="00581E66" w:rsidP="00581E66">
            <w:pPr>
              <w:tabs>
                <w:tab w:val="decimal" w:pos="255"/>
              </w:tabs>
              <w:spacing w:after="0" w:line="240" w:lineRule="auto"/>
              <w:jc w:val="center"/>
              <w:rPr>
                <w:rFonts w:eastAsia="Times New Roman"/>
                <w:color w:val="000000"/>
                <w:sz w:val="20"/>
                <w:szCs w:val="20"/>
              </w:rPr>
            </w:pPr>
          </w:p>
        </w:tc>
        <w:tc>
          <w:tcPr>
            <w:tcW w:w="3477" w:type="dxa"/>
            <w:tcBorders>
              <w:top w:val="nil"/>
              <w:left w:val="single" w:sz="12" w:space="0" w:color="auto"/>
              <w:bottom w:val="nil"/>
              <w:right w:val="nil"/>
            </w:tcBorders>
            <w:shd w:val="clear" w:color="000000" w:fill="FFFFFF"/>
            <w:noWrap/>
            <w:vAlign w:val="center"/>
            <w:hideMark/>
          </w:tcPr>
          <w:p w14:paraId="2CF0936D" w14:textId="77777777"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Asian</w:t>
            </w:r>
          </w:p>
        </w:tc>
        <w:tc>
          <w:tcPr>
            <w:tcW w:w="777" w:type="dxa"/>
            <w:tcBorders>
              <w:top w:val="nil"/>
              <w:left w:val="nil"/>
              <w:bottom w:val="nil"/>
              <w:right w:val="nil"/>
            </w:tcBorders>
            <w:shd w:val="clear" w:color="000000" w:fill="FFFFFF"/>
            <w:noWrap/>
            <w:vAlign w:val="center"/>
            <w:hideMark/>
          </w:tcPr>
          <w:p w14:paraId="24547E89" w14:textId="2F26A149"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5.8</w:t>
            </w:r>
          </w:p>
        </w:tc>
        <w:tc>
          <w:tcPr>
            <w:tcW w:w="720" w:type="dxa"/>
            <w:tcBorders>
              <w:top w:val="nil"/>
              <w:left w:val="nil"/>
              <w:bottom w:val="nil"/>
              <w:right w:val="single" w:sz="12" w:space="0" w:color="auto"/>
            </w:tcBorders>
            <w:shd w:val="clear" w:color="000000" w:fill="FFFFFF"/>
            <w:noWrap/>
            <w:vAlign w:val="center"/>
            <w:hideMark/>
          </w:tcPr>
          <w:p w14:paraId="5887219D" w14:textId="78063EE3"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6.0</w:t>
            </w:r>
          </w:p>
        </w:tc>
      </w:tr>
      <w:tr w:rsidR="00581E66" w:rsidRPr="000D3090" w14:paraId="30AD5D94"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4393BB1B" w14:textId="175AC1BB"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18 – 25</w:t>
            </w:r>
          </w:p>
        </w:tc>
        <w:tc>
          <w:tcPr>
            <w:tcW w:w="720" w:type="dxa"/>
            <w:tcBorders>
              <w:top w:val="nil"/>
              <w:left w:val="nil"/>
              <w:bottom w:val="nil"/>
              <w:right w:val="nil"/>
            </w:tcBorders>
            <w:shd w:val="clear" w:color="000000" w:fill="FFFFFF"/>
            <w:noWrap/>
            <w:vAlign w:val="center"/>
            <w:hideMark/>
          </w:tcPr>
          <w:p w14:paraId="157DD16E" w14:textId="1200C28B"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9.9</w:t>
            </w:r>
          </w:p>
        </w:tc>
        <w:tc>
          <w:tcPr>
            <w:tcW w:w="720" w:type="dxa"/>
            <w:tcBorders>
              <w:top w:val="nil"/>
              <w:left w:val="nil"/>
              <w:bottom w:val="nil"/>
              <w:right w:val="single" w:sz="12" w:space="0" w:color="auto"/>
            </w:tcBorders>
            <w:shd w:val="clear" w:color="000000" w:fill="FFFFFF"/>
            <w:noWrap/>
            <w:vAlign w:val="center"/>
            <w:hideMark/>
          </w:tcPr>
          <w:p w14:paraId="16D81B8A" w14:textId="4233F95B"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12.0</w:t>
            </w:r>
          </w:p>
        </w:tc>
        <w:tc>
          <w:tcPr>
            <w:tcW w:w="3477" w:type="dxa"/>
            <w:tcBorders>
              <w:top w:val="nil"/>
              <w:left w:val="single" w:sz="12" w:space="0" w:color="auto"/>
              <w:bottom w:val="nil"/>
              <w:right w:val="nil"/>
            </w:tcBorders>
            <w:shd w:val="clear" w:color="000000" w:fill="FFFFFF"/>
            <w:noWrap/>
            <w:vAlign w:val="center"/>
            <w:hideMark/>
          </w:tcPr>
          <w:p w14:paraId="7BA547E8" w14:textId="77777777"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Other</w:t>
            </w:r>
          </w:p>
        </w:tc>
        <w:tc>
          <w:tcPr>
            <w:tcW w:w="777" w:type="dxa"/>
            <w:tcBorders>
              <w:top w:val="nil"/>
              <w:left w:val="nil"/>
              <w:bottom w:val="nil"/>
              <w:right w:val="nil"/>
            </w:tcBorders>
            <w:shd w:val="clear" w:color="000000" w:fill="FFFFFF"/>
            <w:noWrap/>
            <w:vAlign w:val="center"/>
            <w:hideMark/>
          </w:tcPr>
          <w:p w14:paraId="0EC49A20" w14:textId="02445CF5"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3.8</w:t>
            </w:r>
          </w:p>
        </w:tc>
        <w:tc>
          <w:tcPr>
            <w:tcW w:w="720" w:type="dxa"/>
            <w:tcBorders>
              <w:top w:val="nil"/>
              <w:left w:val="nil"/>
              <w:bottom w:val="nil"/>
              <w:right w:val="single" w:sz="12" w:space="0" w:color="auto"/>
            </w:tcBorders>
            <w:shd w:val="clear" w:color="000000" w:fill="FFFFFF"/>
            <w:noWrap/>
            <w:vAlign w:val="center"/>
            <w:hideMark/>
          </w:tcPr>
          <w:p w14:paraId="2759876E" w14:textId="13AEC626"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20.0</w:t>
            </w:r>
          </w:p>
        </w:tc>
      </w:tr>
      <w:tr w:rsidR="00581E66" w:rsidRPr="000D3090" w14:paraId="78E655AD"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05EBCFB6" w14:textId="68EA050D"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25</w:t>
            </w:r>
            <w:r w:rsidRPr="000D3090">
              <w:rPr>
                <w:rFonts w:eastAsia="Times New Roman"/>
                <w:color w:val="000000"/>
                <w:sz w:val="20"/>
                <w:szCs w:val="20"/>
              </w:rPr>
              <w:t xml:space="preserve"> – </w:t>
            </w:r>
            <w:r w:rsidRPr="000D3090">
              <w:rPr>
                <w:rFonts w:eastAsia="Times New Roman"/>
                <w:sz w:val="20"/>
                <w:szCs w:val="20"/>
              </w:rPr>
              <w:t>34</w:t>
            </w:r>
          </w:p>
        </w:tc>
        <w:tc>
          <w:tcPr>
            <w:tcW w:w="720" w:type="dxa"/>
            <w:tcBorders>
              <w:top w:val="nil"/>
              <w:left w:val="nil"/>
              <w:bottom w:val="nil"/>
              <w:right w:val="nil"/>
            </w:tcBorders>
            <w:shd w:val="clear" w:color="000000" w:fill="FFFFFF"/>
            <w:noWrap/>
            <w:vAlign w:val="center"/>
            <w:hideMark/>
          </w:tcPr>
          <w:p w14:paraId="428C1D88" w14:textId="6342AD49"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14.3</w:t>
            </w:r>
          </w:p>
        </w:tc>
        <w:tc>
          <w:tcPr>
            <w:tcW w:w="720" w:type="dxa"/>
            <w:tcBorders>
              <w:top w:val="nil"/>
              <w:left w:val="nil"/>
              <w:bottom w:val="nil"/>
              <w:right w:val="single" w:sz="12" w:space="0" w:color="auto"/>
            </w:tcBorders>
            <w:shd w:val="clear" w:color="000000" w:fill="FFFFFF"/>
            <w:noWrap/>
            <w:vAlign w:val="center"/>
            <w:hideMark/>
          </w:tcPr>
          <w:p w14:paraId="1455CEE3" w14:textId="0FFEB01A"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17.4</w:t>
            </w:r>
          </w:p>
        </w:tc>
        <w:tc>
          <w:tcPr>
            <w:tcW w:w="3477" w:type="dxa"/>
            <w:tcBorders>
              <w:top w:val="nil"/>
              <w:left w:val="single" w:sz="12" w:space="0" w:color="auto"/>
              <w:bottom w:val="nil"/>
              <w:right w:val="nil"/>
            </w:tcBorders>
            <w:shd w:val="clear" w:color="000000" w:fill="FFFFFF"/>
            <w:noWrap/>
            <w:vAlign w:val="center"/>
            <w:hideMark/>
          </w:tcPr>
          <w:p w14:paraId="3AEEA432"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Ethnicity</w:t>
            </w:r>
          </w:p>
        </w:tc>
        <w:tc>
          <w:tcPr>
            <w:tcW w:w="777" w:type="dxa"/>
            <w:tcBorders>
              <w:top w:val="nil"/>
              <w:left w:val="nil"/>
              <w:bottom w:val="nil"/>
              <w:right w:val="nil"/>
            </w:tcBorders>
            <w:shd w:val="clear" w:color="000000" w:fill="FFFFFF"/>
            <w:noWrap/>
            <w:vAlign w:val="center"/>
            <w:hideMark/>
          </w:tcPr>
          <w:p w14:paraId="701DE1CF" w14:textId="7549637F"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hideMark/>
          </w:tcPr>
          <w:p w14:paraId="456CC5A0" w14:textId="1B7AFFF1" w:rsidR="00581E66" w:rsidRPr="000D3090"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28CD682B"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3771C3C9" w14:textId="28D60B9D"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35</w:t>
            </w:r>
            <w:r w:rsidRPr="000D3090">
              <w:rPr>
                <w:rFonts w:eastAsia="Times New Roman"/>
                <w:color w:val="000000"/>
                <w:sz w:val="20"/>
                <w:szCs w:val="20"/>
              </w:rPr>
              <w:t xml:space="preserve"> – </w:t>
            </w:r>
            <w:r w:rsidRPr="000D3090">
              <w:rPr>
                <w:rFonts w:eastAsia="Times New Roman"/>
                <w:sz w:val="20"/>
                <w:szCs w:val="20"/>
              </w:rPr>
              <w:t>44</w:t>
            </w:r>
          </w:p>
        </w:tc>
        <w:tc>
          <w:tcPr>
            <w:tcW w:w="720" w:type="dxa"/>
            <w:tcBorders>
              <w:top w:val="nil"/>
              <w:left w:val="nil"/>
              <w:bottom w:val="nil"/>
              <w:right w:val="nil"/>
            </w:tcBorders>
            <w:shd w:val="clear" w:color="000000" w:fill="FFFFFF"/>
            <w:noWrap/>
            <w:vAlign w:val="center"/>
            <w:hideMark/>
          </w:tcPr>
          <w:p w14:paraId="2270CC44" w14:textId="38B67C1C"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14.8</w:t>
            </w:r>
          </w:p>
        </w:tc>
        <w:tc>
          <w:tcPr>
            <w:tcW w:w="720" w:type="dxa"/>
            <w:tcBorders>
              <w:top w:val="nil"/>
              <w:left w:val="nil"/>
              <w:bottom w:val="nil"/>
              <w:right w:val="single" w:sz="12" w:space="0" w:color="auto"/>
            </w:tcBorders>
            <w:shd w:val="clear" w:color="000000" w:fill="FFFFFF"/>
            <w:noWrap/>
            <w:vAlign w:val="center"/>
            <w:hideMark/>
          </w:tcPr>
          <w:p w14:paraId="5C5902CD" w14:textId="4BC40D85"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16.4</w:t>
            </w:r>
          </w:p>
        </w:tc>
        <w:tc>
          <w:tcPr>
            <w:tcW w:w="3477" w:type="dxa"/>
            <w:tcBorders>
              <w:top w:val="nil"/>
              <w:left w:val="single" w:sz="12" w:space="0" w:color="auto"/>
              <w:bottom w:val="nil"/>
              <w:right w:val="nil"/>
            </w:tcBorders>
            <w:shd w:val="clear" w:color="000000" w:fill="FFFFFF"/>
            <w:noWrap/>
            <w:vAlign w:val="center"/>
            <w:hideMark/>
          </w:tcPr>
          <w:p w14:paraId="5DCD51DB"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Not Hispanic</w:t>
            </w:r>
          </w:p>
        </w:tc>
        <w:tc>
          <w:tcPr>
            <w:tcW w:w="777" w:type="dxa"/>
            <w:tcBorders>
              <w:top w:val="nil"/>
              <w:left w:val="nil"/>
              <w:bottom w:val="nil"/>
              <w:right w:val="nil"/>
            </w:tcBorders>
            <w:shd w:val="clear" w:color="000000" w:fill="FFFFFF"/>
            <w:noWrap/>
            <w:vAlign w:val="center"/>
            <w:hideMark/>
          </w:tcPr>
          <w:p w14:paraId="28CA212A" w14:textId="4340B589"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90.9</w:t>
            </w:r>
          </w:p>
        </w:tc>
        <w:tc>
          <w:tcPr>
            <w:tcW w:w="720" w:type="dxa"/>
            <w:tcBorders>
              <w:top w:val="nil"/>
              <w:left w:val="nil"/>
              <w:bottom w:val="nil"/>
              <w:right w:val="single" w:sz="12" w:space="0" w:color="auto"/>
            </w:tcBorders>
            <w:shd w:val="clear" w:color="000000" w:fill="FFFFFF"/>
            <w:noWrap/>
            <w:vAlign w:val="center"/>
            <w:hideMark/>
          </w:tcPr>
          <w:p w14:paraId="6D672398" w14:textId="0AFF567E"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81.3</w:t>
            </w:r>
          </w:p>
        </w:tc>
      </w:tr>
      <w:tr w:rsidR="00581E66" w:rsidRPr="000D3090" w14:paraId="699744EE"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6B220D77" w14:textId="59A15BA3"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45</w:t>
            </w:r>
            <w:r w:rsidRPr="000D3090">
              <w:rPr>
                <w:rFonts w:eastAsia="Times New Roman"/>
                <w:color w:val="000000"/>
                <w:sz w:val="20"/>
                <w:szCs w:val="20"/>
              </w:rPr>
              <w:t xml:space="preserve"> – </w:t>
            </w:r>
            <w:r w:rsidRPr="000D3090">
              <w:rPr>
                <w:rFonts w:eastAsia="Times New Roman"/>
                <w:sz w:val="20"/>
                <w:szCs w:val="20"/>
              </w:rPr>
              <w:t>54</w:t>
            </w:r>
          </w:p>
        </w:tc>
        <w:tc>
          <w:tcPr>
            <w:tcW w:w="720" w:type="dxa"/>
            <w:tcBorders>
              <w:top w:val="nil"/>
              <w:left w:val="nil"/>
              <w:bottom w:val="nil"/>
              <w:right w:val="nil"/>
            </w:tcBorders>
            <w:shd w:val="clear" w:color="000000" w:fill="FFFFFF"/>
            <w:noWrap/>
            <w:vAlign w:val="center"/>
            <w:hideMark/>
          </w:tcPr>
          <w:p w14:paraId="146B71E3" w14:textId="00A5CCE2"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14.0</w:t>
            </w:r>
          </w:p>
        </w:tc>
        <w:tc>
          <w:tcPr>
            <w:tcW w:w="720" w:type="dxa"/>
            <w:tcBorders>
              <w:top w:val="nil"/>
              <w:left w:val="nil"/>
              <w:bottom w:val="nil"/>
              <w:right w:val="single" w:sz="12" w:space="0" w:color="auto"/>
            </w:tcBorders>
            <w:shd w:val="clear" w:color="000000" w:fill="FFFFFF"/>
            <w:noWrap/>
            <w:vAlign w:val="center"/>
            <w:hideMark/>
          </w:tcPr>
          <w:p w14:paraId="78FCDB6A" w14:textId="73B1BAE9"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15.8</w:t>
            </w:r>
          </w:p>
        </w:tc>
        <w:tc>
          <w:tcPr>
            <w:tcW w:w="3477" w:type="dxa"/>
            <w:tcBorders>
              <w:top w:val="nil"/>
              <w:left w:val="single" w:sz="12" w:space="0" w:color="auto"/>
              <w:bottom w:val="nil"/>
              <w:right w:val="nil"/>
            </w:tcBorders>
            <w:shd w:val="clear" w:color="000000" w:fill="FFFFFF"/>
            <w:noWrap/>
            <w:vAlign w:val="center"/>
            <w:hideMark/>
          </w:tcPr>
          <w:p w14:paraId="177A7C6D"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Hispanic</w:t>
            </w:r>
          </w:p>
        </w:tc>
        <w:tc>
          <w:tcPr>
            <w:tcW w:w="777" w:type="dxa"/>
            <w:tcBorders>
              <w:top w:val="nil"/>
              <w:left w:val="nil"/>
              <w:bottom w:val="nil"/>
              <w:right w:val="nil"/>
            </w:tcBorders>
            <w:shd w:val="clear" w:color="000000" w:fill="FFFFFF"/>
            <w:noWrap/>
            <w:vAlign w:val="center"/>
            <w:hideMark/>
          </w:tcPr>
          <w:p w14:paraId="51043272" w14:textId="045C816C"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9.1</w:t>
            </w:r>
          </w:p>
        </w:tc>
        <w:tc>
          <w:tcPr>
            <w:tcW w:w="720" w:type="dxa"/>
            <w:tcBorders>
              <w:top w:val="nil"/>
              <w:left w:val="nil"/>
              <w:bottom w:val="nil"/>
              <w:right w:val="single" w:sz="12" w:space="0" w:color="auto"/>
            </w:tcBorders>
            <w:shd w:val="clear" w:color="000000" w:fill="FFFFFF"/>
            <w:noWrap/>
            <w:vAlign w:val="center"/>
            <w:hideMark/>
          </w:tcPr>
          <w:p w14:paraId="291018E1" w14:textId="6BDDC627"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18.7</w:t>
            </w:r>
          </w:p>
        </w:tc>
      </w:tr>
      <w:tr w:rsidR="00581E66" w:rsidRPr="000D3090" w14:paraId="4853D51E"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6B3C4C74" w14:textId="4912388B"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55</w:t>
            </w:r>
            <w:r w:rsidRPr="000D3090">
              <w:rPr>
                <w:rFonts w:eastAsia="Times New Roman"/>
                <w:color w:val="000000"/>
                <w:sz w:val="20"/>
                <w:szCs w:val="20"/>
              </w:rPr>
              <w:t xml:space="preserve"> – </w:t>
            </w:r>
            <w:r w:rsidRPr="000D3090">
              <w:rPr>
                <w:rFonts w:eastAsia="Times New Roman"/>
                <w:sz w:val="20"/>
                <w:szCs w:val="20"/>
              </w:rPr>
              <w:t>64</w:t>
            </w:r>
          </w:p>
        </w:tc>
        <w:tc>
          <w:tcPr>
            <w:tcW w:w="720" w:type="dxa"/>
            <w:tcBorders>
              <w:top w:val="nil"/>
              <w:left w:val="nil"/>
              <w:bottom w:val="nil"/>
              <w:right w:val="nil"/>
            </w:tcBorders>
            <w:shd w:val="clear" w:color="000000" w:fill="FFFFFF"/>
            <w:noWrap/>
            <w:vAlign w:val="center"/>
            <w:hideMark/>
          </w:tcPr>
          <w:p w14:paraId="034DF0DC" w14:textId="5FEB035E"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18.0</w:t>
            </w:r>
          </w:p>
        </w:tc>
        <w:tc>
          <w:tcPr>
            <w:tcW w:w="720" w:type="dxa"/>
            <w:tcBorders>
              <w:top w:val="nil"/>
              <w:left w:val="nil"/>
              <w:bottom w:val="nil"/>
              <w:right w:val="single" w:sz="12" w:space="0" w:color="auto"/>
            </w:tcBorders>
            <w:shd w:val="clear" w:color="000000" w:fill="FFFFFF"/>
            <w:noWrap/>
            <w:vAlign w:val="center"/>
            <w:hideMark/>
          </w:tcPr>
          <w:p w14:paraId="601DDEFE" w14:textId="55ED1B97"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16.8</w:t>
            </w:r>
          </w:p>
        </w:tc>
        <w:tc>
          <w:tcPr>
            <w:tcW w:w="3477" w:type="dxa"/>
            <w:tcBorders>
              <w:top w:val="nil"/>
              <w:left w:val="single" w:sz="12" w:space="0" w:color="auto"/>
              <w:bottom w:val="nil"/>
              <w:right w:val="nil"/>
            </w:tcBorders>
            <w:shd w:val="clear" w:color="000000" w:fill="FFFFFF"/>
            <w:noWrap/>
            <w:vAlign w:val="center"/>
            <w:hideMark/>
          </w:tcPr>
          <w:p w14:paraId="7500A385"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color w:val="000000"/>
                <w:sz w:val="20"/>
                <w:szCs w:val="20"/>
              </w:rPr>
              <w:t>Education</w:t>
            </w:r>
          </w:p>
        </w:tc>
        <w:tc>
          <w:tcPr>
            <w:tcW w:w="777" w:type="dxa"/>
            <w:tcBorders>
              <w:top w:val="nil"/>
              <w:left w:val="nil"/>
              <w:bottom w:val="nil"/>
              <w:right w:val="nil"/>
            </w:tcBorders>
            <w:shd w:val="clear" w:color="000000" w:fill="FFFFFF"/>
            <w:noWrap/>
            <w:vAlign w:val="center"/>
            <w:hideMark/>
          </w:tcPr>
          <w:p w14:paraId="348E0FB7" w14:textId="58B97D51" w:rsidR="00581E66" w:rsidRPr="000D3090" w:rsidRDefault="00581E66" w:rsidP="00581E66">
            <w:pPr>
              <w:tabs>
                <w:tab w:val="decimal" w:pos="165"/>
              </w:tabs>
              <w:spacing w:after="0" w:line="240" w:lineRule="auto"/>
              <w:jc w:val="center"/>
              <w:rPr>
                <w:rFonts w:eastAsia="Times New Roman"/>
                <w:color w:val="000000"/>
                <w:sz w:val="20"/>
                <w:szCs w:val="20"/>
              </w:rPr>
            </w:pPr>
          </w:p>
        </w:tc>
        <w:tc>
          <w:tcPr>
            <w:tcW w:w="720" w:type="dxa"/>
            <w:tcBorders>
              <w:top w:val="nil"/>
              <w:left w:val="nil"/>
              <w:bottom w:val="nil"/>
              <w:right w:val="single" w:sz="12" w:space="0" w:color="auto"/>
            </w:tcBorders>
            <w:shd w:val="clear" w:color="000000" w:fill="FFFFFF"/>
            <w:noWrap/>
            <w:vAlign w:val="center"/>
            <w:hideMark/>
          </w:tcPr>
          <w:p w14:paraId="48FDB69F" w14:textId="5F09722D" w:rsidR="00581E66" w:rsidRPr="000D3090"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586B3046"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hideMark/>
          </w:tcPr>
          <w:p w14:paraId="5323B431" w14:textId="4B75858E"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65 or older</w:t>
            </w:r>
          </w:p>
        </w:tc>
        <w:tc>
          <w:tcPr>
            <w:tcW w:w="720" w:type="dxa"/>
            <w:tcBorders>
              <w:top w:val="nil"/>
              <w:left w:val="nil"/>
              <w:bottom w:val="nil"/>
              <w:right w:val="nil"/>
            </w:tcBorders>
            <w:shd w:val="clear" w:color="000000" w:fill="FFFFFF"/>
            <w:noWrap/>
            <w:vAlign w:val="center"/>
            <w:hideMark/>
          </w:tcPr>
          <w:p w14:paraId="1BC4A2E8" w14:textId="687E9273"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29.0</w:t>
            </w:r>
          </w:p>
        </w:tc>
        <w:tc>
          <w:tcPr>
            <w:tcW w:w="720" w:type="dxa"/>
            <w:tcBorders>
              <w:top w:val="nil"/>
              <w:left w:val="nil"/>
              <w:bottom w:val="nil"/>
              <w:right w:val="single" w:sz="12" w:space="0" w:color="auto"/>
            </w:tcBorders>
            <w:shd w:val="clear" w:color="000000" w:fill="FFFFFF"/>
            <w:noWrap/>
            <w:vAlign w:val="center"/>
            <w:hideMark/>
          </w:tcPr>
          <w:p w14:paraId="61AA4F5C" w14:textId="5AC52E4D"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21.6</w:t>
            </w:r>
          </w:p>
        </w:tc>
        <w:tc>
          <w:tcPr>
            <w:tcW w:w="3477" w:type="dxa"/>
            <w:tcBorders>
              <w:top w:val="nil"/>
              <w:left w:val="single" w:sz="12" w:space="0" w:color="auto"/>
              <w:bottom w:val="nil"/>
              <w:right w:val="nil"/>
            </w:tcBorders>
            <w:shd w:val="clear" w:color="000000" w:fill="FFFFFF"/>
            <w:noWrap/>
            <w:vAlign w:val="center"/>
            <w:hideMark/>
          </w:tcPr>
          <w:p w14:paraId="5DB35549" w14:textId="3CCB524B"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sz w:val="20"/>
                <w:szCs w:val="20"/>
              </w:rPr>
              <w:t>Less than high school diploma</w:t>
            </w:r>
          </w:p>
        </w:tc>
        <w:tc>
          <w:tcPr>
            <w:tcW w:w="777" w:type="dxa"/>
            <w:tcBorders>
              <w:top w:val="nil"/>
              <w:left w:val="nil"/>
              <w:bottom w:val="nil"/>
              <w:right w:val="nil"/>
            </w:tcBorders>
            <w:shd w:val="clear" w:color="000000" w:fill="FFFFFF"/>
            <w:noWrap/>
            <w:vAlign w:val="center"/>
            <w:hideMark/>
          </w:tcPr>
          <w:p w14:paraId="43DBBBB1" w14:textId="3DBD1880"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6.8</w:t>
            </w:r>
          </w:p>
        </w:tc>
        <w:tc>
          <w:tcPr>
            <w:tcW w:w="720" w:type="dxa"/>
            <w:tcBorders>
              <w:top w:val="nil"/>
              <w:left w:val="nil"/>
              <w:bottom w:val="nil"/>
              <w:right w:val="single" w:sz="12" w:space="0" w:color="auto"/>
            </w:tcBorders>
            <w:shd w:val="clear" w:color="000000" w:fill="FFFFFF"/>
            <w:noWrap/>
            <w:vAlign w:val="center"/>
            <w:hideMark/>
          </w:tcPr>
          <w:p w14:paraId="5FBC5DE6" w14:textId="1A61B16E"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19.6</w:t>
            </w:r>
          </w:p>
        </w:tc>
      </w:tr>
      <w:tr w:rsidR="00581E66" w:rsidRPr="000D3090" w14:paraId="13890A00"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2327C09A" w14:textId="6E592432" w:rsidR="00581E66" w:rsidRPr="000D3090" w:rsidRDefault="00581E66" w:rsidP="00581E66">
            <w:pPr>
              <w:spacing w:after="0" w:line="240" w:lineRule="auto"/>
              <w:rPr>
                <w:rFonts w:eastAsia="Times New Roman"/>
                <w:b/>
                <w:bCs/>
                <w:sz w:val="20"/>
                <w:szCs w:val="20"/>
              </w:rPr>
            </w:pPr>
            <w:r w:rsidRPr="000D3090">
              <w:rPr>
                <w:rFonts w:eastAsia="Times New Roman"/>
                <w:b/>
                <w:bCs/>
                <w:color w:val="000000"/>
                <w:sz w:val="20"/>
                <w:szCs w:val="20"/>
              </w:rPr>
              <w:t>Employment</w:t>
            </w:r>
          </w:p>
        </w:tc>
        <w:tc>
          <w:tcPr>
            <w:tcW w:w="720" w:type="dxa"/>
            <w:tcBorders>
              <w:top w:val="nil"/>
              <w:left w:val="nil"/>
              <w:bottom w:val="nil"/>
              <w:right w:val="nil"/>
            </w:tcBorders>
            <w:shd w:val="clear" w:color="000000" w:fill="FFFFFF"/>
            <w:noWrap/>
            <w:vAlign w:val="center"/>
          </w:tcPr>
          <w:p w14:paraId="47149F40" w14:textId="2B173F26" w:rsidR="00581E66" w:rsidRPr="000D3090" w:rsidRDefault="00581E66" w:rsidP="00581E66">
            <w:pPr>
              <w:tabs>
                <w:tab w:val="decimal" w:pos="225"/>
              </w:tabs>
              <w:spacing w:after="0" w:line="240" w:lineRule="auto"/>
              <w:jc w:val="center"/>
              <w:rPr>
                <w:rFonts w:eastAsia="Times New Roman"/>
                <w:sz w:val="20"/>
                <w:szCs w:val="20"/>
              </w:rPr>
            </w:pPr>
          </w:p>
        </w:tc>
        <w:tc>
          <w:tcPr>
            <w:tcW w:w="720" w:type="dxa"/>
            <w:tcBorders>
              <w:top w:val="nil"/>
              <w:left w:val="nil"/>
              <w:bottom w:val="nil"/>
              <w:right w:val="single" w:sz="12" w:space="0" w:color="auto"/>
            </w:tcBorders>
            <w:shd w:val="clear" w:color="000000" w:fill="FFFFFF"/>
            <w:noWrap/>
            <w:vAlign w:val="center"/>
          </w:tcPr>
          <w:p w14:paraId="7D2E22C7" w14:textId="35DE68CD" w:rsidR="00581E66" w:rsidRPr="000D3090" w:rsidRDefault="00581E66" w:rsidP="00581E66">
            <w:pPr>
              <w:tabs>
                <w:tab w:val="decimal" w:pos="255"/>
              </w:tabs>
              <w:spacing w:after="0" w:line="240" w:lineRule="auto"/>
              <w:jc w:val="center"/>
              <w:rPr>
                <w:rFonts w:eastAsia="Times New Roman"/>
                <w:sz w:val="20"/>
                <w:szCs w:val="20"/>
              </w:rPr>
            </w:pPr>
          </w:p>
        </w:tc>
        <w:tc>
          <w:tcPr>
            <w:tcW w:w="3477" w:type="dxa"/>
            <w:tcBorders>
              <w:top w:val="nil"/>
              <w:left w:val="single" w:sz="12" w:space="0" w:color="auto"/>
              <w:bottom w:val="nil"/>
              <w:right w:val="nil"/>
            </w:tcBorders>
            <w:shd w:val="clear" w:color="000000" w:fill="FFFFFF"/>
            <w:noWrap/>
            <w:vAlign w:val="center"/>
            <w:hideMark/>
          </w:tcPr>
          <w:p w14:paraId="6DF925E6" w14:textId="7777777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High school diploma</w:t>
            </w:r>
          </w:p>
        </w:tc>
        <w:tc>
          <w:tcPr>
            <w:tcW w:w="777" w:type="dxa"/>
            <w:tcBorders>
              <w:top w:val="nil"/>
              <w:left w:val="nil"/>
              <w:bottom w:val="nil"/>
              <w:right w:val="nil"/>
            </w:tcBorders>
            <w:shd w:val="clear" w:color="000000" w:fill="FFFFFF"/>
            <w:noWrap/>
            <w:vAlign w:val="center"/>
            <w:hideMark/>
          </w:tcPr>
          <w:p w14:paraId="0A2FE145" w14:textId="30E09504"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15.4</w:t>
            </w:r>
          </w:p>
        </w:tc>
        <w:tc>
          <w:tcPr>
            <w:tcW w:w="720" w:type="dxa"/>
            <w:tcBorders>
              <w:top w:val="nil"/>
              <w:left w:val="nil"/>
              <w:bottom w:val="nil"/>
              <w:right w:val="single" w:sz="12" w:space="0" w:color="auto"/>
            </w:tcBorders>
            <w:shd w:val="clear" w:color="000000" w:fill="FFFFFF"/>
            <w:noWrap/>
            <w:vAlign w:val="center"/>
            <w:hideMark/>
          </w:tcPr>
          <w:p w14:paraId="69E1B927" w14:textId="32C17BF1"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28.6</w:t>
            </w:r>
          </w:p>
        </w:tc>
      </w:tr>
      <w:tr w:rsidR="00581E66" w:rsidRPr="000D3090" w14:paraId="740D31A8"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0B516D02" w14:textId="6CCE90A4"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color w:val="000000"/>
                <w:sz w:val="20"/>
                <w:szCs w:val="20"/>
              </w:rPr>
              <w:t>Unemployed (and not retired)</w:t>
            </w:r>
          </w:p>
        </w:tc>
        <w:tc>
          <w:tcPr>
            <w:tcW w:w="720" w:type="dxa"/>
            <w:tcBorders>
              <w:top w:val="nil"/>
              <w:left w:val="nil"/>
              <w:bottom w:val="nil"/>
              <w:right w:val="nil"/>
            </w:tcBorders>
            <w:shd w:val="clear" w:color="000000" w:fill="FFFFFF"/>
            <w:noWrap/>
            <w:vAlign w:val="center"/>
          </w:tcPr>
          <w:p w14:paraId="4DCF9262" w14:textId="35DDEC4C" w:rsidR="00581E66" w:rsidRPr="000D3090" w:rsidRDefault="00581E66" w:rsidP="00581E66">
            <w:pPr>
              <w:tabs>
                <w:tab w:val="decimal" w:pos="225"/>
              </w:tabs>
              <w:spacing w:after="0" w:line="240" w:lineRule="auto"/>
              <w:jc w:val="center"/>
              <w:rPr>
                <w:rFonts w:eastAsia="Times New Roman"/>
                <w:sz w:val="20"/>
                <w:szCs w:val="20"/>
              </w:rPr>
            </w:pPr>
            <w:r w:rsidRPr="000D3090">
              <w:rPr>
                <w:rFonts w:eastAsia="Times New Roman"/>
                <w:color w:val="000000"/>
                <w:sz w:val="20"/>
                <w:szCs w:val="20"/>
              </w:rPr>
              <w:t>19.0</w:t>
            </w:r>
          </w:p>
        </w:tc>
        <w:tc>
          <w:tcPr>
            <w:tcW w:w="720" w:type="dxa"/>
            <w:tcBorders>
              <w:top w:val="nil"/>
              <w:left w:val="nil"/>
              <w:bottom w:val="nil"/>
              <w:right w:val="single" w:sz="12" w:space="0" w:color="auto"/>
            </w:tcBorders>
            <w:shd w:val="clear" w:color="000000" w:fill="FFFFFF"/>
            <w:noWrap/>
            <w:vAlign w:val="center"/>
          </w:tcPr>
          <w:p w14:paraId="2F2F9D55" w14:textId="3FB72201" w:rsidR="00581E66" w:rsidRPr="000D3090" w:rsidRDefault="00581E66" w:rsidP="00581E66">
            <w:pPr>
              <w:tabs>
                <w:tab w:val="decimal" w:pos="255"/>
              </w:tabs>
              <w:spacing w:after="0" w:line="240" w:lineRule="auto"/>
              <w:jc w:val="center"/>
              <w:rPr>
                <w:rFonts w:eastAsia="Times New Roman"/>
                <w:sz w:val="20"/>
                <w:szCs w:val="20"/>
              </w:rPr>
            </w:pPr>
            <w:r w:rsidRPr="000D3090">
              <w:rPr>
                <w:rFonts w:eastAsia="Times New Roman"/>
                <w:color w:val="000000"/>
                <w:sz w:val="20"/>
                <w:szCs w:val="20"/>
              </w:rPr>
              <w:t>21.9</w:t>
            </w:r>
          </w:p>
        </w:tc>
        <w:tc>
          <w:tcPr>
            <w:tcW w:w="3477" w:type="dxa"/>
            <w:tcBorders>
              <w:top w:val="nil"/>
              <w:left w:val="single" w:sz="12" w:space="0" w:color="auto"/>
              <w:bottom w:val="nil"/>
              <w:right w:val="nil"/>
            </w:tcBorders>
            <w:shd w:val="clear" w:color="000000" w:fill="FFFFFF"/>
            <w:noWrap/>
            <w:vAlign w:val="center"/>
            <w:hideMark/>
          </w:tcPr>
          <w:p w14:paraId="50B396A7" w14:textId="0845DEC0"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Some college</w:t>
            </w:r>
          </w:p>
        </w:tc>
        <w:tc>
          <w:tcPr>
            <w:tcW w:w="777" w:type="dxa"/>
            <w:tcBorders>
              <w:top w:val="nil"/>
              <w:left w:val="nil"/>
              <w:bottom w:val="nil"/>
              <w:right w:val="nil"/>
            </w:tcBorders>
            <w:shd w:val="clear" w:color="000000" w:fill="FFFFFF"/>
            <w:noWrap/>
            <w:vAlign w:val="center"/>
            <w:hideMark/>
          </w:tcPr>
          <w:p w14:paraId="14A7572B" w14:textId="6FA061D8"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28.8</w:t>
            </w:r>
          </w:p>
        </w:tc>
        <w:tc>
          <w:tcPr>
            <w:tcW w:w="720" w:type="dxa"/>
            <w:tcBorders>
              <w:top w:val="nil"/>
              <w:left w:val="nil"/>
              <w:bottom w:val="nil"/>
              <w:right w:val="single" w:sz="12" w:space="0" w:color="auto"/>
            </w:tcBorders>
            <w:shd w:val="clear" w:color="000000" w:fill="FFFFFF"/>
            <w:noWrap/>
            <w:vAlign w:val="center"/>
            <w:hideMark/>
          </w:tcPr>
          <w:p w14:paraId="72C7BF92" w14:textId="1E2DF48D"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27.4</w:t>
            </w:r>
          </w:p>
        </w:tc>
      </w:tr>
      <w:tr w:rsidR="00581E66" w:rsidRPr="000D3090" w14:paraId="106166A0"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3936F058" w14:textId="183132A5" w:rsidR="00581E66" w:rsidRPr="000D3090" w:rsidRDefault="00581E66" w:rsidP="00581E66">
            <w:pPr>
              <w:spacing w:after="0" w:line="240" w:lineRule="auto"/>
              <w:ind w:firstLineChars="100" w:firstLine="200"/>
              <w:rPr>
                <w:rFonts w:eastAsia="Times New Roman"/>
                <w:sz w:val="20"/>
                <w:szCs w:val="20"/>
              </w:rPr>
            </w:pPr>
            <w:r w:rsidRPr="000D3090">
              <w:rPr>
                <w:rFonts w:eastAsia="Times New Roman"/>
                <w:color w:val="000000"/>
                <w:sz w:val="20"/>
                <w:szCs w:val="20"/>
              </w:rPr>
              <w:t>Retired</w:t>
            </w:r>
          </w:p>
        </w:tc>
        <w:tc>
          <w:tcPr>
            <w:tcW w:w="720" w:type="dxa"/>
            <w:tcBorders>
              <w:top w:val="nil"/>
              <w:left w:val="nil"/>
              <w:right w:val="nil"/>
            </w:tcBorders>
            <w:shd w:val="clear" w:color="000000" w:fill="FFFFFF"/>
            <w:noWrap/>
            <w:vAlign w:val="center"/>
          </w:tcPr>
          <w:p w14:paraId="0BAF329E" w14:textId="640B935F" w:rsidR="00581E66" w:rsidRPr="000D3090" w:rsidRDefault="00581E66" w:rsidP="00581E66">
            <w:pPr>
              <w:tabs>
                <w:tab w:val="decimal" w:pos="225"/>
              </w:tabs>
              <w:spacing w:after="0" w:line="240" w:lineRule="auto"/>
              <w:jc w:val="center"/>
              <w:rPr>
                <w:rFonts w:eastAsia="Times New Roman"/>
                <w:sz w:val="20"/>
                <w:szCs w:val="20"/>
              </w:rPr>
            </w:pPr>
            <w:r w:rsidRPr="000D3090">
              <w:rPr>
                <w:rFonts w:eastAsia="Times New Roman"/>
                <w:color w:val="000000"/>
                <w:sz w:val="20"/>
                <w:szCs w:val="20"/>
              </w:rPr>
              <w:t>26.7</w:t>
            </w:r>
          </w:p>
        </w:tc>
        <w:tc>
          <w:tcPr>
            <w:tcW w:w="720" w:type="dxa"/>
            <w:tcBorders>
              <w:top w:val="nil"/>
              <w:left w:val="nil"/>
              <w:bottom w:val="nil"/>
              <w:right w:val="single" w:sz="12" w:space="0" w:color="auto"/>
            </w:tcBorders>
            <w:shd w:val="clear" w:color="000000" w:fill="FFFFFF"/>
            <w:noWrap/>
            <w:vAlign w:val="center"/>
          </w:tcPr>
          <w:p w14:paraId="5B359849" w14:textId="2B218EA9" w:rsidR="00581E66" w:rsidRPr="000D3090" w:rsidRDefault="00581E66" w:rsidP="00581E66">
            <w:pPr>
              <w:tabs>
                <w:tab w:val="decimal" w:pos="255"/>
              </w:tabs>
              <w:spacing w:after="0" w:line="240" w:lineRule="auto"/>
              <w:jc w:val="center"/>
              <w:rPr>
                <w:rFonts w:eastAsia="Times New Roman"/>
                <w:sz w:val="20"/>
                <w:szCs w:val="20"/>
              </w:rPr>
            </w:pPr>
            <w:r w:rsidRPr="000D3090">
              <w:rPr>
                <w:rFonts w:eastAsia="Times New Roman"/>
                <w:color w:val="000000"/>
                <w:sz w:val="20"/>
                <w:szCs w:val="20"/>
              </w:rPr>
              <w:t>18.4</w:t>
            </w:r>
          </w:p>
        </w:tc>
        <w:tc>
          <w:tcPr>
            <w:tcW w:w="3477" w:type="dxa"/>
            <w:tcBorders>
              <w:top w:val="nil"/>
              <w:left w:val="single" w:sz="12" w:space="0" w:color="auto"/>
              <w:bottom w:val="nil"/>
              <w:right w:val="nil"/>
            </w:tcBorders>
            <w:shd w:val="clear" w:color="000000" w:fill="FFFFFF"/>
            <w:noWrap/>
            <w:vAlign w:val="center"/>
            <w:hideMark/>
          </w:tcPr>
          <w:p w14:paraId="32200DE6" w14:textId="4FFDEDB8"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Bachelor</w:t>
            </w:r>
            <w:r w:rsidR="002429AD" w:rsidRPr="000D3090">
              <w:rPr>
                <w:rFonts w:eastAsia="Times New Roman"/>
                <w:color w:val="000000"/>
                <w:sz w:val="20"/>
                <w:szCs w:val="20"/>
              </w:rPr>
              <w:t>’</w:t>
            </w:r>
            <w:r w:rsidRPr="000D3090">
              <w:rPr>
                <w:rFonts w:eastAsia="Times New Roman"/>
                <w:color w:val="000000"/>
                <w:sz w:val="20"/>
                <w:szCs w:val="20"/>
              </w:rPr>
              <w:t>s degree</w:t>
            </w:r>
          </w:p>
        </w:tc>
        <w:tc>
          <w:tcPr>
            <w:tcW w:w="777" w:type="dxa"/>
            <w:tcBorders>
              <w:top w:val="nil"/>
              <w:left w:val="nil"/>
              <w:bottom w:val="nil"/>
              <w:right w:val="nil"/>
            </w:tcBorders>
            <w:shd w:val="clear" w:color="000000" w:fill="FFFFFF"/>
            <w:noWrap/>
            <w:vAlign w:val="center"/>
            <w:hideMark/>
          </w:tcPr>
          <w:p w14:paraId="12C2012E" w14:textId="365AF748"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27.9</w:t>
            </w:r>
          </w:p>
        </w:tc>
        <w:tc>
          <w:tcPr>
            <w:tcW w:w="720" w:type="dxa"/>
            <w:tcBorders>
              <w:top w:val="nil"/>
              <w:left w:val="nil"/>
              <w:bottom w:val="nil"/>
              <w:right w:val="single" w:sz="12" w:space="0" w:color="auto"/>
            </w:tcBorders>
            <w:shd w:val="clear" w:color="000000" w:fill="FFFFFF"/>
            <w:noWrap/>
            <w:vAlign w:val="center"/>
            <w:hideMark/>
          </w:tcPr>
          <w:p w14:paraId="37B40645" w14:textId="5ACD5D32"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15.5</w:t>
            </w:r>
          </w:p>
        </w:tc>
      </w:tr>
      <w:tr w:rsidR="00581E66" w:rsidRPr="000D3090" w14:paraId="0D852185" w14:textId="77777777" w:rsidTr="004B5462">
        <w:trPr>
          <w:trHeight w:val="20"/>
          <w:jc w:val="center"/>
        </w:trPr>
        <w:tc>
          <w:tcPr>
            <w:tcW w:w="3405" w:type="dxa"/>
            <w:tcBorders>
              <w:top w:val="nil"/>
              <w:left w:val="single" w:sz="12" w:space="0" w:color="auto"/>
              <w:bottom w:val="nil"/>
            </w:tcBorders>
            <w:shd w:val="clear" w:color="000000" w:fill="FFFFFF"/>
            <w:noWrap/>
            <w:vAlign w:val="center"/>
          </w:tcPr>
          <w:p w14:paraId="379D37C9" w14:textId="77777777"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Employed</w:t>
            </w:r>
          </w:p>
        </w:tc>
        <w:tc>
          <w:tcPr>
            <w:tcW w:w="720" w:type="dxa"/>
            <w:tcBorders>
              <w:top w:val="nil"/>
              <w:bottom w:val="nil"/>
            </w:tcBorders>
            <w:shd w:val="clear" w:color="000000" w:fill="FFFFFF"/>
            <w:vAlign w:val="center"/>
          </w:tcPr>
          <w:p w14:paraId="2571F090" w14:textId="137D316A" w:rsidR="00581E66" w:rsidRPr="000D3090" w:rsidRDefault="00581E66" w:rsidP="00581E66">
            <w:pPr>
              <w:tabs>
                <w:tab w:val="decimal" w:pos="225"/>
              </w:tabs>
              <w:spacing w:after="0" w:line="240" w:lineRule="auto"/>
              <w:jc w:val="center"/>
              <w:rPr>
                <w:rFonts w:eastAsia="Times New Roman"/>
                <w:b/>
                <w:bCs/>
                <w:color w:val="000000"/>
                <w:sz w:val="20"/>
                <w:szCs w:val="20"/>
              </w:rPr>
            </w:pPr>
            <w:r w:rsidRPr="000D3090">
              <w:rPr>
                <w:rFonts w:eastAsia="Times New Roman"/>
                <w:color w:val="000000"/>
                <w:sz w:val="20"/>
                <w:szCs w:val="20"/>
              </w:rPr>
              <w:t>54.3</w:t>
            </w:r>
          </w:p>
        </w:tc>
        <w:tc>
          <w:tcPr>
            <w:tcW w:w="720" w:type="dxa"/>
            <w:tcBorders>
              <w:top w:val="nil"/>
              <w:left w:val="nil"/>
              <w:bottom w:val="nil"/>
              <w:right w:val="single" w:sz="12" w:space="0" w:color="auto"/>
            </w:tcBorders>
            <w:shd w:val="clear" w:color="000000" w:fill="FFFFFF"/>
            <w:vAlign w:val="center"/>
          </w:tcPr>
          <w:p w14:paraId="27259B05" w14:textId="44DD78B6" w:rsidR="00581E66" w:rsidRPr="000D3090" w:rsidRDefault="00581E66" w:rsidP="00581E66">
            <w:pPr>
              <w:tabs>
                <w:tab w:val="decimal" w:pos="255"/>
              </w:tabs>
              <w:spacing w:after="0" w:line="240" w:lineRule="auto"/>
              <w:jc w:val="center"/>
              <w:rPr>
                <w:rFonts w:eastAsia="Times New Roman"/>
                <w:b/>
                <w:bCs/>
                <w:color w:val="000000"/>
                <w:sz w:val="20"/>
                <w:szCs w:val="20"/>
              </w:rPr>
            </w:pPr>
            <w:r w:rsidRPr="000D3090">
              <w:rPr>
                <w:rFonts w:eastAsia="Times New Roman"/>
                <w:color w:val="000000"/>
                <w:sz w:val="20"/>
                <w:szCs w:val="20"/>
              </w:rPr>
              <w:t>59.7</w:t>
            </w:r>
          </w:p>
        </w:tc>
        <w:tc>
          <w:tcPr>
            <w:tcW w:w="3477" w:type="dxa"/>
            <w:tcBorders>
              <w:top w:val="nil"/>
              <w:left w:val="single" w:sz="12" w:space="0" w:color="auto"/>
              <w:bottom w:val="nil"/>
              <w:right w:val="nil"/>
            </w:tcBorders>
            <w:shd w:val="clear" w:color="000000" w:fill="FFFFFF"/>
            <w:noWrap/>
            <w:vAlign w:val="center"/>
          </w:tcPr>
          <w:p w14:paraId="68B8C91C" w14:textId="514902F9"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Graduate degree</w:t>
            </w:r>
          </w:p>
        </w:tc>
        <w:tc>
          <w:tcPr>
            <w:tcW w:w="777" w:type="dxa"/>
            <w:tcBorders>
              <w:top w:val="nil"/>
              <w:left w:val="nil"/>
              <w:bottom w:val="nil"/>
              <w:right w:val="nil"/>
            </w:tcBorders>
            <w:shd w:val="clear" w:color="000000" w:fill="FFFFFF"/>
            <w:noWrap/>
            <w:vAlign w:val="center"/>
          </w:tcPr>
          <w:p w14:paraId="14081D27" w14:textId="7F6CC9B6"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21.1</w:t>
            </w:r>
          </w:p>
        </w:tc>
        <w:tc>
          <w:tcPr>
            <w:tcW w:w="720" w:type="dxa"/>
            <w:tcBorders>
              <w:top w:val="nil"/>
              <w:left w:val="nil"/>
              <w:bottom w:val="nil"/>
              <w:right w:val="single" w:sz="12" w:space="0" w:color="auto"/>
            </w:tcBorders>
            <w:shd w:val="clear" w:color="000000" w:fill="FFFFFF"/>
            <w:noWrap/>
            <w:vAlign w:val="center"/>
            <w:hideMark/>
          </w:tcPr>
          <w:p w14:paraId="16531CD0" w14:textId="0B834507"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color w:val="000000"/>
                <w:sz w:val="20"/>
                <w:szCs w:val="20"/>
              </w:rPr>
              <w:t>8.9</w:t>
            </w:r>
          </w:p>
        </w:tc>
      </w:tr>
      <w:tr w:rsidR="00581E66" w:rsidRPr="000D3090" w14:paraId="07E73A34" w14:textId="44522382" w:rsidTr="004B5462">
        <w:trPr>
          <w:trHeight w:val="216"/>
          <w:jc w:val="center"/>
        </w:trPr>
        <w:tc>
          <w:tcPr>
            <w:tcW w:w="4125" w:type="dxa"/>
            <w:gridSpan w:val="2"/>
            <w:tcBorders>
              <w:top w:val="nil"/>
              <w:left w:val="single" w:sz="12" w:space="0" w:color="auto"/>
              <w:bottom w:val="nil"/>
              <w:right w:val="nil"/>
            </w:tcBorders>
            <w:shd w:val="clear" w:color="000000" w:fill="FFFFFF"/>
            <w:noWrap/>
            <w:vAlign w:val="center"/>
          </w:tcPr>
          <w:p w14:paraId="556AB0EC" w14:textId="3C18FA7B" w:rsidR="00581E66" w:rsidRPr="000D3090" w:rsidRDefault="00581E66" w:rsidP="00581E66">
            <w:pPr>
              <w:spacing w:after="0" w:line="240" w:lineRule="auto"/>
              <w:rPr>
                <w:rFonts w:eastAsia="Times New Roman"/>
                <w:color w:val="000000"/>
                <w:sz w:val="20"/>
                <w:szCs w:val="20"/>
              </w:rPr>
            </w:pPr>
            <w:r w:rsidRPr="000D3090">
              <w:rPr>
                <w:rFonts w:eastAsia="Times New Roman"/>
                <w:b/>
                <w:bCs/>
                <w:color w:val="000000"/>
                <w:sz w:val="20"/>
                <w:szCs w:val="20"/>
              </w:rPr>
              <w:t>Medical condition that makes travel difficult</w:t>
            </w:r>
          </w:p>
        </w:tc>
        <w:tc>
          <w:tcPr>
            <w:tcW w:w="720" w:type="dxa"/>
            <w:tcBorders>
              <w:top w:val="nil"/>
              <w:left w:val="nil"/>
              <w:bottom w:val="nil"/>
              <w:right w:val="single" w:sz="12" w:space="0" w:color="auto"/>
            </w:tcBorders>
            <w:shd w:val="clear" w:color="000000" w:fill="FFFFFF"/>
            <w:noWrap/>
            <w:vAlign w:val="center"/>
          </w:tcPr>
          <w:p w14:paraId="79123F9F" w14:textId="4A448FFD" w:rsidR="00581E66" w:rsidRPr="000D3090" w:rsidRDefault="00581E66" w:rsidP="00581E66">
            <w:pPr>
              <w:tabs>
                <w:tab w:val="decimal" w:pos="255"/>
              </w:tabs>
              <w:spacing w:after="0" w:line="240" w:lineRule="auto"/>
              <w:jc w:val="center"/>
              <w:rPr>
                <w:rFonts w:eastAsia="Times New Roman"/>
                <w:color w:val="000000"/>
                <w:sz w:val="20"/>
                <w:szCs w:val="20"/>
              </w:rPr>
            </w:pPr>
          </w:p>
        </w:tc>
        <w:tc>
          <w:tcPr>
            <w:tcW w:w="4254" w:type="dxa"/>
            <w:gridSpan w:val="2"/>
            <w:tcBorders>
              <w:top w:val="nil"/>
              <w:left w:val="single" w:sz="12" w:space="0" w:color="auto"/>
              <w:bottom w:val="nil"/>
              <w:right w:val="nil"/>
            </w:tcBorders>
            <w:shd w:val="clear" w:color="000000" w:fill="FFFFFF"/>
            <w:noWrap/>
            <w:vAlign w:val="center"/>
          </w:tcPr>
          <w:p w14:paraId="7844ED44" w14:textId="29DD2189" w:rsidR="00581E66" w:rsidRPr="000D3090" w:rsidRDefault="00581E66" w:rsidP="00581E66">
            <w:pPr>
              <w:spacing w:after="0" w:line="240" w:lineRule="auto"/>
              <w:rPr>
                <w:rFonts w:eastAsia="Times New Roman"/>
                <w:b/>
                <w:bCs/>
                <w:color w:val="000000"/>
                <w:sz w:val="20"/>
                <w:szCs w:val="20"/>
              </w:rPr>
            </w:pPr>
            <w:r w:rsidRPr="000D3090">
              <w:rPr>
                <w:rFonts w:eastAsia="Times New Roman"/>
                <w:b/>
                <w:bCs/>
                <w:sz w:val="20"/>
                <w:szCs w:val="20"/>
              </w:rPr>
              <w:t>Driver status</w:t>
            </w:r>
          </w:p>
        </w:tc>
        <w:tc>
          <w:tcPr>
            <w:tcW w:w="720" w:type="dxa"/>
            <w:tcBorders>
              <w:top w:val="nil"/>
              <w:left w:val="nil"/>
              <w:bottom w:val="nil"/>
              <w:right w:val="single" w:sz="12" w:space="0" w:color="auto"/>
            </w:tcBorders>
            <w:shd w:val="clear" w:color="000000" w:fill="FFFFFF"/>
            <w:noWrap/>
            <w:vAlign w:val="center"/>
          </w:tcPr>
          <w:p w14:paraId="074F4A6F" w14:textId="086E1BD1" w:rsidR="00581E66" w:rsidRPr="000D3090" w:rsidRDefault="00581E66" w:rsidP="00581E66">
            <w:pPr>
              <w:tabs>
                <w:tab w:val="decimal" w:pos="180"/>
              </w:tabs>
              <w:spacing w:after="0" w:line="240" w:lineRule="auto"/>
              <w:jc w:val="center"/>
              <w:rPr>
                <w:rFonts w:eastAsia="Times New Roman"/>
                <w:color w:val="000000"/>
                <w:sz w:val="20"/>
                <w:szCs w:val="20"/>
              </w:rPr>
            </w:pPr>
          </w:p>
        </w:tc>
      </w:tr>
      <w:tr w:rsidR="00581E66" w:rsidRPr="000D3090" w14:paraId="7795A1C3" w14:textId="77777777" w:rsidTr="004B5462">
        <w:trPr>
          <w:trHeight w:val="20"/>
          <w:jc w:val="center"/>
        </w:trPr>
        <w:tc>
          <w:tcPr>
            <w:tcW w:w="3405" w:type="dxa"/>
            <w:tcBorders>
              <w:top w:val="nil"/>
              <w:left w:val="single" w:sz="12" w:space="0" w:color="auto"/>
              <w:bottom w:val="nil"/>
              <w:right w:val="nil"/>
            </w:tcBorders>
            <w:shd w:val="clear" w:color="000000" w:fill="FFFFFF"/>
            <w:noWrap/>
            <w:vAlign w:val="center"/>
          </w:tcPr>
          <w:p w14:paraId="4CB08101" w14:textId="12219DA7"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color w:val="000000"/>
                <w:sz w:val="20"/>
                <w:szCs w:val="20"/>
              </w:rPr>
              <w:t>Yes</w:t>
            </w:r>
          </w:p>
        </w:tc>
        <w:tc>
          <w:tcPr>
            <w:tcW w:w="720" w:type="dxa"/>
            <w:tcBorders>
              <w:top w:val="nil"/>
              <w:left w:val="nil"/>
              <w:bottom w:val="nil"/>
              <w:right w:val="nil"/>
            </w:tcBorders>
            <w:shd w:val="clear" w:color="000000" w:fill="FFFFFF"/>
            <w:noWrap/>
            <w:vAlign w:val="center"/>
          </w:tcPr>
          <w:p w14:paraId="2A51F255" w14:textId="6B9C5B4F"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8.5</w:t>
            </w:r>
          </w:p>
        </w:tc>
        <w:tc>
          <w:tcPr>
            <w:tcW w:w="720" w:type="dxa"/>
            <w:tcBorders>
              <w:top w:val="nil"/>
              <w:left w:val="nil"/>
              <w:bottom w:val="nil"/>
              <w:right w:val="single" w:sz="12" w:space="0" w:color="auto"/>
            </w:tcBorders>
            <w:shd w:val="clear" w:color="000000" w:fill="FFFFFF"/>
            <w:noWrap/>
            <w:vAlign w:val="center"/>
          </w:tcPr>
          <w:p w14:paraId="24CA8118" w14:textId="6867DD0F"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w:t>
            </w:r>
          </w:p>
        </w:tc>
        <w:tc>
          <w:tcPr>
            <w:tcW w:w="3477" w:type="dxa"/>
            <w:tcBorders>
              <w:top w:val="nil"/>
              <w:left w:val="single" w:sz="12" w:space="0" w:color="auto"/>
              <w:bottom w:val="nil"/>
              <w:right w:val="nil"/>
            </w:tcBorders>
            <w:shd w:val="clear" w:color="000000" w:fill="FFFFFF"/>
            <w:noWrap/>
            <w:vAlign w:val="center"/>
          </w:tcPr>
          <w:p w14:paraId="07C743DF" w14:textId="235C56AB"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sz w:val="20"/>
                <w:szCs w:val="20"/>
              </w:rPr>
              <w:t>Driver</w:t>
            </w:r>
          </w:p>
        </w:tc>
        <w:tc>
          <w:tcPr>
            <w:tcW w:w="777" w:type="dxa"/>
            <w:tcBorders>
              <w:top w:val="nil"/>
              <w:left w:val="nil"/>
              <w:bottom w:val="nil"/>
              <w:right w:val="nil"/>
            </w:tcBorders>
            <w:shd w:val="clear" w:color="000000" w:fill="FFFFFF"/>
            <w:noWrap/>
            <w:vAlign w:val="center"/>
          </w:tcPr>
          <w:p w14:paraId="028386CD" w14:textId="3A0AAB05"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sz w:val="20"/>
                <w:szCs w:val="20"/>
              </w:rPr>
              <w:t>90.7</w:t>
            </w:r>
          </w:p>
        </w:tc>
        <w:tc>
          <w:tcPr>
            <w:tcW w:w="720" w:type="dxa"/>
            <w:tcBorders>
              <w:top w:val="nil"/>
              <w:left w:val="nil"/>
              <w:bottom w:val="nil"/>
              <w:right w:val="single" w:sz="12" w:space="0" w:color="auto"/>
            </w:tcBorders>
            <w:shd w:val="clear" w:color="000000" w:fill="FFFFFF"/>
            <w:noWrap/>
            <w:vAlign w:val="center"/>
          </w:tcPr>
          <w:p w14:paraId="0AD71036" w14:textId="464FA313"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sz w:val="20"/>
                <w:szCs w:val="20"/>
              </w:rPr>
              <w:t>--</w:t>
            </w:r>
          </w:p>
        </w:tc>
      </w:tr>
      <w:tr w:rsidR="00581E66" w:rsidRPr="000D3090" w14:paraId="30AB70A7" w14:textId="77777777" w:rsidTr="004B5462">
        <w:trPr>
          <w:trHeight w:val="234"/>
          <w:jc w:val="center"/>
        </w:trPr>
        <w:tc>
          <w:tcPr>
            <w:tcW w:w="3405" w:type="dxa"/>
            <w:tcBorders>
              <w:top w:val="nil"/>
              <w:left w:val="single" w:sz="12" w:space="0" w:color="auto"/>
              <w:bottom w:val="single" w:sz="12" w:space="0" w:color="auto"/>
              <w:right w:val="nil"/>
            </w:tcBorders>
            <w:shd w:val="clear" w:color="000000" w:fill="FFFFFF"/>
            <w:noWrap/>
            <w:vAlign w:val="center"/>
          </w:tcPr>
          <w:p w14:paraId="426BA4E0" w14:textId="5E88A5AF" w:rsidR="00581E66" w:rsidRPr="000D3090" w:rsidRDefault="00581E66" w:rsidP="00581E66">
            <w:pPr>
              <w:spacing w:after="0" w:line="240" w:lineRule="auto"/>
              <w:rPr>
                <w:rFonts w:eastAsia="Times New Roman"/>
                <w:b/>
                <w:bCs/>
                <w:color w:val="000000"/>
                <w:sz w:val="20"/>
                <w:szCs w:val="20"/>
              </w:rPr>
            </w:pPr>
            <w:r w:rsidRPr="000D3090">
              <w:rPr>
                <w:rFonts w:eastAsia="Times New Roman"/>
                <w:color w:val="000000"/>
                <w:sz w:val="20"/>
                <w:szCs w:val="20"/>
              </w:rPr>
              <w:t xml:space="preserve">    No</w:t>
            </w:r>
          </w:p>
        </w:tc>
        <w:tc>
          <w:tcPr>
            <w:tcW w:w="720" w:type="dxa"/>
            <w:tcBorders>
              <w:top w:val="nil"/>
              <w:left w:val="nil"/>
              <w:bottom w:val="single" w:sz="12" w:space="0" w:color="auto"/>
              <w:right w:val="nil"/>
            </w:tcBorders>
            <w:shd w:val="clear" w:color="000000" w:fill="FFFFFF"/>
            <w:noWrap/>
            <w:vAlign w:val="center"/>
          </w:tcPr>
          <w:p w14:paraId="36A0F76C" w14:textId="2917BF5C" w:rsidR="00581E66" w:rsidRPr="000D3090" w:rsidRDefault="00581E66" w:rsidP="00581E66">
            <w:pPr>
              <w:tabs>
                <w:tab w:val="decimal" w:pos="225"/>
              </w:tabs>
              <w:spacing w:after="0" w:line="240" w:lineRule="auto"/>
              <w:jc w:val="center"/>
              <w:rPr>
                <w:rFonts w:eastAsia="Times New Roman"/>
                <w:color w:val="000000"/>
                <w:sz w:val="20"/>
                <w:szCs w:val="20"/>
              </w:rPr>
            </w:pPr>
            <w:r w:rsidRPr="000D3090">
              <w:rPr>
                <w:rFonts w:eastAsia="Times New Roman"/>
                <w:color w:val="000000"/>
                <w:sz w:val="20"/>
                <w:szCs w:val="20"/>
              </w:rPr>
              <w:t>91.5</w:t>
            </w:r>
          </w:p>
        </w:tc>
        <w:tc>
          <w:tcPr>
            <w:tcW w:w="720" w:type="dxa"/>
            <w:tcBorders>
              <w:top w:val="nil"/>
              <w:left w:val="nil"/>
              <w:bottom w:val="single" w:sz="12" w:space="0" w:color="auto"/>
              <w:right w:val="single" w:sz="12" w:space="0" w:color="auto"/>
            </w:tcBorders>
            <w:shd w:val="clear" w:color="000000" w:fill="FFFFFF"/>
            <w:noWrap/>
            <w:vAlign w:val="center"/>
          </w:tcPr>
          <w:p w14:paraId="5840C01A" w14:textId="3C7130EA" w:rsidR="00581E66" w:rsidRPr="000D3090" w:rsidRDefault="00581E66" w:rsidP="00581E66">
            <w:pPr>
              <w:tabs>
                <w:tab w:val="decimal" w:pos="255"/>
              </w:tabs>
              <w:spacing w:after="0" w:line="240" w:lineRule="auto"/>
              <w:jc w:val="center"/>
              <w:rPr>
                <w:rFonts w:eastAsia="Times New Roman"/>
                <w:color w:val="000000"/>
                <w:sz w:val="20"/>
                <w:szCs w:val="20"/>
              </w:rPr>
            </w:pPr>
            <w:r w:rsidRPr="000D3090">
              <w:rPr>
                <w:rFonts w:eastAsia="Times New Roman"/>
                <w:color w:val="000000"/>
                <w:sz w:val="20"/>
                <w:szCs w:val="20"/>
              </w:rPr>
              <w:t>--</w:t>
            </w:r>
          </w:p>
        </w:tc>
        <w:tc>
          <w:tcPr>
            <w:tcW w:w="3477" w:type="dxa"/>
            <w:tcBorders>
              <w:top w:val="nil"/>
              <w:left w:val="single" w:sz="12" w:space="0" w:color="auto"/>
              <w:bottom w:val="single" w:sz="12" w:space="0" w:color="auto"/>
              <w:right w:val="nil"/>
            </w:tcBorders>
            <w:shd w:val="clear" w:color="000000" w:fill="FFFFFF"/>
            <w:noWrap/>
            <w:vAlign w:val="center"/>
          </w:tcPr>
          <w:p w14:paraId="4716856E" w14:textId="1DDFBF28" w:rsidR="00581E66" w:rsidRPr="000D3090" w:rsidRDefault="00581E66" w:rsidP="00581E66">
            <w:pPr>
              <w:spacing w:after="0" w:line="240" w:lineRule="auto"/>
              <w:ind w:firstLineChars="100" w:firstLine="200"/>
              <w:rPr>
                <w:rFonts w:eastAsia="Times New Roman"/>
                <w:color w:val="000000"/>
                <w:sz w:val="20"/>
                <w:szCs w:val="20"/>
              </w:rPr>
            </w:pPr>
            <w:r w:rsidRPr="000D3090">
              <w:rPr>
                <w:rFonts w:eastAsia="Times New Roman"/>
                <w:sz w:val="20"/>
                <w:szCs w:val="20"/>
              </w:rPr>
              <w:t>Non-driver</w:t>
            </w:r>
          </w:p>
        </w:tc>
        <w:tc>
          <w:tcPr>
            <w:tcW w:w="777" w:type="dxa"/>
            <w:tcBorders>
              <w:top w:val="nil"/>
              <w:left w:val="nil"/>
              <w:bottom w:val="single" w:sz="12" w:space="0" w:color="auto"/>
              <w:right w:val="nil"/>
            </w:tcBorders>
            <w:shd w:val="clear" w:color="000000" w:fill="FFFFFF"/>
            <w:noWrap/>
            <w:vAlign w:val="center"/>
          </w:tcPr>
          <w:p w14:paraId="46099A96" w14:textId="72DECA40" w:rsidR="00581E66" w:rsidRPr="000D3090" w:rsidRDefault="00581E66" w:rsidP="00581E66">
            <w:pPr>
              <w:tabs>
                <w:tab w:val="decimal" w:pos="165"/>
              </w:tabs>
              <w:spacing w:after="0" w:line="240" w:lineRule="auto"/>
              <w:jc w:val="center"/>
              <w:rPr>
                <w:rFonts w:eastAsia="Times New Roman"/>
                <w:color w:val="000000"/>
                <w:sz w:val="20"/>
                <w:szCs w:val="20"/>
              </w:rPr>
            </w:pPr>
            <w:r w:rsidRPr="000D3090">
              <w:rPr>
                <w:rFonts w:eastAsia="Times New Roman"/>
                <w:color w:val="000000"/>
                <w:sz w:val="20"/>
                <w:szCs w:val="20"/>
              </w:rPr>
              <w:t>9.3</w:t>
            </w:r>
          </w:p>
        </w:tc>
        <w:tc>
          <w:tcPr>
            <w:tcW w:w="720" w:type="dxa"/>
            <w:tcBorders>
              <w:top w:val="nil"/>
              <w:left w:val="nil"/>
              <w:bottom w:val="single" w:sz="12" w:space="0" w:color="auto"/>
              <w:right w:val="single" w:sz="12" w:space="0" w:color="auto"/>
            </w:tcBorders>
            <w:shd w:val="clear" w:color="000000" w:fill="FFFFFF"/>
            <w:noWrap/>
            <w:vAlign w:val="center"/>
          </w:tcPr>
          <w:p w14:paraId="797C4D39" w14:textId="70613F56" w:rsidR="00581E66" w:rsidRPr="000D3090" w:rsidRDefault="00581E66" w:rsidP="00581E66">
            <w:pPr>
              <w:tabs>
                <w:tab w:val="decimal" w:pos="180"/>
              </w:tabs>
              <w:spacing w:after="0" w:line="240" w:lineRule="auto"/>
              <w:jc w:val="center"/>
              <w:rPr>
                <w:rFonts w:eastAsia="Times New Roman"/>
                <w:color w:val="000000"/>
                <w:sz w:val="20"/>
                <w:szCs w:val="20"/>
              </w:rPr>
            </w:pPr>
            <w:r w:rsidRPr="000D3090">
              <w:rPr>
                <w:rFonts w:eastAsia="Times New Roman"/>
                <w:sz w:val="20"/>
                <w:szCs w:val="20"/>
              </w:rPr>
              <w:t>--</w:t>
            </w:r>
          </w:p>
        </w:tc>
      </w:tr>
      <w:bookmarkEnd w:id="16"/>
      <w:bookmarkEnd w:id="17"/>
    </w:tbl>
    <w:p w14:paraId="0D2E016B" w14:textId="77777777" w:rsidR="00581E66" w:rsidRPr="000D3090" w:rsidRDefault="000E5FC4">
      <w:r w:rsidRPr="000D3090">
        <w:br w:type="page"/>
      </w:r>
    </w:p>
    <w:p w14:paraId="02655C91" w14:textId="6BCF5CF5" w:rsidR="00296EA2" w:rsidRPr="000D3090" w:rsidRDefault="00296EA2">
      <w:pPr>
        <w:sectPr w:rsidR="00296EA2" w:rsidRPr="000D3090" w:rsidSect="00651843">
          <w:footerReference w:type="default" r:id="rId101"/>
          <w:pgSz w:w="12240" w:h="15840"/>
          <w:pgMar w:top="1440" w:right="1440" w:bottom="1440" w:left="1440" w:header="720" w:footer="720" w:gutter="0"/>
          <w:pgNumType w:start="1"/>
          <w:cols w:space="720"/>
          <w:docGrid w:linePitch="360"/>
        </w:sectPr>
      </w:pPr>
    </w:p>
    <w:p w14:paraId="2A229711" w14:textId="629C39E5" w:rsidR="002961DC" w:rsidRPr="000D3090" w:rsidRDefault="002961DC" w:rsidP="002961DC">
      <w:pPr>
        <w:spacing w:after="0" w:line="240" w:lineRule="auto"/>
        <w:jc w:val="both"/>
        <w:rPr>
          <w:b/>
          <w:bCs/>
        </w:rPr>
      </w:pPr>
      <w:r w:rsidRPr="000D3090">
        <w:rPr>
          <w:b/>
          <w:bCs/>
        </w:rPr>
        <w:lastRenderedPageBreak/>
        <w:t>Table 3 Main Estimation Results (1/3)</w:t>
      </w:r>
    </w:p>
    <w:p w14:paraId="0C0A333B" w14:textId="77777777" w:rsidR="002961DC" w:rsidRPr="000D3090" w:rsidRDefault="002961DC" w:rsidP="002961DC">
      <w:pPr>
        <w:spacing w:after="0" w:line="240" w:lineRule="auto"/>
        <w:jc w:val="both"/>
        <w:rPr>
          <w:sz w:val="20"/>
          <w:szCs w:val="20"/>
        </w:rPr>
      </w:pPr>
    </w:p>
    <w:tbl>
      <w:tblPr>
        <w:tblW w:w="13947" w:type="dxa"/>
        <w:jc w:val="center"/>
        <w:tblLayout w:type="fixed"/>
        <w:tblCellMar>
          <w:left w:w="0" w:type="dxa"/>
          <w:right w:w="0" w:type="dxa"/>
        </w:tblCellMar>
        <w:tblLook w:val="04A0" w:firstRow="1" w:lastRow="0" w:firstColumn="1" w:lastColumn="0" w:noHBand="0" w:noVBand="1"/>
      </w:tblPr>
      <w:tblGrid>
        <w:gridCol w:w="2595"/>
        <w:gridCol w:w="537"/>
        <w:gridCol w:w="541"/>
        <w:gridCol w:w="539"/>
        <w:gridCol w:w="449"/>
        <w:gridCol w:w="540"/>
        <w:gridCol w:w="450"/>
        <w:gridCol w:w="540"/>
        <w:gridCol w:w="450"/>
        <w:gridCol w:w="544"/>
        <w:gridCol w:w="540"/>
        <w:gridCol w:w="540"/>
        <w:gridCol w:w="450"/>
        <w:gridCol w:w="540"/>
        <w:gridCol w:w="450"/>
        <w:gridCol w:w="540"/>
        <w:gridCol w:w="454"/>
        <w:gridCol w:w="540"/>
        <w:gridCol w:w="456"/>
        <w:gridCol w:w="540"/>
        <w:gridCol w:w="540"/>
        <w:gridCol w:w="630"/>
        <w:gridCol w:w="542"/>
      </w:tblGrid>
      <w:tr w:rsidR="002961DC" w:rsidRPr="000D3090" w14:paraId="241768D1" w14:textId="77777777" w:rsidTr="00B425AD">
        <w:trPr>
          <w:trHeight w:val="20"/>
          <w:jc w:val="center"/>
        </w:trPr>
        <w:tc>
          <w:tcPr>
            <w:tcW w:w="2595" w:type="dxa"/>
            <w:vMerge w:val="restart"/>
            <w:tcBorders>
              <w:top w:val="single" w:sz="12" w:space="0" w:color="auto"/>
              <w:left w:val="single" w:sz="12" w:space="0" w:color="auto"/>
              <w:right w:val="single" w:sz="12" w:space="0" w:color="auto"/>
            </w:tcBorders>
            <w:shd w:val="clear" w:color="000000" w:fill="FFFFFF"/>
            <w:noWrap/>
            <w:vAlign w:val="center"/>
          </w:tcPr>
          <w:p w14:paraId="7E5C1FEB" w14:textId="77777777" w:rsidR="002961DC" w:rsidRPr="000D3090" w:rsidRDefault="002961DC" w:rsidP="00B425AD">
            <w:pPr>
              <w:spacing w:after="0" w:line="240" w:lineRule="auto"/>
              <w:jc w:val="center"/>
              <w:rPr>
                <w:rFonts w:eastAsia="Times New Roman"/>
                <w:color w:val="000000"/>
                <w:sz w:val="18"/>
                <w:szCs w:val="18"/>
              </w:rPr>
            </w:pPr>
            <w:bookmarkStart w:id="18" w:name="_Hlk196073988"/>
            <w:r w:rsidRPr="000D3090">
              <w:rPr>
                <w:rFonts w:eastAsia="Times New Roman"/>
                <w:color w:val="000000"/>
                <w:sz w:val="18"/>
                <w:szCs w:val="18"/>
              </w:rPr>
              <w:t>Thresholds/Variables (base)</w:t>
            </w:r>
          </w:p>
        </w:tc>
        <w:tc>
          <w:tcPr>
            <w:tcW w:w="1078" w:type="dxa"/>
            <w:gridSpan w:val="2"/>
            <w:vMerge w:val="restart"/>
            <w:tcBorders>
              <w:top w:val="single" w:sz="12" w:space="0" w:color="auto"/>
              <w:left w:val="single" w:sz="12" w:space="0" w:color="auto"/>
              <w:right w:val="single" w:sz="12" w:space="0" w:color="auto"/>
            </w:tcBorders>
            <w:shd w:val="clear" w:color="000000" w:fill="FFFFFF"/>
            <w:vAlign w:val="center"/>
          </w:tcPr>
          <w:p w14:paraId="2F417122"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PPD</w:t>
            </w:r>
          </w:p>
        </w:tc>
        <w:tc>
          <w:tcPr>
            <w:tcW w:w="8022" w:type="dxa"/>
            <w:gridSpan w:val="16"/>
            <w:tcBorders>
              <w:top w:val="single" w:sz="12" w:space="0" w:color="auto"/>
              <w:left w:val="single" w:sz="12" w:space="0" w:color="auto"/>
              <w:bottom w:val="single" w:sz="12" w:space="0" w:color="auto"/>
              <w:right w:val="single" w:sz="12" w:space="0" w:color="auto"/>
            </w:tcBorders>
            <w:shd w:val="clear" w:color="000000" w:fill="FFFFFF"/>
            <w:noWrap/>
            <w:vAlign w:val="bottom"/>
          </w:tcPr>
          <w:p w14:paraId="7C9DFB71"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PPD Reasons</w:t>
            </w:r>
          </w:p>
        </w:tc>
        <w:tc>
          <w:tcPr>
            <w:tcW w:w="2252" w:type="dxa"/>
            <w:gridSpan w:val="4"/>
            <w:tcBorders>
              <w:top w:val="single" w:sz="12" w:space="0" w:color="auto"/>
              <w:left w:val="single" w:sz="12" w:space="0" w:color="auto"/>
              <w:bottom w:val="single" w:sz="12" w:space="0" w:color="auto"/>
              <w:right w:val="single" w:sz="12" w:space="0" w:color="auto"/>
            </w:tcBorders>
            <w:shd w:val="clear" w:color="000000" w:fill="FFFFFF"/>
          </w:tcPr>
          <w:p w14:paraId="53C412F0"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 xml:space="preserve">Virtual Participation </w:t>
            </w:r>
          </w:p>
        </w:tc>
      </w:tr>
      <w:tr w:rsidR="002961DC" w:rsidRPr="000D3090" w14:paraId="30D57004" w14:textId="77777777" w:rsidTr="00B425AD">
        <w:trPr>
          <w:trHeight w:val="20"/>
          <w:jc w:val="center"/>
        </w:trPr>
        <w:tc>
          <w:tcPr>
            <w:tcW w:w="2595" w:type="dxa"/>
            <w:vMerge/>
            <w:tcBorders>
              <w:left w:val="single" w:sz="12" w:space="0" w:color="auto"/>
              <w:right w:val="single" w:sz="12" w:space="0" w:color="auto"/>
            </w:tcBorders>
            <w:shd w:val="clear" w:color="000000" w:fill="FFFFFF"/>
            <w:noWrap/>
            <w:vAlign w:val="center"/>
            <w:hideMark/>
          </w:tcPr>
          <w:p w14:paraId="311CD56C" w14:textId="77777777" w:rsidR="002961DC" w:rsidRPr="000D3090" w:rsidRDefault="002961DC" w:rsidP="00B425AD">
            <w:pPr>
              <w:spacing w:after="0" w:line="240" w:lineRule="auto"/>
              <w:jc w:val="center"/>
              <w:rPr>
                <w:rFonts w:eastAsia="Times New Roman"/>
                <w:color w:val="000000"/>
                <w:sz w:val="18"/>
                <w:szCs w:val="18"/>
              </w:rPr>
            </w:pPr>
          </w:p>
        </w:tc>
        <w:tc>
          <w:tcPr>
            <w:tcW w:w="1078" w:type="dxa"/>
            <w:gridSpan w:val="2"/>
            <w:vMerge/>
            <w:tcBorders>
              <w:left w:val="single" w:sz="12" w:space="0" w:color="auto"/>
              <w:bottom w:val="single" w:sz="12" w:space="0" w:color="auto"/>
              <w:right w:val="single" w:sz="12" w:space="0" w:color="auto"/>
            </w:tcBorders>
            <w:shd w:val="clear" w:color="000000" w:fill="FFFFFF"/>
          </w:tcPr>
          <w:p w14:paraId="3A344C41" w14:textId="77777777" w:rsidR="002961DC" w:rsidRPr="000D3090" w:rsidRDefault="002961DC" w:rsidP="00B425AD">
            <w:pPr>
              <w:spacing w:after="0" w:line="240" w:lineRule="auto"/>
              <w:jc w:val="center"/>
              <w:rPr>
                <w:rFonts w:eastAsia="Times New Roman"/>
                <w:color w:val="000000"/>
                <w:sz w:val="18"/>
                <w:szCs w:val="18"/>
              </w:rPr>
            </w:pPr>
          </w:p>
        </w:tc>
        <w:tc>
          <w:tcPr>
            <w:tcW w:w="988" w:type="dxa"/>
            <w:gridSpan w:val="2"/>
            <w:tcBorders>
              <w:top w:val="single" w:sz="12" w:space="0" w:color="auto"/>
              <w:left w:val="single" w:sz="12" w:space="0" w:color="auto"/>
              <w:bottom w:val="single" w:sz="12" w:space="0" w:color="auto"/>
              <w:right w:val="single" w:sz="4" w:space="0" w:color="000000"/>
            </w:tcBorders>
            <w:shd w:val="clear" w:color="000000" w:fill="FFFFFF"/>
            <w:noWrap/>
            <w:vAlign w:val="bottom"/>
            <w:hideMark/>
          </w:tcPr>
          <w:p w14:paraId="035E200D"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Safe</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4D003C4F"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Clean</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1D167546"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Reliable</w:t>
            </w:r>
          </w:p>
        </w:tc>
        <w:tc>
          <w:tcPr>
            <w:tcW w:w="1084" w:type="dxa"/>
            <w:gridSpan w:val="2"/>
            <w:tcBorders>
              <w:top w:val="single" w:sz="12" w:space="0" w:color="auto"/>
              <w:left w:val="nil"/>
              <w:bottom w:val="single" w:sz="12" w:space="0" w:color="auto"/>
              <w:right w:val="single" w:sz="4" w:space="0" w:color="000000"/>
            </w:tcBorders>
            <w:shd w:val="clear" w:color="000000" w:fill="FFFFFF"/>
            <w:vAlign w:val="bottom"/>
            <w:hideMark/>
          </w:tcPr>
          <w:p w14:paraId="019DB85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Poor Destination Access</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1AB617D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Affordable</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56BD16A1"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Health Problems</w:t>
            </w:r>
          </w:p>
        </w:tc>
        <w:tc>
          <w:tcPr>
            <w:tcW w:w="994"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2F19F212"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 Time</w:t>
            </w:r>
          </w:p>
        </w:tc>
        <w:tc>
          <w:tcPr>
            <w:tcW w:w="996" w:type="dxa"/>
            <w:gridSpan w:val="2"/>
            <w:tcBorders>
              <w:top w:val="single" w:sz="12" w:space="0" w:color="auto"/>
              <w:left w:val="nil"/>
              <w:bottom w:val="single" w:sz="12" w:space="0" w:color="auto"/>
              <w:right w:val="single" w:sz="12" w:space="0" w:color="auto"/>
            </w:tcBorders>
            <w:shd w:val="clear" w:color="000000" w:fill="FFFFFF"/>
            <w:noWrap/>
            <w:vAlign w:val="bottom"/>
            <w:hideMark/>
          </w:tcPr>
          <w:p w14:paraId="11687AF4"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COVID Concerns</w:t>
            </w:r>
          </w:p>
        </w:tc>
        <w:tc>
          <w:tcPr>
            <w:tcW w:w="1080" w:type="dxa"/>
            <w:gridSpan w:val="2"/>
            <w:tcBorders>
              <w:top w:val="single" w:sz="12" w:space="0" w:color="auto"/>
              <w:left w:val="nil"/>
              <w:bottom w:val="single" w:sz="12" w:space="0" w:color="auto"/>
              <w:right w:val="single" w:sz="12" w:space="0" w:color="auto"/>
            </w:tcBorders>
            <w:shd w:val="clear" w:color="000000" w:fill="FFFFFF"/>
            <w:vAlign w:val="bottom"/>
          </w:tcPr>
          <w:p w14:paraId="7041910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Telework</w:t>
            </w:r>
          </w:p>
        </w:tc>
        <w:tc>
          <w:tcPr>
            <w:tcW w:w="1172" w:type="dxa"/>
            <w:gridSpan w:val="2"/>
            <w:tcBorders>
              <w:top w:val="single" w:sz="12" w:space="0" w:color="auto"/>
              <w:left w:val="single" w:sz="12" w:space="0" w:color="auto"/>
              <w:bottom w:val="single" w:sz="12" w:space="0" w:color="auto"/>
              <w:right w:val="single" w:sz="12" w:space="0" w:color="auto"/>
            </w:tcBorders>
            <w:shd w:val="clear" w:color="000000" w:fill="FFFFFF"/>
            <w:vAlign w:val="bottom"/>
          </w:tcPr>
          <w:p w14:paraId="1E65575E"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Deliveries</w:t>
            </w:r>
          </w:p>
        </w:tc>
      </w:tr>
      <w:tr w:rsidR="002961DC" w:rsidRPr="000D3090" w14:paraId="5573CF2B" w14:textId="77777777" w:rsidTr="00B425AD">
        <w:trPr>
          <w:trHeight w:val="20"/>
          <w:jc w:val="center"/>
        </w:trPr>
        <w:tc>
          <w:tcPr>
            <w:tcW w:w="2595" w:type="dxa"/>
            <w:vMerge/>
            <w:tcBorders>
              <w:left w:val="single" w:sz="12" w:space="0" w:color="auto"/>
              <w:bottom w:val="single" w:sz="12" w:space="0" w:color="auto"/>
              <w:right w:val="single" w:sz="12" w:space="0" w:color="auto"/>
            </w:tcBorders>
            <w:vAlign w:val="center"/>
            <w:hideMark/>
          </w:tcPr>
          <w:p w14:paraId="07370C25" w14:textId="77777777" w:rsidR="002961DC" w:rsidRPr="000D3090" w:rsidRDefault="002961DC" w:rsidP="00B425AD">
            <w:pPr>
              <w:spacing w:after="0" w:line="240" w:lineRule="auto"/>
              <w:rPr>
                <w:rFonts w:eastAsia="Times New Roman"/>
                <w:color w:val="000000"/>
                <w:sz w:val="18"/>
                <w:szCs w:val="18"/>
              </w:rPr>
            </w:pPr>
          </w:p>
        </w:tc>
        <w:tc>
          <w:tcPr>
            <w:tcW w:w="537" w:type="dxa"/>
            <w:tcBorders>
              <w:top w:val="single" w:sz="12" w:space="0" w:color="auto"/>
              <w:left w:val="single" w:sz="12" w:space="0" w:color="auto"/>
              <w:bottom w:val="single" w:sz="12" w:space="0" w:color="auto"/>
            </w:tcBorders>
            <w:shd w:val="clear" w:color="000000" w:fill="FFFFFF"/>
            <w:vAlign w:val="center"/>
          </w:tcPr>
          <w:p w14:paraId="65D98DE1"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1" w:type="dxa"/>
            <w:tcBorders>
              <w:top w:val="single" w:sz="12" w:space="0" w:color="auto"/>
              <w:left w:val="nil"/>
              <w:bottom w:val="single" w:sz="12" w:space="0" w:color="auto"/>
              <w:right w:val="single" w:sz="12" w:space="0" w:color="auto"/>
            </w:tcBorders>
            <w:shd w:val="clear" w:color="000000" w:fill="FFFFFF"/>
            <w:vAlign w:val="center"/>
          </w:tcPr>
          <w:p w14:paraId="6624D18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39" w:type="dxa"/>
            <w:tcBorders>
              <w:top w:val="single" w:sz="12" w:space="0" w:color="auto"/>
              <w:left w:val="single" w:sz="12" w:space="0" w:color="auto"/>
              <w:bottom w:val="single" w:sz="12" w:space="0" w:color="auto"/>
              <w:right w:val="nil"/>
            </w:tcBorders>
            <w:shd w:val="clear" w:color="000000" w:fill="FFFFFF"/>
            <w:noWrap/>
            <w:vAlign w:val="center"/>
            <w:hideMark/>
          </w:tcPr>
          <w:p w14:paraId="2D87B56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49" w:type="dxa"/>
            <w:tcBorders>
              <w:top w:val="single" w:sz="12" w:space="0" w:color="auto"/>
              <w:left w:val="nil"/>
              <w:bottom w:val="single" w:sz="12" w:space="0" w:color="auto"/>
              <w:right w:val="single" w:sz="4" w:space="0" w:color="auto"/>
            </w:tcBorders>
            <w:shd w:val="clear" w:color="000000" w:fill="FFFFFF"/>
            <w:noWrap/>
            <w:vAlign w:val="center"/>
            <w:hideMark/>
          </w:tcPr>
          <w:p w14:paraId="4A4756E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2DDDF35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36CD7AD8"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03EE7E5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6F70DF1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4" w:type="dxa"/>
            <w:tcBorders>
              <w:top w:val="single" w:sz="12" w:space="0" w:color="auto"/>
              <w:left w:val="nil"/>
              <w:bottom w:val="single" w:sz="12" w:space="0" w:color="auto"/>
              <w:right w:val="nil"/>
            </w:tcBorders>
            <w:shd w:val="clear" w:color="000000" w:fill="FFFFFF"/>
            <w:noWrap/>
            <w:vAlign w:val="center"/>
            <w:hideMark/>
          </w:tcPr>
          <w:p w14:paraId="582A496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0" w:type="dxa"/>
            <w:tcBorders>
              <w:top w:val="single" w:sz="12" w:space="0" w:color="auto"/>
              <w:left w:val="nil"/>
              <w:bottom w:val="single" w:sz="12" w:space="0" w:color="auto"/>
              <w:right w:val="single" w:sz="4" w:space="0" w:color="auto"/>
            </w:tcBorders>
            <w:shd w:val="clear" w:color="000000" w:fill="FFFFFF"/>
            <w:noWrap/>
            <w:vAlign w:val="center"/>
            <w:hideMark/>
          </w:tcPr>
          <w:p w14:paraId="694E86C6"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04954707"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6DD29D0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43DDF17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3484AAB6"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6095CB1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4" w:type="dxa"/>
            <w:tcBorders>
              <w:top w:val="single" w:sz="12" w:space="0" w:color="auto"/>
              <w:left w:val="nil"/>
              <w:bottom w:val="single" w:sz="12" w:space="0" w:color="auto"/>
              <w:right w:val="single" w:sz="4" w:space="0" w:color="auto"/>
            </w:tcBorders>
            <w:shd w:val="clear" w:color="000000" w:fill="FFFFFF"/>
            <w:noWrap/>
            <w:vAlign w:val="center"/>
            <w:hideMark/>
          </w:tcPr>
          <w:p w14:paraId="6D9D8D1E"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503BAE96"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6" w:type="dxa"/>
            <w:tcBorders>
              <w:top w:val="single" w:sz="12" w:space="0" w:color="auto"/>
              <w:left w:val="nil"/>
              <w:bottom w:val="single" w:sz="12" w:space="0" w:color="auto"/>
              <w:right w:val="single" w:sz="12" w:space="0" w:color="auto"/>
            </w:tcBorders>
            <w:shd w:val="clear" w:color="000000" w:fill="FFFFFF"/>
            <w:noWrap/>
            <w:vAlign w:val="center"/>
            <w:hideMark/>
          </w:tcPr>
          <w:p w14:paraId="1CA57F8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vAlign w:val="center"/>
          </w:tcPr>
          <w:p w14:paraId="141AC32D"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0" w:type="dxa"/>
            <w:tcBorders>
              <w:top w:val="single" w:sz="12" w:space="0" w:color="auto"/>
              <w:left w:val="nil"/>
              <w:bottom w:val="single" w:sz="12" w:space="0" w:color="auto"/>
              <w:right w:val="single" w:sz="12" w:space="0" w:color="auto"/>
            </w:tcBorders>
            <w:shd w:val="clear" w:color="000000" w:fill="FFFFFF"/>
            <w:vAlign w:val="center"/>
          </w:tcPr>
          <w:p w14:paraId="61BE5A5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630" w:type="dxa"/>
            <w:tcBorders>
              <w:top w:val="single" w:sz="12" w:space="0" w:color="auto"/>
              <w:left w:val="single" w:sz="12" w:space="0" w:color="auto"/>
              <w:bottom w:val="single" w:sz="12" w:space="0" w:color="auto"/>
              <w:right w:val="nil"/>
            </w:tcBorders>
            <w:shd w:val="clear" w:color="000000" w:fill="FFFFFF"/>
            <w:vAlign w:val="center"/>
          </w:tcPr>
          <w:p w14:paraId="5E9D3A0F"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2" w:type="dxa"/>
            <w:tcBorders>
              <w:top w:val="single" w:sz="12" w:space="0" w:color="auto"/>
              <w:left w:val="nil"/>
              <w:bottom w:val="single" w:sz="12" w:space="0" w:color="auto"/>
              <w:right w:val="single" w:sz="12" w:space="0" w:color="auto"/>
            </w:tcBorders>
            <w:shd w:val="clear" w:color="000000" w:fill="FFFFFF"/>
            <w:vAlign w:val="center"/>
          </w:tcPr>
          <w:p w14:paraId="50C94BF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r>
      <w:tr w:rsidR="002961DC" w:rsidRPr="000D3090" w14:paraId="327C5D0C" w14:textId="77777777" w:rsidTr="00B425AD">
        <w:trPr>
          <w:trHeight w:val="20"/>
          <w:jc w:val="center"/>
        </w:trPr>
        <w:tc>
          <w:tcPr>
            <w:tcW w:w="2595" w:type="dxa"/>
            <w:tcBorders>
              <w:top w:val="single" w:sz="12" w:space="0" w:color="auto"/>
              <w:left w:val="single" w:sz="12" w:space="0" w:color="auto"/>
              <w:bottom w:val="nil"/>
              <w:right w:val="single" w:sz="12" w:space="0" w:color="auto"/>
            </w:tcBorders>
            <w:shd w:val="clear" w:color="000000" w:fill="FFFFFF"/>
            <w:noWrap/>
            <w:vAlign w:val="bottom"/>
          </w:tcPr>
          <w:p w14:paraId="56DF844E" w14:textId="77777777" w:rsidR="002961DC" w:rsidRPr="000D3090" w:rsidRDefault="002961DC" w:rsidP="00B425AD">
            <w:pPr>
              <w:spacing w:after="0" w:line="240" w:lineRule="auto"/>
              <w:rPr>
                <w:rFonts w:eastAsia="Times New Roman"/>
                <w:b/>
                <w:bCs/>
                <w:color w:val="000000"/>
                <w:sz w:val="18"/>
                <w:szCs w:val="18"/>
              </w:rPr>
            </w:pPr>
            <w:r w:rsidRPr="000D3090">
              <w:rPr>
                <w:rFonts w:eastAsia="Times New Roman"/>
                <w:b/>
                <w:bCs/>
                <w:color w:val="000000"/>
                <w:sz w:val="18"/>
                <w:szCs w:val="18"/>
              </w:rPr>
              <w:t xml:space="preserve">Thresholds </w:t>
            </w:r>
          </w:p>
        </w:tc>
        <w:tc>
          <w:tcPr>
            <w:tcW w:w="537" w:type="dxa"/>
            <w:tcBorders>
              <w:top w:val="single" w:sz="12" w:space="0" w:color="auto"/>
              <w:left w:val="single" w:sz="12" w:space="0" w:color="auto"/>
              <w:bottom w:val="nil"/>
            </w:tcBorders>
            <w:shd w:val="clear" w:color="000000" w:fill="FFFFFF"/>
          </w:tcPr>
          <w:p w14:paraId="57E37C73" w14:textId="77777777" w:rsidR="002961DC" w:rsidRPr="000D3090" w:rsidRDefault="002961DC" w:rsidP="00B425AD">
            <w:pPr>
              <w:spacing w:after="0" w:line="240" w:lineRule="auto"/>
              <w:rPr>
                <w:rFonts w:eastAsia="Times New Roman"/>
                <w:color w:val="000000"/>
                <w:sz w:val="18"/>
                <w:szCs w:val="18"/>
              </w:rPr>
            </w:pPr>
          </w:p>
        </w:tc>
        <w:tc>
          <w:tcPr>
            <w:tcW w:w="541" w:type="dxa"/>
            <w:tcBorders>
              <w:top w:val="single" w:sz="12" w:space="0" w:color="auto"/>
              <w:left w:val="nil"/>
              <w:bottom w:val="nil"/>
              <w:right w:val="single" w:sz="12" w:space="0" w:color="auto"/>
            </w:tcBorders>
            <w:shd w:val="clear" w:color="000000" w:fill="FFFFFF"/>
          </w:tcPr>
          <w:p w14:paraId="4D2A38FE" w14:textId="77777777" w:rsidR="002961DC" w:rsidRPr="000D3090" w:rsidRDefault="002961DC" w:rsidP="00B425AD">
            <w:pPr>
              <w:spacing w:after="0" w:line="240" w:lineRule="auto"/>
              <w:rPr>
                <w:rFonts w:eastAsia="Times New Roman"/>
                <w:color w:val="000000"/>
                <w:sz w:val="18"/>
                <w:szCs w:val="18"/>
              </w:rPr>
            </w:pPr>
          </w:p>
        </w:tc>
        <w:tc>
          <w:tcPr>
            <w:tcW w:w="539" w:type="dxa"/>
            <w:tcBorders>
              <w:top w:val="single" w:sz="12" w:space="0" w:color="auto"/>
              <w:left w:val="single" w:sz="12" w:space="0" w:color="auto"/>
              <w:bottom w:val="nil"/>
              <w:right w:val="nil"/>
            </w:tcBorders>
            <w:shd w:val="clear" w:color="000000" w:fill="FFFFFF"/>
            <w:noWrap/>
            <w:vAlign w:val="bottom"/>
            <w:hideMark/>
          </w:tcPr>
          <w:p w14:paraId="67D953B8"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49" w:type="dxa"/>
            <w:tcBorders>
              <w:top w:val="single" w:sz="12" w:space="0" w:color="auto"/>
              <w:left w:val="nil"/>
              <w:bottom w:val="nil"/>
              <w:right w:val="single" w:sz="4" w:space="0" w:color="auto"/>
            </w:tcBorders>
            <w:shd w:val="clear" w:color="000000" w:fill="FFFFFF"/>
            <w:noWrap/>
            <w:vAlign w:val="bottom"/>
            <w:hideMark/>
          </w:tcPr>
          <w:p w14:paraId="176DA5D1"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noWrap/>
            <w:vAlign w:val="bottom"/>
            <w:hideMark/>
          </w:tcPr>
          <w:p w14:paraId="647F12F3"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50" w:type="dxa"/>
            <w:tcBorders>
              <w:top w:val="single" w:sz="12" w:space="0" w:color="auto"/>
              <w:left w:val="nil"/>
              <w:bottom w:val="nil"/>
              <w:right w:val="single" w:sz="4" w:space="0" w:color="auto"/>
            </w:tcBorders>
            <w:shd w:val="clear" w:color="000000" w:fill="FFFFFF"/>
            <w:noWrap/>
            <w:vAlign w:val="bottom"/>
            <w:hideMark/>
          </w:tcPr>
          <w:p w14:paraId="7A06CDD0"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noWrap/>
            <w:vAlign w:val="bottom"/>
            <w:hideMark/>
          </w:tcPr>
          <w:p w14:paraId="7212A716"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50" w:type="dxa"/>
            <w:tcBorders>
              <w:top w:val="single" w:sz="12" w:space="0" w:color="auto"/>
              <w:left w:val="nil"/>
              <w:bottom w:val="nil"/>
              <w:right w:val="single" w:sz="4" w:space="0" w:color="auto"/>
            </w:tcBorders>
            <w:shd w:val="clear" w:color="000000" w:fill="FFFFFF"/>
            <w:noWrap/>
            <w:vAlign w:val="bottom"/>
            <w:hideMark/>
          </w:tcPr>
          <w:p w14:paraId="50A0E104"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4" w:type="dxa"/>
            <w:tcBorders>
              <w:top w:val="single" w:sz="12" w:space="0" w:color="auto"/>
              <w:left w:val="nil"/>
              <w:bottom w:val="nil"/>
              <w:right w:val="nil"/>
            </w:tcBorders>
            <w:shd w:val="clear" w:color="000000" w:fill="FFFFFF"/>
            <w:noWrap/>
            <w:vAlign w:val="bottom"/>
            <w:hideMark/>
          </w:tcPr>
          <w:p w14:paraId="46E53131"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single" w:sz="4" w:space="0" w:color="auto"/>
            </w:tcBorders>
            <w:shd w:val="clear" w:color="000000" w:fill="FFFFFF"/>
            <w:noWrap/>
            <w:vAlign w:val="bottom"/>
            <w:hideMark/>
          </w:tcPr>
          <w:p w14:paraId="619CFD5D"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noWrap/>
            <w:vAlign w:val="bottom"/>
            <w:hideMark/>
          </w:tcPr>
          <w:p w14:paraId="5EB0CD72"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50" w:type="dxa"/>
            <w:tcBorders>
              <w:top w:val="single" w:sz="12" w:space="0" w:color="auto"/>
              <w:left w:val="nil"/>
              <w:bottom w:val="nil"/>
              <w:right w:val="single" w:sz="4" w:space="0" w:color="auto"/>
            </w:tcBorders>
            <w:shd w:val="clear" w:color="000000" w:fill="FFFFFF"/>
            <w:noWrap/>
            <w:vAlign w:val="bottom"/>
            <w:hideMark/>
          </w:tcPr>
          <w:p w14:paraId="3FC68780"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noWrap/>
            <w:vAlign w:val="bottom"/>
            <w:hideMark/>
          </w:tcPr>
          <w:p w14:paraId="3E49015B"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50" w:type="dxa"/>
            <w:tcBorders>
              <w:top w:val="single" w:sz="12" w:space="0" w:color="auto"/>
              <w:left w:val="nil"/>
              <w:bottom w:val="nil"/>
              <w:right w:val="single" w:sz="4" w:space="0" w:color="auto"/>
            </w:tcBorders>
            <w:shd w:val="clear" w:color="000000" w:fill="FFFFFF"/>
            <w:noWrap/>
            <w:vAlign w:val="bottom"/>
            <w:hideMark/>
          </w:tcPr>
          <w:p w14:paraId="11C5E152"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noWrap/>
            <w:vAlign w:val="bottom"/>
            <w:hideMark/>
          </w:tcPr>
          <w:p w14:paraId="6F61B16C"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54" w:type="dxa"/>
            <w:tcBorders>
              <w:top w:val="single" w:sz="12" w:space="0" w:color="auto"/>
              <w:left w:val="nil"/>
              <w:bottom w:val="nil"/>
              <w:right w:val="single" w:sz="4" w:space="0" w:color="auto"/>
            </w:tcBorders>
            <w:shd w:val="clear" w:color="000000" w:fill="FFFFFF"/>
            <w:noWrap/>
            <w:vAlign w:val="bottom"/>
            <w:hideMark/>
          </w:tcPr>
          <w:p w14:paraId="11E063A3"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noWrap/>
            <w:vAlign w:val="bottom"/>
            <w:hideMark/>
          </w:tcPr>
          <w:p w14:paraId="685B312A"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456" w:type="dxa"/>
            <w:tcBorders>
              <w:top w:val="single" w:sz="12" w:space="0" w:color="auto"/>
              <w:left w:val="nil"/>
              <w:bottom w:val="nil"/>
              <w:right w:val="single" w:sz="12" w:space="0" w:color="auto"/>
            </w:tcBorders>
            <w:shd w:val="clear" w:color="000000" w:fill="FFFFFF"/>
            <w:noWrap/>
            <w:vAlign w:val="bottom"/>
            <w:hideMark/>
          </w:tcPr>
          <w:p w14:paraId="0D7A0701"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 </w:t>
            </w:r>
          </w:p>
        </w:tc>
        <w:tc>
          <w:tcPr>
            <w:tcW w:w="540" w:type="dxa"/>
            <w:tcBorders>
              <w:top w:val="single" w:sz="12" w:space="0" w:color="auto"/>
              <w:left w:val="nil"/>
              <w:bottom w:val="nil"/>
              <w:right w:val="nil"/>
            </w:tcBorders>
            <w:shd w:val="clear" w:color="000000" w:fill="FFFFFF"/>
          </w:tcPr>
          <w:p w14:paraId="1D6B76AD" w14:textId="77777777" w:rsidR="002961DC" w:rsidRPr="000D3090" w:rsidRDefault="002961DC" w:rsidP="00B425AD">
            <w:pPr>
              <w:spacing w:after="0" w:line="240" w:lineRule="auto"/>
              <w:rPr>
                <w:rFonts w:eastAsia="Times New Roman"/>
                <w:color w:val="000000"/>
                <w:sz w:val="18"/>
                <w:szCs w:val="18"/>
              </w:rPr>
            </w:pPr>
          </w:p>
        </w:tc>
        <w:tc>
          <w:tcPr>
            <w:tcW w:w="540" w:type="dxa"/>
            <w:tcBorders>
              <w:top w:val="single" w:sz="12" w:space="0" w:color="auto"/>
              <w:left w:val="nil"/>
              <w:bottom w:val="nil"/>
              <w:right w:val="single" w:sz="12" w:space="0" w:color="auto"/>
            </w:tcBorders>
            <w:shd w:val="clear" w:color="000000" w:fill="FFFFFF"/>
          </w:tcPr>
          <w:p w14:paraId="3EB47F00" w14:textId="77777777" w:rsidR="002961DC" w:rsidRPr="000D3090" w:rsidRDefault="002961DC" w:rsidP="00B425AD">
            <w:pPr>
              <w:spacing w:after="0" w:line="240" w:lineRule="auto"/>
              <w:rPr>
                <w:rFonts w:eastAsia="Times New Roman"/>
                <w:color w:val="000000"/>
                <w:sz w:val="18"/>
                <w:szCs w:val="18"/>
              </w:rPr>
            </w:pPr>
          </w:p>
        </w:tc>
        <w:tc>
          <w:tcPr>
            <w:tcW w:w="630" w:type="dxa"/>
            <w:tcBorders>
              <w:top w:val="single" w:sz="12" w:space="0" w:color="auto"/>
              <w:left w:val="single" w:sz="12" w:space="0" w:color="auto"/>
              <w:bottom w:val="nil"/>
              <w:right w:val="nil"/>
            </w:tcBorders>
            <w:shd w:val="clear" w:color="000000" w:fill="FFFFFF"/>
          </w:tcPr>
          <w:p w14:paraId="2D78E6A9" w14:textId="77777777" w:rsidR="002961DC" w:rsidRPr="000D3090" w:rsidRDefault="002961DC" w:rsidP="00B425AD">
            <w:pPr>
              <w:spacing w:after="0" w:line="240" w:lineRule="auto"/>
              <w:rPr>
                <w:rFonts w:eastAsia="Times New Roman"/>
                <w:color w:val="000000"/>
                <w:sz w:val="18"/>
                <w:szCs w:val="18"/>
              </w:rPr>
            </w:pPr>
          </w:p>
        </w:tc>
        <w:tc>
          <w:tcPr>
            <w:tcW w:w="542" w:type="dxa"/>
            <w:tcBorders>
              <w:top w:val="single" w:sz="12" w:space="0" w:color="auto"/>
              <w:left w:val="nil"/>
              <w:bottom w:val="nil"/>
              <w:right w:val="single" w:sz="12" w:space="0" w:color="auto"/>
            </w:tcBorders>
            <w:shd w:val="clear" w:color="000000" w:fill="FFFFFF"/>
          </w:tcPr>
          <w:p w14:paraId="1235BC10" w14:textId="77777777" w:rsidR="002961DC" w:rsidRPr="000D3090" w:rsidRDefault="002961DC" w:rsidP="00B425AD">
            <w:pPr>
              <w:spacing w:after="0" w:line="240" w:lineRule="auto"/>
              <w:rPr>
                <w:rFonts w:eastAsia="Times New Roman"/>
                <w:color w:val="000000"/>
                <w:sz w:val="18"/>
                <w:szCs w:val="18"/>
              </w:rPr>
            </w:pPr>
          </w:p>
        </w:tc>
      </w:tr>
      <w:tr w:rsidR="00215C0F" w:rsidRPr="000D3090" w14:paraId="7918D932"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680A67C7" w14:textId="77777777" w:rsidR="00215C0F" w:rsidRPr="000D3090" w:rsidRDefault="00215C0F" w:rsidP="00215C0F">
            <w:pPr>
              <w:spacing w:after="0" w:line="240" w:lineRule="auto"/>
              <w:rPr>
                <w:rFonts w:eastAsia="Times New Roman"/>
                <w:color w:val="000000"/>
                <w:sz w:val="18"/>
                <w:szCs w:val="18"/>
              </w:rPr>
            </w:pPr>
            <w:r w:rsidRPr="000D3090">
              <w:rPr>
                <w:rFonts w:eastAsia="Times New Roman"/>
                <w:color w:val="000000"/>
                <w:sz w:val="18"/>
                <w:szCs w:val="18"/>
              </w:rPr>
              <w:t>Threshold 0|1</w:t>
            </w:r>
          </w:p>
        </w:tc>
        <w:tc>
          <w:tcPr>
            <w:tcW w:w="537" w:type="dxa"/>
            <w:tcBorders>
              <w:top w:val="nil"/>
              <w:left w:val="single" w:sz="12" w:space="0" w:color="auto"/>
              <w:bottom w:val="nil"/>
            </w:tcBorders>
            <w:shd w:val="clear" w:color="000000" w:fill="FFFFFF"/>
            <w:vAlign w:val="bottom"/>
          </w:tcPr>
          <w:p w14:paraId="723C3600" w14:textId="386E7F6F"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0.86</w:t>
            </w:r>
          </w:p>
        </w:tc>
        <w:tc>
          <w:tcPr>
            <w:tcW w:w="541" w:type="dxa"/>
            <w:tcBorders>
              <w:top w:val="nil"/>
              <w:left w:val="nil"/>
              <w:bottom w:val="nil"/>
              <w:right w:val="single" w:sz="12" w:space="0" w:color="auto"/>
            </w:tcBorders>
            <w:shd w:val="clear" w:color="000000" w:fill="FFFFFF"/>
            <w:vAlign w:val="bottom"/>
          </w:tcPr>
          <w:p w14:paraId="0AF08FBF" w14:textId="021B8CCF"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8.77</w:t>
            </w:r>
          </w:p>
        </w:tc>
        <w:tc>
          <w:tcPr>
            <w:tcW w:w="539" w:type="dxa"/>
            <w:tcBorders>
              <w:top w:val="nil"/>
              <w:left w:val="single" w:sz="12" w:space="0" w:color="auto"/>
              <w:bottom w:val="nil"/>
              <w:right w:val="nil"/>
            </w:tcBorders>
            <w:shd w:val="clear" w:color="000000" w:fill="FFFFFF"/>
            <w:noWrap/>
            <w:vAlign w:val="bottom"/>
            <w:hideMark/>
          </w:tcPr>
          <w:p w14:paraId="49C73BAC" w14:textId="75F59F9D"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1.88</w:t>
            </w:r>
          </w:p>
        </w:tc>
        <w:tc>
          <w:tcPr>
            <w:tcW w:w="449" w:type="dxa"/>
            <w:tcBorders>
              <w:top w:val="nil"/>
              <w:left w:val="nil"/>
              <w:bottom w:val="nil"/>
              <w:right w:val="single" w:sz="4" w:space="0" w:color="auto"/>
            </w:tcBorders>
            <w:shd w:val="clear" w:color="000000" w:fill="FFFFFF"/>
            <w:noWrap/>
            <w:vAlign w:val="bottom"/>
            <w:hideMark/>
          </w:tcPr>
          <w:p w14:paraId="7B49128B" w14:textId="6AF92FA3"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18.96</w:t>
            </w:r>
          </w:p>
        </w:tc>
        <w:tc>
          <w:tcPr>
            <w:tcW w:w="540" w:type="dxa"/>
            <w:tcBorders>
              <w:top w:val="nil"/>
              <w:left w:val="nil"/>
              <w:bottom w:val="nil"/>
              <w:right w:val="nil"/>
            </w:tcBorders>
            <w:shd w:val="clear" w:color="000000" w:fill="FFFFFF"/>
            <w:noWrap/>
            <w:vAlign w:val="bottom"/>
            <w:hideMark/>
          </w:tcPr>
          <w:p w14:paraId="3D594F43" w14:textId="74A57CD1"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2.18</w:t>
            </w:r>
          </w:p>
        </w:tc>
        <w:tc>
          <w:tcPr>
            <w:tcW w:w="450" w:type="dxa"/>
            <w:tcBorders>
              <w:top w:val="nil"/>
              <w:left w:val="nil"/>
              <w:bottom w:val="nil"/>
              <w:right w:val="single" w:sz="4" w:space="0" w:color="auto"/>
            </w:tcBorders>
            <w:shd w:val="clear" w:color="000000" w:fill="FFFFFF"/>
            <w:noWrap/>
            <w:vAlign w:val="bottom"/>
            <w:hideMark/>
          </w:tcPr>
          <w:p w14:paraId="2642A56B" w14:textId="0BB260D4"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15.82</w:t>
            </w:r>
          </w:p>
        </w:tc>
        <w:tc>
          <w:tcPr>
            <w:tcW w:w="540" w:type="dxa"/>
            <w:tcBorders>
              <w:top w:val="nil"/>
              <w:left w:val="nil"/>
              <w:bottom w:val="nil"/>
              <w:right w:val="nil"/>
            </w:tcBorders>
            <w:shd w:val="clear" w:color="000000" w:fill="FFFFFF"/>
            <w:noWrap/>
            <w:vAlign w:val="bottom"/>
            <w:hideMark/>
          </w:tcPr>
          <w:p w14:paraId="65D0B8CF" w14:textId="55396514"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1.15</w:t>
            </w:r>
          </w:p>
        </w:tc>
        <w:tc>
          <w:tcPr>
            <w:tcW w:w="450" w:type="dxa"/>
            <w:tcBorders>
              <w:top w:val="nil"/>
              <w:left w:val="nil"/>
              <w:bottom w:val="nil"/>
              <w:right w:val="single" w:sz="4" w:space="0" w:color="auto"/>
            </w:tcBorders>
            <w:shd w:val="clear" w:color="000000" w:fill="FFFFFF"/>
            <w:noWrap/>
            <w:vAlign w:val="bottom"/>
            <w:hideMark/>
          </w:tcPr>
          <w:p w14:paraId="134ECD38" w14:textId="15E795B9"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10.54</w:t>
            </w:r>
          </w:p>
        </w:tc>
        <w:tc>
          <w:tcPr>
            <w:tcW w:w="544" w:type="dxa"/>
            <w:tcBorders>
              <w:top w:val="nil"/>
              <w:left w:val="nil"/>
              <w:bottom w:val="nil"/>
              <w:right w:val="nil"/>
            </w:tcBorders>
            <w:shd w:val="clear" w:color="000000" w:fill="FFFFFF"/>
            <w:noWrap/>
            <w:vAlign w:val="bottom"/>
            <w:hideMark/>
          </w:tcPr>
          <w:p w14:paraId="5123A606" w14:textId="70678B6F"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1.15</w:t>
            </w:r>
          </w:p>
        </w:tc>
        <w:tc>
          <w:tcPr>
            <w:tcW w:w="540" w:type="dxa"/>
            <w:tcBorders>
              <w:top w:val="nil"/>
              <w:left w:val="nil"/>
              <w:bottom w:val="nil"/>
              <w:right w:val="single" w:sz="4" w:space="0" w:color="auto"/>
            </w:tcBorders>
            <w:shd w:val="clear" w:color="000000" w:fill="FFFFFF"/>
            <w:noWrap/>
            <w:vAlign w:val="bottom"/>
            <w:hideMark/>
          </w:tcPr>
          <w:p w14:paraId="5FA5155C" w14:textId="4F5D0820"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4.53</w:t>
            </w:r>
          </w:p>
        </w:tc>
        <w:tc>
          <w:tcPr>
            <w:tcW w:w="540" w:type="dxa"/>
            <w:tcBorders>
              <w:top w:val="nil"/>
              <w:left w:val="nil"/>
              <w:bottom w:val="nil"/>
              <w:right w:val="nil"/>
            </w:tcBorders>
            <w:shd w:val="clear" w:color="000000" w:fill="FFFFFF"/>
            <w:noWrap/>
            <w:vAlign w:val="bottom"/>
            <w:hideMark/>
          </w:tcPr>
          <w:p w14:paraId="5B315AD0" w14:textId="3F0D958F"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0.52</w:t>
            </w:r>
          </w:p>
        </w:tc>
        <w:tc>
          <w:tcPr>
            <w:tcW w:w="450" w:type="dxa"/>
            <w:tcBorders>
              <w:top w:val="nil"/>
              <w:left w:val="nil"/>
              <w:bottom w:val="nil"/>
              <w:right w:val="single" w:sz="4" w:space="0" w:color="auto"/>
            </w:tcBorders>
            <w:shd w:val="clear" w:color="000000" w:fill="FFFFFF"/>
            <w:noWrap/>
            <w:vAlign w:val="bottom"/>
            <w:hideMark/>
          </w:tcPr>
          <w:p w14:paraId="0F75C916" w14:textId="072F51F0"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5.45</w:t>
            </w:r>
          </w:p>
        </w:tc>
        <w:tc>
          <w:tcPr>
            <w:tcW w:w="540" w:type="dxa"/>
            <w:tcBorders>
              <w:top w:val="nil"/>
              <w:left w:val="nil"/>
              <w:bottom w:val="nil"/>
              <w:right w:val="nil"/>
            </w:tcBorders>
            <w:shd w:val="clear" w:color="000000" w:fill="FFFFFF"/>
            <w:noWrap/>
            <w:vAlign w:val="bottom"/>
            <w:hideMark/>
          </w:tcPr>
          <w:p w14:paraId="34B01D92" w14:textId="3D672680"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1.28</w:t>
            </w:r>
          </w:p>
        </w:tc>
        <w:tc>
          <w:tcPr>
            <w:tcW w:w="450" w:type="dxa"/>
            <w:tcBorders>
              <w:top w:val="nil"/>
              <w:left w:val="nil"/>
              <w:bottom w:val="nil"/>
              <w:right w:val="single" w:sz="4" w:space="0" w:color="auto"/>
            </w:tcBorders>
            <w:shd w:val="clear" w:color="000000" w:fill="FFFFFF"/>
            <w:noWrap/>
            <w:vAlign w:val="bottom"/>
            <w:hideMark/>
          </w:tcPr>
          <w:p w14:paraId="636B35F1" w14:textId="393CCCD3"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6.44</w:t>
            </w:r>
          </w:p>
        </w:tc>
        <w:tc>
          <w:tcPr>
            <w:tcW w:w="540" w:type="dxa"/>
            <w:tcBorders>
              <w:top w:val="nil"/>
              <w:left w:val="nil"/>
              <w:bottom w:val="nil"/>
              <w:right w:val="nil"/>
            </w:tcBorders>
            <w:shd w:val="clear" w:color="000000" w:fill="FFFFFF"/>
            <w:noWrap/>
            <w:vAlign w:val="bottom"/>
            <w:hideMark/>
          </w:tcPr>
          <w:p w14:paraId="23013878" w14:textId="6C8A89B3"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0.59</w:t>
            </w:r>
          </w:p>
        </w:tc>
        <w:tc>
          <w:tcPr>
            <w:tcW w:w="454" w:type="dxa"/>
            <w:tcBorders>
              <w:top w:val="nil"/>
              <w:left w:val="nil"/>
              <w:bottom w:val="nil"/>
              <w:right w:val="single" w:sz="4" w:space="0" w:color="auto"/>
            </w:tcBorders>
            <w:shd w:val="clear" w:color="000000" w:fill="FFFFFF"/>
            <w:noWrap/>
            <w:vAlign w:val="bottom"/>
            <w:hideMark/>
          </w:tcPr>
          <w:p w14:paraId="00E005E0" w14:textId="19D18A12"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2.72</w:t>
            </w:r>
          </w:p>
        </w:tc>
        <w:tc>
          <w:tcPr>
            <w:tcW w:w="540" w:type="dxa"/>
            <w:tcBorders>
              <w:top w:val="nil"/>
              <w:left w:val="nil"/>
              <w:bottom w:val="nil"/>
              <w:right w:val="nil"/>
            </w:tcBorders>
            <w:shd w:val="clear" w:color="000000" w:fill="FFFFFF"/>
            <w:noWrap/>
            <w:vAlign w:val="bottom"/>
            <w:hideMark/>
          </w:tcPr>
          <w:p w14:paraId="2D4E1148" w14:textId="16AA99B3"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0.97</w:t>
            </w:r>
          </w:p>
        </w:tc>
        <w:tc>
          <w:tcPr>
            <w:tcW w:w="456" w:type="dxa"/>
            <w:tcBorders>
              <w:top w:val="nil"/>
              <w:left w:val="nil"/>
              <w:bottom w:val="nil"/>
              <w:right w:val="single" w:sz="12" w:space="0" w:color="auto"/>
            </w:tcBorders>
            <w:shd w:val="clear" w:color="000000" w:fill="FFFFFF"/>
            <w:noWrap/>
            <w:vAlign w:val="bottom"/>
            <w:hideMark/>
          </w:tcPr>
          <w:p w14:paraId="26F9C5C2" w14:textId="29D7349B"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10.07</w:t>
            </w:r>
          </w:p>
        </w:tc>
        <w:tc>
          <w:tcPr>
            <w:tcW w:w="540" w:type="dxa"/>
            <w:tcBorders>
              <w:top w:val="nil"/>
              <w:left w:val="nil"/>
              <w:bottom w:val="nil"/>
              <w:right w:val="nil"/>
            </w:tcBorders>
            <w:shd w:val="clear" w:color="000000" w:fill="FFFFFF"/>
            <w:vAlign w:val="bottom"/>
          </w:tcPr>
          <w:p w14:paraId="57247735" w14:textId="4009EA36"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1.10</w:t>
            </w:r>
          </w:p>
        </w:tc>
        <w:tc>
          <w:tcPr>
            <w:tcW w:w="540" w:type="dxa"/>
            <w:tcBorders>
              <w:top w:val="nil"/>
              <w:left w:val="nil"/>
              <w:bottom w:val="nil"/>
              <w:right w:val="single" w:sz="12" w:space="0" w:color="auto"/>
            </w:tcBorders>
            <w:shd w:val="clear" w:color="000000" w:fill="FFFFFF"/>
            <w:vAlign w:val="bottom"/>
          </w:tcPr>
          <w:p w14:paraId="2CFE18A4" w14:textId="576AF388"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11.92</w:t>
            </w:r>
          </w:p>
        </w:tc>
        <w:tc>
          <w:tcPr>
            <w:tcW w:w="630" w:type="dxa"/>
            <w:tcBorders>
              <w:top w:val="nil"/>
              <w:left w:val="single" w:sz="12" w:space="0" w:color="auto"/>
              <w:bottom w:val="nil"/>
              <w:right w:val="nil"/>
            </w:tcBorders>
            <w:shd w:val="clear" w:color="000000" w:fill="FFFFFF"/>
            <w:vAlign w:val="bottom"/>
          </w:tcPr>
          <w:p w14:paraId="2B04086C" w14:textId="3D0D810C"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0.16</w:t>
            </w:r>
          </w:p>
        </w:tc>
        <w:tc>
          <w:tcPr>
            <w:tcW w:w="542" w:type="dxa"/>
            <w:tcBorders>
              <w:top w:val="nil"/>
              <w:left w:val="nil"/>
              <w:bottom w:val="nil"/>
              <w:right w:val="single" w:sz="12" w:space="0" w:color="auto"/>
            </w:tcBorders>
            <w:shd w:val="clear" w:color="000000" w:fill="FFFFFF"/>
            <w:vAlign w:val="bottom"/>
          </w:tcPr>
          <w:p w14:paraId="54C3DD97" w14:textId="4A1C7EA1"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2.34</w:t>
            </w:r>
          </w:p>
        </w:tc>
      </w:tr>
      <w:tr w:rsidR="00215C0F" w:rsidRPr="000D3090" w14:paraId="20CA848B" w14:textId="77777777" w:rsidTr="00B425AD">
        <w:trPr>
          <w:trHeight w:val="20"/>
          <w:jc w:val="center"/>
        </w:trPr>
        <w:tc>
          <w:tcPr>
            <w:tcW w:w="2595" w:type="dxa"/>
            <w:tcBorders>
              <w:top w:val="nil"/>
              <w:left w:val="single" w:sz="12" w:space="0" w:color="auto"/>
              <w:right w:val="single" w:sz="12" w:space="0" w:color="auto"/>
            </w:tcBorders>
            <w:shd w:val="clear" w:color="000000" w:fill="FFFFFF"/>
            <w:noWrap/>
            <w:vAlign w:val="bottom"/>
          </w:tcPr>
          <w:p w14:paraId="49515038" w14:textId="77777777" w:rsidR="00215C0F" w:rsidRPr="000D3090" w:rsidRDefault="00215C0F" w:rsidP="00215C0F">
            <w:pPr>
              <w:spacing w:after="0" w:line="240" w:lineRule="auto"/>
              <w:rPr>
                <w:rFonts w:eastAsia="Times New Roman"/>
                <w:color w:val="000000"/>
                <w:sz w:val="18"/>
                <w:szCs w:val="18"/>
              </w:rPr>
            </w:pPr>
            <w:r w:rsidRPr="000D3090">
              <w:rPr>
                <w:rFonts w:eastAsia="Times New Roman"/>
                <w:color w:val="000000"/>
                <w:sz w:val="18"/>
                <w:szCs w:val="18"/>
              </w:rPr>
              <w:t>Threshold 1|2</w:t>
            </w:r>
          </w:p>
        </w:tc>
        <w:tc>
          <w:tcPr>
            <w:tcW w:w="537" w:type="dxa"/>
            <w:tcBorders>
              <w:top w:val="nil"/>
              <w:left w:val="single" w:sz="12" w:space="0" w:color="auto"/>
            </w:tcBorders>
            <w:shd w:val="clear" w:color="000000" w:fill="FFFFFF"/>
            <w:vAlign w:val="center"/>
          </w:tcPr>
          <w:p w14:paraId="4F7F5454"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right w:val="single" w:sz="12" w:space="0" w:color="auto"/>
            </w:tcBorders>
            <w:shd w:val="clear" w:color="000000" w:fill="FFFFFF"/>
            <w:vAlign w:val="center"/>
          </w:tcPr>
          <w:p w14:paraId="62D2E824"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right w:val="nil"/>
            </w:tcBorders>
            <w:shd w:val="clear" w:color="000000" w:fill="FFFFFF"/>
            <w:noWrap/>
            <w:vAlign w:val="center"/>
          </w:tcPr>
          <w:p w14:paraId="50208DCF"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right w:val="single" w:sz="4" w:space="0" w:color="auto"/>
            </w:tcBorders>
            <w:shd w:val="clear" w:color="000000" w:fill="FFFFFF"/>
            <w:noWrap/>
            <w:vAlign w:val="center"/>
          </w:tcPr>
          <w:p w14:paraId="0BED2B26"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249D0854"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375548D8"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DD86780"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52077BF4"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top w:val="nil"/>
              <w:left w:val="nil"/>
              <w:right w:val="nil"/>
            </w:tcBorders>
            <w:shd w:val="clear" w:color="000000" w:fill="FFFFFF"/>
            <w:noWrap/>
            <w:vAlign w:val="center"/>
          </w:tcPr>
          <w:p w14:paraId="042B3369"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right w:val="single" w:sz="4" w:space="0" w:color="auto"/>
            </w:tcBorders>
            <w:shd w:val="clear" w:color="000000" w:fill="FFFFFF"/>
            <w:noWrap/>
            <w:vAlign w:val="center"/>
          </w:tcPr>
          <w:p w14:paraId="085FE89D"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626B7B9E"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50723929"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4907AECA"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46C94D81"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33AF2AB3"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right w:val="single" w:sz="4" w:space="0" w:color="auto"/>
            </w:tcBorders>
            <w:shd w:val="clear" w:color="000000" w:fill="FFFFFF"/>
            <w:noWrap/>
            <w:vAlign w:val="center"/>
          </w:tcPr>
          <w:p w14:paraId="6205F0E3"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18F728D5"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right w:val="single" w:sz="12" w:space="0" w:color="auto"/>
            </w:tcBorders>
            <w:shd w:val="clear" w:color="000000" w:fill="FFFFFF"/>
            <w:noWrap/>
            <w:vAlign w:val="center"/>
          </w:tcPr>
          <w:p w14:paraId="5CE62A3A"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vAlign w:val="bottom"/>
          </w:tcPr>
          <w:p w14:paraId="04EECB6A" w14:textId="4232B517"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1.53</w:t>
            </w:r>
          </w:p>
        </w:tc>
        <w:tc>
          <w:tcPr>
            <w:tcW w:w="540" w:type="dxa"/>
            <w:tcBorders>
              <w:top w:val="nil"/>
              <w:left w:val="nil"/>
              <w:right w:val="single" w:sz="12" w:space="0" w:color="auto"/>
            </w:tcBorders>
            <w:shd w:val="clear" w:color="000000" w:fill="FFFFFF"/>
            <w:vAlign w:val="bottom"/>
          </w:tcPr>
          <w:p w14:paraId="57FE5AE7" w14:textId="2E59FB96"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16.64</w:t>
            </w:r>
          </w:p>
        </w:tc>
        <w:tc>
          <w:tcPr>
            <w:tcW w:w="630" w:type="dxa"/>
            <w:tcBorders>
              <w:top w:val="nil"/>
              <w:left w:val="single" w:sz="12" w:space="0" w:color="auto"/>
              <w:right w:val="nil"/>
            </w:tcBorders>
            <w:shd w:val="clear" w:color="000000" w:fill="FFFFFF"/>
            <w:vAlign w:val="bottom"/>
          </w:tcPr>
          <w:p w14:paraId="53F22F00" w14:textId="4D15873A"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1.38</w:t>
            </w:r>
          </w:p>
        </w:tc>
        <w:tc>
          <w:tcPr>
            <w:tcW w:w="542" w:type="dxa"/>
            <w:tcBorders>
              <w:top w:val="nil"/>
              <w:left w:val="nil"/>
              <w:right w:val="single" w:sz="12" w:space="0" w:color="auto"/>
            </w:tcBorders>
            <w:shd w:val="clear" w:color="000000" w:fill="FFFFFF"/>
            <w:vAlign w:val="bottom"/>
          </w:tcPr>
          <w:p w14:paraId="0D020019" w14:textId="4DF19ED3"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20.00</w:t>
            </w:r>
          </w:p>
        </w:tc>
      </w:tr>
      <w:tr w:rsidR="00215C0F" w:rsidRPr="000D3090" w14:paraId="5D943C5E" w14:textId="77777777" w:rsidTr="00B425AD">
        <w:trPr>
          <w:trHeight w:val="20"/>
          <w:jc w:val="center"/>
        </w:trPr>
        <w:tc>
          <w:tcPr>
            <w:tcW w:w="2595" w:type="dxa"/>
            <w:tcBorders>
              <w:top w:val="nil"/>
              <w:left w:val="single" w:sz="12" w:space="0" w:color="auto"/>
              <w:bottom w:val="single" w:sz="4" w:space="0" w:color="auto"/>
              <w:right w:val="single" w:sz="12" w:space="0" w:color="auto"/>
            </w:tcBorders>
            <w:shd w:val="clear" w:color="000000" w:fill="FFFFFF"/>
            <w:noWrap/>
            <w:vAlign w:val="bottom"/>
          </w:tcPr>
          <w:p w14:paraId="144B8A96" w14:textId="77777777" w:rsidR="00215C0F" w:rsidRPr="000D3090" w:rsidRDefault="00215C0F" w:rsidP="00215C0F">
            <w:pPr>
              <w:spacing w:after="0" w:line="240" w:lineRule="auto"/>
              <w:rPr>
                <w:rFonts w:eastAsia="Times New Roman"/>
                <w:color w:val="000000"/>
                <w:sz w:val="18"/>
                <w:szCs w:val="18"/>
              </w:rPr>
            </w:pPr>
            <w:r w:rsidRPr="000D3090">
              <w:rPr>
                <w:rFonts w:eastAsia="Times New Roman"/>
                <w:color w:val="000000"/>
                <w:sz w:val="18"/>
                <w:szCs w:val="18"/>
              </w:rPr>
              <w:t>Threshold 2|3</w:t>
            </w:r>
          </w:p>
        </w:tc>
        <w:tc>
          <w:tcPr>
            <w:tcW w:w="537" w:type="dxa"/>
            <w:tcBorders>
              <w:top w:val="nil"/>
              <w:left w:val="single" w:sz="12" w:space="0" w:color="auto"/>
              <w:bottom w:val="single" w:sz="4" w:space="0" w:color="auto"/>
            </w:tcBorders>
            <w:shd w:val="clear" w:color="000000" w:fill="FFFFFF"/>
            <w:vAlign w:val="center"/>
          </w:tcPr>
          <w:p w14:paraId="311057E9"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bottom w:val="single" w:sz="4" w:space="0" w:color="auto"/>
              <w:right w:val="single" w:sz="12" w:space="0" w:color="auto"/>
            </w:tcBorders>
            <w:shd w:val="clear" w:color="000000" w:fill="FFFFFF"/>
            <w:vAlign w:val="center"/>
          </w:tcPr>
          <w:p w14:paraId="5B09610E"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single" w:sz="4" w:space="0" w:color="auto"/>
              <w:right w:val="nil"/>
            </w:tcBorders>
            <w:shd w:val="clear" w:color="000000" w:fill="FFFFFF"/>
            <w:noWrap/>
            <w:vAlign w:val="center"/>
          </w:tcPr>
          <w:p w14:paraId="11DD4702"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single" w:sz="4" w:space="0" w:color="auto"/>
              <w:right w:val="single" w:sz="4" w:space="0" w:color="auto"/>
            </w:tcBorders>
            <w:shd w:val="clear" w:color="000000" w:fill="FFFFFF"/>
            <w:noWrap/>
            <w:vAlign w:val="center"/>
          </w:tcPr>
          <w:p w14:paraId="70F9C0EF"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center"/>
          </w:tcPr>
          <w:p w14:paraId="386B8D48"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4" w:space="0" w:color="auto"/>
              <w:right w:val="single" w:sz="4" w:space="0" w:color="auto"/>
            </w:tcBorders>
            <w:shd w:val="clear" w:color="000000" w:fill="FFFFFF"/>
            <w:noWrap/>
            <w:vAlign w:val="center"/>
          </w:tcPr>
          <w:p w14:paraId="1117D1C2"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center"/>
          </w:tcPr>
          <w:p w14:paraId="59D6C7B5"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4" w:space="0" w:color="auto"/>
              <w:right w:val="single" w:sz="4" w:space="0" w:color="auto"/>
            </w:tcBorders>
            <w:shd w:val="clear" w:color="000000" w:fill="FFFFFF"/>
            <w:noWrap/>
            <w:vAlign w:val="center"/>
          </w:tcPr>
          <w:p w14:paraId="1FB8487E"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top w:val="nil"/>
              <w:left w:val="nil"/>
              <w:bottom w:val="single" w:sz="4" w:space="0" w:color="auto"/>
              <w:right w:val="nil"/>
            </w:tcBorders>
            <w:shd w:val="clear" w:color="000000" w:fill="FFFFFF"/>
            <w:noWrap/>
            <w:vAlign w:val="center"/>
          </w:tcPr>
          <w:p w14:paraId="7BC1C62A"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single" w:sz="4" w:space="0" w:color="auto"/>
              <w:right w:val="single" w:sz="4" w:space="0" w:color="auto"/>
            </w:tcBorders>
            <w:shd w:val="clear" w:color="000000" w:fill="FFFFFF"/>
            <w:noWrap/>
            <w:vAlign w:val="center"/>
          </w:tcPr>
          <w:p w14:paraId="53DC2288"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center"/>
          </w:tcPr>
          <w:p w14:paraId="3F259D30"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4" w:space="0" w:color="auto"/>
              <w:right w:val="single" w:sz="4" w:space="0" w:color="auto"/>
            </w:tcBorders>
            <w:shd w:val="clear" w:color="000000" w:fill="FFFFFF"/>
            <w:noWrap/>
            <w:vAlign w:val="center"/>
          </w:tcPr>
          <w:p w14:paraId="210C15DA"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center"/>
          </w:tcPr>
          <w:p w14:paraId="67AF16BF"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4" w:space="0" w:color="auto"/>
              <w:right w:val="single" w:sz="4" w:space="0" w:color="auto"/>
            </w:tcBorders>
            <w:shd w:val="clear" w:color="000000" w:fill="FFFFFF"/>
            <w:noWrap/>
            <w:vAlign w:val="center"/>
          </w:tcPr>
          <w:p w14:paraId="43089353"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center"/>
          </w:tcPr>
          <w:p w14:paraId="3B08AD3F"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single" w:sz="4" w:space="0" w:color="auto"/>
              <w:right w:val="single" w:sz="4" w:space="0" w:color="auto"/>
            </w:tcBorders>
            <w:shd w:val="clear" w:color="000000" w:fill="FFFFFF"/>
            <w:noWrap/>
            <w:vAlign w:val="center"/>
          </w:tcPr>
          <w:p w14:paraId="56EB1869"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center"/>
          </w:tcPr>
          <w:p w14:paraId="14145BC6"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single" w:sz="4" w:space="0" w:color="auto"/>
              <w:right w:val="single" w:sz="12" w:space="0" w:color="auto"/>
            </w:tcBorders>
            <w:shd w:val="clear" w:color="000000" w:fill="FFFFFF"/>
            <w:noWrap/>
            <w:vAlign w:val="center"/>
          </w:tcPr>
          <w:p w14:paraId="6C11766C" w14:textId="77777777" w:rsidR="00215C0F" w:rsidRPr="000D3090" w:rsidRDefault="00215C0F" w:rsidP="00215C0F">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vAlign w:val="bottom"/>
          </w:tcPr>
          <w:p w14:paraId="74F8EF9D" w14:textId="4966EDED"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1.80</w:t>
            </w:r>
          </w:p>
        </w:tc>
        <w:tc>
          <w:tcPr>
            <w:tcW w:w="540" w:type="dxa"/>
            <w:tcBorders>
              <w:top w:val="nil"/>
              <w:left w:val="nil"/>
              <w:bottom w:val="single" w:sz="4" w:space="0" w:color="auto"/>
              <w:right w:val="single" w:sz="12" w:space="0" w:color="auto"/>
            </w:tcBorders>
            <w:shd w:val="clear" w:color="000000" w:fill="FFFFFF"/>
            <w:vAlign w:val="bottom"/>
          </w:tcPr>
          <w:p w14:paraId="0D0D46E9" w14:textId="0CC27ECF"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19.51</w:t>
            </w:r>
          </w:p>
        </w:tc>
        <w:tc>
          <w:tcPr>
            <w:tcW w:w="630" w:type="dxa"/>
            <w:tcBorders>
              <w:top w:val="nil"/>
              <w:left w:val="single" w:sz="12" w:space="0" w:color="auto"/>
              <w:bottom w:val="single" w:sz="4" w:space="0" w:color="auto"/>
              <w:right w:val="nil"/>
            </w:tcBorders>
            <w:shd w:val="clear" w:color="000000" w:fill="FFFFFF"/>
            <w:vAlign w:val="bottom"/>
          </w:tcPr>
          <w:p w14:paraId="51660946" w14:textId="1C877948"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2.06</w:t>
            </w:r>
          </w:p>
        </w:tc>
        <w:tc>
          <w:tcPr>
            <w:tcW w:w="542" w:type="dxa"/>
            <w:tcBorders>
              <w:top w:val="nil"/>
              <w:left w:val="nil"/>
              <w:bottom w:val="single" w:sz="4" w:space="0" w:color="auto"/>
              <w:right w:val="single" w:sz="12" w:space="0" w:color="auto"/>
            </w:tcBorders>
            <w:shd w:val="clear" w:color="000000" w:fill="FFFFFF"/>
            <w:vAlign w:val="bottom"/>
          </w:tcPr>
          <w:p w14:paraId="527E97D9" w14:textId="14448DD5" w:rsidR="00215C0F" w:rsidRPr="000D3090" w:rsidRDefault="00215C0F" w:rsidP="00215C0F">
            <w:pPr>
              <w:spacing w:after="0" w:line="240" w:lineRule="auto"/>
              <w:jc w:val="center"/>
              <w:rPr>
                <w:rFonts w:eastAsia="Times New Roman"/>
                <w:color w:val="000000"/>
                <w:sz w:val="18"/>
                <w:szCs w:val="18"/>
              </w:rPr>
            </w:pPr>
            <w:r w:rsidRPr="000D3090">
              <w:rPr>
                <w:color w:val="000000"/>
                <w:sz w:val="18"/>
                <w:szCs w:val="18"/>
              </w:rPr>
              <w:t>29.62</w:t>
            </w:r>
          </w:p>
        </w:tc>
      </w:tr>
      <w:tr w:rsidR="002961DC" w:rsidRPr="000D3090" w14:paraId="5F720769" w14:textId="77777777" w:rsidTr="00B425AD">
        <w:trPr>
          <w:trHeight w:val="20"/>
          <w:jc w:val="center"/>
        </w:trPr>
        <w:tc>
          <w:tcPr>
            <w:tcW w:w="2595" w:type="dxa"/>
            <w:tcBorders>
              <w:top w:val="single" w:sz="4" w:space="0" w:color="auto"/>
              <w:left w:val="single" w:sz="12" w:space="0" w:color="auto"/>
              <w:bottom w:val="nil"/>
              <w:right w:val="single" w:sz="12" w:space="0" w:color="auto"/>
            </w:tcBorders>
            <w:shd w:val="clear" w:color="000000" w:fill="FFFFFF"/>
            <w:noWrap/>
            <w:vAlign w:val="bottom"/>
          </w:tcPr>
          <w:p w14:paraId="1ADCC881" w14:textId="2501F395" w:rsidR="002961DC" w:rsidRPr="000D3090" w:rsidRDefault="00D22549" w:rsidP="00B425AD">
            <w:pPr>
              <w:spacing w:after="0" w:line="240" w:lineRule="auto"/>
              <w:rPr>
                <w:rFonts w:eastAsia="Times New Roman"/>
                <w:b/>
                <w:bCs/>
                <w:color w:val="000000"/>
                <w:sz w:val="18"/>
                <w:szCs w:val="18"/>
              </w:rPr>
            </w:pPr>
            <w:r w:rsidRPr="000D3090">
              <w:rPr>
                <w:rFonts w:eastAsia="Times New Roman"/>
                <w:b/>
                <w:bCs/>
                <w:color w:val="000000"/>
                <w:sz w:val="18"/>
                <w:szCs w:val="18"/>
              </w:rPr>
              <w:t>Household Location</w:t>
            </w:r>
          </w:p>
        </w:tc>
        <w:tc>
          <w:tcPr>
            <w:tcW w:w="537" w:type="dxa"/>
            <w:tcBorders>
              <w:top w:val="single" w:sz="4" w:space="0" w:color="auto"/>
              <w:left w:val="single" w:sz="12" w:space="0" w:color="auto"/>
              <w:bottom w:val="nil"/>
            </w:tcBorders>
            <w:shd w:val="clear" w:color="000000" w:fill="FFFFFF"/>
          </w:tcPr>
          <w:p w14:paraId="2304B4FD" w14:textId="77777777" w:rsidR="002961DC" w:rsidRPr="000D3090" w:rsidRDefault="002961DC" w:rsidP="00B425AD">
            <w:pPr>
              <w:spacing w:after="0" w:line="240" w:lineRule="auto"/>
              <w:jc w:val="center"/>
              <w:rPr>
                <w:rFonts w:eastAsia="Times New Roman"/>
                <w:color w:val="000000"/>
                <w:sz w:val="18"/>
                <w:szCs w:val="18"/>
              </w:rPr>
            </w:pPr>
          </w:p>
        </w:tc>
        <w:tc>
          <w:tcPr>
            <w:tcW w:w="541" w:type="dxa"/>
            <w:tcBorders>
              <w:top w:val="single" w:sz="4" w:space="0" w:color="auto"/>
              <w:left w:val="nil"/>
              <w:bottom w:val="nil"/>
              <w:right w:val="single" w:sz="12" w:space="0" w:color="auto"/>
            </w:tcBorders>
            <w:shd w:val="clear" w:color="000000" w:fill="FFFFFF"/>
          </w:tcPr>
          <w:p w14:paraId="06A00343" w14:textId="77777777" w:rsidR="002961DC" w:rsidRPr="000D3090" w:rsidRDefault="002961DC" w:rsidP="00B425AD">
            <w:pPr>
              <w:spacing w:after="0" w:line="240" w:lineRule="auto"/>
              <w:jc w:val="center"/>
              <w:rPr>
                <w:rFonts w:eastAsia="Times New Roman"/>
                <w:color w:val="000000"/>
                <w:sz w:val="18"/>
                <w:szCs w:val="18"/>
              </w:rPr>
            </w:pPr>
          </w:p>
        </w:tc>
        <w:tc>
          <w:tcPr>
            <w:tcW w:w="539" w:type="dxa"/>
            <w:tcBorders>
              <w:top w:val="single" w:sz="4" w:space="0" w:color="auto"/>
              <w:left w:val="single" w:sz="12" w:space="0" w:color="auto"/>
              <w:bottom w:val="nil"/>
              <w:right w:val="nil"/>
            </w:tcBorders>
            <w:shd w:val="clear" w:color="000000" w:fill="FFFFFF"/>
            <w:noWrap/>
            <w:vAlign w:val="center"/>
          </w:tcPr>
          <w:p w14:paraId="43A9E167" w14:textId="77777777" w:rsidR="002961DC" w:rsidRPr="000D3090" w:rsidRDefault="002961DC" w:rsidP="00B425AD">
            <w:pPr>
              <w:spacing w:after="0" w:line="240" w:lineRule="auto"/>
              <w:jc w:val="center"/>
              <w:rPr>
                <w:rFonts w:eastAsia="Times New Roman"/>
                <w:color w:val="000000"/>
                <w:sz w:val="18"/>
                <w:szCs w:val="18"/>
              </w:rPr>
            </w:pPr>
          </w:p>
        </w:tc>
        <w:tc>
          <w:tcPr>
            <w:tcW w:w="449" w:type="dxa"/>
            <w:tcBorders>
              <w:top w:val="single" w:sz="4" w:space="0" w:color="auto"/>
              <w:left w:val="nil"/>
              <w:bottom w:val="nil"/>
              <w:right w:val="single" w:sz="4" w:space="0" w:color="auto"/>
            </w:tcBorders>
            <w:shd w:val="clear" w:color="000000" w:fill="FFFFFF"/>
            <w:noWrap/>
            <w:vAlign w:val="center"/>
          </w:tcPr>
          <w:p w14:paraId="673911DE"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136F6F9B"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35194DBF"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26C87A52"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74095EC6" w14:textId="77777777" w:rsidR="002961DC" w:rsidRPr="000D3090" w:rsidRDefault="002961DC" w:rsidP="00B425AD">
            <w:pPr>
              <w:spacing w:after="0" w:line="240" w:lineRule="auto"/>
              <w:jc w:val="center"/>
              <w:rPr>
                <w:rFonts w:eastAsia="Times New Roman"/>
                <w:color w:val="000000"/>
                <w:sz w:val="18"/>
                <w:szCs w:val="18"/>
              </w:rPr>
            </w:pPr>
          </w:p>
        </w:tc>
        <w:tc>
          <w:tcPr>
            <w:tcW w:w="544" w:type="dxa"/>
            <w:tcBorders>
              <w:top w:val="single" w:sz="4" w:space="0" w:color="auto"/>
              <w:left w:val="nil"/>
              <w:bottom w:val="nil"/>
              <w:right w:val="nil"/>
            </w:tcBorders>
            <w:shd w:val="clear" w:color="000000" w:fill="FFFFFF"/>
            <w:noWrap/>
            <w:vAlign w:val="center"/>
          </w:tcPr>
          <w:p w14:paraId="2685BA9B"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single" w:sz="4" w:space="0" w:color="auto"/>
            </w:tcBorders>
            <w:shd w:val="clear" w:color="000000" w:fill="FFFFFF"/>
            <w:noWrap/>
            <w:vAlign w:val="center"/>
          </w:tcPr>
          <w:p w14:paraId="73549CB4"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100CA1C6"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4FA6F07C"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5264B0CB"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7BDF3D39"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3E3CBFF9" w14:textId="77777777" w:rsidR="002961DC" w:rsidRPr="000D3090" w:rsidRDefault="002961DC" w:rsidP="00B425AD">
            <w:pPr>
              <w:spacing w:after="0" w:line="240" w:lineRule="auto"/>
              <w:jc w:val="center"/>
              <w:rPr>
                <w:rFonts w:eastAsia="Times New Roman"/>
                <w:color w:val="000000"/>
                <w:sz w:val="18"/>
                <w:szCs w:val="18"/>
              </w:rPr>
            </w:pPr>
          </w:p>
        </w:tc>
        <w:tc>
          <w:tcPr>
            <w:tcW w:w="454" w:type="dxa"/>
            <w:tcBorders>
              <w:top w:val="single" w:sz="4" w:space="0" w:color="auto"/>
              <w:left w:val="nil"/>
              <w:bottom w:val="nil"/>
              <w:right w:val="single" w:sz="4" w:space="0" w:color="auto"/>
            </w:tcBorders>
            <w:shd w:val="clear" w:color="000000" w:fill="FFFFFF"/>
            <w:noWrap/>
            <w:vAlign w:val="center"/>
          </w:tcPr>
          <w:p w14:paraId="3B9D8E7F"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26706C37" w14:textId="77777777" w:rsidR="002961DC" w:rsidRPr="000D3090" w:rsidRDefault="002961DC" w:rsidP="00B425AD">
            <w:pPr>
              <w:spacing w:after="0" w:line="240" w:lineRule="auto"/>
              <w:jc w:val="center"/>
              <w:rPr>
                <w:rFonts w:eastAsia="Times New Roman"/>
                <w:color w:val="000000"/>
                <w:sz w:val="18"/>
                <w:szCs w:val="18"/>
              </w:rPr>
            </w:pPr>
          </w:p>
        </w:tc>
        <w:tc>
          <w:tcPr>
            <w:tcW w:w="456" w:type="dxa"/>
            <w:tcBorders>
              <w:top w:val="single" w:sz="4" w:space="0" w:color="auto"/>
              <w:left w:val="nil"/>
              <w:bottom w:val="nil"/>
              <w:right w:val="single" w:sz="12" w:space="0" w:color="auto"/>
            </w:tcBorders>
            <w:shd w:val="clear" w:color="000000" w:fill="FFFFFF"/>
            <w:noWrap/>
            <w:vAlign w:val="center"/>
          </w:tcPr>
          <w:p w14:paraId="41F437CC"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tcPr>
          <w:p w14:paraId="510D6154"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single" w:sz="12" w:space="0" w:color="auto"/>
            </w:tcBorders>
            <w:shd w:val="clear" w:color="000000" w:fill="FFFFFF"/>
          </w:tcPr>
          <w:p w14:paraId="095BB3A7" w14:textId="77777777" w:rsidR="002961DC" w:rsidRPr="000D3090" w:rsidRDefault="002961DC" w:rsidP="00B425AD">
            <w:pPr>
              <w:spacing w:after="0" w:line="240" w:lineRule="auto"/>
              <w:jc w:val="center"/>
              <w:rPr>
                <w:rFonts w:eastAsia="Times New Roman"/>
                <w:color w:val="000000"/>
                <w:sz w:val="18"/>
                <w:szCs w:val="18"/>
              </w:rPr>
            </w:pPr>
          </w:p>
        </w:tc>
        <w:tc>
          <w:tcPr>
            <w:tcW w:w="630" w:type="dxa"/>
            <w:tcBorders>
              <w:top w:val="single" w:sz="4" w:space="0" w:color="auto"/>
              <w:left w:val="single" w:sz="12" w:space="0" w:color="auto"/>
              <w:bottom w:val="nil"/>
              <w:right w:val="nil"/>
            </w:tcBorders>
            <w:shd w:val="clear" w:color="000000" w:fill="FFFFFF"/>
          </w:tcPr>
          <w:p w14:paraId="1E07C2DF" w14:textId="77777777" w:rsidR="002961DC" w:rsidRPr="000D3090" w:rsidRDefault="002961DC" w:rsidP="00B425AD">
            <w:pPr>
              <w:spacing w:after="0" w:line="240" w:lineRule="auto"/>
              <w:jc w:val="center"/>
              <w:rPr>
                <w:rFonts w:eastAsia="Times New Roman"/>
                <w:color w:val="000000"/>
                <w:sz w:val="18"/>
                <w:szCs w:val="18"/>
              </w:rPr>
            </w:pPr>
          </w:p>
        </w:tc>
        <w:tc>
          <w:tcPr>
            <w:tcW w:w="542" w:type="dxa"/>
            <w:tcBorders>
              <w:top w:val="single" w:sz="4" w:space="0" w:color="auto"/>
              <w:left w:val="nil"/>
              <w:bottom w:val="nil"/>
              <w:right w:val="single" w:sz="12" w:space="0" w:color="auto"/>
            </w:tcBorders>
            <w:shd w:val="clear" w:color="000000" w:fill="FFFFFF"/>
          </w:tcPr>
          <w:p w14:paraId="2ACB9724" w14:textId="77777777" w:rsidR="002961DC" w:rsidRPr="000D3090" w:rsidRDefault="002961DC" w:rsidP="00B425AD">
            <w:pPr>
              <w:spacing w:after="0" w:line="240" w:lineRule="auto"/>
              <w:jc w:val="center"/>
              <w:rPr>
                <w:rFonts w:eastAsia="Times New Roman"/>
                <w:color w:val="000000"/>
                <w:sz w:val="18"/>
                <w:szCs w:val="18"/>
              </w:rPr>
            </w:pPr>
          </w:p>
        </w:tc>
      </w:tr>
      <w:tr w:rsidR="002961DC" w:rsidRPr="000D3090" w14:paraId="768723A7"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34931DFD" w14:textId="77777777" w:rsidR="002961DC" w:rsidRPr="000D3090" w:rsidRDefault="002961DC" w:rsidP="00B425AD">
            <w:pPr>
              <w:spacing w:after="0" w:line="240" w:lineRule="auto"/>
              <w:rPr>
                <w:rFonts w:eastAsia="Times New Roman"/>
                <w:color w:val="000000"/>
                <w:sz w:val="18"/>
                <w:szCs w:val="18"/>
              </w:rPr>
            </w:pPr>
            <w:r w:rsidRPr="000D3090">
              <w:rPr>
                <w:rFonts w:eastAsia="Times New Roman"/>
                <w:color w:val="000000"/>
                <w:sz w:val="18"/>
                <w:szCs w:val="18"/>
              </w:rPr>
              <w:t>Census Division (New England)</w:t>
            </w:r>
          </w:p>
        </w:tc>
        <w:tc>
          <w:tcPr>
            <w:tcW w:w="537" w:type="dxa"/>
            <w:tcBorders>
              <w:top w:val="nil"/>
              <w:left w:val="single" w:sz="12" w:space="0" w:color="auto"/>
              <w:bottom w:val="nil"/>
            </w:tcBorders>
            <w:shd w:val="clear" w:color="000000" w:fill="FFFFFF"/>
            <w:vAlign w:val="bottom"/>
          </w:tcPr>
          <w:p w14:paraId="0AF23A65" w14:textId="77777777" w:rsidR="002961DC" w:rsidRPr="000D3090" w:rsidRDefault="002961DC" w:rsidP="00B425AD">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vAlign w:val="bottom"/>
          </w:tcPr>
          <w:p w14:paraId="09B6F31C" w14:textId="77777777" w:rsidR="002961DC" w:rsidRPr="000D3090" w:rsidRDefault="002961DC" w:rsidP="00B425AD">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bottom"/>
          </w:tcPr>
          <w:p w14:paraId="4A993869" w14:textId="77777777" w:rsidR="002961DC" w:rsidRPr="000D3090" w:rsidRDefault="002961DC" w:rsidP="00B425AD">
            <w:pPr>
              <w:spacing w:after="0" w:line="240" w:lineRule="auto"/>
              <w:jc w:val="center"/>
              <w:rPr>
                <w:rFonts w:eastAsia="Times New Roman"/>
                <w:color w:val="000000"/>
                <w:sz w:val="18"/>
                <w:szCs w:val="18"/>
              </w:rPr>
            </w:pPr>
          </w:p>
        </w:tc>
        <w:tc>
          <w:tcPr>
            <w:tcW w:w="449" w:type="dxa"/>
            <w:tcBorders>
              <w:top w:val="nil"/>
              <w:left w:val="nil"/>
              <w:bottom w:val="nil"/>
              <w:right w:val="single" w:sz="4" w:space="0" w:color="auto"/>
            </w:tcBorders>
            <w:shd w:val="clear" w:color="000000" w:fill="FFFFFF"/>
            <w:noWrap/>
            <w:vAlign w:val="bottom"/>
          </w:tcPr>
          <w:p w14:paraId="7315F9AB"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bottom"/>
          </w:tcPr>
          <w:p w14:paraId="2D181A0C"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bottom"/>
          </w:tcPr>
          <w:p w14:paraId="10ABFAD4"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30C260E5"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center"/>
          </w:tcPr>
          <w:p w14:paraId="2C0C0EC7" w14:textId="77777777" w:rsidR="002961DC" w:rsidRPr="000D3090" w:rsidRDefault="002961DC" w:rsidP="00B425AD">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center"/>
          </w:tcPr>
          <w:p w14:paraId="659FBD1C"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single" w:sz="4" w:space="0" w:color="auto"/>
            </w:tcBorders>
            <w:shd w:val="clear" w:color="000000" w:fill="FFFFFF"/>
            <w:noWrap/>
            <w:vAlign w:val="center"/>
          </w:tcPr>
          <w:p w14:paraId="3C26CCB0"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bottom"/>
          </w:tcPr>
          <w:p w14:paraId="37875CE5"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bottom"/>
          </w:tcPr>
          <w:p w14:paraId="5F0398AD"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bottom"/>
          </w:tcPr>
          <w:p w14:paraId="28051CBC" w14:textId="77777777" w:rsidR="002961DC" w:rsidRPr="000D3090" w:rsidRDefault="002961DC" w:rsidP="00B425AD">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bottom"/>
          </w:tcPr>
          <w:p w14:paraId="672C23BF"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23645338" w14:textId="77777777" w:rsidR="002961DC" w:rsidRPr="000D3090" w:rsidRDefault="002961DC" w:rsidP="00B425AD">
            <w:pPr>
              <w:spacing w:after="0" w:line="240" w:lineRule="auto"/>
              <w:jc w:val="center"/>
              <w:rPr>
                <w:rFonts w:eastAsia="Times New Roman"/>
                <w:color w:val="000000"/>
                <w:sz w:val="18"/>
                <w:szCs w:val="18"/>
              </w:rPr>
            </w:pPr>
          </w:p>
        </w:tc>
        <w:tc>
          <w:tcPr>
            <w:tcW w:w="454" w:type="dxa"/>
            <w:tcBorders>
              <w:top w:val="nil"/>
              <w:left w:val="nil"/>
              <w:bottom w:val="nil"/>
              <w:right w:val="single" w:sz="4" w:space="0" w:color="auto"/>
            </w:tcBorders>
            <w:shd w:val="clear" w:color="000000" w:fill="FFFFFF"/>
            <w:noWrap/>
            <w:vAlign w:val="center"/>
          </w:tcPr>
          <w:p w14:paraId="5AD95658"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5ED2675A" w14:textId="77777777" w:rsidR="002961DC" w:rsidRPr="000D3090" w:rsidRDefault="002961DC" w:rsidP="00B425AD">
            <w:pPr>
              <w:spacing w:after="0" w:line="240" w:lineRule="auto"/>
              <w:jc w:val="center"/>
              <w:rPr>
                <w:rFonts w:eastAsia="Times New Roman"/>
                <w:color w:val="000000"/>
                <w:sz w:val="18"/>
                <w:szCs w:val="18"/>
              </w:rPr>
            </w:pPr>
          </w:p>
        </w:tc>
        <w:tc>
          <w:tcPr>
            <w:tcW w:w="456" w:type="dxa"/>
            <w:tcBorders>
              <w:top w:val="nil"/>
              <w:left w:val="nil"/>
              <w:bottom w:val="nil"/>
              <w:right w:val="single" w:sz="12" w:space="0" w:color="auto"/>
            </w:tcBorders>
            <w:shd w:val="clear" w:color="000000" w:fill="FFFFFF"/>
            <w:noWrap/>
            <w:vAlign w:val="center"/>
          </w:tcPr>
          <w:p w14:paraId="48D3CB6D"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vAlign w:val="bottom"/>
          </w:tcPr>
          <w:p w14:paraId="002FE560" w14:textId="77777777" w:rsidR="002961DC" w:rsidRPr="000D3090" w:rsidRDefault="002961DC" w:rsidP="00B425AD">
            <w:pPr>
              <w:spacing w:after="0" w:line="240" w:lineRule="auto"/>
              <w:jc w:val="center"/>
              <w:rPr>
                <w:rFonts w:eastAsia="Times New Roman"/>
                <w:color w:val="000000"/>
                <w:sz w:val="18"/>
                <w:szCs w:val="18"/>
              </w:rPr>
            </w:pPr>
          </w:p>
        </w:tc>
        <w:tc>
          <w:tcPr>
            <w:tcW w:w="540" w:type="dxa"/>
            <w:tcBorders>
              <w:top w:val="nil"/>
              <w:left w:val="nil"/>
              <w:bottom w:val="nil"/>
              <w:right w:val="single" w:sz="12" w:space="0" w:color="auto"/>
            </w:tcBorders>
            <w:shd w:val="clear" w:color="000000" w:fill="FFFFFF"/>
            <w:vAlign w:val="bottom"/>
          </w:tcPr>
          <w:p w14:paraId="487F4002" w14:textId="77777777" w:rsidR="002961DC" w:rsidRPr="000D3090" w:rsidRDefault="002961DC" w:rsidP="00B425AD">
            <w:pPr>
              <w:spacing w:after="0" w:line="240" w:lineRule="auto"/>
              <w:jc w:val="center"/>
              <w:rPr>
                <w:rFonts w:eastAsia="Times New Roman"/>
                <w:color w:val="000000"/>
                <w:sz w:val="18"/>
                <w:szCs w:val="18"/>
              </w:rPr>
            </w:pPr>
          </w:p>
        </w:tc>
        <w:tc>
          <w:tcPr>
            <w:tcW w:w="630" w:type="dxa"/>
            <w:tcBorders>
              <w:top w:val="nil"/>
              <w:left w:val="single" w:sz="12" w:space="0" w:color="auto"/>
              <w:bottom w:val="nil"/>
              <w:right w:val="nil"/>
            </w:tcBorders>
            <w:shd w:val="clear" w:color="000000" w:fill="FFFFFF"/>
            <w:vAlign w:val="bottom"/>
          </w:tcPr>
          <w:p w14:paraId="54C7660B" w14:textId="77777777" w:rsidR="002961DC" w:rsidRPr="000D3090" w:rsidRDefault="002961DC" w:rsidP="00B425AD">
            <w:pPr>
              <w:spacing w:after="0" w:line="240" w:lineRule="auto"/>
              <w:jc w:val="center"/>
              <w:rPr>
                <w:rFonts w:eastAsia="Times New Roman"/>
                <w:color w:val="000000"/>
                <w:sz w:val="18"/>
                <w:szCs w:val="18"/>
              </w:rPr>
            </w:pPr>
          </w:p>
        </w:tc>
        <w:tc>
          <w:tcPr>
            <w:tcW w:w="542" w:type="dxa"/>
            <w:tcBorders>
              <w:top w:val="nil"/>
              <w:left w:val="nil"/>
              <w:bottom w:val="nil"/>
              <w:right w:val="single" w:sz="12" w:space="0" w:color="auto"/>
            </w:tcBorders>
            <w:shd w:val="clear" w:color="000000" w:fill="FFFFFF"/>
            <w:vAlign w:val="bottom"/>
          </w:tcPr>
          <w:p w14:paraId="00A289A5" w14:textId="77777777" w:rsidR="002961DC" w:rsidRPr="000D3090" w:rsidRDefault="002961DC" w:rsidP="00B425AD">
            <w:pPr>
              <w:spacing w:after="0" w:line="240" w:lineRule="auto"/>
              <w:jc w:val="center"/>
              <w:rPr>
                <w:rFonts w:eastAsia="Times New Roman"/>
                <w:color w:val="000000"/>
                <w:sz w:val="18"/>
                <w:szCs w:val="18"/>
              </w:rPr>
            </w:pPr>
          </w:p>
        </w:tc>
      </w:tr>
      <w:tr w:rsidR="004B6CD2" w:rsidRPr="000D3090" w14:paraId="63000088"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396FBE06" w14:textId="77777777" w:rsidR="004B6CD2" w:rsidRPr="000D3090" w:rsidRDefault="004B6CD2" w:rsidP="004B6CD2">
            <w:pPr>
              <w:spacing w:after="0" w:line="240" w:lineRule="auto"/>
              <w:rPr>
                <w:rFonts w:eastAsia="Times New Roman"/>
                <w:color w:val="000000"/>
                <w:sz w:val="18"/>
                <w:szCs w:val="18"/>
              </w:rPr>
            </w:pPr>
            <w:r w:rsidRPr="000D3090">
              <w:rPr>
                <w:rFonts w:eastAsia="Times New Roman"/>
                <w:color w:val="000000"/>
                <w:sz w:val="18"/>
                <w:szCs w:val="18"/>
              </w:rPr>
              <w:t xml:space="preserve">     Middle Atlantic</w:t>
            </w:r>
          </w:p>
        </w:tc>
        <w:tc>
          <w:tcPr>
            <w:tcW w:w="537" w:type="dxa"/>
            <w:tcBorders>
              <w:top w:val="nil"/>
              <w:left w:val="single" w:sz="12" w:space="0" w:color="auto"/>
              <w:bottom w:val="nil"/>
            </w:tcBorders>
            <w:shd w:val="clear" w:color="000000" w:fill="FFFFFF"/>
            <w:vAlign w:val="bottom"/>
          </w:tcPr>
          <w:p w14:paraId="0ED9B10B" w14:textId="56EA4E6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-0.15</w:t>
            </w:r>
          </w:p>
        </w:tc>
        <w:tc>
          <w:tcPr>
            <w:tcW w:w="541" w:type="dxa"/>
            <w:tcBorders>
              <w:top w:val="nil"/>
              <w:left w:val="nil"/>
              <w:bottom w:val="nil"/>
              <w:right w:val="single" w:sz="12" w:space="0" w:color="auto"/>
            </w:tcBorders>
            <w:shd w:val="clear" w:color="000000" w:fill="FFFFFF"/>
            <w:vAlign w:val="bottom"/>
          </w:tcPr>
          <w:p w14:paraId="5069A3B3" w14:textId="75CDC25E"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-3.01</w:t>
            </w:r>
          </w:p>
        </w:tc>
        <w:tc>
          <w:tcPr>
            <w:tcW w:w="539" w:type="dxa"/>
            <w:tcBorders>
              <w:top w:val="nil"/>
              <w:left w:val="single" w:sz="12" w:space="0" w:color="auto"/>
              <w:bottom w:val="nil"/>
              <w:right w:val="nil"/>
            </w:tcBorders>
            <w:shd w:val="clear" w:color="000000" w:fill="FFFFFF"/>
            <w:noWrap/>
            <w:vAlign w:val="center"/>
          </w:tcPr>
          <w:p w14:paraId="7FB9E669"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19C948E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9FF6C76"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6F0C5D5"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DE2437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C43D458" w14:textId="77777777" w:rsidR="004B6CD2" w:rsidRPr="000D3090" w:rsidRDefault="004B6CD2" w:rsidP="004B6CD2">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center"/>
          </w:tcPr>
          <w:p w14:paraId="51362E2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4" w:space="0" w:color="auto"/>
            </w:tcBorders>
            <w:shd w:val="clear" w:color="000000" w:fill="FFFFFF"/>
            <w:noWrap/>
            <w:vAlign w:val="center"/>
          </w:tcPr>
          <w:p w14:paraId="26965814"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0BDC809"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BAFFA2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691B9D60" w14:textId="71A675E6"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0.26</w:t>
            </w:r>
          </w:p>
        </w:tc>
        <w:tc>
          <w:tcPr>
            <w:tcW w:w="450" w:type="dxa"/>
            <w:tcBorders>
              <w:top w:val="nil"/>
              <w:left w:val="nil"/>
              <w:bottom w:val="nil"/>
              <w:right w:val="single" w:sz="4" w:space="0" w:color="auto"/>
            </w:tcBorders>
            <w:shd w:val="clear" w:color="000000" w:fill="FFFFFF"/>
            <w:noWrap/>
            <w:vAlign w:val="bottom"/>
          </w:tcPr>
          <w:p w14:paraId="63716076" w14:textId="1A05EC2C"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2.43</w:t>
            </w:r>
          </w:p>
        </w:tc>
        <w:tc>
          <w:tcPr>
            <w:tcW w:w="540" w:type="dxa"/>
            <w:tcBorders>
              <w:top w:val="nil"/>
              <w:left w:val="nil"/>
              <w:bottom w:val="nil"/>
              <w:right w:val="nil"/>
            </w:tcBorders>
            <w:shd w:val="clear" w:color="000000" w:fill="FFFFFF"/>
            <w:noWrap/>
            <w:vAlign w:val="bottom"/>
          </w:tcPr>
          <w:p w14:paraId="0F8E80FC" w14:textId="704211F3"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0.20</w:t>
            </w:r>
          </w:p>
        </w:tc>
        <w:tc>
          <w:tcPr>
            <w:tcW w:w="454" w:type="dxa"/>
            <w:tcBorders>
              <w:top w:val="nil"/>
              <w:left w:val="nil"/>
              <w:bottom w:val="nil"/>
              <w:right w:val="single" w:sz="4" w:space="0" w:color="auto"/>
            </w:tcBorders>
            <w:shd w:val="clear" w:color="000000" w:fill="FFFFFF"/>
            <w:noWrap/>
            <w:vAlign w:val="bottom"/>
          </w:tcPr>
          <w:p w14:paraId="68F70F86" w14:textId="31B7796F"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1.90</w:t>
            </w:r>
          </w:p>
        </w:tc>
        <w:tc>
          <w:tcPr>
            <w:tcW w:w="540" w:type="dxa"/>
            <w:tcBorders>
              <w:top w:val="nil"/>
              <w:left w:val="nil"/>
              <w:bottom w:val="nil"/>
              <w:right w:val="nil"/>
            </w:tcBorders>
            <w:shd w:val="clear" w:color="000000" w:fill="FFFFFF"/>
            <w:noWrap/>
            <w:vAlign w:val="bottom"/>
          </w:tcPr>
          <w:p w14:paraId="691B688F" w14:textId="66BA6F5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0.36</w:t>
            </w:r>
          </w:p>
        </w:tc>
        <w:tc>
          <w:tcPr>
            <w:tcW w:w="456" w:type="dxa"/>
            <w:tcBorders>
              <w:top w:val="nil"/>
              <w:left w:val="nil"/>
              <w:bottom w:val="nil"/>
              <w:right w:val="single" w:sz="12" w:space="0" w:color="auto"/>
            </w:tcBorders>
            <w:shd w:val="clear" w:color="000000" w:fill="FFFFFF"/>
            <w:noWrap/>
            <w:vAlign w:val="bottom"/>
          </w:tcPr>
          <w:p w14:paraId="5B8730D5" w14:textId="194F2D09"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3.78</w:t>
            </w:r>
          </w:p>
        </w:tc>
        <w:tc>
          <w:tcPr>
            <w:tcW w:w="540" w:type="dxa"/>
            <w:tcBorders>
              <w:top w:val="nil"/>
              <w:left w:val="nil"/>
              <w:bottom w:val="nil"/>
              <w:right w:val="nil"/>
            </w:tcBorders>
            <w:shd w:val="clear" w:color="000000" w:fill="FFFFFF"/>
            <w:vAlign w:val="center"/>
          </w:tcPr>
          <w:p w14:paraId="6C693105"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1A8A7E43"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4E1A841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bottom"/>
          </w:tcPr>
          <w:p w14:paraId="6A4B3A14" w14:textId="77777777" w:rsidR="004B6CD2" w:rsidRPr="000D3090" w:rsidRDefault="004B6CD2" w:rsidP="004B6CD2">
            <w:pPr>
              <w:spacing w:after="0" w:line="240" w:lineRule="auto"/>
              <w:jc w:val="center"/>
              <w:rPr>
                <w:rFonts w:eastAsia="Times New Roman"/>
                <w:color w:val="000000"/>
                <w:sz w:val="18"/>
                <w:szCs w:val="18"/>
              </w:rPr>
            </w:pPr>
          </w:p>
        </w:tc>
      </w:tr>
      <w:tr w:rsidR="004B6CD2" w:rsidRPr="000D3090" w14:paraId="044CC0C6"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1221577F" w14:textId="77777777" w:rsidR="004B6CD2" w:rsidRPr="000D3090" w:rsidRDefault="004B6CD2" w:rsidP="004B6CD2">
            <w:pPr>
              <w:spacing w:after="0" w:line="240" w:lineRule="auto"/>
              <w:rPr>
                <w:rFonts w:eastAsia="Times New Roman"/>
                <w:color w:val="000000"/>
                <w:sz w:val="18"/>
                <w:szCs w:val="18"/>
              </w:rPr>
            </w:pPr>
            <w:r w:rsidRPr="000D3090">
              <w:rPr>
                <w:rFonts w:eastAsia="Times New Roman"/>
                <w:color w:val="000000"/>
                <w:sz w:val="18"/>
                <w:szCs w:val="18"/>
              </w:rPr>
              <w:t xml:space="preserve">     East North Central</w:t>
            </w:r>
          </w:p>
        </w:tc>
        <w:tc>
          <w:tcPr>
            <w:tcW w:w="537" w:type="dxa"/>
            <w:tcBorders>
              <w:top w:val="nil"/>
              <w:left w:val="single" w:sz="12" w:space="0" w:color="auto"/>
              <w:bottom w:val="nil"/>
            </w:tcBorders>
            <w:shd w:val="clear" w:color="000000" w:fill="FFFFFF"/>
            <w:vAlign w:val="bottom"/>
          </w:tcPr>
          <w:p w14:paraId="242660CE" w14:textId="0D7F7B7A"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-0.21</w:t>
            </w:r>
          </w:p>
        </w:tc>
        <w:tc>
          <w:tcPr>
            <w:tcW w:w="541" w:type="dxa"/>
            <w:tcBorders>
              <w:top w:val="nil"/>
              <w:left w:val="nil"/>
              <w:bottom w:val="nil"/>
              <w:right w:val="single" w:sz="12" w:space="0" w:color="auto"/>
            </w:tcBorders>
            <w:shd w:val="clear" w:color="000000" w:fill="FFFFFF"/>
            <w:vAlign w:val="bottom"/>
          </w:tcPr>
          <w:p w14:paraId="6F5C851E" w14:textId="6EB0BC8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-4.49</w:t>
            </w:r>
          </w:p>
        </w:tc>
        <w:tc>
          <w:tcPr>
            <w:tcW w:w="539" w:type="dxa"/>
            <w:tcBorders>
              <w:top w:val="nil"/>
              <w:left w:val="single" w:sz="12" w:space="0" w:color="auto"/>
              <w:bottom w:val="nil"/>
              <w:right w:val="nil"/>
            </w:tcBorders>
            <w:shd w:val="clear" w:color="000000" w:fill="FFFFFF"/>
            <w:noWrap/>
            <w:vAlign w:val="center"/>
          </w:tcPr>
          <w:p w14:paraId="4B6BB846"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7E89305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00F79E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CC56585"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BD472D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00475012" w14:textId="77777777" w:rsidR="004B6CD2" w:rsidRPr="000D3090" w:rsidRDefault="004B6CD2" w:rsidP="004B6CD2">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bottom"/>
          </w:tcPr>
          <w:p w14:paraId="4AD77677" w14:textId="0D3E672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0.18</w:t>
            </w:r>
          </w:p>
        </w:tc>
        <w:tc>
          <w:tcPr>
            <w:tcW w:w="540" w:type="dxa"/>
            <w:tcBorders>
              <w:top w:val="nil"/>
              <w:left w:val="nil"/>
              <w:bottom w:val="nil"/>
              <w:right w:val="single" w:sz="4" w:space="0" w:color="auto"/>
            </w:tcBorders>
            <w:shd w:val="clear" w:color="000000" w:fill="FFFFFF"/>
            <w:noWrap/>
            <w:vAlign w:val="bottom"/>
          </w:tcPr>
          <w:p w14:paraId="46E8885A" w14:textId="2E074B36"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1.59</w:t>
            </w:r>
          </w:p>
        </w:tc>
        <w:tc>
          <w:tcPr>
            <w:tcW w:w="540" w:type="dxa"/>
            <w:tcBorders>
              <w:top w:val="nil"/>
              <w:left w:val="nil"/>
              <w:bottom w:val="nil"/>
              <w:right w:val="nil"/>
            </w:tcBorders>
            <w:shd w:val="clear" w:color="000000" w:fill="FFFFFF"/>
            <w:noWrap/>
            <w:vAlign w:val="bottom"/>
          </w:tcPr>
          <w:p w14:paraId="61C3B3BE" w14:textId="68DD118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0.37</w:t>
            </w:r>
          </w:p>
        </w:tc>
        <w:tc>
          <w:tcPr>
            <w:tcW w:w="450" w:type="dxa"/>
            <w:tcBorders>
              <w:top w:val="nil"/>
              <w:left w:val="nil"/>
              <w:bottom w:val="nil"/>
              <w:right w:val="single" w:sz="4" w:space="0" w:color="auto"/>
            </w:tcBorders>
            <w:shd w:val="clear" w:color="000000" w:fill="FFFFFF"/>
            <w:noWrap/>
            <w:vAlign w:val="bottom"/>
          </w:tcPr>
          <w:p w14:paraId="2BD37211" w14:textId="03F59F97"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3.99</w:t>
            </w:r>
          </w:p>
        </w:tc>
        <w:tc>
          <w:tcPr>
            <w:tcW w:w="540" w:type="dxa"/>
            <w:tcBorders>
              <w:top w:val="nil"/>
              <w:left w:val="nil"/>
              <w:bottom w:val="nil"/>
              <w:right w:val="nil"/>
            </w:tcBorders>
            <w:shd w:val="clear" w:color="000000" w:fill="FFFFFF"/>
            <w:noWrap/>
            <w:vAlign w:val="bottom"/>
          </w:tcPr>
          <w:p w14:paraId="69CBBB2F" w14:textId="00F824E6"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0.15</w:t>
            </w:r>
          </w:p>
        </w:tc>
        <w:tc>
          <w:tcPr>
            <w:tcW w:w="450" w:type="dxa"/>
            <w:tcBorders>
              <w:top w:val="nil"/>
              <w:left w:val="nil"/>
              <w:bottom w:val="nil"/>
              <w:right w:val="single" w:sz="4" w:space="0" w:color="auto"/>
            </w:tcBorders>
            <w:shd w:val="clear" w:color="000000" w:fill="FFFFFF"/>
            <w:noWrap/>
            <w:vAlign w:val="bottom"/>
          </w:tcPr>
          <w:p w14:paraId="47D8DF14" w14:textId="4AAC3224"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1.54</w:t>
            </w:r>
          </w:p>
        </w:tc>
        <w:tc>
          <w:tcPr>
            <w:tcW w:w="540" w:type="dxa"/>
            <w:tcBorders>
              <w:top w:val="nil"/>
              <w:left w:val="nil"/>
              <w:bottom w:val="nil"/>
              <w:right w:val="nil"/>
            </w:tcBorders>
            <w:shd w:val="clear" w:color="000000" w:fill="FFFFFF"/>
            <w:noWrap/>
            <w:vAlign w:val="center"/>
          </w:tcPr>
          <w:p w14:paraId="65F2D66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3018534F" w14:textId="77777777" w:rsidR="004B6CD2" w:rsidRPr="000D3090" w:rsidRDefault="004B6CD2" w:rsidP="004B6CD2">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bottom"/>
          </w:tcPr>
          <w:p w14:paraId="3040DD62" w14:textId="4B0C7DD3"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0.20</w:t>
            </w:r>
          </w:p>
        </w:tc>
        <w:tc>
          <w:tcPr>
            <w:tcW w:w="456" w:type="dxa"/>
            <w:tcBorders>
              <w:top w:val="nil"/>
              <w:left w:val="nil"/>
              <w:bottom w:val="nil"/>
              <w:right w:val="single" w:sz="12" w:space="0" w:color="auto"/>
            </w:tcBorders>
            <w:shd w:val="clear" w:color="000000" w:fill="FFFFFF"/>
            <w:noWrap/>
            <w:vAlign w:val="bottom"/>
          </w:tcPr>
          <w:p w14:paraId="4379D0B8" w14:textId="3943D86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2.24</w:t>
            </w:r>
          </w:p>
        </w:tc>
        <w:tc>
          <w:tcPr>
            <w:tcW w:w="540" w:type="dxa"/>
            <w:tcBorders>
              <w:top w:val="nil"/>
              <w:left w:val="nil"/>
              <w:bottom w:val="nil"/>
              <w:right w:val="nil"/>
            </w:tcBorders>
            <w:shd w:val="clear" w:color="000000" w:fill="FFFFFF"/>
            <w:vAlign w:val="center"/>
          </w:tcPr>
          <w:p w14:paraId="3348EDB3"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0FD3B11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473E6B25"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bottom"/>
          </w:tcPr>
          <w:p w14:paraId="40A13A77" w14:textId="77777777" w:rsidR="004B6CD2" w:rsidRPr="000D3090" w:rsidRDefault="004B6CD2" w:rsidP="004B6CD2">
            <w:pPr>
              <w:spacing w:after="0" w:line="240" w:lineRule="auto"/>
              <w:jc w:val="center"/>
              <w:rPr>
                <w:rFonts w:eastAsia="Times New Roman"/>
                <w:color w:val="000000"/>
                <w:sz w:val="18"/>
                <w:szCs w:val="18"/>
              </w:rPr>
            </w:pPr>
          </w:p>
        </w:tc>
      </w:tr>
      <w:tr w:rsidR="005A056A" w:rsidRPr="000D3090" w14:paraId="7EE06908"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0F8C21BB"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West North Central</w:t>
            </w:r>
          </w:p>
        </w:tc>
        <w:tc>
          <w:tcPr>
            <w:tcW w:w="537" w:type="dxa"/>
            <w:tcBorders>
              <w:top w:val="nil"/>
              <w:left w:val="single" w:sz="12" w:space="0" w:color="auto"/>
              <w:bottom w:val="nil"/>
            </w:tcBorders>
            <w:shd w:val="clear" w:color="000000" w:fill="FFFFFF"/>
            <w:vAlign w:val="bottom"/>
          </w:tcPr>
          <w:p w14:paraId="0DF6C673" w14:textId="7AD2A01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-0.28</w:t>
            </w:r>
          </w:p>
        </w:tc>
        <w:tc>
          <w:tcPr>
            <w:tcW w:w="541" w:type="dxa"/>
            <w:tcBorders>
              <w:top w:val="nil"/>
              <w:left w:val="nil"/>
              <w:bottom w:val="nil"/>
              <w:right w:val="single" w:sz="12" w:space="0" w:color="auto"/>
            </w:tcBorders>
            <w:shd w:val="clear" w:color="000000" w:fill="FFFFFF"/>
            <w:vAlign w:val="bottom"/>
          </w:tcPr>
          <w:p w14:paraId="4F27D024" w14:textId="7D54920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-4.66</w:t>
            </w:r>
          </w:p>
        </w:tc>
        <w:tc>
          <w:tcPr>
            <w:tcW w:w="539" w:type="dxa"/>
            <w:tcBorders>
              <w:top w:val="nil"/>
              <w:left w:val="single" w:sz="12" w:space="0" w:color="auto"/>
              <w:bottom w:val="nil"/>
              <w:right w:val="nil"/>
            </w:tcBorders>
            <w:shd w:val="clear" w:color="000000" w:fill="FFFFFF"/>
            <w:noWrap/>
            <w:vAlign w:val="center"/>
          </w:tcPr>
          <w:p w14:paraId="4568CEE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60D6DF0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E37826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291DE3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105C98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6121890"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center"/>
          </w:tcPr>
          <w:p w14:paraId="5F452D3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4" w:space="0" w:color="auto"/>
            </w:tcBorders>
            <w:shd w:val="clear" w:color="000000" w:fill="FFFFFF"/>
            <w:noWrap/>
            <w:vAlign w:val="center"/>
          </w:tcPr>
          <w:p w14:paraId="7BE3ABA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83E2E3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47FE57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29941A18" w14:textId="30732A8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0.28</w:t>
            </w:r>
          </w:p>
        </w:tc>
        <w:tc>
          <w:tcPr>
            <w:tcW w:w="450" w:type="dxa"/>
            <w:tcBorders>
              <w:top w:val="nil"/>
              <w:left w:val="nil"/>
              <w:bottom w:val="nil"/>
              <w:right w:val="single" w:sz="4" w:space="0" w:color="auto"/>
            </w:tcBorders>
            <w:shd w:val="clear" w:color="000000" w:fill="FFFFFF"/>
            <w:noWrap/>
            <w:vAlign w:val="bottom"/>
          </w:tcPr>
          <w:p w14:paraId="31B9E635" w14:textId="4D334CF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2.22</w:t>
            </w:r>
          </w:p>
        </w:tc>
        <w:tc>
          <w:tcPr>
            <w:tcW w:w="540" w:type="dxa"/>
            <w:tcBorders>
              <w:top w:val="nil"/>
              <w:left w:val="nil"/>
              <w:bottom w:val="nil"/>
              <w:right w:val="nil"/>
            </w:tcBorders>
            <w:shd w:val="clear" w:color="000000" w:fill="FFFFFF"/>
            <w:noWrap/>
            <w:vAlign w:val="bottom"/>
          </w:tcPr>
          <w:p w14:paraId="43C150C7" w14:textId="441D7ED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0.32</w:t>
            </w:r>
          </w:p>
        </w:tc>
        <w:tc>
          <w:tcPr>
            <w:tcW w:w="454" w:type="dxa"/>
            <w:tcBorders>
              <w:top w:val="nil"/>
              <w:left w:val="nil"/>
              <w:bottom w:val="nil"/>
              <w:right w:val="single" w:sz="4" w:space="0" w:color="auto"/>
            </w:tcBorders>
            <w:shd w:val="clear" w:color="000000" w:fill="FFFFFF"/>
            <w:noWrap/>
            <w:vAlign w:val="bottom"/>
          </w:tcPr>
          <w:p w14:paraId="6A44ADBE" w14:textId="3A9804C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3.44</w:t>
            </w:r>
          </w:p>
        </w:tc>
        <w:tc>
          <w:tcPr>
            <w:tcW w:w="540" w:type="dxa"/>
            <w:tcBorders>
              <w:top w:val="nil"/>
              <w:left w:val="nil"/>
              <w:bottom w:val="nil"/>
              <w:right w:val="nil"/>
            </w:tcBorders>
            <w:shd w:val="clear" w:color="000000" w:fill="FFFFFF"/>
            <w:noWrap/>
            <w:vAlign w:val="center"/>
          </w:tcPr>
          <w:p w14:paraId="67CA4ED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573FF29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4B49515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56C20D9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6D90EA71" w14:textId="74FB233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-0.09</w:t>
            </w:r>
          </w:p>
        </w:tc>
        <w:tc>
          <w:tcPr>
            <w:tcW w:w="542" w:type="dxa"/>
            <w:tcBorders>
              <w:top w:val="nil"/>
              <w:left w:val="nil"/>
              <w:bottom w:val="nil"/>
              <w:right w:val="single" w:sz="12" w:space="0" w:color="auto"/>
            </w:tcBorders>
            <w:shd w:val="clear" w:color="000000" w:fill="FFFFFF"/>
            <w:vAlign w:val="bottom"/>
          </w:tcPr>
          <w:p w14:paraId="6B7EE9E8" w14:textId="61841E7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-2.16</w:t>
            </w:r>
          </w:p>
        </w:tc>
      </w:tr>
      <w:tr w:rsidR="005A056A" w:rsidRPr="000D3090" w14:paraId="5918128E"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022A4C93"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South Atlantic</w:t>
            </w:r>
          </w:p>
        </w:tc>
        <w:tc>
          <w:tcPr>
            <w:tcW w:w="537" w:type="dxa"/>
            <w:tcBorders>
              <w:top w:val="nil"/>
              <w:left w:val="single" w:sz="12" w:space="0" w:color="auto"/>
              <w:bottom w:val="nil"/>
            </w:tcBorders>
            <w:shd w:val="clear" w:color="000000" w:fill="FFFFFF"/>
            <w:vAlign w:val="bottom"/>
          </w:tcPr>
          <w:p w14:paraId="2BC84FD6" w14:textId="2492DCA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-0.21</w:t>
            </w:r>
          </w:p>
        </w:tc>
        <w:tc>
          <w:tcPr>
            <w:tcW w:w="541" w:type="dxa"/>
            <w:tcBorders>
              <w:top w:val="nil"/>
              <w:left w:val="nil"/>
              <w:bottom w:val="nil"/>
              <w:right w:val="single" w:sz="12" w:space="0" w:color="auto"/>
            </w:tcBorders>
            <w:shd w:val="clear" w:color="000000" w:fill="FFFFFF"/>
            <w:vAlign w:val="bottom"/>
          </w:tcPr>
          <w:p w14:paraId="3EAB9392" w14:textId="3127EFC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-4.80</w:t>
            </w:r>
          </w:p>
        </w:tc>
        <w:tc>
          <w:tcPr>
            <w:tcW w:w="539" w:type="dxa"/>
            <w:tcBorders>
              <w:top w:val="nil"/>
              <w:left w:val="single" w:sz="12" w:space="0" w:color="auto"/>
              <w:bottom w:val="nil"/>
              <w:right w:val="nil"/>
            </w:tcBorders>
            <w:shd w:val="clear" w:color="000000" w:fill="FFFFFF"/>
            <w:noWrap/>
            <w:vAlign w:val="center"/>
          </w:tcPr>
          <w:p w14:paraId="574915D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29D6BB3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DD9AB2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2873C5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9230BF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008F7A5F"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bottom"/>
          </w:tcPr>
          <w:p w14:paraId="1B564E5A" w14:textId="64274BF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0.17</w:t>
            </w:r>
          </w:p>
        </w:tc>
        <w:tc>
          <w:tcPr>
            <w:tcW w:w="540" w:type="dxa"/>
            <w:tcBorders>
              <w:top w:val="nil"/>
              <w:left w:val="nil"/>
              <w:bottom w:val="nil"/>
              <w:right w:val="single" w:sz="4" w:space="0" w:color="auto"/>
            </w:tcBorders>
            <w:shd w:val="clear" w:color="000000" w:fill="FFFFFF"/>
            <w:noWrap/>
            <w:vAlign w:val="bottom"/>
          </w:tcPr>
          <w:p w14:paraId="5908A33E" w14:textId="529AEB7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1.59</w:t>
            </w:r>
          </w:p>
        </w:tc>
        <w:tc>
          <w:tcPr>
            <w:tcW w:w="540" w:type="dxa"/>
            <w:tcBorders>
              <w:top w:val="nil"/>
              <w:left w:val="nil"/>
              <w:bottom w:val="nil"/>
              <w:right w:val="nil"/>
            </w:tcBorders>
            <w:shd w:val="clear" w:color="000000" w:fill="FFFFFF"/>
            <w:noWrap/>
            <w:vAlign w:val="bottom"/>
          </w:tcPr>
          <w:p w14:paraId="3B6B70FB" w14:textId="1C4759A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0.21</w:t>
            </w:r>
          </w:p>
        </w:tc>
        <w:tc>
          <w:tcPr>
            <w:tcW w:w="450" w:type="dxa"/>
            <w:tcBorders>
              <w:top w:val="nil"/>
              <w:left w:val="nil"/>
              <w:bottom w:val="nil"/>
              <w:right w:val="single" w:sz="4" w:space="0" w:color="auto"/>
            </w:tcBorders>
            <w:shd w:val="clear" w:color="000000" w:fill="FFFFFF"/>
            <w:noWrap/>
            <w:vAlign w:val="bottom"/>
          </w:tcPr>
          <w:p w14:paraId="23DA1B1C" w14:textId="7846D1A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2.43</w:t>
            </w:r>
          </w:p>
        </w:tc>
        <w:tc>
          <w:tcPr>
            <w:tcW w:w="540" w:type="dxa"/>
            <w:tcBorders>
              <w:top w:val="nil"/>
              <w:left w:val="nil"/>
              <w:bottom w:val="nil"/>
              <w:right w:val="nil"/>
            </w:tcBorders>
            <w:shd w:val="clear" w:color="000000" w:fill="FFFFFF"/>
            <w:noWrap/>
            <w:vAlign w:val="center"/>
          </w:tcPr>
          <w:p w14:paraId="014ED76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8AAD9F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5D78DE7A" w14:textId="4FE4DA4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0.22</w:t>
            </w:r>
          </w:p>
        </w:tc>
        <w:tc>
          <w:tcPr>
            <w:tcW w:w="454" w:type="dxa"/>
            <w:tcBorders>
              <w:top w:val="nil"/>
              <w:left w:val="nil"/>
              <w:bottom w:val="nil"/>
              <w:right w:val="single" w:sz="4" w:space="0" w:color="auto"/>
            </w:tcBorders>
            <w:shd w:val="clear" w:color="000000" w:fill="FFFFFF"/>
            <w:noWrap/>
            <w:vAlign w:val="bottom"/>
          </w:tcPr>
          <w:p w14:paraId="00FBDC65" w14:textId="199729C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1.62</w:t>
            </w:r>
          </w:p>
        </w:tc>
        <w:tc>
          <w:tcPr>
            <w:tcW w:w="540" w:type="dxa"/>
            <w:tcBorders>
              <w:top w:val="nil"/>
              <w:left w:val="nil"/>
              <w:bottom w:val="nil"/>
              <w:right w:val="nil"/>
            </w:tcBorders>
            <w:shd w:val="clear" w:color="000000" w:fill="FFFFFF"/>
            <w:noWrap/>
            <w:vAlign w:val="bottom"/>
          </w:tcPr>
          <w:p w14:paraId="5942BBA6" w14:textId="572A18B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0.15</w:t>
            </w:r>
          </w:p>
        </w:tc>
        <w:tc>
          <w:tcPr>
            <w:tcW w:w="456" w:type="dxa"/>
            <w:tcBorders>
              <w:top w:val="nil"/>
              <w:left w:val="nil"/>
              <w:bottom w:val="nil"/>
              <w:right w:val="single" w:sz="12" w:space="0" w:color="auto"/>
            </w:tcBorders>
            <w:shd w:val="clear" w:color="000000" w:fill="FFFFFF"/>
            <w:noWrap/>
            <w:vAlign w:val="bottom"/>
          </w:tcPr>
          <w:p w14:paraId="7025A88B" w14:textId="050346D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1.86</w:t>
            </w:r>
          </w:p>
        </w:tc>
        <w:tc>
          <w:tcPr>
            <w:tcW w:w="540" w:type="dxa"/>
            <w:tcBorders>
              <w:top w:val="nil"/>
              <w:left w:val="nil"/>
              <w:bottom w:val="nil"/>
              <w:right w:val="nil"/>
            </w:tcBorders>
            <w:shd w:val="clear" w:color="000000" w:fill="FFFFFF"/>
            <w:vAlign w:val="center"/>
          </w:tcPr>
          <w:p w14:paraId="6FBFCE9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2C66291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664318EA" w14:textId="69C1E44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0.05</w:t>
            </w:r>
          </w:p>
        </w:tc>
        <w:tc>
          <w:tcPr>
            <w:tcW w:w="542" w:type="dxa"/>
            <w:tcBorders>
              <w:top w:val="nil"/>
              <w:left w:val="nil"/>
              <w:bottom w:val="nil"/>
              <w:right w:val="single" w:sz="12" w:space="0" w:color="auto"/>
            </w:tcBorders>
            <w:shd w:val="clear" w:color="000000" w:fill="FFFFFF"/>
            <w:vAlign w:val="bottom"/>
          </w:tcPr>
          <w:p w14:paraId="371FC6BD" w14:textId="4E5F2B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1.99</w:t>
            </w:r>
          </w:p>
        </w:tc>
      </w:tr>
      <w:tr w:rsidR="005A056A" w:rsidRPr="000D3090" w14:paraId="36A29ED9"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0B8CBFE2"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East South Central</w:t>
            </w:r>
          </w:p>
        </w:tc>
        <w:tc>
          <w:tcPr>
            <w:tcW w:w="537" w:type="dxa"/>
            <w:tcBorders>
              <w:top w:val="nil"/>
              <w:left w:val="single" w:sz="12" w:space="0" w:color="auto"/>
              <w:bottom w:val="nil"/>
            </w:tcBorders>
            <w:shd w:val="clear" w:color="000000" w:fill="FFFFFF"/>
            <w:vAlign w:val="bottom"/>
          </w:tcPr>
          <w:p w14:paraId="31AA02F7" w14:textId="3411877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-0.21</w:t>
            </w:r>
          </w:p>
        </w:tc>
        <w:tc>
          <w:tcPr>
            <w:tcW w:w="541" w:type="dxa"/>
            <w:tcBorders>
              <w:top w:val="nil"/>
              <w:left w:val="nil"/>
              <w:bottom w:val="nil"/>
              <w:right w:val="single" w:sz="12" w:space="0" w:color="auto"/>
            </w:tcBorders>
            <w:shd w:val="clear" w:color="000000" w:fill="FFFFFF"/>
            <w:vAlign w:val="bottom"/>
          </w:tcPr>
          <w:p w14:paraId="62408A9B" w14:textId="1F874AD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-3.21</w:t>
            </w:r>
          </w:p>
        </w:tc>
        <w:tc>
          <w:tcPr>
            <w:tcW w:w="539" w:type="dxa"/>
            <w:tcBorders>
              <w:top w:val="nil"/>
              <w:left w:val="single" w:sz="12" w:space="0" w:color="auto"/>
              <w:bottom w:val="nil"/>
              <w:right w:val="nil"/>
            </w:tcBorders>
            <w:shd w:val="clear" w:color="000000" w:fill="FFFFFF"/>
            <w:noWrap/>
            <w:vAlign w:val="center"/>
          </w:tcPr>
          <w:p w14:paraId="6112441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14CAC96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29E0E6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49A400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C98485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91C9AC9"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center"/>
          </w:tcPr>
          <w:p w14:paraId="496ACEA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4" w:space="0" w:color="auto"/>
            </w:tcBorders>
            <w:shd w:val="clear" w:color="000000" w:fill="FFFFFF"/>
            <w:noWrap/>
            <w:vAlign w:val="center"/>
          </w:tcPr>
          <w:p w14:paraId="2187FC3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8E3D8B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7FDE5A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42603D91" w14:textId="244E9C5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0.27</w:t>
            </w:r>
          </w:p>
        </w:tc>
        <w:tc>
          <w:tcPr>
            <w:tcW w:w="450" w:type="dxa"/>
            <w:tcBorders>
              <w:top w:val="nil"/>
              <w:left w:val="nil"/>
              <w:bottom w:val="nil"/>
              <w:right w:val="single" w:sz="4" w:space="0" w:color="auto"/>
            </w:tcBorders>
            <w:shd w:val="clear" w:color="000000" w:fill="FFFFFF"/>
            <w:noWrap/>
            <w:vAlign w:val="bottom"/>
          </w:tcPr>
          <w:p w14:paraId="0126ADDC" w14:textId="76D113C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2.07</w:t>
            </w:r>
          </w:p>
        </w:tc>
        <w:tc>
          <w:tcPr>
            <w:tcW w:w="540" w:type="dxa"/>
            <w:tcBorders>
              <w:top w:val="nil"/>
              <w:left w:val="nil"/>
              <w:bottom w:val="nil"/>
              <w:right w:val="nil"/>
            </w:tcBorders>
            <w:shd w:val="clear" w:color="000000" w:fill="FFFFFF"/>
            <w:noWrap/>
            <w:vAlign w:val="bottom"/>
          </w:tcPr>
          <w:p w14:paraId="43E87DA7" w14:textId="4DF035B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0.33</w:t>
            </w:r>
          </w:p>
        </w:tc>
        <w:tc>
          <w:tcPr>
            <w:tcW w:w="454" w:type="dxa"/>
            <w:tcBorders>
              <w:top w:val="nil"/>
              <w:left w:val="nil"/>
              <w:bottom w:val="nil"/>
              <w:right w:val="single" w:sz="4" w:space="0" w:color="auto"/>
            </w:tcBorders>
            <w:shd w:val="clear" w:color="000000" w:fill="FFFFFF"/>
            <w:noWrap/>
            <w:vAlign w:val="bottom"/>
          </w:tcPr>
          <w:p w14:paraId="49295A5E" w14:textId="1348D24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3.02</w:t>
            </w:r>
          </w:p>
        </w:tc>
        <w:tc>
          <w:tcPr>
            <w:tcW w:w="540" w:type="dxa"/>
            <w:tcBorders>
              <w:top w:val="nil"/>
              <w:left w:val="nil"/>
              <w:bottom w:val="nil"/>
              <w:right w:val="nil"/>
            </w:tcBorders>
            <w:shd w:val="clear" w:color="000000" w:fill="FFFFFF"/>
            <w:noWrap/>
            <w:vAlign w:val="center"/>
          </w:tcPr>
          <w:p w14:paraId="527CA04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121D1B8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01B7020A" w14:textId="6BB85EE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-0.14</w:t>
            </w:r>
          </w:p>
        </w:tc>
        <w:tc>
          <w:tcPr>
            <w:tcW w:w="540" w:type="dxa"/>
            <w:tcBorders>
              <w:top w:val="nil"/>
              <w:left w:val="nil"/>
              <w:bottom w:val="nil"/>
              <w:right w:val="single" w:sz="12" w:space="0" w:color="auto"/>
            </w:tcBorders>
            <w:shd w:val="clear" w:color="000000" w:fill="FFFFFF"/>
            <w:vAlign w:val="bottom"/>
          </w:tcPr>
          <w:p w14:paraId="64D5D8E0" w14:textId="1B1DFE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-2.14</w:t>
            </w:r>
          </w:p>
        </w:tc>
        <w:tc>
          <w:tcPr>
            <w:tcW w:w="630" w:type="dxa"/>
            <w:tcBorders>
              <w:top w:val="nil"/>
              <w:left w:val="single" w:sz="12" w:space="0" w:color="auto"/>
              <w:bottom w:val="nil"/>
              <w:right w:val="nil"/>
            </w:tcBorders>
            <w:shd w:val="clear" w:color="000000" w:fill="FFFFFF"/>
            <w:vAlign w:val="bottom"/>
          </w:tcPr>
          <w:p w14:paraId="7AEDFFC3" w14:textId="68B6066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-0.10</w:t>
            </w:r>
          </w:p>
        </w:tc>
        <w:tc>
          <w:tcPr>
            <w:tcW w:w="542" w:type="dxa"/>
            <w:tcBorders>
              <w:top w:val="nil"/>
              <w:left w:val="nil"/>
              <w:bottom w:val="nil"/>
              <w:right w:val="single" w:sz="12" w:space="0" w:color="auto"/>
            </w:tcBorders>
            <w:shd w:val="clear" w:color="000000" w:fill="FFFFFF"/>
            <w:vAlign w:val="bottom"/>
          </w:tcPr>
          <w:p w14:paraId="1779CC63" w14:textId="2A201B0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-2.33</w:t>
            </w:r>
          </w:p>
        </w:tc>
      </w:tr>
      <w:tr w:rsidR="005A056A" w:rsidRPr="000D3090" w14:paraId="572A3765"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17B4BD1B"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West South Central</w:t>
            </w:r>
          </w:p>
        </w:tc>
        <w:tc>
          <w:tcPr>
            <w:tcW w:w="537" w:type="dxa"/>
            <w:tcBorders>
              <w:top w:val="nil"/>
              <w:left w:val="single" w:sz="12" w:space="0" w:color="auto"/>
              <w:bottom w:val="nil"/>
            </w:tcBorders>
            <w:shd w:val="clear" w:color="000000" w:fill="FFFFFF"/>
            <w:vAlign w:val="bottom"/>
          </w:tcPr>
          <w:p w14:paraId="0BC77939" w14:textId="2CB96FD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541" w:type="dxa"/>
            <w:tcBorders>
              <w:top w:val="nil"/>
              <w:left w:val="nil"/>
              <w:bottom w:val="nil"/>
              <w:right w:val="single" w:sz="12" w:space="0" w:color="auto"/>
            </w:tcBorders>
            <w:shd w:val="clear" w:color="000000" w:fill="FFFFFF"/>
            <w:vAlign w:val="bottom"/>
          </w:tcPr>
          <w:p w14:paraId="7E822CF6" w14:textId="6104BA4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-4.72</w:t>
            </w:r>
          </w:p>
        </w:tc>
        <w:tc>
          <w:tcPr>
            <w:tcW w:w="539" w:type="dxa"/>
            <w:tcBorders>
              <w:top w:val="nil"/>
              <w:left w:val="single" w:sz="12" w:space="0" w:color="auto"/>
              <w:bottom w:val="nil"/>
              <w:right w:val="nil"/>
            </w:tcBorders>
            <w:shd w:val="clear" w:color="000000" w:fill="FFFFFF"/>
            <w:noWrap/>
            <w:vAlign w:val="center"/>
          </w:tcPr>
          <w:p w14:paraId="6303CE7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24151AE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8B6D28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8B8975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C927A7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A71C262"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center"/>
          </w:tcPr>
          <w:p w14:paraId="793B138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4" w:space="0" w:color="auto"/>
            </w:tcBorders>
            <w:shd w:val="clear" w:color="000000" w:fill="FFFFFF"/>
            <w:noWrap/>
            <w:vAlign w:val="center"/>
          </w:tcPr>
          <w:p w14:paraId="6A69DC1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A2C5BE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2CEA40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1C787FBC" w14:textId="0D6B764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0.25</w:t>
            </w:r>
          </w:p>
        </w:tc>
        <w:tc>
          <w:tcPr>
            <w:tcW w:w="450" w:type="dxa"/>
            <w:tcBorders>
              <w:top w:val="nil"/>
              <w:left w:val="nil"/>
              <w:bottom w:val="nil"/>
              <w:right w:val="single" w:sz="4" w:space="0" w:color="auto"/>
            </w:tcBorders>
            <w:shd w:val="clear" w:color="000000" w:fill="FFFFFF"/>
            <w:noWrap/>
            <w:vAlign w:val="bottom"/>
          </w:tcPr>
          <w:p w14:paraId="55C9102F" w14:textId="6EA59A5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2.34</w:t>
            </w:r>
          </w:p>
        </w:tc>
        <w:tc>
          <w:tcPr>
            <w:tcW w:w="540" w:type="dxa"/>
            <w:tcBorders>
              <w:top w:val="nil"/>
              <w:left w:val="nil"/>
              <w:bottom w:val="nil"/>
              <w:right w:val="nil"/>
            </w:tcBorders>
            <w:shd w:val="clear" w:color="000000" w:fill="FFFFFF"/>
            <w:noWrap/>
            <w:vAlign w:val="bottom"/>
          </w:tcPr>
          <w:p w14:paraId="1D7EC074" w14:textId="621F1B4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0.25</w:t>
            </w:r>
          </w:p>
        </w:tc>
        <w:tc>
          <w:tcPr>
            <w:tcW w:w="454" w:type="dxa"/>
            <w:tcBorders>
              <w:top w:val="nil"/>
              <w:left w:val="nil"/>
              <w:bottom w:val="nil"/>
              <w:right w:val="single" w:sz="4" w:space="0" w:color="auto"/>
            </w:tcBorders>
            <w:shd w:val="clear" w:color="000000" w:fill="FFFFFF"/>
            <w:noWrap/>
            <w:vAlign w:val="bottom"/>
          </w:tcPr>
          <w:p w14:paraId="22A9F2C4" w14:textId="5E664FA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1.97</w:t>
            </w:r>
          </w:p>
        </w:tc>
        <w:tc>
          <w:tcPr>
            <w:tcW w:w="540" w:type="dxa"/>
            <w:tcBorders>
              <w:top w:val="nil"/>
              <w:left w:val="nil"/>
              <w:bottom w:val="nil"/>
              <w:right w:val="nil"/>
            </w:tcBorders>
            <w:shd w:val="clear" w:color="000000" w:fill="FFFFFF"/>
            <w:noWrap/>
            <w:vAlign w:val="center"/>
          </w:tcPr>
          <w:p w14:paraId="6CD30DC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77C3D36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2E91B6B7" w14:textId="1609AF5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-0.08</w:t>
            </w:r>
          </w:p>
        </w:tc>
        <w:tc>
          <w:tcPr>
            <w:tcW w:w="540" w:type="dxa"/>
            <w:tcBorders>
              <w:top w:val="nil"/>
              <w:left w:val="nil"/>
              <w:bottom w:val="nil"/>
              <w:right w:val="single" w:sz="12" w:space="0" w:color="auto"/>
            </w:tcBorders>
            <w:shd w:val="clear" w:color="000000" w:fill="FFFFFF"/>
            <w:vAlign w:val="bottom"/>
          </w:tcPr>
          <w:p w14:paraId="271B490C" w14:textId="0C98DDB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-1.70</w:t>
            </w:r>
          </w:p>
        </w:tc>
        <w:tc>
          <w:tcPr>
            <w:tcW w:w="630" w:type="dxa"/>
            <w:tcBorders>
              <w:top w:val="nil"/>
              <w:left w:val="single" w:sz="12" w:space="0" w:color="auto"/>
              <w:bottom w:val="nil"/>
              <w:right w:val="nil"/>
            </w:tcBorders>
            <w:shd w:val="clear" w:color="000000" w:fill="FFFFFF"/>
            <w:vAlign w:val="bottom"/>
          </w:tcPr>
          <w:p w14:paraId="5CCE1E89" w14:textId="5F7DD2E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-0.07</w:t>
            </w:r>
          </w:p>
        </w:tc>
        <w:tc>
          <w:tcPr>
            <w:tcW w:w="542" w:type="dxa"/>
            <w:tcBorders>
              <w:top w:val="nil"/>
              <w:left w:val="nil"/>
              <w:bottom w:val="nil"/>
              <w:right w:val="single" w:sz="12" w:space="0" w:color="auto"/>
            </w:tcBorders>
            <w:shd w:val="clear" w:color="000000" w:fill="FFFFFF"/>
            <w:vAlign w:val="bottom"/>
          </w:tcPr>
          <w:p w14:paraId="6A764B0E" w14:textId="790FB3B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-2.26</w:t>
            </w:r>
          </w:p>
        </w:tc>
      </w:tr>
      <w:tr w:rsidR="003F77D0" w:rsidRPr="000D3090" w14:paraId="25A2D2EC" w14:textId="77777777" w:rsidTr="00AF3DDB">
        <w:trPr>
          <w:trHeight w:val="20"/>
          <w:jc w:val="center"/>
        </w:trPr>
        <w:tc>
          <w:tcPr>
            <w:tcW w:w="2595" w:type="dxa"/>
            <w:tcBorders>
              <w:top w:val="nil"/>
              <w:left w:val="single" w:sz="12" w:space="0" w:color="auto"/>
              <w:right w:val="single" w:sz="12" w:space="0" w:color="auto"/>
            </w:tcBorders>
            <w:shd w:val="clear" w:color="000000" w:fill="FFFFFF"/>
            <w:noWrap/>
            <w:vAlign w:val="bottom"/>
          </w:tcPr>
          <w:p w14:paraId="099BF955" w14:textId="77777777" w:rsidR="004B6CD2" w:rsidRPr="000D3090" w:rsidRDefault="004B6CD2" w:rsidP="004B6CD2">
            <w:pPr>
              <w:spacing w:after="0" w:line="240" w:lineRule="auto"/>
              <w:rPr>
                <w:rFonts w:eastAsia="Times New Roman"/>
                <w:color w:val="000000"/>
                <w:sz w:val="18"/>
                <w:szCs w:val="18"/>
              </w:rPr>
            </w:pPr>
            <w:r w:rsidRPr="000D3090">
              <w:rPr>
                <w:rFonts w:eastAsia="Times New Roman"/>
                <w:color w:val="000000"/>
                <w:sz w:val="18"/>
                <w:szCs w:val="18"/>
              </w:rPr>
              <w:t xml:space="preserve">     Mountain</w:t>
            </w:r>
          </w:p>
        </w:tc>
        <w:tc>
          <w:tcPr>
            <w:tcW w:w="537" w:type="dxa"/>
            <w:tcBorders>
              <w:top w:val="nil"/>
              <w:left w:val="single" w:sz="12" w:space="0" w:color="auto"/>
            </w:tcBorders>
            <w:shd w:val="clear" w:color="000000" w:fill="FFFFFF"/>
            <w:vAlign w:val="bottom"/>
          </w:tcPr>
          <w:p w14:paraId="3FB8EAFA" w14:textId="6A6E533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-0.15</w:t>
            </w:r>
          </w:p>
        </w:tc>
        <w:tc>
          <w:tcPr>
            <w:tcW w:w="541" w:type="dxa"/>
            <w:tcBorders>
              <w:top w:val="nil"/>
              <w:left w:val="nil"/>
              <w:right w:val="single" w:sz="12" w:space="0" w:color="auto"/>
            </w:tcBorders>
            <w:shd w:val="clear" w:color="000000" w:fill="FFFFFF"/>
            <w:vAlign w:val="bottom"/>
          </w:tcPr>
          <w:p w14:paraId="341B3C08" w14:textId="257C2A65"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-2.61</w:t>
            </w:r>
          </w:p>
        </w:tc>
        <w:tc>
          <w:tcPr>
            <w:tcW w:w="539" w:type="dxa"/>
            <w:tcBorders>
              <w:top w:val="nil"/>
              <w:left w:val="single" w:sz="12" w:space="0" w:color="auto"/>
              <w:right w:val="nil"/>
            </w:tcBorders>
            <w:shd w:val="clear" w:color="000000" w:fill="FFFFFF"/>
            <w:noWrap/>
            <w:vAlign w:val="center"/>
          </w:tcPr>
          <w:p w14:paraId="13DAD62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right w:val="single" w:sz="4" w:space="0" w:color="auto"/>
            </w:tcBorders>
            <w:shd w:val="clear" w:color="000000" w:fill="FFFFFF"/>
            <w:noWrap/>
            <w:vAlign w:val="center"/>
          </w:tcPr>
          <w:p w14:paraId="4D554D96"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C8E43AA"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58C6B83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A96A9B7"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60F9BC1A" w14:textId="77777777" w:rsidR="004B6CD2" w:rsidRPr="000D3090" w:rsidRDefault="004B6CD2" w:rsidP="004B6CD2">
            <w:pPr>
              <w:spacing w:after="0" w:line="240" w:lineRule="auto"/>
              <w:jc w:val="center"/>
              <w:rPr>
                <w:rFonts w:eastAsia="Times New Roman"/>
                <w:color w:val="000000"/>
                <w:sz w:val="18"/>
                <w:szCs w:val="18"/>
              </w:rPr>
            </w:pPr>
          </w:p>
        </w:tc>
        <w:tc>
          <w:tcPr>
            <w:tcW w:w="544" w:type="dxa"/>
            <w:tcBorders>
              <w:top w:val="nil"/>
              <w:left w:val="nil"/>
              <w:right w:val="nil"/>
            </w:tcBorders>
            <w:shd w:val="clear" w:color="000000" w:fill="FFFFFF"/>
            <w:noWrap/>
            <w:vAlign w:val="center"/>
          </w:tcPr>
          <w:p w14:paraId="67B21D7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right w:val="single" w:sz="4" w:space="0" w:color="auto"/>
            </w:tcBorders>
            <w:shd w:val="clear" w:color="000000" w:fill="FFFFFF"/>
            <w:noWrap/>
            <w:vAlign w:val="center"/>
          </w:tcPr>
          <w:p w14:paraId="372241C4"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3841D19F"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50139D4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1B8652F7"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0B2985DB"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bottom"/>
          </w:tcPr>
          <w:p w14:paraId="5300D7E8" w14:textId="2773395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0.23</w:t>
            </w:r>
          </w:p>
        </w:tc>
        <w:tc>
          <w:tcPr>
            <w:tcW w:w="454" w:type="dxa"/>
            <w:tcBorders>
              <w:top w:val="nil"/>
              <w:left w:val="nil"/>
              <w:right w:val="single" w:sz="4" w:space="0" w:color="auto"/>
            </w:tcBorders>
            <w:shd w:val="clear" w:color="000000" w:fill="FFFFFF"/>
            <w:noWrap/>
            <w:vAlign w:val="bottom"/>
          </w:tcPr>
          <w:p w14:paraId="6267C5B5" w14:textId="0A6C620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2.22</w:t>
            </w:r>
          </w:p>
        </w:tc>
        <w:tc>
          <w:tcPr>
            <w:tcW w:w="540" w:type="dxa"/>
            <w:tcBorders>
              <w:top w:val="nil"/>
              <w:left w:val="nil"/>
              <w:right w:val="nil"/>
            </w:tcBorders>
            <w:shd w:val="clear" w:color="000000" w:fill="FFFFFF"/>
            <w:noWrap/>
            <w:vAlign w:val="bottom"/>
          </w:tcPr>
          <w:p w14:paraId="42189635" w14:textId="7AF8833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0.18</w:t>
            </w:r>
          </w:p>
        </w:tc>
        <w:tc>
          <w:tcPr>
            <w:tcW w:w="456" w:type="dxa"/>
            <w:tcBorders>
              <w:top w:val="nil"/>
              <w:left w:val="nil"/>
              <w:right w:val="single" w:sz="12" w:space="0" w:color="auto"/>
            </w:tcBorders>
            <w:shd w:val="clear" w:color="000000" w:fill="FFFFFF"/>
            <w:noWrap/>
            <w:vAlign w:val="bottom"/>
          </w:tcPr>
          <w:p w14:paraId="444746D8" w14:textId="2ACE1644"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1.68</w:t>
            </w:r>
          </w:p>
        </w:tc>
        <w:tc>
          <w:tcPr>
            <w:tcW w:w="540" w:type="dxa"/>
            <w:tcBorders>
              <w:top w:val="nil"/>
              <w:left w:val="nil"/>
              <w:right w:val="nil"/>
            </w:tcBorders>
            <w:shd w:val="clear" w:color="000000" w:fill="FFFFFF"/>
            <w:vAlign w:val="bottom"/>
          </w:tcPr>
          <w:p w14:paraId="7D75B344" w14:textId="3F390758"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0.14</w:t>
            </w:r>
          </w:p>
        </w:tc>
        <w:tc>
          <w:tcPr>
            <w:tcW w:w="540" w:type="dxa"/>
            <w:tcBorders>
              <w:top w:val="nil"/>
              <w:left w:val="nil"/>
              <w:right w:val="single" w:sz="12" w:space="0" w:color="auto"/>
            </w:tcBorders>
            <w:shd w:val="clear" w:color="000000" w:fill="FFFFFF"/>
            <w:vAlign w:val="bottom"/>
          </w:tcPr>
          <w:p w14:paraId="276B4000" w14:textId="09DB903E"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2.44</w:t>
            </w:r>
          </w:p>
        </w:tc>
        <w:tc>
          <w:tcPr>
            <w:tcW w:w="630" w:type="dxa"/>
            <w:tcBorders>
              <w:top w:val="nil"/>
              <w:left w:val="single" w:sz="12" w:space="0" w:color="auto"/>
              <w:right w:val="nil"/>
            </w:tcBorders>
            <w:shd w:val="clear" w:color="000000" w:fill="FFFFFF"/>
            <w:vAlign w:val="center"/>
          </w:tcPr>
          <w:p w14:paraId="5883030F"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right w:val="single" w:sz="12" w:space="0" w:color="auto"/>
            </w:tcBorders>
            <w:shd w:val="clear" w:color="000000" w:fill="FFFFFF"/>
            <w:vAlign w:val="bottom"/>
          </w:tcPr>
          <w:p w14:paraId="35194618" w14:textId="77777777" w:rsidR="004B6CD2" w:rsidRPr="000D3090" w:rsidRDefault="004B6CD2" w:rsidP="004B6CD2">
            <w:pPr>
              <w:spacing w:after="0" w:line="240" w:lineRule="auto"/>
              <w:jc w:val="center"/>
              <w:rPr>
                <w:rFonts w:eastAsia="Times New Roman"/>
                <w:color w:val="000000"/>
                <w:sz w:val="18"/>
                <w:szCs w:val="18"/>
              </w:rPr>
            </w:pPr>
          </w:p>
        </w:tc>
      </w:tr>
      <w:tr w:rsidR="003F77D0" w:rsidRPr="000D3090" w14:paraId="73C75715" w14:textId="77777777" w:rsidTr="00AF3DDB">
        <w:trPr>
          <w:trHeight w:val="20"/>
          <w:jc w:val="center"/>
        </w:trPr>
        <w:tc>
          <w:tcPr>
            <w:tcW w:w="2595" w:type="dxa"/>
            <w:tcBorders>
              <w:top w:val="nil"/>
              <w:left w:val="single" w:sz="12" w:space="0" w:color="auto"/>
              <w:right w:val="single" w:sz="12" w:space="0" w:color="auto"/>
            </w:tcBorders>
            <w:shd w:val="clear" w:color="000000" w:fill="FFFFFF"/>
            <w:noWrap/>
            <w:vAlign w:val="bottom"/>
          </w:tcPr>
          <w:p w14:paraId="72827728" w14:textId="77777777" w:rsidR="004B6CD2" w:rsidRPr="000D3090" w:rsidRDefault="004B6CD2" w:rsidP="004B6CD2">
            <w:pPr>
              <w:spacing w:after="0" w:line="240" w:lineRule="auto"/>
              <w:rPr>
                <w:rFonts w:eastAsia="Times New Roman"/>
                <w:color w:val="000000"/>
                <w:sz w:val="18"/>
                <w:szCs w:val="18"/>
              </w:rPr>
            </w:pPr>
            <w:r w:rsidRPr="000D3090">
              <w:rPr>
                <w:rFonts w:eastAsia="Times New Roman"/>
                <w:color w:val="000000"/>
                <w:sz w:val="18"/>
                <w:szCs w:val="18"/>
              </w:rPr>
              <w:t xml:space="preserve">     Pacific</w:t>
            </w:r>
          </w:p>
        </w:tc>
        <w:tc>
          <w:tcPr>
            <w:tcW w:w="537" w:type="dxa"/>
            <w:tcBorders>
              <w:top w:val="nil"/>
              <w:left w:val="single" w:sz="12" w:space="0" w:color="auto"/>
            </w:tcBorders>
            <w:shd w:val="clear" w:color="000000" w:fill="FFFFFF"/>
            <w:vAlign w:val="center"/>
          </w:tcPr>
          <w:p w14:paraId="1222280E"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right w:val="single" w:sz="12" w:space="0" w:color="auto"/>
            </w:tcBorders>
            <w:shd w:val="clear" w:color="000000" w:fill="FFFFFF"/>
            <w:vAlign w:val="center"/>
          </w:tcPr>
          <w:p w14:paraId="4367519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right w:val="nil"/>
            </w:tcBorders>
            <w:shd w:val="clear" w:color="000000" w:fill="FFFFFF"/>
            <w:noWrap/>
            <w:vAlign w:val="center"/>
          </w:tcPr>
          <w:p w14:paraId="6DB0EF2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right w:val="single" w:sz="4" w:space="0" w:color="auto"/>
            </w:tcBorders>
            <w:shd w:val="clear" w:color="000000" w:fill="FFFFFF"/>
            <w:noWrap/>
            <w:vAlign w:val="center"/>
          </w:tcPr>
          <w:p w14:paraId="37D3B65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005DA6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0B97816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4E4AF3F3"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2C7D9456" w14:textId="77777777" w:rsidR="004B6CD2" w:rsidRPr="000D3090" w:rsidRDefault="004B6CD2" w:rsidP="004B6CD2">
            <w:pPr>
              <w:spacing w:after="0" w:line="240" w:lineRule="auto"/>
              <w:jc w:val="center"/>
              <w:rPr>
                <w:rFonts w:eastAsia="Times New Roman"/>
                <w:color w:val="000000"/>
                <w:sz w:val="18"/>
                <w:szCs w:val="18"/>
              </w:rPr>
            </w:pPr>
          </w:p>
        </w:tc>
        <w:tc>
          <w:tcPr>
            <w:tcW w:w="544" w:type="dxa"/>
            <w:tcBorders>
              <w:top w:val="nil"/>
              <w:left w:val="nil"/>
              <w:right w:val="nil"/>
            </w:tcBorders>
            <w:shd w:val="clear" w:color="000000" w:fill="FFFFFF"/>
            <w:noWrap/>
            <w:vAlign w:val="bottom"/>
          </w:tcPr>
          <w:p w14:paraId="68B05FA9" w14:textId="473942C3"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0.16</w:t>
            </w:r>
          </w:p>
        </w:tc>
        <w:tc>
          <w:tcPr>
            <w:tcW w:w="540" w:type="dxa"/>
            <w:tcBorders>
              <w:top w:val="nil"/>
              <w:left w:val="nil"/>
              <w:right w:val="single" w:sz="4" w:space="0" w:color="auto"/>
            </w:tcBorders>
            <w:shd w:val="clear" w:color="000000" w:fill="FFFFFF"/>
            <w:noWrap/>
            <w:vAlign w:val="bottom"/>
          </w:tcPr>
          <w:p w14:paraId="5152CDFB" w14:textId="7AC2FB1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1.36</w:t>
            </w:r>
          </w:p>
        </w:tc>
        <w:tc>
          <w:tcPr>
            <w:tcW w:w="540" w:type="dxa"/>
            <w:tcBorders>
              <w:top w:val="nil"/>
              <w:left w:val="nil"/>
              <w:right w:val="nil"/>
            </w:tcBorders>
            <w:shd w:val="clear" w:color="000000" w:fill="FFFFFF"/>
            <w:noWrap/>
            <w:vAlign w:val="center"/>
          </w:tcPr>
          <w:p w14:paraId="70B4EC2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right w:val="single" w:sz="4" w:space="0" w:color="auto"/>
            </w:tcBorders>
            <w:shd w:val="clear" w:color="000000" w:fill="FFFFFF"/>
            <w:noWrap/>
            <w:vAlign w:val="center"/>
          </w:tcPr>
          <w:p w14:paraId="67D36E93"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bottom"/>
          </w:tcPr>
          <w:p w14:paraId="3545ED6C" w14:textId="2526BF47"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0.14</w:t>
            </w:r>
          </w:p>
        </w:tc>
        <w:tc>
          <w:tcPr>
            <w:tcW w:w="450" w:type="dxa"/>
            <w:tcBorders>
              <w:top w:val="nil"/>
              <w:left w:val="nil"/>
              <w:right w:val="single" w:sz="4" w:space="0" w:color="auto"/>
            </w:tcBorders>
            <w:shd w:val="clear" w:color="000000" w:fill="FFFFFF"/>
            <w:noWrap/>
            <w:vAlign w:val="bottom"/>
          </w:tcPr>
          <w:p w14:paraId="56B210EA" w14:textId="5A84C34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1.44</w:t>
            </w:r>
          </w:p>
        </w:tc>
        <w:tc>
          <w:tcPr>
            <w:tcW w:w="540" w:type="dxa"/>
            <w:tcBorders>
              <w:top w:val="nil"/>
              <w:left w:val="nil"/>
              <w:right w:val="nil"/>
            </w:tcBorders>
            <w:shd w:val="clear" w:color="000000" w:fill="FFFFFF"/>
            <w:noWrap/>
            <w:vAlign w:val="bottom"/>
          </w:tcPr>
          <w:p w14:paraId="083FC232" w14:textId="3243AB38"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0.32</w:t>
            </w:r>
          </w:p>
        </w:tc>
        <w:tc>
          <w:tcPr>
            <w:tcW w:w="454" w:type="dxa"/>
            <w:tcBorders>
              <w:top w:val="nil"/>
              <w:left w:val="nil"/>
              <w:right w:val="single" w:sz="4" w:space="0" w:color="auto"/>
            </w:tcBorders>
            <w:shd w:val="clear" w:color="000000" w:fill="FFFFFF"/>
            <w:noWrap/>
            <w:vAlign w:val="bottom"/>
          </w:tcPr>
          <w:p w14:paraId="11099BD5" w14:textId="690C60E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3.44</w:t>
            </w:r>
          </w:p>
        </w:tc>
        <w:tc>
          <w:tcPr>
            <w:tcW w:w="540" w:type="dxa"/>
            <w:tcBorders>
              <w:top w:val="nil"/>
              <w:left w:val="nil"/>
              <w:right w:val="nil"/>
            </w:tcBorders>
            <w:shd w:val="clear" w:color="000000" w:fill="FFFFFF"/>
            <w:noWrap/>
            <w:vAlign w:val="bottom"/>
          </w:tcPr>
          <w:p w14:paraId="38ABFF8A" w14:textId="1AEF5F48"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0.42</w:t>
            </w:r>
          </w:p>
        </w:tc>
        <w:tc>
          <w:tcPr>
            <w:tcW w:w="456" w:type="dxa"/>
            <w:tcBorders>
              <w:top w:val="nil"/>
              <w:left w:val="nil"/>
              <w:right w:val="single" w:sz="12" w:space="0" w:color="auto"/>
            </w:tcBorders>
            <w:shd w:val="clear" w:color="000000" w:fill="FFFFFF"/>
            <w:noWrap/>
            <w:vAlign w:val="bottom"/>
          </w:tcPr>
          <w:p w14:paraId="39771DB6" w14:textId="6C27184F"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4.84</w:t>
            </w:r>
          </w:p>
        </w:tc>
        <w:tc>
          <w:tcPr>
            <w:tcW w:w="540" w:type="dxa"/>
            <w:tcBorders>
              <w:top w:val="nil"/>
              <w:left w:val="nil"/>
              <w:right w:val="nil"/>
            </w:tcBorders>
            <w:shd w:val="clear" w:color="000000" w:fill="FFFFFF"/>
            <w:vAlign w:val="center"/>
          </w:tcPr>
          <w:p w14:paraId="29BB9B05"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right w:val="single" w:sz="12" w:space="0" w:color="auto"/>
            </w:tcBorders>
            <w:shd w:val="clear" w:color="000000" w:fill="FFFFFF"/>
            <w:vAlign w:val="center"/>
          </w:tcPr>
          <w:p w14:paraId="1D36E8B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right w:val="nil"/>
            </w:tcBorders>
            <w:shd w:val="clear" w:color="000000" w:fill="FFFFFF"/>
            <w:vAlign w:val="center"/>
          </w:tcPr>
          <w:p w14:paraId="5E8B2692"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right w:val="single" w:sz="12" w:space="0" w:color="auto"/>
            </w:tcBorders>
            <w:shd w:val="clear" w:color="000000" w:fill="FFFFFF"/>
            <w:vAlign w:val="bottom"/>
          </w:tcPr>
          <w:p w14:paraId="1B53AAAC" w14:textId="77777777" w:rsidR="004B6CD2" w:rsidRPr="000D3090" w:rsidRDefault="004B6CD2" w:rsidP="004B6CD2">
            <w:pPr>
              <w:spacing w:after="0" w:line="240" w:lineRule="auto"/>
              <w:jc w:val="center"/>
              <w:rPr>
                <w:rFonts w:eastAsia="Times New Roman"/>
                <w:color w:val="000000"/>
                <w:sz w:val="18"/>
                <w:szCs w:val="18"/>
              </w:rPr>
            </w:pPr>
          </w:p>
        </w:tc>
      </w:tr>
      <w:tr w:rsidR="003F77D0" w:rsidRPr="000D3090" w14:paraId="32DBC832" w14:textId="77777777" w:rsidTr="00AF3DDB">
        <w:trPr>
          <w:trHeight w:val="20"/>
          <w:jc w:val="center"/>
        </w:trPr>
        <w:tc>
          <w:tcPr>
            <w:tcW w:w="2595" w:type="dxa"/>
            <w:tcBorders>
              <w:left w:val="single" w:sz="12" w:space="0" w:color="auto"/>
              <w:right w:val="single" w:sz="12" w:space="0" w:color="auto"/>
            </w:tcBorders>
            <w:shd w:val="clear" w:color="000000" w:fill="FFFFFF"/>
            <w:noWrap/>
            <w:vAlign w:val="bottom"/>
          </w:tcPr>
          <w:p w14:paraId="1C1B1087" w14:textId="7D9C25CE"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Household Location Type (Urban)</w:t>
            </w:r>
          </w:p>
        </w:tc>
        <w:tc>
          <w:tcPr>
            <w:tcW w:w="537" w:type="dxa"/>
            <w:tcBorders>
              <w:left w:val="single" w:sz="12" w:space="0" w:color="auto"/>
            </w:tcBorders>
            <w:shd w:val="clear" w:color="000000" w:fill="FFFFFF"/>
          </w:tcPr>
          <w:p w14:paraId="5555CA35"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left w:val="nil"/>
              <w:right w:val="single" w:sz="12" w:space="0" w:color="auto"/>
            </w:tcBorders>
            <w:shd w:val="clear" w:color="000000" w:fill="FFFFFF"/>
          </w:tcPr>
          <w:p w14:paraId="573B31D0"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left w:val="single" w:sz="12" w:space="0" w:color="auto"/>
              <w:right w:val="nil"/>
            </w:tcBorders>
            <w:shd w:val="clear" w:color="000000" w:fill="FFFFFF"/>
            <w:noWrap/>
            <w:vAlign w:val="center"/>
          </w:tcPr>
          <w:p w14:paraId="14F2DB3F" w14:textId="6A633A28"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left w:val="nil"/>
              <w:right w:val="single" w:sz="4" w:space="0" w:color="auto"/>
            </w:tcBorders>
            <w:shd w:val="clear" w:color="000000" w:fill="FFFFFF"/>
            <w:noWrap/>
            <w:vAlign w:val="center"/>
          </w:tcPr>
          <w:p w14:paraId="43D1BBD4" w14:textId="7BBB0724"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01F99D7" w14:textId="510DDE86"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left w:val="nil"/>
              <w:right w:val="single" w:sz="4" w:space="0" w:color="auto"/>
            </w:tcBorders>
            <w:shd w:val="clear" w:color="000000" w:fill="FFFFFF"/>
            <w:noWrap/>
            <w:vAlign w:val="center"/>
          </w:tcPr>
          <w:p w14:paraId="375DC78A" w14:textId="1C1E8AA1"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23BCCB55" w14:textId="5AB9150F"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left w:val="nil"/>
              <w:right w:val="single" w:sz="4" w:space="0" w:color="auto"/>
            </w:tcBorders>
            <w:shd w:val="clear" w:color="000000" w:fill="FFFFFF"/>
            <w:noWrap/>
            <w:vAlign w:val="center"/>
          </w:tcPr>
          <w:p w14:paraId="1CD13953" w14:textId="0969C0BC"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left w:val="nil"/>
              <w:right w:val="nil"/>
            </w:tcBorders>
            <w:shd w:val="clear" w:color="000000" w:fill="FFFFFF"/>
            <w:noWrap/>
            <w:vAlign w:val="center"/>
          </w:tcPr>
          <w:p w14:paraId="2190D688" w14:textId="3913AF6F"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single" w:sz="4" w:space="0" w:color="auto"/>
            </w:tcBorders>
            <w:shd w:val="clear" w:color="000000" w:fill="FFFFFF"/>
            <w:noWrap/>
            <w:vAlign w:val="center"/>
          </w:tcPr>
          <w:p w14:paraId="4C82EDC8" w14:textId="433E0593"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55E8EB58" w14:textId="3D68A07C"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left w:val="nil"/>
              <w:right w:val="single" w:sz="4" w:space="0" w:color="auto"/>
            </w:tcBorders>
            <w:shd w:val="clear" w:color="000000" w:fill="FFFFFF"/>
            <w:noWrap/>
            <w:vAlign w:val="center"/>
          </w:tcPr>
          <w:p w14:paraId="63997911" w14:textId="71E184D8"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1C662CF" w14:textId="73B23D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450" w:type="dxa"/>
            <w:tcBorders>
              <w:left w:val="nil"/>
              <w:right w:val="single" w:sz="4" w:space="0" w:color="auto"/>
            </w:tcBorders>
            <w:shd w:val="clear" w:color="000000" w:fill="FFFFFF"/>
            <w:noWrap/>
            <w:vAlign w:val="center"/>
          </w:tcPr>
          <w:p w14:paraId="02C96CAE" w14:textId="17ECE6C2"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45AFBA6" w14:textId="765D62EF"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454" w:type="dxa"/>
            <w:tcBorders>
              <w:left w:val="nil"/>
              <w:right w:val="single" w:sz="4" w:space="0" w:color="auto"/>
            </w:tcBorders>
            <w:shd w:val="clear" w:color="000000" w:fill="FFFFFF"/>
            <w:noWrap/>
            <w:vAlign w:val="center"/>
          </w:tcPr>
          <w:p w14:paraId="3174B7C5" w14:textId="77A96F72"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5BACE55" w14:textId="3A2555BC"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456" w:type="dxa"/>
            <w:tcBorders>
              <w:left w:val="nil"/>
              <w:right w:val="single" w:sz="12" w:space="0" w:color="auto"/>
            </w:tcBorders>
            <w:shd w:val="clear" w:color="000000" w:fill="FFFFFF"/>
            <w:noWrap/>
            <w:vAlign w:val="center"/>
          </w:tcPr>
          <w:p w14:paraId="4A8A724D" w14:textId="4556E7BC"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tcPr>
          <w:p w14:paraId="3C4FC6D8"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tcPr>
          <w:p w14:paraId="5B8C2243"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tcPr>
          <w:p w14:paraId="2A0B3D5B"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tcPr>
          <w:p w14:paraId="0C3D9DCF" w14:textId="77777777" w:rsidR="00AF3DDB" w:rsidRPr="000D3090" w:rsidRDefault="00AF3DDB" w:rsidP="00AF3DDB">
            <w:pPr>
              <w:spacing w:after="0" w:line="240" w:lineRule="auto"/>
              <w:jc w:val="center"/>
              <w:rPr>
                <w:rFonts w:eastAsia="Times New Roman"/>
                <w:color w:val="000000"/>
                <w:sz w:val="18"/>
                <w:szCs w:val="18"/>
              </w:rPr>
            </w:pPr>
          </w:p>
        </w:tc>
      </w:tr>
      <w:tr w:rsidR="003F77D0" w:rsidRPr="000D3090" w14:paraId="4C528722" w14:textId="77777777" w:rsidTr="00AF3DDB">
        <w:trPr>
          <w:trHeight w:val="20"/>
          <w:jc w:val="center"/>
        </w:trPr>
        <w:tc>
          <w:tcPr>
            <w:tcW w:w="2595" w:type="dxa"/>
            <w:tcBorders>
              <w:left w:val="single" w:sz="12" w:space="0" w:color="auto"/>
              <w:right w:val="single" w:sz="12" w:space="0" w:color="auto"/>
            </w:tcBorders>
            <w:shd w:val="clear" w:color="000000" w:fill="FFFFFF"/>
            <w:noWrap/>
            <w:vAlign w:val="bottom"/>
          </w:tcPr>
          <w:p w14:paraId="7D0171F9" w14:textId="3204FA5A"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Rural</w:t>
            </w:r>
          </w:p>
        </w:tc>
        <w:tc>
          <w:tcPr>
            <w:tcW w:w="537" w:type="dxa"/>
            <w:tcBorders>
              <w:left w:val="single" w:sz="12" w:space="0" w:color="auto"/>
            </w:tcBorders>
            <w:shd w:val="clear" w:color="000000" w:fill="FFFFFF"/>
            <w:vAlign w:val="bottom"/>
          </w:tcPr>
          <w:p w14:paraId="3B7E67B3" w14:textId="417865A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0.05</w:t>
            </w:r>
          </w:p>
        </w:tc>
        <w:tc>
          <w:tcPr>
            <w:tcW w:w="541" w:type="dxa"/>
            <w:tcBorders>
              <w:left w:val="nil"/>
              <w:right w:val="single" w:sz="12" w:space="0" w:color="auto"/>
            </w:tcBorders>
            <w:shd w:val="clear" w:color="000000" w:fill="FFFFFF"/>
            <w:vAlign w:val="bottom"/>
          </w:tcPr>
          <w:p w14:paraId="7B5D1CCF" w14:textId="6A3FC0E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1.70</w:t>
            </w:r>
          </w:p>
        </w:tc>
        <w:tc>
          <w:tcPr>
            <w:tcW w:w="539" w:type="dxa"/>
            <w:tcBorders>
              <w:left w:val="single" w:sz="12" w:space="0" w:color="auto"/>
              <w:right w:val="nil"/>
            </w:tcBorders>
            <w:shd w:val="clear" w:color="000000" w:fill="FFFFFF"/>
            <w:noWrap/>
            <w:vAlign w:val="bottom"/>
          </w:tcPr>
          <w:p w14:paraId="3E2728C9" w14:textId="491B9361"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0.22</w:t>
            </w:r>
          </w:p>
        </w:tc>
        <w:tc>
          <w:tcPr>
            <w:tcW w:w="449" w:type="dxa"/>
            <w:tcBorders>
              <w:left w:val="nil"/>
              <w:right w:val="single" w:sz="4" w:space="0" w:color="auto"/>
            </w:tcBorders>
            <w:shd w:val="clear" w:color="000000" w:fill="FFFFFF"/>
            <w:noWrap/>
            <w:vAlign w:val="bottom"/>
          </w:tcPr>
          <w:p w14:paraId="7F547CF5" w14:textId="00E50E52"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1.91</w:t>
            </w:r>
          </w:p>
        </w:tc>
        <w:tc>
          <w:tcPr>
            <w:tcW w:w="540" w:type="dxa"/>
            <w:tcBorders>
              <w:left w:val="nil"/>
              <w:right w:val="nil"/>
            </w:tcBorders>
            <w:shd w:val="clear" w:color="000000" w:fill="FFFFFF"/>
            <w:noWrap/>
            <w:vAlign w:val="bottom"/>
          </w:tcPr>
          <w:p w14:paraId="674AD051" w14:textId="6B3D947F"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0.27</w:t>
            </w:r>
          </w:p>
        </w:tc>
        <w:tc>
          <w:tcPr>
            <w:tcW w:w="450" w:type="dxa"/>
            <w:tcBorders>
              <w:left w:val="nil"/>
              <w:right w:val="single" w:sz="4" w:space="0" w:color="auto"/>
            </w:tcBorders>
            <w:shd w:val="clear" w:color="000000" w:fill="FFFFFF"/>
            <w:noWrap/>
            <w:vAlign w:val="bottom"/>
          </w:tcPr>
          <w:p w14:paraId="3C26A372" w14:textId="6285BE8B"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1.85</w:t>
            </w:r>
          </w:p>
        </w:tc>
        <w:tc>
          <w:tcPr>
            <w:tcW w:w="540" w:type="dxa"/>
            <w:tcBorders>
              <w:left w:val="nil"/>
              <w:right w:val="nil"/>
            </w:tcBorders>
            <w:shd w:val="clear" w:color="000000" w:fill="FFFFFF"/>
            <w:noWrap/>
            <w:vAlign w:val="center"/>
          </w:tcPr>
          <w:p w14:paraId="31591519" w14:textId="37C9D7D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18B1AE7" w14:textId="55695C9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left w:val="nil"/>
              <w:right w:val="nil"/>
            </w:tcBorders>
            <w:shd w:val="clear" w:color="000000" w:fill="FFFFFF"/>
            <w:noWrap/>
            <w:vAlign w:val="center"/>
          </w:tcPr>
          <w:p w14:paraId="1093D9F3" w14:textId="4611193E"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left w:val="nil"/>
              <w:right w:val="single" w:sz="4" w:space="0" w:color="auto"/>
            </w:tcBorders>
            <w:shd w:val="clear" w:color="000000" w:fill="FFFFFF"/>
            <w:noWrap/>
            <w:vAlign w:val="center"/>
          </w:tcPr>
          <w:p w14:paraId="131D0470" w14:textId="19022EF3"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5B400943" w14:textId="7FAA77F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0.11</w:t>
            </w:r>
          </w:p>
        </w:tc>
        <w:tc>
          <w:tcPr>
            <w:tcW w:w="450" w:type="dxa"/>
            <w:tcBorders>
              <w:left w:val="nil"/>
              <w:right w:val="single" w:sz="4" w:space="0" w:color="auto"/>
            </w:tcBorders>
            <w:shd w:val="clear" w:color="000000" w:fill="FFFFFF"/>
            <w:noWrap/>
            <w:vAlign w:val="bottom"/>
          </w:tcPr>
          <w:p w14:paraId="42B0419B" w14:textId="79EA719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w:t>
            </w:r>
            <w:r w:rsidR="009811CC" w:rsidRPr="000D3090">
              <w:rPr>
                <w:color w:val="000000"/>
                <w:sz w:val="18"/>
                <w:szCs w:val="18"/>
              </w:rPr>
              <w:t>5</w:t>
            </w:r>
          </w:p>
        </w:tc>
        <w:tc>
          <w:tcPr>
            <w:tcW w:w="540" w:type="dxa"/>
            <w:tcBorders>
              <w:left w:val="nil"/>
              <w:right w:val="nil"/>
            </w:tcBorders>
            <w:shd w:val="clear" w:color="000000" w:fill="FFFFFF"/>
            <w:noWrap/>
            <w:vAlign w:val="bottom"/>
          </w:tcPr>
          <w:p w14:paraId="7ED1B138" w14:textId="28B1E14C" w:rsidR="005A056A" w:rsidRPr="000D3090" w:rsidRDefault="00190696" w:rsidP="005A056A">
            <w:pPr>
              <w:spacing w:after="0" w:line="240" w:lineRule="auto"/>
              <w:jc w:val="center"/>
              <w:rPr>
                <w:color w:val="000000"/>
                <w:sz w:val="18"/>
                <w:szCs w:val="18"/>
              </w:rPr>
            </w:pPr>
            <w:r w:rsidRPr="000D3090">
              <w:rPr>
                <w:color w:val="000000"/>
                <w:sz w:val="18"/>
                <w:szCs w:val="18"/>
              </w:rPr>
              <w:t>-</w:t>
            </w:r>
            <w:r w:rsidR="005A056A" w:rsidRPr="000D3090">
              <w:rPr>
                <w:color w:val="000000"/>
                <w:sz w:val="18"/>
                <w:szCs w:val="18"/>
              </w:rPr>
              <w:t>0.14</w:t>
            </w:r>
          </w:p>
        </w:tc>
        <w:tc>
          <w:tcPr>
            <w:tcW w:w="450" w:type="dxa"/>
            <w:tcBorders>
              <w:left w:val="nil"/>
              <w:right w:val="single" w:sz="4" w:space="0" w:color="auto"/>
            </w:tcBorders>
            <w:shd w:val="clear" w:color="000000" w:fill="FFFFFF"/>
            <w:noWrap/>
            <w:vAlign w:val="bottom"/>
          </w:tcPr>
          <w:p w14:paraId="4D88B059" w14:textId="5501E1AC" w:rsidR="005A056A" w:rsidRPr="000D3090" w:rsidRDefault="00190696" w:rsidP="005A056A">
            <w:pPr>
              <w:spacing w:after="0" w:line="240" w:lineRule="auto"/>
              <w:jc w:val="center"/>
              <w:rPr>
                <w:color w:val="000000"/>
                <w:sz w:val="18"/>
                <w:szCs w:val="18"/>
              </w:rPr>
            </w:pPr>
            <w:r w:rsidRPr="000D3090">
              <w:rPr>
                <w:color w:val="000000"/>
                <w:sz w:val="18"/>
                <w:szCs w:val="18"/>
              </w:rPr>
              <w:t>-</w:t>
            </w:r>
            <w:r w:rsidR="005A056A" w:rsidRPr="000D3090">
              <w:rPr>
                <w:color w:val="000000"/>
                <w:sz w:val="18"/>
                <w:szCs w:val="18"/>
              </w:rPr>
              <w:t>2.00</w:t>
            </w:r>
          </w:p>
        </w:tc>
        <w:tc>
          <w:tcPr>
            <w:tcW w:w="540" w:type="dxa"/>
            <w:tcBorders>
              <w:left w:val="nil"/>
              <w:right w:val="nil"/>
            </w:tcBorders>
            <w:shd w:val="clear" w:color="000000" w:fill="FFFFFF"/>
            <w:noWrap/>
            <w:vAlign w:val="center"/>
          </w:tcPr>
          <w:p w14:paraId="0FE21BAE" w14:textId="713B081B"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right w:val="single" w:sz="4" w:space="0" w:color="auto"/>
            </w:tcBorders>
            <w:shd w:val="clear" w:color="000000" w:fill="FFFFFF"/>
            <w:noWrap/>
            <w:vAlign w:val="center"/>
          </w:tcPr>
          <w:p w14:paraId="704C916A" w14:textId="00B2DCDD"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447379FB" w14:textId="68CFB0DF"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1D1B705F" w14:textId="02C149C3"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bottom"/>
          </w:tcPr>
          <w:p w14:paraId="40B2AC5A" w14:textId="2444B6C4"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0.18</w:t>
            </w:r>
          </w:p>
        </w:tc>
        <w:tc>
          <w:tcPr>
            <w:tcW w:w="540" w:type="dxa"/>
            <w:tcBorders>
              <w:left w:val="nil"/>
              <w:right w:val="single" w:sz="12" w:space="0" w:color="auto"/>
            </w:tcBorders>
            <w:shd w:val="clear" w:color="000000" w:fill="FFFFFF"/>
            <w:vAlign w:val="bottom"/>
          </w:tcPr>
          <w:p w14:paraId="218AC93F" w14:textId="531C1199"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5.10</w:t>
            </w:r>
          </w:p>
        </w:tc>
        <w:tc>
          <w:tcPr>
            <w:tcW w:w="630" w:type="dxa"/>
            <w:tcBorders>
              <w:left w:val="single" w:sz="12" w:space="0" w:color="auto"/>
              <w:right w:val="nil"/>
            </w:tcBorders>
            <w:shd w:val="clear" w:color="000000" w:fill="FFFFFF"/>
            <w:vAlign w:val="bottom"/>
          </w:tcPr>
          <w:p w14:paraId="6457337A" w14:textId="5DE82CEE"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0.09</w:t>
            </w:r>
          </w:p>
        </w:tc>
        <w:tc>
          <w:tcPr>
            <w:tcW w:w="542" w:type="dxa"/>
            <w:tcBorders>
              <w:left w:val="nil"/>
              <w:right w:val="single" w:sz="12" w:space="0" w:color="auto"/>
            </w:tcBorders>
            <w:shd w:val="clear" w:color="000000" w:fill="FFFFFF"/>
            <w:vAlign w:val="bottom"/>
          </w:tcPr>
          <w:p w14:paraId="005EB501" w14:textId="5C41172B" w:rsidR="005A056A" w:rsidRPr="000D3090" w:rsidRDefault="00190696" w:rsidP="005A056A">
            <w:pPr>
              <w:spacing w:after="0" w:line="240" w:lineRule="auto"/>
              <w:jc w:val="center"/>
              <w:rPr>
                <w:rFonts w:eastAsia="Times New Roman"/>
                <w:color w:val="000000"/>
                <w:sz w:val="18"/>
                <w:szCs w:val="18"/>
              </w:rPr>
            </w:pPr>
            <w:r w:rsidRPr="000D3090">
              <w:rPr>
                <w:color w:val="000000"/>
                <w:sz w:val="18"/>
                <w:szCs w:val="18"/>
              </w:rPr>
              <w:t>-</w:t>
            </w:r>
            <w:r w:rsidR="005A056A" w:rsidRPr="000D3090">
              <w:rPr>
                <w:color w:val="000000"/>
                <w:sz w:val="18"/>
                <w:szCs w:val="18"/>
              </w:rPr>
              <w:t>3.00</w:t>
            </w:r>
          </w:p>
        </w:tc>
      </w:tr>
      <w:tr w:rsidR="003F77D0" w:rsidRPr="000D3090" w14:paraId="2B144831" w14:textId="77777777" w:rsidTr="00AF3DDB">
        <w:trPr>
          <w:trHeight w:val="20"/>
          <w:jc w:val="center"/>
        </w:trPr>
        <w:tc>
          <w:tcPr>
            <w:tcW w:w="2595" w:type="dxa"/>
            <w:tcBorders>
              <w:left w:val="single" w:sz="12" w:space="0" w:color="auto"/>
              <w:right w:val="single" w:sz="12" w:space="0" w:color="auto"/>
            </w:tcBorders>
            <w:shd w:val="clear" w:color="000000" w:fill="FFFFFF"/>
            <w:noWrap/>
            <w:vAlign w:val="bottom"/>
          </w:tcPr>
          <w:p w14:paraId="73480897" w14:textId="314F4ACD" w:rsidR="00AF3DDB" w:rsidRPr="000D3090" w:rsidRDefault="00AF3DDB" w:rsidP="00B425AD">
            <w:pPr>
              <w:spacing w:after="0" w:line="240" w:lineRule="auto"/>
              <w:rPr>
                <w:rFonts w:eastAsia="Times New Roman"/>
                <w:color w:val="000000"/>
                <w:sz w:val="18"/>
                <w:szCs w:val="18"/>
              </w:rPr>
            </w:pPr>
            <w:r w:rsidRPr="000D3090">
              <w:rPr>
                <w:rFonts w:eastAsia="Times New Roman"/>
                <w:color w:val="000000"/>
                <w:sz w:val="18"/>
                <w:szCs w:val="18"/>
              </w:rPr>
              <w:t>Road Network Density (</w:t>
            </w:r>
            <w:r w:rsidR="00BB42F5" w:rsidRPr="000D3090">
              <w:rPr>
                <w:rFonts w:eastAsia="Times New Roman"/>
                <w:color w:val="000000"/>
                <w:sz w:val="18"/>
                <w:szCs w:val="18"/>
              </w:rPr>
              <w:t>0 – 9</w:t>
            </w:r>
            <w:r w:rsidRPr="000D3090">
              <w:rPr>
                <w:rFonts w:eastAsia="Times New Roman"/>
                <w:color w:val="000000"/>
                <w:sz w:val="18"/>
                <w:szCs w:val="18"/>
              </w:rPr>
              <w:t>)</w:t>
            </w:r>
          </w:p>
        </w:tc>
        <w:tc>
          <w:tcPr>
            <w:tcW w:w="537" w:type="dxa"/>
            <w:tcBorders>
              <w:left w:val="single" w:sz="12" w:space="0" w:color="auto"/>
            </w:tcBorders>
            <w:shd w:val="clear" w:color="000000" w:fill="FFFFFF"/>
            <w:vAlign w:val="center"/>
          </w:tcPr>
          <w:p w14:paraId="2D7E89CF" w14:textId="77777777" w:rsidR="00AF3DDB" w:rsidRPr="000D3090" w:rsidRDefault="00AF3DDB" w:rsidP="00B425AD">
            <w:pPr>
              <w:spacing w:after="0" w:line="240" w:lineRule="auto"/>
              <w:jc w:val="center"/>
              <w:rPr>
                <w:rFonts w:eastAsia="Times New Roman"/>
                <w:color w:val="000000"/>
                <w:sz w:val="18"/>
                <w:szCs w:val="18"/>
              </w:rPr>
            </w:pPr>
          </w:p>
        </w:tc>
        <w:tc>
          <w:tcPr>
            <w:tcW w:w="541" w:type="dxa"/>
            <w:tcBorders>
              <w:left w:val="nil"/>
              <w:right w:val="single" w:sz="12" w:space="0" w:color="auto"/>
            </w:tcBorders>
            <w:shd w:val="clear" w:color="000000" w:fill="FFFFFF"/>
            <w:vAlign w:val="center"/>
          </w:tcPr>
          <w:p w14:paraId="6A7994E7" w14:textId="77777777" w:rsidR="00AF3DDB" w:rsidRPr="000D3090" w:rsidRDefault="00AF3DDB" w:rsidP="00B425AD">
            <w:pPr>
              <w:spacing w:after="0" w:line="240" w:lineRule="auto"/>
              <w:jc w:val="center"/>
              <w:rPr>
                <w:rFonts w:eastAsia="Times New Roman"/>
                <w:color w:val="000000"/>
                <w:sz w:val="18"/>
                <w:szCs w:val="18"/>
              </w:rPr>
            </w:pPr>
          </w:p>
        </w:tc>
        <w:tc>
          <w:tcPr>
            <w:tcW w:w="539" w:type="dxa"/>
            <w:tcBorders>
              <w:left w:val="single" w:sz="12" w:space="0" w:color="auto"/>
              <w:right w:val="nil"/>
            </w:tcBorders>
            <w:shd w:val="clear" w:color="000000" w:fill="FFFFFF"/>
            <w:noWrap/>
            <w:vAlign w:val="center"/>
          </w:tcPr>
          <w:p w14:paraId="55523F6D" w14:textId="77777777" w:rsidR="00AF3DDB" w:rsidRPr="000D3090" w:rsidRDefault="00AF3DDB" w:rsidP="00B425AD">
            <w:pPr>
              <w:spacing w:after="0" w:line="240" w:lineRule="auto"/>
              <w:jc w:val="center"/>
              <w:rPr>
                <w:rFonts w:eastAsia="Times New Roman"/>
                <w:color w:val="000000"/>
                <w:sz w:val="18"/>
                <w:szCs w:val="18"/>
              </w:rPr>
            </w:pPr>
          </w:p>
        </w:tc>
        <w:tc>
          <w:tcPr>
            <w:tcW w:w="449" w:type="dxa"/>
            <w:tcBorders>
              <w:left w:val="nil"/>
              <w:right w:val="single" w:sz="4" w:space="0" w:color="auto"/>
            </w:tcBorders>
            <w:shd w:val="clear" w:color="000000" w:fill="FFFFFF"/>
            <w:noWrap/>
            <w:vAlign w:val="center"/>
          </w:tcPr>
          <w:p w14:paraId="4F582CD0" w14:textId="77777777" w:rsidR="00AF3DDB" w:rsidRPr="000D3090" w:rsidRDefault="00AF3DDB" w:rsidP="00B425AD">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04BBF6D7" w14:textId="77777777" w:rsidR="00AF3DDB" w:rsidRPr="000D3090" w:rsidRDefault="00AF3DDB" w:rsidP="00B425AD">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39F95053" w14:textId="77777777" w:rsidR="00AF3DDB" w:rsidRPr="000D3090" w:rsidRDefault="00AF3DDB" w:rsidP="00B425AD">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2C8B5F2A" w14:textId="77777777" w:rsidR="00AF3DDB" w:rsidRPr="000D3090" w:rsidRDefault="00AF3DDB" w:rsidP="00B425AD">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79CE8E05" w14:textId="77777777" w:rsidR="00AF3DDB" w:rsidRPr="000D3090" w:rsidRDefault="00AF3DDB" w:rsidP="00B425AD">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bottom"/>
          </w:tcPr>
          <w:p w14:paraId="042B45C3" w14:textId="77777777" w:rsidR="00AF3DDB" w:rsidRPr="000D3090" w:rsidRDefault="00AF3DDB" w:rsidP="00B425AD">
            <w:pPr>
              <w:spacing w:after="0" w:line="240" w:lineRule="auto"/>
              <w:jc w:val="center"/>
              <w:rPr>
                <w:color w:val="000000"/>
                <w:sz w:val="18"/>
                <w:szCs w:val="18"/>
              </w:rPr>
            </w:pPr>
          </w:p>
        </w:tc>
        <w:tc>
          <w:tcPr>
            <w:tcW w:w="540" w:type="dxa"/>
            <w:tcBorders>
              <w:left w:val="nil"/>
              <w:right w:val="single" w:sz="4" w:space="0" w:color="auto"/>
            </w:tcBorders>
            <w:shd w:val="clear" w:color="000000" w:fill="FFFFFF"/>
            <w:noWrap/>
            <w:vAlign w:val="bottom"/>
          </w:tcPr>
          <w:p w14:paraId="0B200BB5" w14:textId="77777777" w:rsidR="00AF3DDB" w:rsidRPr="000D3090" w:rsidRDefault="00AF3DDB" w:rsidP="00B425AD">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676DC544" w14:textId="77777777" w:rsidR="00AF3DDB" w:rsidRPr="000D3090" w:rsidRDefault="00AF3DDB" w:rsidP="00B425AD">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7935A97A" w14:textId="77777777" w:rsidR="00AF3DDB" w:rsidRPr="000D3090" w:rsidRDefault="00AF3DDB" w:rsidP="00B425AD">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1AB39D1E" w14:textId="77777777" w:rsidR="00AF3DDB" w:rsidRPr="000D3090" w:rsidRDefault="00AF3DDB" w:rsidP="00B425AD">
            <w:pPr>
              <w:spacing w:after="0" w:line="240" w:lineRule="auto"/>
              <w:jc w:val="center"/>
              <w:rPr>
                <w:color w:val="000000"/>
                <w:sz w:val="18"/>
                <w:szCs w:val="18"/>
              </w:rPr>
            </w:pPr>
          </w:p>
        </w:tc>
        <w:tc>
          <w:tcPr>
            <w:tcW w:w="450" w:type="dxa"/>
            <w:tcBorders>
              <w:left w:val="nil"/>
              <w:right w:val="single" w:sz="4" w:space="0" w:color="auto"/>
            </w:tcBorders>
            <w:shd w:val="clear" w:color="000000" w:fill="FFFFFF"/>
            <w:noWrap/>
            <w:vAlign w:val="bottom"/>
          </w:tcPr>
          <w:p w14:paraId="779F3BAC" w14:textId="77777777" w:rsidR="00AF3DDB" w:rsidRPr="000D3090" w:rsidRDefault="00AF3DDB" w:rsidP="00B425AD">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32C12308" w14:textId="77777777" w:rsidR="00AF3DDB" w:rsidRPr="000D3090" w:rsidRDefault="00AF3DDB" w:rsidP="00B425AD">
            <w:pPr>
              <w:spacing w:after="0" w:line="240" w:lineRule="auto"/>
              <w:jc w:val="center"/>
              <w:rPr>
                <w:color w:val="000000"/>
                <w:sz w:val="18"/>
                <w:szCs w:val="18"/>
              </w:rPr>
            </w:pPr>
          </w:p>
        </w:tc>
        <w:tc>
          <w:tcPr>
            <w:tcW w:w="454" w:type="dxa"/>
            <w:tcBorders>
              <w:left w:val="nil"/>
              <w:right w:val="single" w:sz="4" w:space="0" w:color="auto"/>
            </w:tcBorders>
            <w:shd w:val="clear" w:color="000000" w:fill="FFFFFF"/>
            <w:noWrap/>
            <w:vAlign w:val="bottom"/>
          </w:tcPr>
          <w:p w14:paraId="3669B2F6" w14:textId="77777777" w:rsidR="00AF3DDB" w:rsidRPr="000D3090" w:rsidRDefault="00AF3DDB" w:rsidP="00B425AD">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10036508" w14:textId="77777777" w:rsidR="00AF3DDB" w:rsidRPr="000D3090" w:rsidRDefault="00AF3DDB" w:rsidP="00B425AD">
            <w:pPr>
              <w:spacing w:after="0" w:line="240" w:lineRule="auto"/>
              <w:jc w:val="center"/>
              <w:rPr>
                <w:color w:val="000000"/>
                <w:sz w:val="18"/>
                <w:szCs w:val="18"/>
              </w:rPr>
            </w:pPr>
          </w:p>
        </w:tc>
        <w:tc>
          <w:tcPr>
            <w:tcW w:w="456" w:type="dxa"/>
            <w:tcBorders>
              <w:left w:val="nil"/>
              <w:right w:val="single" w:sz="12" w:space="0" w:color="auto"/>
            </w:tcBorders>
            <w:shd w:val="clear" w:color="000000" w:fill="FFFFFF"/>
            <w:noWrap/>
            <w:vAlign w:val="bottom"/>
          </w:tcPr>
          <w:p w14:paraId="6D479954" w14:textId="77777777" w:rsidR="00AF3DDB" w:rsidRPr="000D3090" w:rsidRDefault="00AF3DDB" w:rsidP="00B425AD">
            <w:pPr>
              <w:spacing w:after="0" w:line="240" w:lineRule="auto"/>
              <w:jc w:val="center"/>
              <w:rPr>
                <w:color w:val="000000"/>
                <w:sz w:val="18"/>
                <w:szCs w:val="18"/>
              </w:rPr>
            </w:pPr>
          </w:p>
        </w:tc>
        <w:tc>
          <w:tcPr>
            <w:tcW w:w="540" w:type="dxa"/>
            <w:tcBorders>
              <w:left w:val="nil"/>
              <w:right w:val="nil"/>
            </w:tcBorders>
            <w:shd w:val="clear" w:color="000000" w:fill="FFFFFF"/>
            <w:vAlign w:val="center"/>
          </w:tcPr>
          <w:p w14:paraId="6ED218E9" w14:textId="77777777" w:rsidR="00AF3DDB" w:rsidRPr="000D3090" w:rsidRDefault="00AF3DDB" w:rsidP="00B425AD">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vAlign w:val="center"/>
          </w:tcPr>
          <w:p w14:paraId="0D1283FB" w14:textId="77777777" w:rsidR="00AF3DDB" w:rsidRPr="000D3090" w:rsidRDefault="00AF3DDB" w:rsidP="00B425AD">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vAlign w:val="center"/>
          </w:tcPr>
          <w:p w14:paraId="1A5DE5DD" w14:textId="77777777" w:rsidR="00AF3DDB" w:rsidRPr="000D3090" w:rsidRDefault="00AF3DDB" w:rsidP="00B425AD">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vAlign w:val="bottom"/>
          </w:tcPr>
          <w:p w14:paraId="1F48132C" w14:textId="77777777" w:rsidR="00AF3DDB" w:rsidRPr="000D3090" w:rsidRDefault="00AF3DDB" w:rsidP="00B425AD">
            <w:pPr>
              <w:spacing w:after="0" w:line="240" w:lineRule="auto"/>
              <w:jc w:val="center"/>
              <w:rPr>
                <w:rFonts w:eastAsia="Times New Roman"/>
                <w:color w:val="000000"/>
                <w:sz w:val="18"/>
                <w:szCs w:val="18"/>
              </w:rPr>
            </w:pPr>
          </w:p>
        </w:tc>
      </w:tr>
      <w:tr w:rsidR="003F77D0" w:rsidRPr="000D3090" w14:paraId="5DF7A950" w14:textId="77777777" w:rsidTr="006E1BF4">
        <w:trPr>
          <w:trHeight w:val="20"/>
          <w:jc w:val="center"/>
        </w:trPr>
        <w:tc>
          <w:tcPr>
            <w:tcW w:w="2595" w:type="dxa"/>
            <w:tcBorders>
              <w:left w:val="single" w:sz="12" w:space="0" w:color="auto"/>
              <w:right w:val="single" w:sz="12" w:space="0" w:color="auto"/>
            </w:tcBorders>
            <w:shd w:val="clear" w:color="000000" w:fill="FFFFFF"/>
            <w:noWrap/>
            <w:vAlign w:val="bottom"/>
          </w:tcPr>
          <w:p w14:paraId="607D9475" w14:textId="2424D9F1"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10 – 19</w:t>
            </w:r>
          </w:p>
        </w:tc>
        <w:tc>
          <w:tcPr>
            <w:tcW w:w="537" w:type="dxa"/>
            <w:tcBorders>
              <w:left w:val="single" w:sz="12" w:space="0" w:color="auto"/>
            </w:tcBorders>
            <w:shd w:val="clear" w:color="000000" w:fill="FFFFFF"/>
            <w:vAlign w:val="center"/>
          </w:tcPr>
          <w:p w14:paraId="4CB53EFE" w14:textId="5C1A0E0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left w:val="nil"/>
              <w:right w:val="single" w:sz="12" w:space="0" w:color="auto"/>
            </w:tcBorders>
            <w:shd w:val="clear" w:color="000000" w:fill="FFFFFF"/>
            <w:vAlign w:val="center"/>
          </w:tcPr>
          <w:p w14:paraId="603E8517" w14:textId="6E98215D"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left w:val="single" w:sz="12" w:space="0" w:color="auto"/>
              <w:right w:val="nil"/>
            </w:tcBorders>
            <w:shd w:val="clear" w:color="000000" w:fill="FFFFFF"/>
            <w:noWrap/>
            <w:vAlign w:val="center"/>
          </w:tcPr>
          <w:p w14:paraId="5984B5FF" w14:textId="5D44E74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5346CE07" w14:textId="376A017D"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5E5ACCF1" w14:textId="78C7D8B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5C7510B1" w14:textId="25D11F06"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20E39A9" w14:textId="629FF47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6C6B653"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center"/>
          </w:tcPr>
          <w:p w14:paraId="504D7541" w14:textId="23BB837B"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left w:val="nil"/>
              <w:right w:val="single" w:sz="4" w:space="0" w:color="auto"/>
            </w:tcBorders>
            <w:shd w:val="clear" w:color="000000" w:fill="FFFFFF"/>
            <w:noWrap/>
            <w:vAlign w:val="center"/>
          </w:tcPr>
          <w:p w14:paraId="4698160E" w14:textId="6BAFC140"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5392EFF3" w14:textId="50959D99"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70C2773" w14:textId="16CBDF69"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38524F61" w14:textId="2646770B"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8BC0598" w14:textId="7851A7CD"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702F6B63" w14:textId="73F231A6"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right w:val="single" w:sz="4" w:space="0" w:color="auto"/>
            </w:tcBorders>
            <w:shd w:val="clear" w:color="000000" w:fill="FFFFFF"/>
            <w:noWrap/>
            <w:vAlign w:val="center"/>
          </w:tcPr>
          <w:p w14:paraId="6637A6A1" w14:textId="2D6794C8"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0005D76" w14:textId="79C390A6"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290E2BB8" w14:textId="5E9121E5"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1FAFFFFF" w14:textId="00CE361F"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3DFCAC35" w14:textId="01FEF445"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bottom"/>
          </w:tcPr>
          <w:p w14:paraId="21674D8A" w14:textId="01698E9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-0.07</w:t>
            </w:r>
          </w:p>
        </w:tc>
        <w:tc>
          <w:tcPr>
            <w:tcW w:w="542" w:type="dxa"/>
            <w:tcBorders>
              <w:left w:val="nil"/>
              <w:right w:val="single" w:sz="12" w:space="0" w:color="auto"/>
            </w:tcBorders>
            <w:shd w:val="clear" w:color="000000" w:fill="FFFFFF"/>
            <w:vAlign w:val="bottom"/>
          </w:tcPr>
          <w:p w14:paraId="13166A46" w14:textId="498F5CF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-1.81</w:t>
            </w:r>
          </w:p>
        </w:tc>
      </w:tr>
      <w:tr w:rsidR="003F77D0" w:rsidRPr="000D3090" w14:paraId="09ADAE30" w14:textId="77777777" w:rsidTr="006E1BF4">
        <w:trPr>
          <w:trHeight w:val="20"/>
          <w:jc w:val="center"/>
        </w:trPr>
        <w:tc>
          <w:tcPr>
            <w:tcW w:w="2595" w:type="dxa"/>
            <w:tcBorders>
              <w:left w:val="single" w:sz="12" w:space="0" w:color="auto"/>
              <w:right w:val="single" w:sz="12" w:space="0" w:color="auto"/>
            </w:tcBorders>
            <w:shd w:val="clear" w:color="000000" w:fill="FFFFFF"/>
            <w:noWrap/>
            <w:vAlign w:val="bottom"/>
          </w:tcPr>
          <w:p w14:paraId="0189F9DF" w14:textId="59AF1E13"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20 or more</w:t>
            </w:r>
          </w:p>
        </w:tc>
        <w:tc>
          <w:tcPr>
            <w:tcW w:w="537" w:type="dxa"/>
            <w:tcBorders>
              <w:left w:val="single" w:sz="12" w:space="0" w:color="auto"/>
            </w:tcBorders>
            <w:shd w:val="clear" w:color="000000" w:fill="FFFFFF"/>
            <w:vAlign w:val="center"/>
          </w:tcPr>
          <w:p w14:paraId="25438315" w14:textId="65A0E3F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left w:val="nil"/>
              <w:right w:val="single" w:sz="12" w:space="0" w:color="auto"/>
            </w:tcBorders>
            <w:shd w:val="clear" w:color="000000" w:fill="FFFFFF"/>
            <w:vAlign w:val="center"/>
          </w:tcPr>
          <w:p w14:paraId="2A087068" w14:textId="6855D61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left w:val="single" w:sz="12" w:space="0" w:color="auto"/>
              <w:right w:val="nil"/>
            </w:tcBorders>
            <w:shd w:val="clear" w:color="000000" w:fill="FFFFFF"/>
            <w:noWrap/>
            <w:vAlign w:val="center"/>
          </w:tcPr>
          <w:p w14:paraId="20CD1878" w14:textId="4003110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773064C8" w14:textId="50B0861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6974328" w14:textId="1F141C2F"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3F82661" w14:textId="618A010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21E530B4" w14:textId="06564E1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08A3E95"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center"/>
          </w:tcPr>
          <w:p w14:paraId="028FC821" w14:textId="37FEE5C8"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left w:val="nil"/>
              <w:right w:val="single" w:sz="4" w:space="0" w:color="auto"/>
            </w:tcBorders>
            <w:shd w:val="clear" w:color="000000" w:fill="FFFFFF"/>
            <w:noWrap/>
            <w:vAlign w:val="center"/>
          </w:tcPr>
          <w:p w14:paraId="60FD3FFA" w14:textId="48C1F52F"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E8C372E" w14:textId="53E7E98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142DDCFE" w14:textId="02F60D7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3E83CAB9" w14:textId="346FAE5A"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6104FBDD" w14:textId="3B8092E8"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73F3344" w14:textId="4E90A173"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right w:val="single" w:sz="4" w:space="0" w:color="auto"/>
            </w:tcBorders>
            <w:shd w:val="clear" w:color="000000" w:fill="FFFFFF"/>
            <w:noWrap/>
            <w:vAlign w:val="center"/>
          </w:tcPr>
          <w:p w14:paraId="6E9E7358" w14:textId="1D8EAA72"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4FBBE749" w14:textId="052D9FF3"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76A4C025" w14:textId="425DDA29"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296C4979" w14:textId="2587292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3A4B6E84" w14:textId="4D431B0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bottom"/>
          </w:tcPr>
          <w:p w14:paraId="7ADB8355" w14:textId="7D38CE6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-0.12</w:t>
            </w:r>
          </w:p>
        </w:tc>
        <w:tc>
          <w:tcPr>
            <w:tcW w:w="542" w:type="dxa"/>
            <w:tcBorders>
              <w:left w:val="nil"/>
              <w:right w:val="single" w:sz="12" w:space="0" w:color="auto"/>
            </w:tcBorders>
            <w:shd w:val="clear" w:color="000000" w:fill="FFFFFF"/>
            <w:vAlign w:val="bottom"/>
          </w:tcPr>
          <w:p w14:paraId="524A5BB9" w14:textId="0752D4D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-2.19</w:t>
            </w:r>
          </w:p>
        </w:tc>
      </w:tr>
      <w:tr w:rsidR="003F77D0" w:rsidRPr="000D3090" w14:paraId="73287FD5" w14:textId="77777777" w:rsidTr="00AF3DDB">
        <w:trPr>
          <w:trHeight w:val="20"/>
          <w:jc w:val="center"/>
        </w:trPr>
        <w:tc>
          <w:tcPr>
            <w:tcW w:w="2595" w:type="dxa"/>
            <w:tcBorders>
              <w:left w:val="single" w:sz="12" w:space="0" w:color="auto"/>
              <w:right w:val="single" w:sz="12" w:space="0" w:color="auto"/>
            </w:tcBorders>
            <w:shd w:val="clear" w:color="000000" w:fill="FFFFFF"/>
            <w:noWrap/>
            <w:vAlign w:val="bottom"/>
          </w:tcPr>
          <w:p w14:paraId="78521ED0" w14:textId="2870F94E"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Employment Density (</w:t>
            </w:r>
            <w:r w:rsidR="00BB42F5" w:rsidRPr="000D3090">
              <w:rPr>
                <w:rFonts w:eastAsia="Times New Roman"/>
                <w:color w:val="000000"/>
                <w:sz w:val="18"/>
                <w:szCs w:val="18"/>
              </w:rPr>
              <w:t>0 – 999</w:t>
            </w:r>
            <w:r w:rsidRPr="000D3090">
              <w:rPr>
                <w:rFonts w:eastAsia="Times New Roman"/>
                <w:color w:val="000000"/>
                <w:sz w:val="18"/>
                <w:szCs w:val="18"/>
              </w:rPr>
              <w:t>)</w:t>
            </w:r>
          </w:p>
        </w:tc>
        <w:tc>
          <w:tcPr>
            <w:tcW w:w="537" w:type="dxa"/>
            <w:tcBorders>
              <w:left w:val="single" w:sz="12" w:space="0" w:color="auto"/>
            </w:tcBorders>
            <w:shd w:val="clear" w:color="000000" w:fill="FFFFFF"/>
            <w:vAlign w:val="center"/>
          </w:tcPr>
          <w:p w14:paraId="0174FA9E"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left w:val="nil"/>
              <w:right w:val="single" w:sz="12" w:space="0" w:color="auto"/>
            </w:tcBorders>
            <w:shd w:val="clear" w:color="000000" w:fill="FFFFFF"/>
            <w:vAlign w:val="center"/>
          </w:tcPr>
          <w:p w14:paraId="7FBF25FC"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left w:val="single" w:sz="12" w:space="0" w:color="auto"/>
              <w:right w:val="nil"/>
            </w:tcBorders>
            <w:shd w:val="clear" w:color="000000" w:fill="FFFFFF"/>
            <w:noWrap/>
            <w:vAlign w:val="center"/>
          </w:tcPr>
          <w:p w14:paraId="6321234A"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left w:val="nil"/>
              <w:right w:val="single" w:sz="4" w:space="0" w:color="auto"/>
            </w:tcBorders>
            <w:shd w:val="clear" w:color="000000" w:fill="FFFFFF"/>
            <w:noWrap/>
            <w:vAlign w:val="center"/>
          </w:tcPr>
          <w:p w14:paraId="0953C519"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6DBD032E"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072FF746"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562DD9C6"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38085440" w14:textId="77777777" w:rsidR="00AF3DDB" w:rsidRPr="000D3090" w:rsidRDefault="00AF3DDB" w:rsidP="00AF3DDB">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bottom"/>
          </w:tcPr>
          <w:p w14:paraId="3294F47E" w14:textId="77777777" w:rsidR="00AF3DDB" w:rsidRPr="000D3090" w:rsidRDefault="00AF3DDB" w:rsidP="00AF3DDB">
            <w:pPr>
              <w:spacing w:after="0" w:line="240" w:lineRule="auto"/>
              <w:jc w:val="center"/>
              <w:rPr>
                <w:color w:val="000000"/>
                <w:sz w:val="18"/>
                <w:szCs w:val="18"/>
              </w:rPr>
            </w:pPr>
          </w:p>
        </w:tc>
        <w:tc>
          <w:tcPr>
            <w:tcW w:w="540" w:type="dxa"/>
            <w:tcBorders>
              <w:left w:val="nil"/>
              <w:right w:val="single" w:sz="4" w:space="0" w:color="auto"/>
            </w:tcBorders>
            <w:shd w:val="clear" w:color="000000" w:fill="FFFFFF"/>
            <w:noWrap/>
            <w:vAlign w:val="bottom"/>
          </w:tcPr>
          <w:p w14:paraId="17744611"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62B0A7CE"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2E227B6E"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7BE5EC85" w14:textId="77777777" w:rsidR="00AF3DDB" w:rsidRPr="000D3090" w:rsidRDefault="00AF3DDB" w:rsidP="00AF3DDB">
            <w:pPr>
              <w:spacing w:after="0" w:line="240" w:lineRule="auto"/>
              <w:jc w:val="center"/>
              <w:rPr>
                <w:color w:val="000000"/>
                <w:sz w:val="18"/>
                <w:szCs w:val="18"/>
              </w:rPr>
            </w:pPr>
          </w:p>
        </w:tc>
        <w:tc>
          <w:tcPr>
            <w:tcW w:w="450" w:type="dxa"/>
            <w:tcBorders>
              <w:left w:val="nil"/>
              <w:right w:val="single" w:sz="4" w:space="0" w:color="auto"/>
            </w:tcBorders>
            <w:shd w:val="clear" w:color="000000" w:fill="FFFFFF"/>
            <w:noWrap/>
            <w:vAlign w:val="bottom"/>
          </w:tcPr>
          <w:p w14:paraId="3EAFA80C"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73CEA667" w14:textId="77777777" w:rsidR="00AF3DDB" w:rsidRPr="000D3090" w:rsidRDefault="00AF3DDB" w:rsidP="00AF3DDB">
            <w:pPr>
              <w:spacing w:after="0" w:line="240" w:lineRule="auto"/>
              <w:jc w:val="center"/>
              <w:rPr>
                <w:color w:val="000000"/>
                <w:sz w:val="18"/>
                <w:szCs w:val="18"/>
              </w:rPr>
            </w:pPr>
          </w:p>
        </w:tc>
        <w:tc>
          <w:tcPr>
            <w:tcW w:w="454" w:type="dxa"/>
            <w:tcBorders>
              <w:left w:val="nil"/>
              <w:right w:val="single" w:sz="4" w:space="0" w:color="auto"/>
            </w:tcBorders>
            <w:shd w:val="clear" w:color="000000" w:fill="FFFFFF"/>
            <w:noWrap/>
            <w:vAlign w:val="bottom"/>
          </w:tcPr>
          <w:p w14:paraId="59D2B9A6"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0428F571" w14:textId="77777777" w:rsidR="00AF3DDB" w:rsidRPr="000D3090" w:rsidRDefault="00AF3DDB" w:rsidP="00AF3DDB">
            <w:pPr>
              <w:spacing w:after="0" w:line="240" w:lineRule="auto"/>
              <w:jc w:val="center"/>
              <w:rPr>
                <w:color w:val="000000"/>
                <w:sz w:val="18"/>
                <w:szCs w:val="18"/>
              </w:rPr>
            </w:pPr>
          </w:p>
        </w:tc>
        <w:tc>
          <w:tcPr>
            <w:tcW w:w="456" w:type="dxa"/>
            <w:tcBorders>
              <w:left w:val="nil"/>
              <w:right w:val="single" w:sz="12" w:space="0" w:color="auto"/>
            </w:tcBorders>
            <w:shd w:val="clear" w:color="000000" w:fill="FFFFFF"/>
            <w:noWrap/>
            <w:vAlign w:val="bottom"/>
          </w:tcPr>
          <w:p w14:paraId="325CA540"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vAlign w:val="center"/>
          </w:tcPr>
          <w:p w14:paraId="273C60BE"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vAlign w:val="center"/>
          </w:tcPr>
          <w:p w14:paraId="5258205B"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vAlign w:val="center"/>
          </w:tcPr>
          <w:p w14:paraId="19DE19E7"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vAlign w:val="bottom"/>
          </w:tcPr>
          <w:p w14:paraId="78947A65" w14:textId="77777777" w:rsidR="00AF3DDB" w:rsidRPr="000D3090" w:rsidRDefault="00AF3DDB" w:rsidP="00AF3DDB">
            <w:pPr>
              <w:spacing w:after="0" w:line="240" w:lineRule="auto"/>
              <w:jc w:val="center"/>
              <w:rPr>
                <w:rFonts w:eastAsia="Times New Roman"/>
                <w:color w:val="000000"/>
                <w:sz w:val="18"/>
                <w:szCs w:val="18"/>
              </w:rPr>
            </w:pPr>
          </w:p>
        </w:tc>
      </w:tr>
      <w:tr w:rsidR="003F77D0" w:rsidRPr="000D3090" w14:paraId="650C21B2" w14:textId="77777777" w:rsidTr="00B3134A">
        <w:trPr>
          <w:trHeight w:val="20"/>
          <w:jc w:val="center"/>
        </w:trPr>
        <w:tc>
          <w:tcPr>
            <w:tcW w:w="2595" w:type="dxa"/>
            <w:tcBorders>
              <w:left w:val="single" w:sz="12" w:space="0" w:color="auto"/>
              <w:right w:val="single" w:sz="12" w:space="0" w:color="auto"/>
            </w:tcBorders>
            <w:shd w:val="clear" w:color="000000" w:fill="FFFFFF"/>
            <w:noWrap/>
            <w:vAlign w:val="bottom"/>
          </w:tcPr>
          <w:p w14:paraId="21E177E5" w14:textId="4A58F424"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1,000 – 1,999</w:t>
            </w:r>
          </w:p>
        </w:tc>
        <w:tc>
          <w:tcPr>
            <w:tcW w:w="537" w:type="dxa"/>
            <w:tcBorders>
              <w:left w:val="single" w:sz="12" w:space="0" w:color="auto"/>
            </w:tcBorders>
            <w:shd w:val="clear" w:color="000000" w:fill="FFFFFF"/>
            <w:vAlign w:val="center"/>
          </w:tcPr>
          <w:p w14:paraId="61C14150" w14:textId="69A6490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left w:val="nil"/>
              <w:right w:val="single" w:sz="12" w:space="0" w:color="auto"/>
            </w:tcBorders>
            <w:shd w:val="clear" w:color="000000" w:fill="FFFFFF"/>
            <w:vAlign w:val="center"/>
          </w:tcPr>
          <w:p w14:paraId="4DF391F2" w14:textId="2B4CB31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left w:val="single" w:sz="12" w:space="0" w:color="auto"/>
              <w:right w:val="nil"/>
            </w:tcBorders>
            <w:shd w:val="clear" w:color="000000" w:fill="FFFFFF"/>
            <w:noWrap/>
            <w:vAlign w:val="center"/>
          </w:tcPr>
          <w:p w14:paraId="1432E2BC" w14:textId="387F448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7F30F666" w14:textId="0574103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469986D" w14:textId="509DB69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2093A55" w14:textId="4D7183D6"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270F9337" w14:textId="16DB743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1B8F71A2"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center"/>
          </w:tcPr>
          <w:p w14:paraId="690726B8" w14:textId="7C0578A1"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left w:val="nil"/>
              <w:right w:val="single" w:sz="4" w:space="0" w:color="auto"/>
            </w:tcBorders>
            <w:shd w:val="clear" w:color="000000" w:fill="FFFFFF"/>
            <w:noWrap/>
            <w:vAlign w:val="center"/>
          </w:tcPr>
          <w:p w14:paraId="52655D00" w14:textId="78F1A9DA"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5ADA205" w14:textId="6A0E09A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12D4533" w14:textId="3795367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0C495E4" w14:textId="725660AB"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10B6EF92" w14:textId="76C7753B"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5511802B" w14:textId="5CE9550A"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right w:val="single" w:sz="4" w:space="0" w:color="auto"/>
            </w:tcBorders>
            <w:shd w:val="clear" w:color="000000" w:fill="FFFFFF"/>
            <w:noWrap/>
            <w:vAlign w:val="center"/>
          </w:tcPr>
          <w:p w14:paraId="1B6EC595" w14:textId="7E703D2A"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39E99BC" w14:textId="32E780F9"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767C620A" w14:textId="764BAF1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1CCA01EF" w14:textId="5088EF0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0CB901AC" w14:textId="3045D7B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bottom"/>
          </w:tcPr>
          <w:p w14:paraId="3081E0C7" w14:textId="340ABF3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0.07</w:t>
            </w:r>
          </w:p>
        </w:tc>
        <w:tc>
          <w:tcPr>
            <w:tcW w:w="542" w:type="dxa"/>
            <w:tcBorders>
              <w:left w:val="nil"/>
              <w:right w:val="single" w:sz="12" w:space="0" w:color="auto"/>
            </w:tcBorders>
            <w:shd w:val="clear" w:color="000000" w:fill="FFFFFF"/>
            <w:vAlign w:val="bottom"/>
          </w:tcPr>
          <w:p w14:paraId="0198FC1A" w14:textId="1B5562E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1.77</w:t>
            </w:r>
          </w:p>
        </w:tc>
      </w:tr>
      <w:tr w:rsidR="003F77D0" w:rsidRPr="000D3090" w14:paraId="28A46C1E" w14:textId="77777777" w:rsidTr="00B3134A">
        <w:trPr>
          <w:trHeight w:val="20"/>
          <w:jc w:val="center"/>
        </w:trPr>
        <w:tc>
          <w:tcPr>
            <w:tcW w:w="2595" w:type="dxa"/>
            <w:tcBorders>
              <w:left w:val="single" w:sz="12" w:space="0" w:color="auto"/>
              <w:right w:val="single" w:sz="12" w:space="0" w:color="auto"/>
            </w:tcBorders>
            <w:shd w:val="clear" w:color="000000" w:fill="FFFFFF"/>
            <w:noWrap/>
            <w:vAlign w:val="bottom"/>
          </w:tcPr>
          <w:p w14:paraId="667973A1" w14:textId="0990BEEE"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2,000 or more</w:t>
            </w:r>
          </w:p>
        </w:tc>
        <w:tc>
          <w:tcPr>
            <w:tcW w:w="537" w:type="dxa"/>
            <w:tcBorders>
              <w:left w:val="single" w:sz="12" w:space="0" w:color="auto"/>
            </w:tcBorders>
            <w:shd w:val="clear" w:color="000000" w:fill="FFFFFF"/>
            <w:vAlign w:val="center"/>
          </w:tcPr>
          <w:p w14:paraId="5C55C60C" w14:textId="4FCDF83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left w:val="nil"/>
              <w:right w:val="single" w:sz="12" w:space="0" w:color="auto"/>
            </w:tcBorders>
            <w:shd w:val="clear" w:color="000000" w:fill="FFFFFF"/>
            <w:vAlign w:val="center"/>
          </w:tcPr>
          <w:p w14:paraId="619B9D0A" w14:textId="2BB7913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left w:val="single" w:sz="12" w:space="0" w:color="auto"/>
              <w:right w:val="nil"/>
            </w:tcBorders>
            <w:shd w:val="clear" w:color="000000" w:fill="FFFFFF"/>
            <w:noWrap/>
            <w:vAlign w:val="bottom"/>
          </w:tcPr>
          <w:p w14:paraId="29E46AF1" w14:textId="7CF2260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449" w:type="dxa"/>
            <w:tcBorders>
              <w:left w:val="nil"/>
              <w:right w:val="single" w:sz="4" w:space="0" w:color="auto"/>
            </w:tcBorders>
            <w:shd w:val="clear" w:color="000000" w:fill="FFFFFF"/>
            <w:noWrap/>
            <w:vAlign w:val="bottom"/>
          </w:tcPr>
          <w:p w14:paraId="3AE75F04" w14:textId="54754EA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2.26</w:t>
            </w:r>
          </w:p>
        </w:tc>
        <w:tc>
          <w:tcPr>
            <w:tcW w:w="540" w:type="dxa"/>
            <w:tcBorders>
              <w:left w:val="nil"/>
              <w:right w:val="nil"/>
            </w:tcBorders>
            <w:shd w:val="clear" w:color="000000" w:fill="FFFFFF"/>
            <w:noWrap/>
            <w:vAlign w:val="bottom"/>
          </w:tcPr>
          <w:p w14:paraId="5934F085" w14:textId="70AD56B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0.39</w:t>
            </w:r>
          </w:p>
        </w:tc>
        <w:tc>
          <w:tcPr>
            <w:tcW w:w="450" w:type="dxa"/>
            <w:tcBorders>
              <w:left w:val="nil"/>
              <w:right w:val="single" w:sz="4" w:space="0" w:color="auto"/>
            </w:tcBorders>
            <w:shd w:val="clear" w:color="000000" w:fill="FFFFFF"/>
            <w:noWrap/>
            <w:vAlign w:val="bottom"/>
          </w:tcPr>
          <w:p w14:paraId="5EFC16E0" w14:textId="2221C45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3.36</w:t>
            </w:r>
          </w:p>
        </w:tc>
        <w:tc>
          <w:tcPr>
            <w:tcW w:w="540" w:type="dxa"/>
            <w:tcBorders>
              <w:left w:val="nil"/>
              <w:right w:val="nil"/>
            </w:tcBorders>
            <w:shd w:val="clear" w:color="000000" w:fill="FFFFFF"/>
            <w:noWrap/>
            <w:vAlign w:val="center"/>
          </w:tcPr>
          <w:p w14:paraId="0806732F" w14:textId="371337D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A7D8373"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bottom"/>
          </w:tcPr>
          <w:p w14:paraId="3C28C784" w14:textId="5C0B04FE" w:rsidR="005A056A" w:rsidRPr="000D3090" w:rsidRDefault="005A056A" w:rsidP="005A056A">
            <w:pPr>
              <w:spacing w:after="0" w:line="240" w:lineRule="auto"/>
              <w:jc w:val="center"/>
              <w:rPr>
                <w:color w:val="000000"/>
                <w:sz w:val="18"/>
                <w:szCs w:val="18"/>
              </w:rPr>
            </w:pPr>
            <w:r w:rsidRPr="000D3090">
              <w:rPr>
                <w:color w:val="000000"/>
                <w:sz w:val="18"/>
                <w:szCs w:val="18"/>
              </w:rPr>
              <w:t>0.14</w:t>
            </w:r>
          </w:p>
        </w:tc>
        <w:tc>
          <w:tcPr>
            <w:tcW w:w="540" w:type="dxa"/>
            <w:tcBorders>
              <w:left w:val="nil"/>
              <w:right w:val="single" w:sz="4" w:space="0" w:color="auto"/>
            </w:tcBorders>
            <w:shd w:val="clear" w:color="000000" w:fill="FFFFFF"/>
            <w:noWrap/>
            <w:vAlign w:val="bottom"/>
          </w:tcPr>
          <w:p w14:paraId="037AECCC" w14:textId="6DCF513D" w:rsidR="005A056A" w:rsidRPr="000D3090" w:rsidRDefault="005A056A" w:rsidP="005A056A">
            <w:pPr>
              <w:spacing w:after="0" w:line="240" w:lineRule="auto"/>
              <w:jc w:val="center"/>
              <w:rPr>
                <w:color w:val="000000"/>
                <w:sz w:val="18"/>
                <w:szCs w:val="18"/>
              </w:rPr>
            </w:pPr>
            <w:r w:rsidRPr="000D3090">
              <w:rPr>
                <w:color w:val="000000"/>
                <w:sz w:val="18"/>
                <w:szCs w:val="18"/>
              </w:rPr>
              <w:t>1.58</w:t>
            </w:r>
          </w:p>
        </w:tc>
        <w:tc>
          <w:tcPr>
            <w:tcW w:w="540" w:type="dxa"/>
            <w:tcBorders>
              <w:left w:val="nil"/>
              <w:right w:val="nil"/>
            </w:tcBorders>
            <w:shd w:val="clear" w:color="000000" w:fill="FFFFFF"/>
            <w:noWrap/>
            <w:vAlign w:val="center"/>
          </w:tcPr>
          <w:p w14:paraId="1DDAF96C" w14:textId="5EFE62D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49F5742" w14:textId="6022D8D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FE37391" w14:textId="33E5071F"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3D54D6D" w14:textId="744EFC63"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590840F0" w14:textId="6A5BD872" w:rsidR="005A056A" w:rsidRPr="000D3090" w:rsidRDefault="005A056A" w:rsidP="005A056A">
            <w:pPr>
              <w:spacing w:after="0" w:line="240" w:lineRule="auto"/>
              <w:jc w:val="center"/>
              <w:rPr>
                <w:color w:val="000000"/>
                <w:sz w:val="18"/>
                <w:szCs w:val="18"/>
              </w:rPr>
            </w:pPr>
            <w:r w:rsidRPr="000D3090">
              <w:rPr>
                <w:color w:val="000000"/>
                <w:sz w:val="18"/>
                <w:szCs w:val="18"/>
              </w:rPr>
              <w:t>0.17</w:t>
            </w:r>
          </w:p>
        </w:tc>
        <w:tc>
          <w:tcPr>
            <w:tcW w:w="454" w:type="dxa"/>
            <w:tcBorders>
              <w:left w:val="nil"/>
              <w:right w:val="single" w:sz="4" w:space="0" w:color="auto"/>
            </w:tcBorders>
            <w:shd w:val="clear" w:color="000000" w:fill="FFFFFF"/>
            <w:noWrap/>
            <w:vAlign w:val="bottom"/>
          </w:tcPr>
          <w:p w14:paraId="2CB01839" w14:textId="64269F2E" w:rsidR="005A056A" w:rsidRPr="000D3090" w:rsidRDefault="005A056A" w:rsidP="005A056A">
            <w:pPr>
              <w:spacing w:after="0" w:line="240" w:lineRule="auto"/>
              <w:jc w:val="center"/>
              <w:rPr>
                <w:color w:val="000000"/>
                <w:sz w:val="18"/>
                <w:szCs w:val="18"/>
              </w:rPr>
            </w:pPr>
            <w:r w:rsidRPr="000D3090">
              <w:rPr>
                <w:color w:val="000000"/>
                <w:sz w:val="18"/>
                <w:szCs w:val="18"/>
              </w:rPr>
              <w:t>2.11</w:t>
            </w:r>
          </w:p>
        </w:tc>
        <w:tc>
          <w:tcPr>
            <w:tcW w:w="540" w:type="dxa"/>
            <w:tcBorders>
              <w:left w:val="nil"/>
              <w:right w:val="nil"/>
            </w:tcBorders>
            <w:shd w:val="clear" w:color="000000" w:fill="FFFFFF"/>
            <w:noWrap/>
            <w:vAlign w:val="center"/>
          </w:tcPr>
          <w:p w14:paraId="7A9DFECC" w14:textId="0B8048E0"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1A44CBE0" w14:textId="5378794A"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5C4E1C47" w14:textId="4FD1E366"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3B9FA9B5" w14:textId="420D9FE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bottom"/>
          </w:tcPr>
          <w:p w14:paraId="773E5D64" w14:textId="0E7CAE3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0.12</w:t>
            </w:r>
          </w:p>
        </w:tc>
        <w:tc>
          <w:tcPr>
            <w:tcW w:w="542" w:type="dxa"/>
            <w:tcBorders>
              <w:left w:val="nil"/>
              <w:right w:val="single" w:sz="12" w:space="0" w:color="auto"/>
            </w:tcBorders>
            <w:shd w:val="clear" w:color="000000" w:fill="FFFFFF"/>
            <w:vAlign w:val="bottom"/>
          </w:tcPr>
          <w:p w14:paraId="2E91C0F6" w14:textId="60353C2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2.26</w:t>
            </w:r>
          </w:p>
        </w:tc>
      </w:tr>
      <w:tr w:rsidR="003F77D0" w:rsidRPr="000D3090" w14:paraId="6A0717FD" w14:textId="77777777" w:rsidTr="00AF3DDB">
        <w:trPr>
          <w:trHeight w:val="20"/>
          <w:jc w:val="center"/>
        </w:trPr>
        <w:tc>
          <w:tcPr>
            <w:tcW w:w="2595" w:type="dxa"/>
            <w:tcBorders>
              <w:left w:val="single" w:sz="12" w:space="0" w:color="auto"/>
              <w:right w:val="single" w:sz="12" w:space="0" w:color="auto"/>
            </w:tcBorders>
            <w:shd w:val="clear" w:color="000000" w:fill="FFFFFF"/>
            <w:noWrap/>
            <w:vAlign w:val="bottom"/>
          </w:tcPr>
          <w:p w14:paraId="73E9ED58" w14:textId="0A02D3A5"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Walkability (Low)</w:t>
            </w:r>
          </w:p>
        </w:tc>
        <w:tc>
          <w:tcPr>
            <w:tcW w:w="537" w:type="dxa"/>
            <w:tcBorders>
              <w:left w:val="single" w:sz="12" w:space="0" w:color="auto"/>
            </w:tcBorders>
            <w:shd w:val="clear" w:color="000000" w:fill="FFFFFF"/>
            <w:vAlign w:val="center"/>
          </w:tcPr>
          <w:p w14:paraId="7043390F"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left w:val="nil"/>
              <w:right w:val="single" w:sz="12" w:space="0" w:color="auto"/>
            </w:tcBorders>
            <w:shd w:val="clear" w:color="000000" w:fill="FFFFFF"/>
            <w:vAlign w:val="center"/>
          </w:tcPr>
          <w:p w14:paraId="5DF0EA76"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left w:val="single" w:sz="12" w:space="0" w:color="auto"/>
              <w:right w:val="nil"/>
            </w:tcBorders>
            <w:shd w:val="clear" w:color="000000" w:fill="FFFFFF"/>
            <w:noWrap/>
            <w:vAlign w:val="center"/>
          </w:tcPr>
          <w:p w14:paraId="7E5F8E00"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left w:val="nil"/>
              <w:right w:val="single" w:sz="4" w:space="0" w:color="auto"/>
            </w:tcBorders>
            <w:shd w:val="clear" w:color="000000" w:fill="FFFFFF"/>
            <w:noWrap/>
            <w:vAlign w:val="center"/>
          </w:tcPr>
          <w:p w14:paraId="32D78DBD"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12654954"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52BAE1CC"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6675377C"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39DE6ADC" w14:textId="77777777" w:rsidR="00AF3DDB" w:rsidRPr="000D3090" w:rsidRDefault="00AF3DDB" w:rsidP="00AF3DDB">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bottom"/>
          </w:tcPr>
          <w:p w14:paraId="24B65975" w14:textId="77777777" w:rsidR="00AF3DDB" w:rsidRPr="000D3090" w:rsidRDefault="00AF3DDB" w:rsidP="00AF3DDB">
            <w:pPr>
              <w:spacing w:after="0" w:line="240" w:lineRule="auto"/>
              <w:jc w:val="center"/>
              <w:rPr>
                <w:color w:val="000000"/>
                <w:sz w:val="18"/>
                <w:szCs w:val="18"/>
              </w:rPr>
            </w:pPr>
          </w:p>
        </w:tc>
        <w:tc>
          <w:tcPr>
            <w:tcW w:w="540" w:type="dxa"/>
            <w:tcBorders>
              <w:left w:val="nil"/>
              <w:right w:val="single" w:sz="4" w:space="0" w:color="auto"/>
            </w:tcBorders>
            <w:shd w:val="clear" w:color="000000" w:fill="FFFFFF"/>
            <w:noWrap/>
            <w:vAlign w:val="bottom"/>
          </w:tcPr>
          <w:p w14:paraId="0292A7B0"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4F37B7AB"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278E05D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0E822CF2" w14:textId="77777777" w:rsidR="00AF3DDB" w:rsidRPr="000D3090" w:rsidRDefault="00AF3DDB" w:rsidP="00AF3DDB">
            <w:pPr>
              <w:spacing w:after="0" w:line="240" w:lineRule="auto"/>
              <w:jc w:val="center"/>
              <w:rPr>
                <w:color w:val="000000"/>
                <w:sz w:val="18"/>
                <w:szCs w:val="18"/>
              </w:rPr>
            </w:pPr>
          </w:p>
        </w:tc>
        <w:tc>
          <w:tcPr>
            <w:tcW w:w="450" w:type="dxa"/>
            <w:tcBorders>
              <w:left w:val="nil"/>
              <w:right w:val="single" w:sz="4" w:space="0" w:color="auto"/>
            </w:tcBorders>
            <w:shd w:val="clear" w:color="000000" w:fill="FFFFFF"/>
            <w:noWrap/>
            <w:vAlign w:val="bottom"/>
          </w:tcPr>
          <w:p w14:paraId="330309B8"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1698AE77" w14:textId="77777777" w:rsidR="00AF3DDB" w:rsidRPr="000D3090" w:rsidRDefault="00AF3DDB" w:rsidP="00AF3DDB">
            <w:pPr>
              <w:spacing w:after="0" w:line="240" w:lineRule="auto"/>
              <w:jc w:val="center"/>
              <w:rPr>
                <w:color w:val="000000"/>
                <w:sz w:val="18"/>
                <w:szCs w:val="18"/>
              </w:rPr>
            </w:pPr>
          </w:p>
        </w:tc>
        <w:tc>
          <w:tcPr>
            <w:tcW w:w="454" w:type="dxa"/>
            <w:tcBorders>
              <w:left w:val="nil"/>
              <w:right w:val="single" w:sz="4" w:space="0" w:color="auto"/>
            </w:tcBorders>
            <w:shd w:val="clear" w:color="000000" w:fill="FFFFFF"/>
            <w:noWrap/>
            <w:vAlign w:val="bottom"/>
          </w:tcPr>
          <w:p w14:paraId="7A69BDCE"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45A378FA" w14:textId="77777777" w:rsidR="00AF3DDB" w:rsidRPr="000D3090" w:rsidRDefault="00AF3DDB" w:rsidP="00AF3DDB">
            <w:pPr>
              <w:spacing w:after="0" w:line="240" w:lineRule="auto"/>
              <w:jc w:val="center"/>
              <w:rPr>
                <w:color w:val="000000"/>
                <w:sz w:val="18"/>
                <w:szCs w:val="18"/>
              </w:rPr>
            </w:pPr>
          </w:p>
        </w:tc>
        <w:tc>
          <w:tcPr>
            <w:tcW w:w="456" w:type="dxa"/>
            <w:tcBorders>
              <w:left w:val="nil"/>
              <w:right w:val="single" w:sz="12" w:space="0" w:color="auto"/>
            </w:tcBorders>
            <w:shd w:val="clear" w:color="000000" w:fill="FFFFFF"/>
            <w:noWrap/>
            <w:vAlign w:val="bottom"/>
          </w:tcPr>
          <w:p w14:paraId="2B64F373"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vAlign w:val="center"/>
          </w:tcPr>
          <w:p w14:paraId="5ADC5A71"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vAlign w:val="center"/>
          </w:tcPr>
          <w:p w14:paraId="52868ED2"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vAlign w:val="center"/>
          </w:tcPr>
          <w:p w14:paraId="0F21EC1A"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vAlign w:val="bottom"/>
          </w:tcPr>
          <w:p w14:paraId="236B64CF" w14:textId="77777777" w:rsidR="00AF3DDB" w:rsidRPr="000D3090" w:rsidRDefault="00AF3DDB" w:rsidP="00AF3DDB">
            <w:pPr>
              <w:spacing w:after="0" w:line="240" w:lineRule="auto"/>
              <w:jc w:val="center"/>
              <w:rPr>
                <w:rFonts w:eastAsia="Times New Roman"/>
                <w:color w:val="000000"/>
                <w:sz w:val="18"/>
                <w:szCs w:val="18"/>
              </w:rPr>
            </w:pPr>
          </w:p>
        </w:tc>
      </w:tr>
      <w:tr w:rsidR="003F77D0" w:rsidRPr="000D3090" w14:paraId="4166BAA8" w14:textId="77777777" w:rsidTr="002510CA">
        <w:trPr>
          <w:trHeight w:val="20"/>
          <w:jc w:val="center"/>
        </w:trPr>
        <w:tc>
          <w:tcPr>
            <w:tcW w:w="2595" w:type="dxa"/>
            <w:tcBorders>
              <w:left w:val="single" w:sz="12" w:space="0" w:color="auto"/>
              <w:right w:val="single" w:sz="12" w:space="0" w:color="auto"/>
            </w:tcBorders>
            <w:shd w:val="clear" w:color="000000" w:fill="FFFFFF"/>
            <w:noWrap/>
            <w:vAlign w:val="bottom"/>
          </w:tcPr>
          <w:p w14:paraId="3085C7CB" w14:textId="22D426C5"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High</w:t>
            </w:r>
          </w:p>
        </w:tc>
        <w:tc>
          <w:tcPr>
            <w:tcW w:w="537" w:type="dxa"/>
            <w:tcBorders>
              <w:left w:val="single" w:sz="12" w:space="0" w:color="auto"/>
            </w:tcBorders>
            <w:shd w:val="clear" w:color="000000" w:fill="FFFFFF"/>
            <w:vAlign w:val="bottom"/>
          </w:tcPr>
          <w:p w14:paraId="174E82A7" w14:textId="6D7EFCE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-0.08</w:t>
            </w:r>
          </w:p>
        </w:tc>
        <w:tc>
          <w:tcPr>
            <w:tcW w:w="541" w:type="dxa"/>
            <w:tcBorders>
              <w:left w:val="nil"/>
              <w:right w:val="single" w:sz="12" w:space="0" w:color="auto"/>
            </w:tcBorders>
            <w:shd w:val="clear" w:color="000000" w:fill="FFFFFF"/>
            <w:vAlign w:val="bottom"/>
          </w:tcPr>
          <w:p w14:paraId="39F6F438" w14:textId="26838CC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-2.36</w:t>
            </w:r>
          </w:p>
        </w:tc>
        <w:tc>
          <w:tcPr>
            <w:tcW w:w="539" w:type="dxa"/>
            <w:tcBorders>
              <w:left w:val="single" w:sz="12" w:space="0" w:color="auto"/>
              <w:right w:val="nil"/>
            </w:tcBorders>
            <w:shd w:val="clear" w:color="000000" w:fill="FFFFFF"/>
            <w:noWrap/>
            <w:vAlign w:val="bottom"/>
          </w:tcPr>
          <w:p w14:paraId="5203E0FC" w14:textId="0988AAE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-0.27</w:t>
            </w:r>
          </w:p>
        </w:tc>
        <w:tc>
          <w:tcPr>
            <w:tcW w:w="449" w:type="dxa"/>
            <w:tcBorders>
              <w:left w:val="nil"/>
              <w:right w:val="single" w:sz="4" w:space="0" w:color="auto"/>
            </w:tcBorders>
            <w:shd w:val="clear" w:color="000000" w:fill="FFFFFF"/>
            <w:noWrap/>
            <w:vAlign w:val="bottom"/>
          </w:tcPr>
          <w:p w14:paraId="79DAF8D0" w14:textId="4E82E52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-2.41</w:t>
            </w:r>
          </w:p>
        </w:tc>
        <w:tc>
          <w:tcPr>
            <w:tcW w:w="540" w:type="dxa"/>
            <w:tcBorders>
              <w:left w:val="nil"/>
              <w:right w:val="nil"/>
            </w:tcBorders>
            <w:shd w:val="clear" w:color="000000" w:fill="FFFFFF"/>
            <w:noWrap/>
            <w:vAlign w:val="center"/>
          </w:tcPr>
          <w:p w14:paraId="60883886" w14:textId="75A14556"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64ED5B59" w14:textId="46EDE04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00D64A0A" w14:textId="2D656F7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0.16</w:t>
            </w:r>
          </w:p>
        </w:tc>
        <w:tc>
          <w:tcPr>
            <w:tcW w:w="450" w:type="dxa"/>
            <w:tcBorders>
              <w:left w:val="nil"/>
              <w:right w:val="single" w:sz="4" w:space="0" w:color="auto"/>
            </w:tcBorders>
            <w:shd w:val="clear" w:color="000000" w:fill="FFFFFF"/>
            <w:noWrap/>
            <w:vAlign w:val="bottom"/>
          </w:tcPr>
          <w:p w14:paraId="37E319E8" w14:textId="2772588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1.97</w:t>
            </w:r>
          </w:p>
        </w:tc>
        <w:tc>
          <w:tcPr>
            <w:tcW w:w="544" w:type="dxa"/>
            <w:tcBorders>
              <w:left w:val="nil"/>
              <w:right w:val="nil"/>
            </w:tcBorders>
            <w:shd w:val="clear" w:color="000000" w:fill="FFFFFF"/>
            <w:noWrap/>
            <w:vAlign w:val="center"/>
          </w:tcPr>
          <w:p w14:paraId="1E659C92" w14:textId="6F381F88"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left w:val="nil"/>
              <w:right w:val="single" w:sz="4" w:space="0" w:color="auto"/>
            </w:tcBorders>
            <w:shd w:val="clear" w:color="000000" w:fill="FFFFFF"/>
            <w:noWrap/>
            <w:vAlign w:val="center"/>
          </w:tcPr>
          <w:p w14:paraId="3B345053" w14:textId="571E9F10"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0FA5E56" w14:textId="4CC90FFD"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0001EF73" w14:textId="58773B5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54BB8F6" w14:textId="712B8D88"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25039953" w14:textId="2EE184F5"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161DD255" w14:textId="34B1CD27" w:rsidR="005A056A" w:rsidRPr="000D3090" w:rsidRDefault="005A056A" w:rsidP="005A056A">
            <w:pPr>
              <w:spacing w:after="0" w:line="240" w:lineRule="auto"/>
              <w:jc w:val="center"/>
              <w:rPr>
                <w:color w:val="000000"/>
                <w:sz w:val="18"/>
                <w:szCs w:val="18"/>
              </w:rPr>
            </w:pPr>
            <w:r w:rsidRPr="000D3090">
              <w:rPr>
                <w:color w:val="000000"/>
                <w:sz w:val="18"/>
                <w:szCs w:val="18"/>
              </w:rPr>
              <w:t>-0.16</w:t>
            </w:r>
          </w:p>
        </w:tc>
        <w:tc>
          <w:tcPr>
            <w:tcW w:w="454" w:type="dxa"/>
            <w:tcBorders>
              <w:left w:val="nil"/>
              <w:right w:val="single" w:sz="4" w:space="0" w:color="auto"/>
            </w:tcBorders>
            <w:shd w:val="clear" w:color="000000" w:fill="FFFFFF"/>
            <w:noWrap/>
            <w:vAlign w:val="bottom"/>
          </w:tcPr>
          <w:p w14:paraId="111ABDCE" w14:textId="4BA75AE2" w:rsidR="005A056A" w:rsidRPr="000D3090" w:rsidRDefault="005A056A" w:rsidP="005A056A">
            <w:pPr>
              <w:spacing w:after="0" w:line="240" w:lineRule="auto"/>
              <w:jc w:val="center"/>
              <w:rPr>
                <w:color w:val="000000"/>
                <w:sz w:val="18"/>
                <w:szCs w:val="18"/>
              </w:rPr>
            </w:pPr>
            <w:r w:rsidRPr="000D3090">
              <w:rPr>
                <w:color w:val="000000"/>
                <w:sz w:val="18"/>
                <w:szCs w:val="18"/>
              </w:rPr>
              <w:t>-2.07</w:t>
            </w:r>
          </w:p>
        </w:tc>
        <w:tc>
          <w:tcPr>
            <w:tcW w:w="540" w:type="dxa"/>
            <w:tcBorders>
              <w:left w:val="nil"/>
              <w:right w:val="nil"/>
            </w:tcBorders>
            <w:shd w:val="clear" w:color="000000" w:fill="FFFFFF"/>
            <w:noWrap/>
            <w:vAlign w:val="center"/>
          </w:tcPr>
          <w:p w14:paraId="49F040C8" w14:textId="635969D4"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20F2144C" w14:textId="783DCAD2"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020160B5" w14:textId="759ACE3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09E7C2F8" w14:textId="4EE57AB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bottom"/>
          </w:tcPr>
          <w:p w14:paraId="1B2F54F4" w14:textId="26A554B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-0.08</w:t>
            </w:r>
          </w:p>
        </w:tc>
        <w:tc>
          <w:tcPr>
            <w:tcW w:w="542" w:type="dxa"/>
            <w:tcBorders>
              <w:left w:val="nil"/>
              <w:right w:val="single" w:sz="12" w:space="0" w:color="auto"/>
            </w:tcBorders>
            <w:shd w:val="clear" w:color="000000" w:fill="FFFFFF"/>
            <w:vAlign w:val="bottom"/>
          </w:tcPr>
          <w:p w14:paraId="01DAC93C" w14:textId="2FAFF03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-1.86</w:t>
            </w:r>
          </w:p>
        </w:tc>
      </w:tr>
      <w:tr w:rsidR="003F77D0" w:rsidRPr="000D3090" w14:paraId="1A91DC4D" w14:textId="77777777" w:rsidTr="00AF3DDB">
        <w:trPr>
          <w:trHeight w:val="20"/>
          <w:jc w:val="center"/>
        </w:trPr>
        <w:tc>
          <w:tcPr>
            <w:tcW w:w="2595" w:type="dxa"/>
            <w:tcBorders>
              <w:left w:val="single" w:sz="12" w:space="0" w:color="auto"/>
              <w:right w:val="single" w:sz="12" w:space="0" w:color="auto"/>
            </w:tcBorders>
            <w:shd w:val="clear" w:color="000000" w:fill="FFFFFF"/>
            <w:noWrap/>
            <w:vAlign w:val="bottom"/>
          </w:tcPr>
          <w:p w14:paraId="5482C839" w14:textId="6AA85C8D"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Transit Accessibility (Low)</w:t>
            </w:r>
          </w:p>
        </w:tc>
        <w:tc>
          <w:tcPr>
            <w:tcW w:w="537" w:type="dxa"/>
            <w:tcBorders>
              <w:left w:val="single" w:sz="12" w:space="0" w:color="auto"/>
            </w:tcBorders>
            <w:shd w:val="clear" w:color="000000" w:fill="FFFFFF"/>
            <w:vAlign w:val="center"/>
          </w:tcPr>
          <w:p w14:paraId="38481563"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left w:val="nil"/>
              <w:right w:val="single" w:sz="12" w:space="0" w:color="auto"/>
            </w:tcBorders>
            <w:shd w:val="clear" w:color="000000" w:fill="FFFFFF"/>
            <w:vAlign w:val="center"/>
          </w:tcPr>
          <w:p w14:paraId="40695945"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left w:val="single" w:sz="12" w:space="0" w:color="auto"/>
              <w:right w:val="nil"/>
            </w:tcBorders>
            <w:shd w:val="clear" w:color="000000" w:fill="FFFFFF"/>
            <w:noWrap/>
            <w:vAlign w:val="center"/>
          </w:tcPr>
          <w:p w14:paraId="249291E5"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left w:val="nil"/>
              <w:right w:val="single" w:sz="4" w:space="0" w:color="auto"/>
            </w:tcBorders>
            <w:shd w:val="clear" w:color="000000" w:fill="FFFFFF"/>
            <w:noWrap/>
            <w:vAlign w:val="center"/>
          </w:tcPr>
          <w:p w14:paraId="25F3D24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15D6268A"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5391399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055A9426"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7EF21DD0" w14:textId="77777777" w:rsidR="00AF3DDB" w:rsidRPr="000D3090" w:rsidRDefault="00AF3DDB" w:rsidP="00AF3DDB">
            <w:pPr>
              <w:spacing w:after="0" w:line="240" w:lineRule="auto"/>
              <w:jc w:val="center"/>
              <w:rPr>
                <w:rFonts w:eastAsia="Times New Roman"/>
                <w:color w:val="000000"/>
                <w:sz w:val="18"/>
                <w:szCs w:val="18"/>
              </w:rPr>
            </w:pPr>
          </w:p>
        </w:tc>
        <w:tc>
          <w:tcPr>
            <w:tcW w:w="544" w:type="dxa"/>
            <w:tcBorders>
              <w:left w:val="nil"/>
              <w:right w:val="nil"/>
            </w:tcBorders>
            <w:shd w:val="clear" w:color="000000" w:fill="FFFFFF"/>
            <w:noWrap/>
            <w:vAlign w:val="bottom"/>
          </w:tcPr>
          <w:p w14:paraId="296EB49E" w14:textId="77777777" w:rsidR="00AF3DDB" w:rsidRPr="000D3090" w:rsidRDefault="00AF3DDB" w:rsidP="00AF3DDB">
            <w:pPr>
              <w:spacing w:after="0" w:line="240" w:lineRule="auto"/>
              <w:jc w:val="center"/>
              <w:rPr>
                <w:color w:val="000000"/>
                <w:sz w:val="18"/>
                <w:szCs w:val="18"/>
              </w:rPr>
            </w:pPr>
          </w:p>
        </w:tc>
        <w:tc>
          <w:tcPr>
            <w:tcW w:w="540" w:type="dxa"/>
            <w:tcBorders>
              <w:left w:val="nil"/>
              <w:right w:val="single" w:sz="4" w:space="0" w:color="auto"/>
            </w:tcBorders>
            <w:shd w:val="clear" w:color="000000" w:fill="FFFFFF"/>
            <w:noWrap/>
            <w:vAlign w:val="bottom"/>
          </w:tcPr>
          <w:p w14:paraId="1713D536"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6EE73ADA"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37C9ACEA"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4EFB6041" w14:textId="77777777" w:rsidR="00AF3DDB" w:rsidRPr="000D3090" w:rsidRDefault="00AF3DDB" w:rsidP="00AF3DDB">
            <w:pPr>
              <w:spacing w:after="0" w:line="240" w:lineRule="auto"/>
              <w:jc w:val="center"/>
              <w:rPr>
                <w:color w:val="000000"/>
                <w:sz w:val="18"/>
                <w:szCs w:val="18"/>
              </w:rPr>
            </w:pPr>
          </w:p>
        </w:tc>
        <w:tc>
          <w:tcPr>
            <w:tcW w:w="450" w:type="dxa"/>
            <w:tcBorders>
              <w:left w:val="nil"/>
              <w:right w:val="single" w:sz="4" w:space="0" w:color="auto"/>
            </w:tcBorders>
            <w:shd w:val="clear" w:color="000000" w:fill="FFFFFF"/>
            <w:noWrap/>
            <w:vAlign w:val="bottom"/>
          </w:tcPr>
          <w:p w14:paraId="1CA86FE3"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04D91BE1" w14:textId="77777777" w:rsidR="00AF3DDB" w:rsidRPr="000D3090" w:rsidRDefault="00AF3DDB" w:rsidP="00AF3DDB">
            <w:pPr>
              <w:spacing w:after="0" w:line="240" w:lineRule="auto"/>
              <w:jc w:val="center"/>
              <w:rPr>
                <w:color w:val="000000"/>
                <w:sz w:val="18"/>
                <w:szCs w:val="18"/>
              </w:rPr>
            </w:pPr>
          </w:p>
        </w:tc>
        <w:tc>
          <w:tcPr>
            <w:tcW w:w="454" w:type="dxa"/>
            <w:tcBorders>
              <w:left w:val="nil"/>
              <w:right w:val="single" w:sz="4" w:space="0" w:color="auto"/>
            </w:tcBorders>
            <w:shd w:val="clear" w:color="000000" w:fill="FFFFFF"/>
            <w:noWrap/>
            <w:vAlign w:val="bottom"/>
          </w:tcPr>
          <w:p w14:paraId="180F33FF"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bottom"/>
          </w:tcPr>
          <w:p w14:paraId="1A4A8C64" w14:textId="77777777" w:rsidR="00AF3DDB" w:rsidRPr="000D3090" w:rsidRDefault="00AF3DDB" w:rsidP="00AF3DDB">
            <w:pPr>
              <w:spacing w:after="0" w:line="240" w:lineRule="auto"/>
              <w:jc w:val="center"/>
              <w:rPr>
                <w:color w:val="000000"/>
                <w:sz w:val="18"/>
                <w:szCs w:val="18"/>
              </w:rPr>
            </w:pPr>
          </w:p>
        </w:tc>
        <w:tc>
          <w:tcPr>
            <w:tcW w:w="456" w:type="dxa"/>
            <w:tcBorders>
              <w:left w:val="nil"/>
              <w:right w:val="single" w:sz="12" w:space="0" w:color="auto"/>
            </w:tcBorders>
            <w:shd w:val="clear" w:color="000000" w:fill="FFFFFF"/>
            <w:noWrap/>
            <w:vAlign w:val="bottom"/>
          </w:tcPr>
          <w:p w14:paraId="38F88822"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vAlign w:val="center"/>
          </w:tcPr>
          <w:p w14:paraId="318B55D9"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vAlign w:val="center"/>
          </w:tcPr>
          <w:p w14:paraId="496922F9"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vAlign w:val="center"/>
          </w:tcPr>
          <w:p w14:paraId="616F8CB0"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vAlign w:val="bottom"/>
          </w:tcPr>
          <w:p w14:paraId="0F751ACD" w14:textId="77777777" w:rsidR="00AF3DDB" w:rsidRPr="000D3090" w:rsidRDefault="00AF3DDB" w:rsidP="00AF3DDB">
            <w:pPr>
              <w:spacing w:after="0" w:line="240" w:lineRule="auto"/>
              <w:jc w:val="center"/>
              <w:rPr>
                <w:rFonts w:eastAsia="Times New Roman"/>
                <w:color w:val="000000"/>
                <w:sz w:val="18"/>
                <w:szCs w:val="18"/>
              </w:rPr>
            </w:pPr>
          </w:p>
        </w:tc>
      </w:tr>
      <w:tr w:rsidR="003F77D0" w:rsidRPr="000D3090" w14:paraId="42B745BC" w14:textId="77777777" w:rsidTr="00752BDA">
        <w:trPr>
          <w:trHeight w:val="20"/>
          <w:jc w:val="center"/>
        </w:trPr>
        <w:tc>
          <w:tcPr>
            <w:tcW w:w="2595" w:type="dxa"/>
            <w:tcBorders>
              <w:left w:val="single" w:sz="12" w:space="0" w:color="auto"/>
              <w:bottom w:val="single" w:sz="4" w:space="0" w:color="auto"/>
              <w:right w:val="single" w:sz="12" w:space="0" w:color="auto"/>
            </w:tcBorders>
            <w:shd w:val="clear" w:color="000000" w:fill="FFFFFF"/>
            <w:noWrap/>
            <w:vAlign w:val="bottom"/>
          </w:tcPr>
          <w:p w14:paraId="6C7B73FA" w14:textId="66D46D22"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High</w:t>
            </w:r>
          </w:p>
        </w:tc>
        <w:tc>
          <w:tcPr>
            <w:tcW w:w="537" w:type="dxa"/>
            <w:tcBorders>
              <w:left w:val="single" w:sz="12" w:space="0" w:color="auto"/>
              <w:bottom w:val="single" w:sz="4" w:space="0" w:color="auto"/>
            </w:tcBorders>
            <w:shd w:val="clear" w:color="000000" w:fill="FFFFFF"/>
            <w:vAlign w:val="bottom"/>
          </w:tcPr>
          <w:p w14:paraId="571D40DE" w14:textId="42DA114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0.08</w:t>
            </w:r>
          </w:p>
        </w:tc>
        <w:tc>
          <w:tcPr>
            <w:tcW w:w="541" w:type="dxa"/>
            <w:tcBorders>
              <w:left w:val="nil"/>
              <w:bottom w:val="single" w:sz="4" w:space="0" w:color="auto"/>
              <w:right w:val="single" w:sz="12" w:space="0" w:color="auto"/>
            </w:tcBorders>
            <w:shd w:val="clear" w:color="000000" w:fill="FFFFFF"/>
            <w:vAlign w:val="bottom"/>
          </w:tcPr>
          <w:p w14:paraId="184E7904" w14:textId="0F9FD20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1.82</w:t>
            </w:r>
          </w:p>
        </w:tc>
        <w:tc>
          <w:tcPr>
            <w:tcW w:w="539" w:type="dxa"/>
            <w:tcBorders>
              <w:left w:val="single" w:sz="12" w:space="0" w:color="auto"/>
              <w:bottom w:val="single" w:sz="4" w:space="0" w:color="auto"/>
              <w:right w:val="nil"/>
            </w:tcBorders>
            <w:shd w:val="clear" w:color="000000" w:fill="FFFFFF"/>
            <w:noWrap/>
            <w:vAlign w:val="bottom"/>
          </w:tcPr>
          <w:p w14:paraId="1585454E" w14:textId="1D4B447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449" w:type="dxa"/>
            <w:tcBorders>
              <w:left w:val="nil"/>
              <w:bottom w:val="single" w:sz="4" w:space="0" w:color="auto"/>
              <w:right w:val="single" w:sz="4" w:space="0" w:color="auto"/>
            </w:tcBorders>
            <w:shd w:val="clear" w:color="000000" w:fill="FFFFFF"/>
            <w:noWrap/>
            <w:vAlign w:val="bottom"/>
          </w:tcPr>
          <w:p w14:paraId="34C07350" w14:textId="3EB2481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1.89</w:t>
            </w:r>
          </w:p>
        </w:tc>
        <w:tc>
          <w:tcPr>
            <w:tcW w:w="540" w:type="dxa"/>
            <w:tcBorders>
              <w:left w:val="nil"/>
              <w:bottom w:val="single" w:sz="4" w:space="0" w:color="auto"/>
              <w:right w:val="nil"/>
            </w:tcBorders>
            <w:shd w:val="clear" w:color="000000" w:fill="FFFFFF"/>
            <w:noWrap/>
            <w:vAlign w:val="center"/>
          </w:tcPr>
          <w:p w14:paraId="5614A3D2" w14:textId="669EF26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single" w:sz="4" w:space="0" w:color="auto"/>
              <w:right w:val="single" w:sz="4" w:space="0" w:color="auto"/>
            </w:tcBorders>
            <w:shd w:val="clear" w:color="000000" w:fill="FFFFFF"/>
            <w:noWrap/>
            <w:vAlign w:val="center"/>
          </w:tcPr>
          <w:p w14:paraId="70DD8E5F" w14:textId="7AC67F4E"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single" w:sz="4" w:space="0" w:color="auto"/>
              <w:right w:val="nil"/>
            </w:tcBorders>
            <w:shd w:val="clear" w:color="000000" w:fill="FFFFFF"/>
            <w:noWrap/>
            <w:vAlign w:val="center"/>
          </w:tcPr>
          <w:p w14:paraId="7EABBF9B" w14:textId="2C0ED96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single" w:sz="4" w:space="0" w:color="auto"/>
              <w:right w:val="single" w:sz="4" w:space="0" w:color="auto"/>
            </w:tcBorders>
            <w:shd w:val="clear" w:color="000000" w:fill="FFFFFF"/>
            <w:noWrap/>
            <w:vAlign w:val="center"/>
          </w:tcPr>
          <w:p w14:paraId="1DE28922" w14:textId="77777777" w:rsidR="005A056A" w:rsidRPr="000D3090" w:rsidRDefault="005A056A" w:rsidP="005A056A">
            <w:pPr>
              <w:spacing w:after="0" w:line="240" w:lineRule="auto"/>
              <w:jc w:val="center"/>
              <w:rPr>
                <w:rFonts w:eastAsia="Times New Roman"/>
                <w:color w:val="000000"/>
                <w:sz w:val="18"/>
                <w:szCs w:val="18"/>
              </w:rPr>
            </w:pPr>
          </w:p>
        </w:tc>
        <w:tc>
          <w:tcPr>
            <w:tcW w:w="544" w:type="dxa"/>
            <w:tcBorders>
              <w:left w:val="nil"/>
              <w:bottom w:val="single" w:sz="4" w:space="0" w:color="auto"/>
              <w:right w:val="nil"/>
            </w:tcBorders>
            <w:shd w:val="clear" w:color="000000" w:fill="FFFFFF"/>
            <w:noWrap/>
            <w:vAlign w:val="center"/>
          </w:tcPr>
          <w:p w14:paraId="16B39F84" w14:textId="50B65CCB"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left w:val="nil"/>
              <w:bottom w:val="single" w:sz="4" w:space="0" w:color="auto"/>
              <w:right w:val="single" w:sz="4" w:space="0" w:color="auto"/>
            </w:tcBorders>
            <w:shd w:val="clear" w:color="000000" w:fill="FFFFFF"/>
            <w:noWrap/>
            <w:vAlign w:val="center"/>
          </w:tcPr>
          <w:p w14:paraId="03FB4D58" w14:textId="7F12A990"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single" w:sz="4" w:space="0" w:color="auto"/>
              <w:right w:val="nil"/>
            </w:tcBorders>
            <w:shd w:val="clear" w:color="000000" w:fill="FFFFFF"/>
            <w:noWrap/>
            <w:vAlign w:val="center"/>
          </w:tcPr>
          <w:p w14:paraId="5AD2D9E5" w14:textId="0A00070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single" w:sz="4" w:space="0" w:color="auto"/>
              <w:right w:val="single" w:sz="4" w:space="0" w:color="auto"/>
            </w:tcBorders>
            <w:shd w:val="clear" w:color="000000" w:fill="FFFFFF"/>
            <w:noWrap/>
            <w:vAlign w:val="center"/>
          </w:tcPr>
          <w:p w14:paraId="65FE177B" w14:textId="3E19776C"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single" w:sz="4" w:space="0" w:color="auto"/>
              <w:right w:val="nil"/>
            </w:tcBorders>
            <w:shd w:val="clear" w:color="000000" w:fill="FFFFFF"/>
            <w:noWrap/>
            <w:vAlign w:val="bottom"/>
          </w:tcPr>
          <w:p w14:paraId="5FD7BC19" w14:textId="304C6CEA" w:rsidR="005A056A" w:rsidRPr="000D3090" w:rsidRDefault="005A056A" w:rsidP="005A056A">
            <w:pPr>
              <w:spacing w:after="0" w:line="240" w:lineRule="auto"/>
              <w:jc w:val="center"/>
              <w:rPr>
                <w:color w:val="000000"/>
                <w:sz w:val="18"/>
                <w:szCs w:val="18"/>
              </w:rPr>
            </w:pPr>
            <w:r w:rsidRPr="000D3090">
              <w:rPr>
                <w:color w:val="000000"/>
                <w:sz w:val="18"/>
                <w:szCs w:val="18"/>
              </w:rPr>
              <w:t>-0.17</w:t>
            </w:r>
          </w:p>
        </w:tc>
        <w:tc>
          <w:tcPr>
            <w:tcW w:w="450" w:type="dxa"/>
            <w:tcBorders>
              <w:left w:val="nil"/>
              <w:bottom w:val="single" w:sz="4" w:space="0" w:color="auto"/>
              <w:right w:val="single" w:sz="4" w:space="0" w:color="auto"/>
            </w:tcBorders>
            <w:shd w:val="clear" w:color="000000" w:fill="FFFFFF"/>
            <w:noWrap/>
            <w:vAlign w:val="bottom"/>
          </w:tcPr>
          <w:p w14:paraId="7257F2EE" w14:textId="025C1809" w:rsidR="005A056A" w:rsidRPr="000D3090" w:rsidRDefault="005A056A" w:rsidP="005A056A">
            <w:pPr>
              <w:spacing w:after="0" w:line="240" w:lineRule="auto"/>
              <w:jc w:val="center"/>
              <w:rPr>
                <w:color w:val="000000"/>
                <w:sz w:val="18"/>
                <w:szCs w:val="18"/>
              </w:rPr>
            </w:pPr>
            <w:r w:rsidRPr="000D3090">
              <w:rPr>
                <w:color w:val="000000"/>
                <w:sz w:val="18"/>
                <w:szCs w:val="18"/>
              </w:rPr>
              <w:t>-1.77</w:t>
            </w:r>
          </w:p>
        </w:tc>
        <w:tc>
          <w:tcPr>
            <w:tcW w:w="540" w:type="dxa"/>
            <w:tcBorders>
              <w:left w:val="nil"/>
              <w:bottom w:val="single" w:sz="4" w:space="0" w:color="auto"/>
              <w:right w:val="nil"/>
            </w:tcBorders>
            <w:shd w:val="clear" w:color="000000" w:fill="FFFFFF"/>
            <w:noWrap/>
            <w:vAlign w:val="center"/>
          </w:tcPr>
          <w:p w14:paraId="330F8B39" w14:textId="4696DE29"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bottom w:val="single" w:sz="4" w:space="0" w:color="auto"/>
              <w:right w:val="single" w:sz="4" w:space="0" w:color="auto"/>
            </w:tcBorders>
            <w:shd w:val="clear" w:color="000000" w:fill="FFFFFF"/>
            <w:noWrap/>
            <w:vAlign w:val="center"/>
          </w:tcPr>
          <w:p w14:paraId="765CDFCC" w14:textId="24D5A69C"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single" w:sz="4" w:space="0" w:color="auto"/>
              <w:right w:val="nil"/>
            </w:tcBorders>
            <w:shd w:val="clear" w:color="000000" w:fill="FFFFFF"/>
            <w:noWrap/>
            <w:vAlign w:val="center"/>
          </w:tcPr>
          <w:p w14:paraId="640289FF" w14:textId="33656EBD"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6" w:type="dxa"/>
            <w:tcBorders>
              <w:left w:val="nil"/>
              <w:bottom w:val="single" w:sz="4" w:space="0" w:color="auto"/>
              <w:right w:val="single" w:sz="12" w:space="0" w:color="auto"/>
            </w:tcBorders>
            <w:shd w:val="clear" w:color="000000" w:fill="FFFFFF"/>
            <w:noWrap/>
            <w:vAlign w:val="center"/>
          </w:tcPr>
          <w:p w14:paraId="5074E343" w14:textId="555607C0"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single" w:sz="4" w:space="0" w:color="auto"/>
              <w:right w:val="nil"/>
            </w:tcBorders>
            <w:shd w:val="clear" w:color="000000" w:fill="FFFFFF"/>
            <w:vAlign w:val="center"/>
          </w:tcPr>
          <w:p w14:paraId="2F3F6333" w14:textId="6074285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bottom w:val="single" w:sz="4" w:space="0" w:color="auto"/>
              <w:right w:val="single" w:sz="12" w:space="0" w:color="auto"/>
            </w:tcBorders>
            <w:shd w:val="clear" w:color="000000" w:fill="FFFFFF"/>
            <w:vAlign w:val="center"/>
          </w:tcPr>
          <w:p w14:paraId="2DCD578C" w14:textId="633C786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bottom w:val="single" w:sz="4" w:space="0" w:color="auto"/>
              <w:right w:val="nil"/>
            </w:tcBorders>
            <w:shd w:val="clear" w:color="000000" w:fill="FFFFFF"/>
            <w:vAlign w:val="bottom"/>
          </w:tcPr>
          <w:p w14:paraId="39A45C4B" w14:textId="0BA8937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-0.07</w:t>
            </w:r>
          </w:p>
        </w:tc>
        <w:tc>
          <w:tcPr>
            <w:tcW w:w="542" w:type="dxa"/>
            <w:tcBorders>
              <w:left w:val="nil"/>
              <w:bottom w:val="single" w:sz="4" w:space="0" w:color="auto"/>
              <w:right w:val="single" w:sz="12" w:space="0" w:color="auto"/>
            </w:tcBorders>
            <w:shd w:val="clear" w:color="000000" w:fill="FFFFFF"/>
            <w:vAlign w:val="bottom"/>
          </w:tcPr>
          <w:p w14:paraId="71757931" w14:textId="5D2DDDC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-1.67</w:t>
            </w:r>
          </w:p>
        </w:tc>
      </w:tr>
      <w:tr w:rsidR="00AF3DDB" w:rsidRPr="000D3090" w14:paraId="54637229" w14:textId="77777777" w:rsidTr="00B425AD">
        <w:trPr>
          <w:trHeight w:val="20"/>
          <w:jc w:val="center"/>
        </w:trPr>
        <w:tc>
          <w:tcPr>
            <w:tcW w:w="2595" w:type="dxa"/>
            <w:tcBorders>
              <w:top w:val="single" w:sz="4" w:space="0" w:color="auto"/>
              <w:left w:val="single" w:sz="12" w:space="0" w:color="auto"/>
              <w:bottom w:val="nil"/>
              <w:right w:val="single" w:sz="12" w:space="0" w:color="auto"/>
            </w:tcBorders>
            <w:shd w:val="clear" w:color="000000" w:fill="FFFFFF"/>
            <w:noWrap/>
            <w:vAlign w:val="bottom"/>
          </w:tcPr>
          <w:p w14:paraId="4164AF39" w14:textId="6CED78D8" w:rsidR="00AF3DDB" w:rsidRPr="000D3090" w:rsidRDefault="00AF3DDB" w:rsidP="00AF3DDB">
            <w:pPr>
              <w:spacing w:after="0" w:line="240" w:lineRule="auto"/>
              <w:rPr>
                <w:rFonts w:eastAsia="Times New Roman"/>
                <w:color w:val="000000"/>
                <w:sz w:val="18"/>
                <w:szCs w:val="18"/>
              </w:rPr>
            </w:pPr>
            <w:r w:rsidRPr="000D3090">
              <w:rPr>
                <w:rFonts w:eastAsia="Times New Roman"/>
                <w:b/>
                <w:bCs/>
                <w:color w:val="000000"/>
                <w:sz w:val="18"/>
                <w:szCs w:val="18"/>
              </w:rPr>
              <w:t>Household Demographics</w:t>
            </w:r>
          </w:p>
        </w:tc>
        <w:tc>
          <w:tcPr>
            <w:tcW w:w="537" w:type="dxa"/>
            <w:tcBorders>
              <w:top w:val="single" w:sz="4" w:space="0" w:color="auto"/>
              <w:left w:val="single" w:sz="12" w:space="0" w:color="auto"/>
              <w:bottom w:val="nil"/>
            </w:tcBorders>
            <w:shd w:val="clear" w:color="000000" w:fill="FFFFFF"/>
          </w:tcPr>
          <w:p w14:paraId="4EA2FB71"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single" w:sz="4" w:space="0" w:color="auto"/>
              <w:left w:val="nil"/>
              <w:bottom w:val="nil"/>
              <w:right w:val="single" w:sz="12" w:space="0" w:color="auto"/>
            </w:tcBorders>
            <w:shd w:val="clear" w:color="000000" w:fill="FFFFFF"/>
          </w:tcPr>
          <w:p w14:paraId="5D9500CE"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single" w:sz="4" w:space="0" w:color="auto"/>
              <w:left w:val="single" w:sz="12" w:space="0" w:color="auto"/>
              <w:bottom w:val="nil"/>
              <w:right w:val="nil"/>
            </w:tcBorders>
            <w:shd w:val="clear" w:color="000000" w:fill="FFFFFF"/>
            <w:noWrap/>
            <w:vAlign w:val="center"/>
          </w:tcPr>
          <w:p w14:paraId="384CC81C"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top w:val="single" w:sz="4" w:space="0" w:color="auto"/>
              <w:left w:val="nil"/>
              <w:bottom w:val="nil"/>
              <w:right w:val="single" w:sz="4" w:space="0" w:color="auto"/>
            </w:tcBorders>
            <w:shd w:val="clear" w:color="000000" w:fill="FFFFFF"/>
            <w:noWrap/>
            <w:vAlign w:val="center"/>
          </w:tcPr>
          <w:p w14:paraId="74A5BBE0"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15257B2F"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59F388D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6ED4DCD1"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772839C7" w14:textId="77777777" w:rsidR="00AF3DDB" w:rsidRPr="000D3090" w:rsidRDefault="00AF3DDB" w:rsidP="00AF3DDB">
            <w:pPr>
              <w:spacing w:after="0" w:line="240" w:lineRule="auto"/>
              <w:jc w:val="center"/>
              <w:rPr>
                <w:rFonts w:eastAsia="Times New Roman"/>
                <w:color w:val="000000"/>
                <w:sz w:val="18"/>
                <w:szCs w:val="18"/>
              </w:rPr>
            </w:pPr>
          </w:p>
        </w:tc>
        <w:tc>
          <w:tcPr>
            <w:tcW w:w="544" w:type="dxa"/>
            <w:tcBorders>
              <w:top w:val="single" w:sz="4" w:space="0" w:color="auto"/>
              <w:left w:val="nil"/>
              <w:bottom w:val="nil"/>
              <w:right w:val="nil"/>
            </w:tcBorders>
            <w:shd w:val="clear" w:color="000000" w:fill="FFFFFF"/>
            <w:noWrap/>
            <w:vAlign w:val="center"/>
          </w:tcPr>
          <w:p w14:paraId="5D3D913C"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single" w:sz="4" w:space="0" w:color="auto"/>
            </w:tcBorders>
            <w:shd w:val="clear" w:color="000000" w:fill="FFFFFF"/>
            <w:noWrap/>
            <w:vAlign w:val="center"/>
          </w:tcPr>
          <w:p w14:paraId="1DF9941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0AB25840"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76F03D54"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796DB48D"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00B47AF0"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26DD0A74" w14:textId="77777777" w:rsidR="00AF3DDB" w:rsidRPr="000D3090" w:rsidRDefault="00AF3DDB" w:rsidP="00AF3DDB">
            <w:pPr>
              <w:spacing w:after="0" w:line="240" w:lineRule="auto"/>
              <w:jc w:val="center"/>
              <w:rPr>
                <w:rFonts w:eastAsia="Times New Roman"/>
                <w:color w:val="000000"/>
                <w:sz w:val="18"/>
                <w:szCs w:val="18"/>
              </w:rPr>
            </w:pPr>
          </w:p>
        </w:tc>
        <w:tc>
          <w:tcPr>
            <w:tcW w:w="454" w:type="dxa"/>
            <w:tcBorders>
              <w:top w:val="single" w:sz="4" w:space="0" w:color="auto"/>
              <w:left w:val="nil"/>
              <w:bottom w:val="nil"/>
              <w:right w:val="single" w:sz="4" w:space="0" w:color="auto"/>
            </w:tcBorders>
            <w:shd w:val="clear" w:color="000000" w:fill="FFFFFF"/>
            <w:noWrap/>
            <w:vAlign w:val="center"/>
          </w:tcPr>
          <w:p w14:paraId="08E6BFA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175297BD" w14:textId="77777777" w:rsidR="00AF3DDB" w:rsidRPr="000D3090" w:rsidRDefault="00AF3DDB" w:rsidP="00AF3DDB">
            <w:pPr>
              <w:spacing w:after="0" w:line="240" w:lineRule="auto"/>
              <w:jc w:val="center"/>
              <w:rPr>
                <w:rFonts w:eastAsia="Times New Roman"/>
                <w:color w:val="000000"/>
                <w:sz w:val="18"/>
                <w:szCs w:val="18"/>
              </w:rPr>
            </w:pPr>
          </w:p>
        </w:tc>
        <w:tc>
          <w:tcPr>
            <w:tcW w:w="456" w:type="dxa"/>
            <w:tcBorders>
              <w:top w:val="single" w:sz="4" w:space="0" w:color="auto"/>
              <w:left w:val="nil"/>
              <w:bottom w:val="nil"/>
              <w:right w:val="single" w:sz="12" w:space="0" w:color="auto"/>
            </w:tcBorders>
            <w:shd w:val="clear" w:color="000000" w:fill="FFFFFF"/>
            <w:noWrap/>
            <w:vAlign w:val="center"/>
          </w:tcPr>
          <w:p w14:paraId="5693DC60"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tcPr>
          <w:p w14:paraId="017A459A"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single" w:sz="12" w:space="0" w:color="auto"/>
            </w:tcBorders>
            <w:shd w:val="clear" w:color="000000" w:fill="FFFFFF"/>
          </w:tcPr>
          <w:p w14:paraId="4ACCE456"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top w:val="single" w:sz="4" w:space="0" w:color="auto"/>
              <w:left w:val="single" w:sz="12" w:space="0" w:color="auto"/>
              <w:bottom w:val="nil"/>
              <w:right w:val="nil"/>
            </w:tcBorders>
            <w:shd w:val="clear" w:color="000000" w:fill="FFFFFF"/>
          </w:tcPr>
          <w:p w14:paraId="31608459"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top w:val="single" w:sz="4" w:space="0" w:color="auto"/>
              <w:left w:val="nil"/>
              <w:bottom w:val="nil"/>
              <w:right w:val="single" w:sz="12" w:space="0" w:color="auto"/>
            </w:tcBorders>
            <w:shd w:val="clear" w:color="000000" w:fill="FFFFFF"/>
          </w:tcPr>
          <w:p w14:paraId="5EC205C0" w14:textId="77777777" w:rsidR="00AF3DDB" w:rsidRPr="000D3090" w:rsidRDefault="00AF3DDB" w:rsidP="00AF3DDB">
            <w:pPr>
              <w:spacing w:after="0" w:line="240" w:lineRule="auto"/>
              <w:jc w:val="center"/>
              <w:rPr>
                <w:rFonts w:eastAsia="Times New Roman"/>
                <w:color w:val="000000"/>
                <w:sz w:val="18"/>
                <w:szCs w:val="18"/>
              </w:rPr>
            </w:pPr>
          </w:p>
        </w:tc>
      </w:tr>
      <w:tr w:rsidR="00AF3DDB" w:rsidRPr="000D3090" w14:paraId="13255445"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061F7FD1" w14:textId="77777777"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Composition</w:t>
            </w:r>
          </w:p>
        </w:tc>
        <w:tc>
          <w:tcPr>
            <w:tcW w:w="537" w:type="dxa"/>
            <w:tcBorders>
              <w:top w:val="nil"/>
              <w:left w:val="single" w:sz="12" w:space="0" w:color="auto"/>
              <w:bottom w:val="nil"/>
            </w:tcBorders>
            <w:shd w:val="clear" w:color="000000" w:fill="FFFFFF"/>
          </w:tcPr>
          <w:p w14:paraId="01771E24"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51CBFACF"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1961A5BA"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top w:val="nil"/>
              <w:left w:val="nil"/>
              <w:bottom w:val="nil"/>
              <w:right w:val="single" w:sz="4" w:space="0" w:color="auto"/>
            </w:tcBorders>
            <w:shd w:val="clear" w:color="000000" w:fill="FFFFFF"/>
            <w:noWrap/>
            <w:vAlign w:val="center"/>
          </w:tcPr>
          <w:p w14:paraId="521F9D4C"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21E24673"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center"/>
          </w:tcPr>
          <w:p w14:paraId="00B57B74"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4D4DC42B"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center"/>
          </w:tcPr>
          <w:p w14:paraId="3B6B73D9" w14:textId="77777777" w:rsidR="00AF3DDB" w:rsidRPr="000D3090" w:rsidRDefault="00AF3DDB" w:rsidP="00AF3DDB">
            <w:pPr>
              <w:spacing w:after="0" w:line="240" w:lineRule="auto"/>
              <w:jc w:val="center"/>
              <w:rPr>
                <w:rFonts w:eastAsia="Times New Roman"/>
                <w:color w:val="000000"/>
                <w:sz w:val="18"/>
                <w:szCs w:val="18"/>
              </w:rPr>
            </w:pPr>
          </w:p>
        </w:tc>
        <w:tc>
          <w:tcPr>
            <w:tcW w:w="544" w:type="dxa"/>
            <w:tcBorders>
              <w:top w:val="nil"/>
              <w:left w:val="nil"/>
              <w:bottom w:val="nil"/>
              <w:right w:val="nil"/>
            </w:tcBorders>
            <w:shd w:val="clear" w:color="000000" w:fill="FFFFFF"/>
            <w:noWrap/>
            <w:vAlign w:val="center"/>
          </w:tcPr>
          <w:p w14:paraId="2448230D"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single" w:sz="4" w:space="0" w:color="auto"/>
            </w:tcBorders>
            <w:shd w:val="clear" w:color="000000" w:fill="FFFFFF"/>
            <w:noWrap/>
            <w:vAlign w:val="center"/>
          </w:tcPr>
          <w:p w14:paraId="7E756DAE"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79FDA2BF"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center"/>
          </w:tcPr>
          <w:p w14:paraId="12596104"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09EB9206"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center"/>
          </w:tcPr>
          <w:p w14:paraId="2D4DB32B"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18DF3AEF" w14:textId="77777777" w:rsidR="00AF3DDB" w:rsidRPr="000D3090" w:rsidRDefault="00AF3DDB" w:rsidP="00AF3DDB">
            <w:pPr>
              <w:spacing w:after="0" w:line="240" w:lineRule="auto"/>
              <w:jc w:val="center"/>
              <w:rPr>
                <w:rFonts w:eastAsia="Times New Roman"/>
                <w:color w:val="000000"/>
                <w:sz w:val="18"/>
                <w:szCs w:val="18"/>
              </w:rPr>
            </w:pPr>
          </w:p>
        </w:tc>
        <w:tc>
          <w:tcPr>
            <w:tcW w:w="454" w:type="dxa"/>
            <w:tcBorders>
              <w:top w:val="nil"/>
              <w:left w:val="nil"/>
              <w:bottom w:val="nil"/>
              <w:right w:val="single" w:sz="4" w:space="0" w:color="auto"/>
            </w:tcBorders>
            <w:shd w:val="clear" w:color="000000" w:fill="FFFFFF"/>
            <w:noWrap/>
            <w:vAlign w:val="center"/>
          </w:tcPr>
          <w:p w14:paraId="46E4B326"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4EB987DA" w14:textId="77777777" w:rsidR="00AF3DDB" w:rsidRPr="000D3090" w:rsidRDefault="00AF3DDB" w:rsidP="00AF3DDB">
            <w:pPr>
              <w:spacing w:after="0" w:line="240" w:lineRule="auto"/>
              <w:jc w:val="center"/>
              <w:rPr>
                <w:rFonts w:eastAsia="Times New Roman"/>
                <w:color w:val="000000"/>
                <w:sz w:val="18"/>
                <w:szCs w:val="18"/>
              </w:rPr>
            </w:pPr>
          </w:p>
        </w:tc>
        <w:tc>
          <w:tcPr>
            <w:tcW w:w="456" w:type="dxa"/>
            <w:tcBorders>
              <w:top w:val="nil"/>
              <w:left w:val="nil"/>
              <w:bottom w:val="nil"/>
              <w:right w:val="single" w:sz="12" w:space="0" w:color="auto"/>
            </w:tcBorders>
            <w:shd w:val="clear" w:color="000000" w:fill="FFFFFF"/>
            <w:noWrap/>
            <w:vAlign w:val="center"/>
          </w:tcPr>
          <w:p w14:paraId="3E9DA83D"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tcPr>
          <w:p w14:paraId="414BF12B"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single" w:sz="12" w:space="0" w:color="auto"/>
            </w:tcBorders>
            <w:shd w:val="clear" w:color="000000" w:fill="FFFFFF"/>
          </w:tcPr>
          <w:p w14:paraId="196FE3A1"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top w:val="nil"/>
              <w:left w:val="single" w:sz="12" w:space="0" w:color="auto"/>
              <w:bottom w:val="nil"/>
              <w:right w:val="nil"/>
            </w:tcBorders>
            <w:shd w:val="clear" w:color="000000" w:fill="FFFFFF"/>
          </w:tcPr>
          <w:p w14:paraId="747C4544"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top w:val="nil"/>
              <w:left w:val="nil"/>
              <w:bottom w:val="nil"/>
              <w:right w:val="single" w:sz="12" w:space="0" w:color="auto"/>
            </w:tcBorders>
            <w:shd w:val="clear" w:color="000000" w:fill="FFFFFF"/>
          </w:tcPr>
          <w:p w14:paraId="5E7A413B" w14:textId="77777777" w:rsidR="00AF3DDB" w:rsidRPr="000D3090" w:rsidRDefault="00AF3DDB" w:rsidP="00AF3DDB">
            <w:pPr>
              <w:spacing w:after="0" w:line="240" w:lineRule="auto"/>
              <w:jc w:val="center"/>
              <w:rPr>
                <w:rFonts w:eastAsia="Times New Roman"/>
                <w:color w:val="000000"/>
                <w:sz w:val="18"/>
                <w:szCs w:val="18"/>
              </w:rPr>
            </w:pPr>
          </w:p>
        </w:tc>
      </w:tr>
      <w:tr w:rsidR="004B6CD2" w:rsidRPr="000D3090" w14:paraId="705AC127"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hideMark/>
          </w:tcPr>
          <w:p w14:paraId="1A1E9AC2" w14:textId="77777777" w:rsidR="004B6CD2" w:rsidRPr="000D3090" w:rsidRDefault="004B6CD2" w:rsidP="004B6CD2">
            <w:pPr>
              <w:spacing w:after="0" w:line="240" w:lineRule="auto"/>
              <w:rPr>
                <w:rFonts w:eastAsia="Times New Roman"/>
                <w:color w:val="000000"/>
                <w:sz w:val="18"/>
                <w:szCs w:val="18"/>
              </w:rPr>
            </w:pPr>
            <w:r w:rsidRPr="000D3090">
              <w:rPr>
                <w:rFonts w:eastAsia="Times New Roman"/>
                <w:color w:val="000000"/>
                <w:sz w:val="18"/>
                <w:szCs w:val="18"/>
              </w:rPr>
              <w:t xml:space="preserve">     Single adult (2+ adults)</w:t>
            </w:r>
          </w:p>
        </w:tc>
        <w:tc>
          <w:tcPr>
            <w:tcW w:w="537" w:type="dxa"/>
            <w:tcBorders>
              <w:top w:val="nil"/>
              <w:left w:val="single" w:sz="12" w:space="0" w:color="auto"/>
              <w:bottom w:val="nil"/>
            </w:tcBorders>
            <w:shd w:val="clear" w:color="000000" w:fill="FFFFFF"/>
            <w:vAlign w:val="bottom"/>
          </w:tcPr>
          <w:p w14:paraId="2323C717" w14:textId="32DC6FA8"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0.11</w:t>
            </w:r>
          </w:p>
        </w:tc>
        <w:tc>
          <w:tcPr>
            <w:tcW w:w="541" w:type="dxa"/>
            <w:tcBorders>
              <w:top w:val="nil"/>
              <w:left w:val="nil"/>
              <w:bottom w:val="nil"/>
              <w:right w:val="single" w:sz="12" w:space="0" w:color="auto"/>
            </w:tcBorders>
            <w:shd w:val="clear" w:color="000000" w:fill="FFFFFF"/>
            <w:vAlign w:val="bottom"/>
          </w:tcPr>
          <w:p w14:paraId="2E998331" w14:textId="4DB45BAB"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3.13</w:t>
            </w:r>
          </w:p>
        </w:tc>
        <w:tc>
          <w:tcPr>
            <w:tcW w:w="539" w:type="dxa"/>
            <w:tcBorders>
              <w:top w:val="nil"/>
              <w:left w:val="single" w:sz="12" w:space="0" w:color="auto"/>
              <w:bottom w:val="nil"/>
              <w:right w:val="nil"/>
            </w:tcBorders>
            <w:shd w:val="clear" w:color="000000" w:fill="FFFFFF"/>
            <w:noWrap/>
            <w:vAlign w:val="center"/>
            <w:hideMark/>
          </w:tcPr>
          <w:p w14:paraId="524AAD5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hideMark/>
          </w:tcPr>
          <w:p w14:paraId="15E9BC54"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42EA997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3D0D3CFF"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3FE9DE46"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0A0102E4"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top w:val="nil"/>
              <w:left w:val="nil"/>
              <w:bottom w:val="nil"/>
              <w:right w:val="nil"/>
            </w:tcBorders>
            <w:shd w:val="clear" w:color="000000" w:fill="FFFFFF"/>
            <w:noWrap/>
            <w:vAlign w:val="bottom"/>
            <w:hideMark/>
          </w:tcPr>
          <w:p w14:paraId="63D8A809" w14:textId="1B2D8E95"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0.22</w:t>
            </w:r>
          </w:p>
        </w:tc>
        <w:tc>
          <w:tcPr>
            <w:tcW w:w="540" w:type="dxa"/>
            <w:tcBorders>
              <w:top w:val="nil"/>
              <w:left w:val="nil"/>
              <w:bottom w:val="nil"/>
              <w:right w:val="single" w:sz="4" w:space="0" w:color="auto"/>
            </w:tcBorders>
            <w:shd w:val="clear" w:color="000000" w:fill="FFFFFF"/>
            <w:noWrap/>
            <w:vAlign w:val="bottom"/>
            <w:hideMark/>
          </w:tcPr>
          <w:p w14:paraId="09B35EDA" w14:textId="3DC3AD57"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2.25</w:t>
            </w:r>
          </w:p>
        </w:tc>
        <w:tc>
          <w:tcPr>
            <w:tcW w:w="540" w:type="dxa"/>
            <w:tcBorders>
              <w:top w:val="nil"/>
              <w:left w:val="nil"/>
              <w:bottom w:val="nil"/>
              <w:right w:val="nil"/>
            </w:tcBorders>
            <w:shd w:val="clear" w:color="000000" w:fill="FFFFFF"/>
            <w:noWrap/>
            <w:vAlign w:val="center"/>
            <w:hideMark/>
          </w:tcPr>
          <w:p w14:paraId="414A952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6548EFB4"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3A20B3DE"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13A11F92"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2744E84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hideMark/>
          </w:tcPr>
          <w:p w14:paraId="199097A9"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hideMark/>
          </w:tcPr>
          <w:p w14:paraId="5B16DF06" w14:textId="16DDB9D3" w:rsidR="004B6CD2" w:rsidRPr="000D3090" w:rsidRDefault="00190696" w:rsidP="004B6CD2">
            <w:pPr>
              <w:spacing w:after="0" w:line="240" w:lineRule="auto"/>
              <w:jc w:val="center"/>
              <w:rPr>
                <w:rFonts w:eastAsia="Times New Roman"/>
                <w:color w:val="000000"/>
                <w:sz w:val="18"/>
                <w:szCs w:val="18"/>
              </w:rPr>
            </w:pPr>
            <w:r w:rsidRPr="000D3090">
              <w:rPr>
                <w:color w:val="000000"/>
                <w:sz w:val="18"/>
                <w:szCs w:val="18"/>
              </w:rPr>
              <w:t>-</w:t>
            </w:r>
            <w:r w:rsidR="004B6CD2" w:rsidRPr="000D3090">
              <w:rPr>
                <w:color w:val="000000"/>
                <w:sz w:val="18"/>
                <w:szCs w:val="18"/>
              </w:rPr>
              <w:t>0.13</w:t>
            </w:r>
          </w:p>
        </w:tc>
        <w:tc>
          <w:tcPr>
            <w:tcW w:w="456" w:type="dxa"/>
            <w:tcBorders>
              <w:top w:val="nil"/>
              <w:left w:val="nil"/>
              <w:bottom w:val="nil"/>
              <w:right w:val="single" w:sz="12" w:space="0" w:color="auto"/>
            </w:tcBorders>
            <w:shd w:val="clear" w:color="000000" w:fill="FFFFFF"/>
            <w:noWrap/>
            <w:vAlign w:val="bottom"/>
            <w:hideMark/>
          </w:tcPr>
          <w:p w14:paraId="1776BE9A" w14:textId="532E979D" w:rsidR="004B6CD2" w:rsidRPr="000D3090" w:rsidRDefault="00190696" w:rsidP="004B6CD2">
            <w:pPr>
              <w:spacing w:after="0" w:line="240" w:lineRule="auto"/>
              <w:jc w:val="center"/>
              <w:rPr>
                <w:rFonts w:eastAsia="Times New Roman"/>
                <w:color w:val="000000"/>
                <w:sz w:val="18"/>
                <w:szCs w:val="18"/>
              </w:rPr>
            </w:pPr>
            <w:r w:rsidRPr="000D3090">
              <w:rPr>
                <w:color w:val="000000"/>
                <w:sz w:val="18"/>
                <w:szCs w:val="18"/>
              </w:rPr>
              <w:t>-</w:t>
            </w:r>
            <w:r w:rsidR="004B6CD2" w:rsidRPr="000D3090">
              <w:rPr>
                <w:color w:val="000000"/>
                <w:sz w:val="18"/>
                <w:szCs w:val="18"/>
              </w:rPr>
              <w:t>2.10</w:t>
            </w:r>
          </w:p>
        </w:tc>
        <w:tc>
          <w:tcPr>
            <w:tcW w:w="540" w:type="dxa"/>
            <w:tcBorders>
              <w:top w:val="nil"/>
              <w:left w:val="nil"/>
              <w:bottom w:val="nil"/>
              <w:right w:val="nil"/>
            </w:tcBorders>
            <w:shd w:val="clear" w:color="000000" w:fill="FFFFFF"/>
            <w:vAlign w:val="bottom"/>
          </w:tcPr>
          <w:p w14:paraId="417AD01E" w14:textId="3D7B3235" w:rsidR="004B6CD2" w:rsidRPr="000D3090" w:rsidRDefault="004B6CD2" w:rsidP="004B6CD2">
            <w:pPr>
              <w:spacing w:after="0" w:line="240" w:lineRule="auto"/>
              <w:jc w:val="center"/>
              <w:rPr>
                <w:color w:val="000000"/>
                <w:sz w:val="18"/>
                <w:szCs w:val="18"/>
              </w:rPr>
            </w:pPr>
            <w:r w:rsidRPr="000D3090">
              <w:rPr>
                <w:color w:val="000000"/>
                <w:sz w:val="18"/>
                <w:szCs w:val="18"/>
              </w:rPr>
              <w:t>0.09</w:t>
            </w:r>
          </w:p>
        </w:tc>
        <w:tc>
          <w:tcPr>
            <w:tcW w:w="540" w:type="dxa"/>
            <w:tcBorders>
              <w:top w:val="nil"/>
              <w:left w:val="nil"/>
              <w:bottom w:val="nil"/>
              <w:right w:val="single" w:sz="12" w:space="0" w:color="auto"/>
            </w:tcBorders>
            <w:shd w:val="clear" w:color="000000" w:fill="FFFFFF"/>
            <w:vAlign w:val="bottom"/>
          </w:tcPr>
          <w:p w14:paraId="1F8EF541" w14:textId="3A4202BB" w:rsidR="004B6CD2" w:rsidRPr="000D3090" w:rsidRDefault="004B6CD2" w:rsidP="004B6CD2">
            <w:pPr>
              <w:spacing w:after="0" w:line="240" w:lineRule="auto"/>
              <w:jc w:val="center"/>
              <w:rPr>
                <w:color w:val="000000"/>
                <w:sz w:val="18"/>
                <w:szCs w:val="18"/>
              </w:rPr>
            </w:pPr>
            <w:r w:rsidRPr="000D3090">
              <w:rPr>
                <w:color w:val="000000"/>
                <w:sz w:val="18"/>
                <w:szCs w:val="18"/>
              </w:rPr>
              <w:t>2.26</w:t>
            </w:r>
          </w:p>
        </w:tc>
        <w:tc>
          <w:tcPr>
            <w:tcW w:w="630" w:type="dxa"/>
            <w:tcBorders>
              <w:top w:val="nil"/>
              <w:left w:val="single" w:sz="12" w:space="0" w:color="auto"/>
              <w:bottom w:val="nil"/>
              <w:right w:val="nil"/>
            </w:tcBorders>
            <w:shd w:val="clear" w:color="000000" w:fill="FFFFFF"/>
            <w:vAlign w:val="center"/>
          </w:tcPr>
          <w:p w14:paraId="4A6376BC"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64CEE602"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 </w:t>
            </w:r>
          </w:p>
        </w:tc>
      </w:tr>
      <w:tr w:rsidR="005A056A" w:rsidRPr="000D3090" w14:paraId="7556FB91"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hideMark/>
          </w:tcPr>
          <w:p w14:paraId="64B0DA9E" w14:textId="4BEDD772"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Presence of </w:t>
            </w:r>
            <w:r w:rsidR="00B4754C">
              <w:rPr>
                <w:rFonts w:eastAsia="Times New Roman"/>
                <w:color w:val="000000"/>
                <w:sz w:val="18"/>
                <w:szCs w:val="18"/>
              </w:rPr>
              <w:t>c</w:t>
            </w:r>
            <w:r w:rsidRPr="000D3090">
              <w:rPr>
                <w:rFonts w:eastAsia="Times New Roman"/>
                <w:color w:val="000000"/>
                <w:sz w:val="18"/>
                <w:szCs w:val="18"/>
              </w:rPr>
              <w:t xml:space="preserve">hildren (≤17 </w:t>
            </w:r>
            <w:proofErr w:type="spellStart"/>
            <w:r w:rsidRPr="000D3090">
              <w:rPr>
                <w:rFonts w:eastAsia="Times New Roman"/>
                <w:color w:val="000000"/>
                <w:sz w:val="18"/>
                <w:szCs w:val="18"/>
              </w:rPr>
              <w:t>yrs</w:t>
            </w:r>
            <w:proofErr w:type="spellEnd"/>
            <w:r w:rsidRPr="000D3090">
              <w:rPr>
                <w:rFonts w:eastAsia="Times New Roman"/>
                <w:color w:val="000000"/>
                <w:sz w:val="18"/>
                <w:szCs w:val="18"/>
              </w:rPr>
              <w:t>)</w:t>
            </w:r>
          </w:p>
        </w:tc>
        <w:tc>
          <w:tcPr>
            <w:tcW w:w="537" w:type="dxa"/>
            <w:tcBorders>
              <w:top w:val="nil"/>
              <w:left w:val="single" w:sz="12" w:space="0" w:color="auto"/>
              <w:bottom w:val="nil"/>
            </w:tcBorders>
            <w:shd w:val="clear" w:color="000000" w:fill="FFFFFF"/>
            <w:vAlign w:val="center"/>
          </w:tcPr>
          <w:p w14:paraId="6FBFDD8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bottom w:val="nil"/>
              <w:right w:val="single" w:sz="12" w:space="0" w:color="auto"/>
            </w:tcBorders>
            <w:shd w:val="clear" w:color="000000" w:fill="FFFFFF"/>
            <w:vAlign w:val="center"/>
          </w:tcPr>
          <w:p w14:paraId="2EA16C3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center"/>
            <w:hideMark/>
          </w:tcPr>
          <w:p w14:paraId="01C23A0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hideMark/>
          </w:tcPr>
          <w:p w14:paraId="1337E3A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622616E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6A48749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hideMark/>
          </w:tcPr>
          <w:p w14:paraId="78AE20FE" w14:textId="116F93D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-0.13</w:t>
            </w:r>
          </w:p>
        </w:tc>
        <w:tc>
          <w:tcPr>
            <w:tcW w:w="450" w:type="dxa"/>
            <w:tcBorders>
              <w:top w:val="nil"/>
              <w:left w:val="nil"/>
              <w:bottom w:val="nil"/>
              <w:right w:val="single" w:sz="4" w:space="0" w:color="auto"/>
            </w:tcBorders>
            <w:shd w:val="clear" w:color="000000" w:fill="FFFFFF"/>
            <w:noWrap/>
            <w:vAlign w:val="bottom"/>
            <w:hideMark/>
          </w:tcPr>
          <w:p w14:paraId="4B34A370" w14:textId="0087FCD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-1.32</w:t>
            </w:r>
          </w:p>
        </w:tc>
        <w:tc>
          <w:tcPr>
            <w:tcW w:w="544" w:type="dxa"/>
            <w:tcBorders>
              <w:top w:val="nil"/>
              <w:left w:val="nil"/>
              <w:bottom w:val="nil"/>
              <w:right w:val="nil"/>
            </w:tcBorders>
            <w:shd w:val="clear" w:color="000000" w:fill="FFFFFF"/>
            <w:noWrap/>
            <w:vAlign w:val="bottom"/>
            <w:hideMark/>
          </w:tcPr>
          <w:p w14:paraId="3D6EE092" w14:textId="7BFAC9F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-0.19</w:t>
            </w:r>
          </w:p>
        </w:tc>
        <w:tc>
          <w:tcPr>
            <w:tcW w:w="540" w:type="dxa"/>
            <w:tcBorders>
              <w:top w:val="nil"/>
              <w:left w:val="nil"/>
              <w:bottom w:val="nil"/>
              <w:right w:val="single" w:sz="4" w:space="0" w:color="auto"/>
            </w:tcBorders>
            <w:shd w:val="clear" w:color="000000" w:fill="FFFFFF"/>
            <w:noWrap/>
            <w:vAlign w:val="bottom"/>
            <w:hideMark/>
          </w:tcPr>
          <w:p w14:paraId="61AA158E" w14:textId="5F232C7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-1.86</w:t>
            </w:r>
          </w:p>
        </w:tc>
        <w:tc>
          <w:tcPr>
            <w:tcW w:w="540" w:type="dxa"/>
            <w:tcBorders>
              <w:top w:val="nil"/>
              <w:left w:val="nil"/>
              <w:bottom w:val="nil"/>
              <w:right w:val="nil"/>
            </w:tcBorders>
            <w:shd w:val="clear" w:color="000000" w:fill="FFFFFF"/>
            <w:noWrap/>
            <w:vAlign w:val="bottom"/>
            <w:hideMark/>
          </w:tcPr>
          <w:p w14:paraId="5509E497" w14:textId="636D18C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0.14</w:t>
            </w:r>
          </w:p>
        </w:tc>
        <w:tc>
          <w:tcPr>
            <w:tcW w:w="450" w:type="dxa"/>
            <w:tcBorders>
              <w:top w:val="nil"/>
              <w:left w:val="nil"/>
              <w:bottom w:val="nil"/>
              <w:right w:val="single" w:sz="4" w:space="0" w:color="auto"/>
            </w:tcBorders>
            <w:shd w:val="clear" w:color="000000" w:fill="FFFFFF"/>
            <w:noWrap/>
            <w:vAlign w:val="bottom"/>
            <w:hideMark/>
          </w:tcPr>
          <w:p w14:paraId="7793664B" w14:textId="6B5D9FA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1.96</w:t>
            </w:r>
          </w:p>
        </w:tc>
        <w:tc>
          <w:tcPr>
            <w:tcW w:w="540" w:type="dxa"/>
            <w:tcBorders>
              <w:top w:val="nil"/>
              <w:left w:val="nil"/>
              <w:bottom w:val="nil"/>
              <w:right w:val="nil"/>
            </w:tcBorders>
            <w:shd w:val="clear" w:color="000000" w:fill="FFFFFF"/>
            <w:noWrap/>
            <w:vAlign w:val="center"/>
            <w:hideMark/>
          </w:tcPr>
          <w:p w14:paraId="6CC84B9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5B090C4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052864E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hideMark/>
          </w:tcPr>
          <w:p w14:paraId="79B3770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74E9956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hideMark/>
          </w:tcPr>
          <w:p w14:paraId="4015EFE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24A25102" w14:textId="01C2BD7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-0.10</w:t>
            </w:r>
          </w:p>
        </w:tc>
        <w:tc>
          <w:tcPr>
            <w:tcW w:w="540" w:type="dxa"/>
            <w:tcBorders>
              <w:top w:val="nil"/>
              <w:left w:val="nil"/>
              <w:bottom w:val="nil"/>
              <w:right w:val="single" w:sz="12" w:space="0" w:color="auto"/>
            </w:tcBorders>
            <w:shd w:val="clear" w:color="000000" w:fill="FFFFFF"/>
            <w:vAlign w:val="bottom"/>
          </w:tcPr>
          <w:p w14:paraId="020A8183" w14:textId="26EA173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-3.03</w:t>
            </w:r>
          </w:p>
        </w:tc>
        <w:tc>
          <w:tcPr>
            <w:tcW w:w="630" w:type="dxa"/>
            <w:tcBorders>
              <w:top w:val="nil"/>
              <w:left w:val="single" w:sz="12" w:space="0" w:color="auto"/>
              <w:bottom w:val="nil"/>
              <w:right w:val="nil"/>
            </w:tcBorders>
            <w:shd w:val="clear" w:color="000000" w:fill="FFFFFF"/>
            <w:vAlign w:val="bottom"/>
          </w:tcPr>
          <w:p w14:paraId="68173283" w14:textId="7D89E5F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0.07</w:t>
            </w:r>
          </w:p>
        </w:tc>
        <w:tc>
          <w:tcPr>
            <w:tcW w:w="542" w:type="dxa"/>
            <w:tcBorders>
              <w:top w:val="nil"/>
              <w:left w:val="nil"/>
              <w:bottom w:val="nil"/>
              <w:right w:val="single" w:sz="12" w:space="0" w:color="auto"/>
            </w:tcBorders>
            <w:shd w:val="clear" w:color="000000" w:fill="FFFFFF"/>
            <w:vAlign w:val="bottom"/>
          </w:tcPr>
          <w:p w14:paraId="5CF9C713" w14:textId="2E48E43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2.83</w:t>
            </w:r>
          </w:p>
        </w:tc>
      </w:tr>
      <w:tr w:rsidR="00AF3DDB" w:rsidRPr="000D3090" w14:paraId="34D5C017"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hideMark/>
          </w:tcPr>
          <w:p w14:paraId="24FDD773" w14:textId="77777777"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Number of Workers (0 workers)</w:t>
            </w:r>
          </w:p>
        </w:tc>
        <w:tc>
          <w:tcPr>
            <w:tcW w:w="537" w:type="dxa"/>
            <w:tcBorders>
              <w:top w:val="nil"/>
              <w:left w:val="single" w:sz="12" w:space="0" w:color="auto"/>
              <w:bottom w:val="nil"/>
            </w:tcBorders>
            <w:shd w:val="clear" w:color="000000" w:fill="FFFFFF"/>
          </w:tcPr>
          <w:p w14:paraId="393F0E4D"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43146A4D"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hideMark/>
          </w:tcPr>
          <w:p w14:paraId="013EED0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hideMark/>
          </w:tcPr>
          <w:p w14:paraId="661721D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207942B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6700579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132D2D2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4729D6DB"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top w:val="nil"/>
              <w:left w:val="nil"/>
              <w:bottom w:val="nil"/>
              <w:right w:val="nil"/>
            </w:tcBorders>
            <w:shd w:val="clear" w:color="000000" w:fill="FFFFFF"/>
            <w:noWrap/>
            <w:vAlign w:val="center"/>
            <w:hideMark/>
          </w:tcPr>
          <w:p w14:paraId="2B24776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single" w:sz="4" w:space="0" w:color="auto"/>
            </w:tcBorders>
            <w:shd w:val="clear" w:color="000000" w:fill="FFFFFF"/>
            <w:noWrap/>
            <w:vAlign w:val="center"/>
            <w:hideMark/>
          </w:tcPr>
          <w:p w14:paraId="3105C78B"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5C4F584"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nil"/>
              <w:left w:val="nil"/>
              <w:bottom w:val="nil"/>
              <w:right w:val="single" w:sz="4" w:space="0" w:color="auto"/>
            </w:tcBorders>
            <w:shd w:val="clear" w:color="000000" w:fill="FFFFFF"/>
            <w:noWrap/>
            <w:vAlign w:val="center"/>
          </w:tcPr>
          <w:p w14:paraId="300B908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hideMark/>
          </w:tcPr>
          <w:p w14:paraId="46B3B6F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777F4FF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6A2A901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hideMark/>
          </w:tcPr>
          <w:p w14:paraId="7DE69D6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1330F9C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hideMark/>
          </w:tcPr>
          <w:p w14:paraId="58EAB888"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3FB61B90"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single" w:sz="12" w:space="0" w:color="auto"/>
            </w:tcBorders>
            <w:shd w:val="clear" w:color="000000" w:fill="FFFFFF"/>
          </w:tcPr>
          <w:p w14:paraId="484C3B34"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top w:val="nil"/>
              <w:left w:val="single" w:sz="12" w:space="0" w:color="auto"/>
              <w:bottom w:val="nil"/>
              <w:right w:val="nil"/>
            </w:tcBorders>
            <w:shd w:val="clear" w:color="000000" w:fill="FFFFFF"/>
          </w:tcPr>
          <w:p w14:paraId="2F881634"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top w:val="nil"/>
              <w:left w:val="nil"/>
              <w:bottom w:val="nil"/>
              <w:right w:val="single" w:sz="12" w:space="0" w:color="auto"/>
            </w:tcBorders>
            <w:shd w:val="clear" w:color="000000" w:fill="FFFFFF"/>
          </w:tcPr>
          <w:p w14:paraId="12C89A57" w14:textId="77777777" w:rsidR="00AF3DDB" w:rsidRPr="000D3090" w:rsidRDefault="00AF3DDB" w:rsidP="00AF3DDB">
            <w:pPr>
              <w:spacing w:after="0" w:line="240" w:lineRule="auto"/>
              <w:jc w:val="center"/>
              <w:rPr>
                <w:rFonts w:eastAsia="Times New Roman"/>
                <w:color w:val="000000"/>
                <w:sz w:val="18"/>
                <w:szCs w:val="18"/>
              </w:rPr>
            </w:pPr>
          </w:p>
        </w:tc>
      </w:tr>
      <w:tr w:rsidR="005A056A" w:rsidRPr="000D3090" w14:paraId="6ACF5B24" w14:textId="77777777" w:rsidTr="00B425AD">
        <w:trPr>
          <w:trHeight w:val="20"/>
          <w:jc w:val="center"/>
        </w:trPr>
        <w:tc>
          <w:tcPr>
            <w:tcW w:w="2595" w:type="dxa"/>
            <w:tcBorders>
              <w:top w:val="nil"/>
              <w:left w:val="single" w:sz="12" w:space="0" w:color="auto"/>
              <w:bottom w:val="nil"/>
              <w:right w:val="single" w:sz="12" w:space="0" w:color="auto"/>
            </w:tcBorders>
            <w:shd w:val="clear" w:color="000000" w:fill="FFFFFF"/>
            <w:noWrap/>
            <w:vAlign w:val="bottom"/>
          </w:tcPr>
          <w:p w14:paraId="07370CF3"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1 worker</w:t>
            </w:r>
          </w:p>
        </w:tc>
        <w:tc>
          <w:tcPr>
            <w:tcW w:w="537" w:type="dxa"/>
            <w:tcBorders>
              <w:top w:val="nil"/>
              <w:left w:val="single" w:sz="12" w:space="0" w:color="auto"/>
              <w:bottom w:val="nil"/>
            </w:tcBorders>
            <w:shd w:val="clear" w:color="000000" w:fill="FFFFFF"/>
            <w:vAlign w:val="center"/>
          </w:tcPr>
          <w:p w14:paraId="65F86A8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bottom w:val="nil"/>
              <w:right w:val="single" w:sz="12" w:space="0" w:color="auto"/>
            </w:tcBorders>
            <w:shd w:val="clear" w:color="000000" w:fill="FFFFFF"/>
            <w:vAlign w:val="center"/>
          </w:tcPr>
          <w:p w14:paraId="061C2D0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center"/>
          </w:tcPr>
          <w:p w14:paraId="01F8AA9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3BB5CB3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841945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6E571A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B46D50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767964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4" w:type="dxa"/>
            <w:tcBorders>
              <w:top w:val="nil"/>
              <w:left w:val="nil"/>
              <w:bottom w:val="nil"/>
              <w:right w:val="nil"/>
            </w:tcBorders>
            <w:shd w:val="clear" w:color="000000" w:fill="FFFFFF"/>
            <w:noWrap/>
            <w:vAlign w:val="center"/>
          </w:tcPr>
          <w:p w14:paraId="0BFD241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4" w:space="0" w:color="auto"/>
            </w:tcBorders>
            <w:shd w:val="clear" w:color="000000" w:fill="FFFFFF"/>
            <w:noWrap/>
            <w:vAlign w:val="center"/>
          </w:tcPr>
          <w:p w14:paraId="095E81B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9A2160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A33E34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3A2373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12D037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6EA8E7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7F68922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9BC702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7D26B39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50C3E57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0647092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6E361D56" w14:textId="3D66F82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-0.09</w:t>
            </w:r>
          </w:p>
        </w:tc>
        <w:tc>
          <w:tcPr>
            <w:tcW w:w="542" w:type="dxa"/>
            <w:tcBorders>
              <w:top w:val="nil"/>
              <w:left w:val="nil"/>
              <w:bottom w:val="nil"/>
              <w:right w:val="single" w:sz="12" w:space="0" w:color="auto"/>
            </w:tcBorders>
            <w:shd w:val="clear" w:color="000000" w:fill="FFFFFF"/>
            <w:vAlign w:val="bottom"/>
          </w:tcPr>
          <w:p w14:paraId="2D107117" w14:textId="324ACD8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-2.69</w:t>
            </w:r>
          </w:p>
        </w:tc>
      </w:tr>
      <w:tr w:rsidR="0067403B" w:rsidRPr="000D3090" w14:paraId="4326FDFD" w14:textId="77777777" w:rsidTr="00190696">
        <w:trPr>
          <w:trHeight w:val="20"/>
          <w:jc w:val="center"/>
        </w:trPr>
        <w:tc>
          <w:tcPr>
            <w:tcW w:w="2595" w:type="dxa"/>
            <w:tcBorders>
              <w:top w:val="nil"/>
              <w:left w:val="single" w:sz="12" w:space="0" w:color="auto"/>
              <w:right w:val="single" w:sz="12" w:space="0" w:color="auto"/>
            </w:tcBorders>
            <w:shd w:val="clear" w:color="000000" w:fill="FFFFFF"/>
            <w:noWrap/>
            <w:vAlign w:val="bottom"/>
            <w:hideMark/>
          </w:tcPr>
          <w:p w14:paraId="2FE8617A"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2 workers</w:t>
            </w:r>
          </w:p>
        </w:tc>
        <w:tc>
          <w:tcPr>
            <w:tcW w:w="537" w:type="dxa"/>
            <w:tcBorders>
              <w:top w:val="nil"/>
              <w:left w:val="single" w:sz="12" w:space="0" w:color="auto"/>
            </w:tcBorders>
            <w:shd w:val="clear" w:color="000000" w:fill="FFFFFF"/>
            <w:vAlign w:val="center"/>
          </w:tcPr>
          <w:p w14:paraId="00F0404B"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541" w:type="dxa"/>
            <w:tcBorders>
              <w:top w:val="nil"/>
              <w:left w:val="nil"/>
              <w:right w:val="single" w:sz="12" w:space="0" w:color="auto"/>
            </w:tcBorders>
            <w:shd w:val="clear" w:color="000000" w:fill="FFFFFF"/>
            <w:vAlign w:val="center"/>
          </w:tcPr>
          <w:p w14:paraId="1BDF2EDA"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39" w:type="dxa"/>
            <w:tcBorders>
              <w:top w:val="nil"/>
              <w:left w:val="single" w:sz="12" w:space="0" w:color="auto"/>
              <w:right w:val="nil"/>
            </w:tcBorders>
            <w:shd w:val="clear" w:color="000000" w:fill="FFFFFF"/>
            <w:noWrap/>
            <w:vAlign w:val="center"/>
            <w:hideMark/>
          </w:tcPr>
          <w:p w14:paraId="5C151E1D"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49" w:type="dxa"/>
            <w:tcBorders>
              <w:top w:val="nil"/>
              <w:left w:val="nil"/>
              <w:right w:val="single" w:sz="4" w:space="0" w:color="auto"/>
            </w:tcBorders>
            <w:shd w:val="clear" w:color="000000" w:fill="FFFFFF"/>
            <w:noWrap/>
            <w:vAlign w:val="center"/>
            <w:hideMark/>
          </w:tcPr>
          <w:p w14:paraId="3131175D"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right w:val="nil"/>
            </w:tcBorders>
            <w:shd w:val="clear" w:color="000000" w:fill="FFFFFF"/>
            <w:noWrap/>
            <w:vAlign w:val="center"/>
            <w:hideMark/>
          </w:tcPr>
          <w:p w14:paraId="435A1E41"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right w:val="single" w:sz="4" w:space="0" w:color="auto"/>
            </w:tcBorders>
            <w:shd w:val="clear" w:color="000000" w:fill="FFFFFF"/>
            <w:noWrap/>
            <w:vAlign w:val="center"/>
            <w:hideMark/>
          </w:tcPr>
          <w:p w14:paraId="73478AC9"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right w:val="nil"/>
            </w:tcBorders>
            <w:shd w:val="clear" w:color="000000" w:fill="FFFFFF"/>
            <w:noWrap/>
            <w:vAlign w:val="center"/>
            <w:hideMark/>
          </w:tcPr>
          <w:p w14:paraId="1AA445CC"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right w:val="single" w:sz="4" w:space="0" w:color="auto"/>
            </w:tcBorders>
            <w:shd w:val="clear" w:color="000000" w:fill="FFFFFF"/>
            <w:noWrap/>
            <w:vAlign w:val="center"/>
            <w:hideMark/>
          </w:tcPr>
          <w:p w14:paraId="2B16517E"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4" w:type="dxa"/>
            <w:tcBorders>
              <w:top w:val="nil"/>
              <w:left w:val="nil"/>
              <w:right w:val="nil"/>
            </w:tcBorders>
            <w:shd w:val="clear" w:color="000000" w:fill="FFFFFF"/>
            <w:noWrap/>
            <w:vAlign w:val="bottom"/>
            <w:hideMark/>
          </w:tcPr>
          <w:p w14:paraId="124112F6" w14:textId="7ABB9A51" w:rsidR="005A056A" w:rsidRPr="000D3090" w:rsidRDefault="005A056A" w:rsidP="005A056A">
            <w:pPr>
              <w:spacing w:after="0" w:line="240" w:lineRule="auto"/>
              <w:jc w:val="center"/>
              <w:rPr>
                <w:rFonts w:eastAsia="Times New Roman"/>
                <w:sz w:val="18"/>
                <w:szCs w:val="18"/>
              </w:rPr>
            </w:pPr>
            <w:r w:rsidRPr="000D3090">
              <w:rPr>
                <w:color w:val="000000"/>
                <w:sz w:val="18"/>
                <w:szCs w:val="18"/>
              </w:rPr>
              <w:t>0.32</w:t>
            </w:r>
          </w:p>
        </w:tc>
        <w:tc>
          <w:tcPr>
            <w:tcW w:w="540" w:type="dxa"/>
            <w:tcBorders>
              <w:top w:val="nil"/>
              <w:left w:val="nil"/>
              <w:right w:val="single" w:sz="4" w:space="0" w:color="auto"/>
            </w:tcBorders>
            <w:shd w:val="clear" w:color="000000" w:fill="FFFFFF"/>
            <w:noWrap/>
            <w:vAlign w:val="bottom"/>
            <w:hideMark/>
          </w:tcPr>
          <w:p w14:paraId="65812615" w14:textId="0A1C134F" w:rsidR="005A056A" w:rsidRPr="000D3090" w:rsidRDefault="005A056A" w:rsidP="005A056A">
            <w:pPr>
              <w:spacing w:after="0" w:line="240" w:lineRule="auto"/>
              <w:jc w:val="center"/>
              <w:rPr>
                <w:rFonts w:eastAsia="Times New Roman"/>
                <w:sz w:val="18"/>
                <w:szCs w:val="18"/>
              </w:rPr>
            </w:pPr>
            <w:r w:rsidRPr="000D3090">
              <w:rPr>
                <w:color w:val="000000"/>
                <w:sz w:val="18"/>
                <w:szCs w:val="18"/>
              </w:rPr>
              <w:t>2.95</w:t>
            </w:r>
          </w:p>
        </w:tc>
        <w:tc>
          <w:tcPr>
            <w:tcW w:w="540" w:type="dxa"/>
            <w:tcBorders>
              <w:top w:val="nil"/>
              <w:left w:val="nil"/>
              <w:right w:val="nil"/>
            </w:tcBorders>
            <w:shd w:val="clear" w:color="000000" w:fill="FFFFFF"/>
            <w:noWrap/>
            <w:vAlign w:val="center"/>
            <w:hideMark/>
          </w:tcPr>
          <w:p w14:paraId="269ECEBE"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right w:val="single" w:sz="4" w:space="0" w:color="auto"/>
            </w:tcBorders>
            <w:shd w:val="clear" w:color="000000" w:fill="FFFFFF"/>
            <w:noWrap/>
            <w:vAlign w:val="center"/>
            <w:hideMark/>
          </w:tcPr>
          <w:p w14:paraId="356E2411"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right w:val="nil"/>
            </w:tcBorders>
            <w:shd w:val="clear" w:color="000000" w:fill="FFFFFF"/>
            <w:noWrap/>
            <w:vAlign w:val="center"/>
            <w:hideMark/>
          </w:tcPr>
          <w:p w14:paraId="5D6A803B"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right w:val="single" w:sz="4" w:space="0" w:color="auto"/>
            </w:tcBorders>
            <w:shd w:val="clear" w:color="000000" w:fill="FFFFFF"/>
            <w:noWrap/>
            <w:vAlign w:val="center"/>
            <w:hideMark/>
          </w:tcPr>
          <w:p w14:paraId="59C65264"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right w:val="nil"/>
            </w:tcBorders>
            <w:shd w:val="clear" w:color="000000" w:fill="FFFFFF"/>
            <w:noWrap/>
            <w:vAlign w:val="center"/>
            <w:hideMark/>
          </w:tcPr>
          <w:p w14:paraId="2853A2F1"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w:t>
            </w:r>
          </w:p>
        </w:tc>
        <w:tc>
          <w:tcPr>
            <w:tcW w:w="454" w:type="dxa"/>
            <w:tcBorders>
              <w:top w:val="nil"/>
              <w:left w:val="nil"/>
              <w:right w:val="single" w:sz="4" w:space="0" w:color="auto"/>
            </w:tcBorders>
            <w:shd w:val="clear" w:color="000000" w:fill="FFFFFF"/>
            <w:noWrap/>
            <w:vAlign w:val="center"/>
            <w:hideMark/>
          </w:tcPr>
          <w:p w14:paraId="2B9EBE82"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hideMark/>
          </w:tcPr>
          <w:p w14:paraId="03FF5B98"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6" w:type="dxa"/>
            <w:tcBorders>
              <w:top w:val="nil"/>
              <w:left w:val="nil"/>
              <w:right w:val="single" w:sz="12" w:space="0" w:color="auto"/>
            </w:tcBorders>
            <w:shd w:val="clear" w:color="000000" w:fill="FFFFFF"/>
            <w:noWrap/>
            <w:vAlign w:val="center"/>
            <w:hideMark/>
          </w:tcPr>
          <w:p w14:paraId="76698BF0"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right w:val="nil"/>
            </w:tcBorders>
            <w:shd w:val="clear" w:color="000000" w:fill="FFFFFF"/>
            <w:vAlign w:val="center"/>
          </w:tcPr>
          <w:p w14:paraId="4A2A7F75"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w:t>
            </w:r>
          </w:p>
        </w:tc>
        <w:tc>
          <w:tcPr>
            <w:tcW w:w="540" w:type="dxa"/>
            <w:tcBorders>
              <w:top w:val="nil"/>
              <w:left w:val="nil"/>
              <w:right w:val="single" w:sz="12" w:space="0" w:color="auto"/>
            </w:tcBorders>
            <w:shd w:val="clear" w:color="000000" w:fill="FFFFFF"/>
            <w:vAlign w:val="center"/>
          </w:tcPr>
          <w:p w14:paraId="5B687C5A"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 </w:t>
            </w:r>
          </w:p>
        </w:tc>
        <w:tc>
          <w:tcPr>
            <w:tcW w:w="630" w:type="dxa"/>
            <w:tcBorders>
              <w:top w:val="nil"/>
              <w:left w:val="single" w:sz="12" w:space="0" w:color="auto"/>
              <w:right w:val="nil"/>
            </w:tcBorders>
            <w:shd w:val="clear" w:color="000000" w:fill="FFFFFF"/>
            <w:vAlign w:val="bottom"/>
          </w:tcPr>
          <w:p w14:paraId="52776229" w14:textId="721D772B" w:rsidR="005A056A" w:rsidRPr="000D3090" w:rsidRDefault="005A056A" w:rsidP="005A056A">
            <w:pPr>
              <w:spacing w:after="0" w:line="240" w:lineRule="auto"/>
              <w:jc w:val="center"/>
              <w:rPr>
                <w:rFonts w:eastAsia="Times New Roman"/>
                <w:sz w:val="18"/>
                <w:szCs w:val="18"/>
              </w:rPr>
            </w:pPr>
            <w:r w:rsidRPr="000D3090">
              <w:rPr>
                <w:color w:val="000000"/>
                <w:sz w:val="18"/>
                <w:szCs w:val="18"/>
              </w:rPr>
              <w:t>-0.28</w:t>
            </w:r>
          </w:p>
        </w:tc>
        <w:tc>
          <w:tcPr>
            <w:tcW w:w="542" w:type="dxa"/>
            <w:tcBorders>
              <w:top w:val="nil"/>
              <w:left w:val="nil"/>
              <w:right w:val="single" w:sz="12" w:space="0" w:color="auto"/>
            </w:tcBorders>
            <w:shd w:val="clear" w:color="000000" w:fill="FFFFFF"/>
            <w:vAlign w:val="bottom"/>
          </w:tcPr>
          <w:p w14:paraId="48FD9416" w14:textId="6F7192AC" w:rsidR="005A056A" w:rsidRPr="000D3090" w:rsidRDefault="005A056A" w:rsidP="005A056A">
            <w:pPr>
              <w:spacing w:after="0" w:line="240" w:lineRule="auto"/>
              <w:jc w:val="center"/>
              <w:rPr>
                <w:rFonts w:eastAsia="Times New Roman"/>
                <w:sz w:val="18"/>
                <w:szCs w:val="18"/>
              </w:rPr>
            </w:pPr>
            <w:r w:rsidRPr="000D3090">
              <w:rPr>
                <w:color w:val="000000"/>
                <w:sz w:val="18"/>
                <w:szCs w:val="18"/>
              </w:rPr>
              <w:t>-6.64</w:t>
            </w:r>
          </w:p>
        </w:tc>
      </w:tr>
      <w:tr w:rsidR="0067403B" w:rsidRPr="000D3090" w14:paraId="7008C61B" w14:textId="77777777" w:rsidTr="00190696">
        <w:trPr>
          <w:trHeight w:val="20"/>
          <w:jc w:val="center"/>
        </w:trPr>
        <w:tc>
          <w:tcPr>
            <w:tcW w:w="2595" w:type="dxa"/>
            <w:tcBorders>
              <w:top w:val="nil"/>
              <w:left w:val="single" w:sz="12" w:space="0" w:color="auto"/>
              <w:bottom w:val="single" w:sz="12" w:space="0" w:color="auto"/>
              <w:right w:val="single" w:sz="12" w:space="0" w:color="auto"/>
            </w:tcBorders>
            <w:shd w:val="clear" w:color="000000" w:fill="FFFFFF"/>
            <w:noWrap/>
            <w:vAlign w:val="bottom"/>
            <w:hideMark/>
          </w:tcPr>
          <w:p w14:paraId="49EA9F43"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3+ workers</w:t>
            </w:r>
          </w:p>
        </w:tc>
        <w:tc>
          <w:tcPr>
            <w:tcW w:w="537" w:type="dxa"/>
            <w:tcBorders>
              <w:top w:val="nil"/>
              <w:left w:val="single" w:sz="12" w:space="0" w:color="auto"/>
              <w:bottom w:val="single" w:sz="12" w:space="0" w:color="auto"/>
            </w:tcBorders>
            <w:shd w:val="clear" w:color="000000" w:fill="FFFFFF"/>
            <w:vAlign w:val="center"/>
          </w:tcPr>
          <w:p w14:paraId="48ECAAB3"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541" w:type="dxa"/>
            <w:tcBorders>
              <w:top w:val="nil"/>
              <w:left w:val="nil"/>
              <w:bottom w:val="single" w:sz="12" w:space="0" w:color="auto"/>
              <w:right w:val="single" w:sz="12" w:space="0" w:color="auto"/>
            </w:tcBorders>
            <w:shd w:val="clear" w:color="000000" w:fill="FFFFFF"/>
            <w:vAlign w:val="center"/>
          </w:tcPr>
          <w:p w14:paraId="3A5D7B4E"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39" w:type="dxa"/>
            <w:tcBorders>
              <w:top w:val="nil"/>
              <w:left w:val="single" w:sz="12" w:space="0" w:color="auto"/>
              <w:bottom w:val="single" w:sz="12" w:space="0" w:color="auto"/>
              <w:right w:val="nil"/>
            </w:tcBorders>
            <w:shd w:val="clear" w:color="000000" w:fill="FFFFFF"/>
            <w:noWrap/>
            <w:vAlign w:val="center"/>
            <w:hideMark/>
          </w:tcPr>
          <w:p w14:paraId="2F5036DB"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49" w:type="dxa"/>
            <w:tcBorders>
              <w:top w:val="nil"/>
              <w:left w:val="nil"/>
              <w:bottom w:val="single" w:sz="12" w:space="0" w:color="auto"/>
              <w:right w:val="single" w:sz="4" w:space="0" w:color="auto"/>
            </w:tcBorders>
            <w:shd w:val="clear" w:color="000000" w:fill="FFFFFF"/>
            <w:noWrap/>
            <w:vAlign w:val="center"/>
            <w:hideMark/>
          </w:tcPr>
          <w:p w14:paraId="33552908"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single" w:sz="12" w:space="0" w:color="auto"/>
              <w:right w:val="nil"/>
            </w:tcBorders>
            <w:shd w:val="clear" w:color="000000" w:fill="FFFFFF"/>
            <w:noWrap/>
            <w:vAlign w:val="center"/>
            <w:hideMark/>
          </w:tcPr>
          <w:p w14:paraId="6513D798"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bottom w:val="single" w:sz="12" w:space="0" w:color="auto"/>
              <w:right w:val="single" w:sz="4" w:space="0" w:color="auto"/>
            </w:tcBorders>
            <w:shd w:val="clear" w:color="000000" w:fill="FFFFFF"/>
            <w:noWrap/>
            <w:vAlign w:val="center"/>
            <w:hideMark/>
          </w:tcPr>
          <w:p w14:paraId="4542CB31"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single" w:sz="12" w:space="0" w:color="auto"/>
              <w:right w:val="nil"/>
            </w:tcBorders>
            <w:shd w:val="clear" w:color="000000" w:fill="FFFFFF"/>
            <w:noWrap/>
            <w:vAlign w:val="bottom"/>
            <w:hideMark/>
          </w:tcPr>
          <w:p w14:paraId="2E7A0300" w14:textId="7314B99B" w:rsidR="005A056A" w:rsidRPr="000D3090" w:rsidRDefault="005A056A" w:rsidP="005A056A">
            <w:pPr>
              <w:spacing w:after="0" w:line="240" w:lineRule="auto"/>
              <w:jc w:val="center"/>
              <w:rPr>
                <w:rFonts w:eastAsia="Times New Roman"/>
                <w:sz w:val="18"/>
                <w:szCs w:val="18"/>
              </w:rPr>
            </w:pPr>
            <w:r w:rsidRPr="000D3090">
              <w:rPr>
                <w:color w:val="000000"/>
                <w:sz w:val="18"/>
                <w:szCs w:val="18"/>
              </w:rPr>
              <w:t>0.23</w:t>
            </w:r>
          </w:p>
        </w:tc>
        <w:tc>
          <w:tcPr>
            <w:tcW w:w="450" w:type="dxa"/>
            <w:tcBorders>
              <w:top w:val="nil"/>
              <w:left w:val="nil"/>
              <w:bottom w:val="single" w:sz="12" w:space="0" w:color="auto"/>
              <w:right w:val="single" w:sz="4" w:space="0" w:color="auto"/>
            </w:tcBorders>
            <w:shd w:val="clear" w:color="000000" w:fill="FFFFFF"/>
            <w:noWrap/>
            <w:vAlign w:val="bottom"/>
            <w:hideMark/>
          </w:tcPr>
          <w:p w14:paraId="19D1D591" w14:textId="7D216983" w:rsidR="005A056A" w:rsidRPr="000D3090" w:rsidRDefault="005A056A" w:rsidP="005A056A">
            <w:pPr>
              <w:spacing w:after="0" w:line="240" w:lineRule="auto"/>
              <w:jc w:val="center"/>
              <w:rPr>
                <w:rFonts w:eastAsia="Times New Roman"/>
                <w:sz w:val="18"/>
                <w:szCs w:val="18"/>
              </w:rPr>
            </w:pPr>
            <w:r w:rsidRPr="000D3090">
              <w:rPr>
                <w:color w:val="000000"/>
                <w:sz w:val="18"/>
                <w:szCs w:val="18"/>
              </w:rPr>
              <w:t>1.50</w:t>
            </w:r>
          </w:p>
        </w:tc>
        <w:tc>
          <w:tcPr>
            <w:tcW w:w="544" w:type="dxa"/>
            <w:tcBorders>
              <w:top w:val="nil"/>
              <w:left w:val="nil"/>
              <w:bottom w:val="single" w:sz="12" w:space="0" w:color="auto"/>
              <w:right w:val="nil"/>
            </w:tcBorders>
            <w:shd w:val="clear" w:color="000000" w:fill="FFFFFF"/>
            <w:noWrap/>
            <w:vAlign w:val="bottom"/>
            <w:hideMark/>
          </w:tcPr>
          <w:p w14:paraId="21FAE8DB" w14:textId="05D9D0B0" w:rsidR="005A056A" w:rsidRPr="000D3090" w:rsidRDefault="005A056A" w:rsidP="005A056A">
            <w:pPr>
              <w:spacing w:after="0" w:line="240" w:lineRule="auto"/>
              <w:jc w:val="center"/>
              <w:rPr>
                <w:rFonts w:eastAsia="Times New Roman"/>
                <w:sz w:val="18"/>
                <w:szCs w:val="18"/>
              </w:rPr>
            </w:pPr>
            <w:r w:rsidRPr="000D3090">
              <w:rPr>
                <w:color w:val="000000"/>
                <w:sz w:val="18"/>
                <w:szCs w:val="18"/>
              </w:rPr>
              <w:t>0.32</w:t>
            </w:r>
          </w:p>
        </w:tc>
        <w:tc>
          <w:tcPr>
            <w:tcW w:w="540" w:type="dxa"/>
            <w:tcBorders>
              <w:top w:val="nil"/>
              <w:left w:val="nil"/>
              <w:bottom w:val="single" w:sz="12" w:space="0" w:color="auto"/>
              <w:right w:val="single" w:sz="4" w:space="0" w:color="auto"/>
            </w:tcBorders>
            <w:shd w:val="clear" w:color="000000" w:fill="FFFFFF"/>
            <w:noWrap/>
            <w:vAlign w:val="bottom"/>
            <w:hideMark/>
          </w:tcPr>
          <w:p w14:paraId="31C3D07B" w14:textId="10279A6D" w:rsidR="005A056A" w:rsidRPr="000D3090" w:rsidRDefault="005A056A" w:rsidP="005A056A">
            <w:pPr>
              <w:spacing w:after="0" w:line="240" w:lineRule="auto"/>
              <w:jc w:val="center"/>
              <w:rPr>
                <w:rFonts w:eastAsia="Times New Roman"/>
                <w:sz w:val="18"/>
                <w:szCs w:val="18"/>
              </w:rPr>
            </w:pPr>
            <w:r w:rsidRPr="000D3090">
              <w:rPr>
                <w:color w:val="000000"/>
                <w:sz w:val="18"/>
                <w:szCs w:val="18"/>
              </w:rPr>
              <w:t>2.95</w:t>
            </w:r>
          </w:p>
        </w:tc>
        <w:tc>
          <w:tcPr>
            <w:tcW w:w="540" w:type="dxa"/>
            <w:tcBorders>
              <w:top w:val="nil"/>
              <w:left w:val="nil"/>
              <w:bottom w:val="single" w:sz="12" w:space="0" w:color="auto"/>
              <w:right w:val="nil"/>
            </w:tcBorders>
            <w:shd w:val="clear" w:color="000000" w:fill="FFFFFF"/>
            <w:noWrap/>
            <w:vAlign w:val="center"/>
            <w:hideMark/>
          </w:tcPr>
          <w:p w14:paraId="4021DDFE"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bottom w:val="single" w:sz="12" w:space="0" w:color="auto"/>
              <w:right w:val="single" w:sz="4" w:space="0" w:color="auto"/>
            </w:tcBorders>
            <w:shd w:val="clear" w:color="000000" w:fill="FFFFFF"/>
            <w:noWrap/>
            <w:vAlign w:val="center"/>
            <w:hideMark/>
          </w:tcPr>
          <w:p w14:paraId="6E4E34E9"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single" w:sz="12" w:space="0" w:color="auto"/>
              <w:right w:val="nil"/>
            </w:tcBorders>
            <w:shd w:val="clear" w:color="000000" w:fill="FFFFFF"/>
            <w:noWrap/>
            <w:vAlign w:val="center"/>
            <w:hideMark/>
          </w:tcPr>
          <w:p w14:paraId="4950AE1A"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bottom w:val="single" w:sz="12" w:space="0" w:color="auto"/>
              <w:right w:val="single" w:sz="4" w:space="0" w:color="auto"/>
            </w:tcBorders>
            <w:shd w:val="clear" w:color="000000" w:fill="FFFFFF"/>
            <w:noWrap/>
            <w:vAlign w:val="center"/>
            <w:hideMark/>
          </w:tcPr>
          <w:p w14:paraId="3734052C"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single" w:sz="12" w:space="0" w:color="auto"/>
              <w:right w:val="nil"/>
            </w:tcBorders>
            <w:shd w:val="clear" w:color="000000" w:fill="FFFFFF"/>
            <w:noWrap/>
            <w:vAlign w:val="center"/>
            <w:hideMark/>
          </w:tcPr>
          <w:p w14:paraId="61B727C6"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w:t>
            </w:r>
          </w:p>
        </w:tc>
        <w:tc>
          <w:tcPr>
            <w:tcW w:w="454" w:type="dxa"/>
            <w:tcBorders>
              <w:top w:val="nil"/>
              <w:left w:val="nil"/>
              <w:bottom w:val="single" w:sz="12" w:space="0" w:color="auto"/>
              <w:right w:val="single" w:sz="4" w:space="0" w:color="auto"/>
            </w:tcBorders>
            <w:shd w:val="clear" w:color="000000" w:fill="FFFFFF"/>
            <w:noWrap/>
            <w:vAlign w:val="center"/>
            <w:hideMark/>
          </w:tcPr>
          <w:p w14:paraId="4A7DB903"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hideMark/>
          </w:tcPr>
          <w:p w14:paraId="542F7903"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6" w:type="dxa"/>
            <w:tcBorders>
              <w:top w:val="nil"/>
              <w:left w:val="nil"/>
              <w:bottom w:val="single" w:sz="12" w:space="0" w:color="auto"/>
              <w:right w:val="single" w:sz="12" w:space="0" w:color="auto"/>
            </w:tcBorders>
            <w:shd w:val="clear" w:color="000000" w:fill="FFFFFF"/>
            <w:noWrap/>
            <w:vAlign w:val="center"/>
            <w:hideMark/>
          </w:tcPr>
          <w:p w14:paraId="3C424886"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single" w:sz="12" w:space="0" w:color="auto"/>
              <w:right w:val="nil"/>
            </w:tcBorders>
            <w:shd w:val="clear" w:color="000000" w:fill="FFFFFF"/>
            <w:vAlign w:val="center"/>
          </w:tcPr>
          <w:p w14:paraId="55E50DC0"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w:t>
            </w:r>
          </w:p>
        </w:tc>
        <w:tc>
          <w:tcPr>
            <w:tcW w:w="540" w:type="dxa"/>
            <w:tcBorders>
              <w:top w:val="nil"/>
              <w:left w:val="nil"/>
              <w:bottom w:val="single" w:sz="12" w:space="0" w:color="auto"/>
              <w:right w:val="single" w:sz="12" w:space="0" w:color="auto"/>
            </w:tcBorders>
            <w:shd w:val="clear" w:color="000000" w:fill="FFFFFF"/>
            <w:vAlign w:val="center"/>
          </w:tcPr>
          <w:p w14:paraId="4F4D6D1E" w14:textId="77777777" w:rsidR="005A056A" w:rsidRPr="000D3090" w:rsidRDefault="005A056A" w:rsidP="005A056A">
            <w:pPr>
              <w:spacing w:after="0" w:line="240" w:lineRule="auto"/>
              <w:jc w:val="center"/>
              <w:rPr>
                <w:rFonts w:eastAsia="Times New Roman"/>
                <w:sz w:val="18"/>
                <w:szCs w:val="18"/>
              </w:rPr>
            </w:pPr>
            <w:r w:rsidRPr="000D3090">
              <w:rPr>
                <w:rFonts w:eastAsia="Times New Roman"/>
                <w:color w:val="000000"/>
                <w:sz w:val="18"/>
                <w:szCs w:val="18"/>
              </w:rPr>
              <w:t> </w:t>
            </w:r>
          </w:p>
        </w:tc>
        <w:tc>
          <w:tcPr>
            <w:tcW w:w="630" w:type="dxa"/>
            <w:tcBorders>
              <w:top w:val="nil"/>
              <w:left w:val="single" w:sz="12" w:space="0" w:color="auto"/>
              <w:bottom w:val="single" w:sz="12" w:space="0" w:color="auto"/>
              <w:right w:val="nil"/>
            </w:tcBorders>
            <w:shd w:val="clear" w:color="000000" w:fill="FFFFFF"/>
            <w:vAlign w:val="bottom"/>
          </w:tcPr>
          <w:p w14:paraId="68600717" w14:textId="5A5BFAB3" w:rsidR="005A056A" w:rsidRPr="000D3090" w:rsidRDefault="005A056A" w:rsidP="005A056A">
            <w:pPr>
              <w:spacing w:after="0" w:line="240" w:lineRule="auto"/>
              <w:jc w:val="center"/>
              <w:rPr>
                <w:rFonts w:eastAsia="Times New Roman"/>
                <w:sz w:val="18"/>
                <w:szCs w:val="18"/>
              </w:rPr>
            </w:pPr>
            <w:r w:rsidRPr="000D3090">
              <w:rPr>
                <w:color w:val="000000"/>
                <w:sz w:val="18"/>
                <w:szCs w:val="18"/>
              </w:rPr>
              <w:t>-0.46</w:t>
            </w:r>
          </w:p>
        </w:tc>
        <w:tc>
          <w:tcPr>
            <w:tcW w:w="542" w:type="dxa"/>
            <w:tcBorders>
              <w:top w:val="nil"/>
              <w:left w:val="nil"/>
              <w:bottom w:val="single" w:sz="12" w:space="0" w:color="auto"/>
              <w:right w:val="single" w:sz="12" w:space="0" w:color="auto"/>
            </w:tcBorders>
            <w:shd w:val="clear" w:color="000000" w:fill="FFFFFF"/>
            <w:vAlign w:val="bottom"/>
          </w:tcPr>
          <w:p w14:paraId="46FCEC79" w14:textId="15AD7A39" w:rsidR="005A056A" w:rsidRPr="000D3090" w:rsidRDefault="005A056A" w:rsidP="005A056A">
            <w:pPr>
              <w:spacing w:after="0" w:line="240" w:lineRule="auto"/>
              <w:jc w:val="center"/>
              <w:rPr>
                <w:rFonts w:eastAsia="Times New Roman"/>
                <w:sz w:val="18"/>
                <w:szCs w:val="18"/>
              </w:rPr>
            </w:pPr>
            <w:r w:rsidRPr="000D3090">
              <w:rPr>
                <w:color w:val="000000"/>
                <w:sz w:val="18"/>
                <w:szCs w:val="18"/>
              </w:rPr>
              <w:t>-8.62</w:t>
            </w:r>
          </w:p>
        </w:tc>
      </w:tr>
      <w:bookmarkEnd w:id="18"/>
    </w:tbl>
    <w:p w14:paraId="79F78076" w14:textId="77777777" w:rsidR="0067403B" w:rsidRPr="000D3090" w:rsidRDefault="0067403B" w:rsidP="002961DC">
      <w:pPr>
        <w:spacing w:after="0" w:line="240" w:lineRule="auto"/>
        <w:jc w:val="both"/>
        <w:rPr>
          <w:b/>
          <w:bCs/>
        </w:rPr>
      </w:pPr>
    </w:p>
    <w:p w14:paraId="1CE5B9BB" w14:textId="77777777" w:rsidR="0067403B" w:rsidRPr="000D3090" w:rsidRDefault="0067403B" w:rsidP="002961DC">
      <w:pPr>
        <w:spacing w:after="0" w:line="240" w:lineRule="auto"/>
        <w:jc w:val="both"/>
        <w:rPr>
          <w:b/>
          <w:bCs/>
        </w:rPr>
      </w:pPr>
    </w:p>
    <w:p w14:paraId="6854B88B" w14:textId="1E65EC9F" w:rsidR="002961DC" w:rsidRPr="000D3090" w:rsidRDefault="002961DC" w:rsidP="002961DC">
      <w:pPr>
        <w:spacing w:after="0" w:line="240" w:lineRule="auto"/>
        <w:jc w:val="both"/>
        <w:rPr>
          <w:b/>
          <w:bCs/>
        </w:rPr>
      </w:pPr>
      <w:r w:rsidRPr="000D3090">
        <w:rPr>
          <w:b/>
          <w:bCs/>
        </w:rPr>
        <w:lastRenderedPageBreak/>
        <w:t>Table 3 Main Estimation Results (cont. 2/3)</w:t>
      </w:r>
    </w:p>
    <w:p w14:paraId="15389AA5" w14:textId="77777777" w:rsidR="002961DC" w:rsidRPr="000D3090" w:rsidRDefault="002961DC" w:rsidP="002961DC">
      <w:pPr>
        <w:spacing w:after="0" w:line="240" w:lineRule="auto"/>
        <w:jc w:val="both"/>
        <w:rPr>
          <w:sz w:val="20"/>
          <w:szCs w:val="20"/>
        </w:rPr>
      </w:pPr>
    </w:p>
    <w:tbl>
      <w:tblPr>
        <w:tblW w:w="13677" w:type="dxa"/>
        <w:jc w:val="center"/>
        <w:tblLayout w:type="fixed"/>
        <w:tblCellMar>
          <w:left w:w="0" w:type="dxa"/>
          <w:right w:w="0" w:type="dxa"/>
        </w:tblCellMar>
        <w:tblLook w:val="04A0" w:firstRow="1" w:lastRow="0" w:firstColumn="1" w:lastColumn="0" w:noHBand="0" w:noVBand="1"/>
      </w:tblPr>
      <w:tblGrid>
        <w:gridCol w:w="2411"/>
        <w:gridCol w:w="537"/>
        <w:gridCol w:w="541"/>
        <w:gridCol w:w="539"/>
        <w:gridCol w:w="449"/>
        <w:gridCol w:w="540"/>
        <w:gridCol w:w="450"/>
        <w:gridCol w:w="540"/>
        <w:gridCol w:w="450"/>
        <w:gridCol w:w="548"/>
        <w:gridCol w:w="450"/>
        <w:gridCol w:w="540"/>
        <w:gridCol w:w="450"/>
        <w:gridCol w:w="540"/>
        <w:gridCol w:w="450"/>
        <w:gridCol w:w="540"/>
        <w:gridCol w:w="454"/>
        <w:gridCol w:w="540"/>
        <w:gridCol w:w="456"/>
        <w:gridCol w:w="540"/>
        <w:gridCol w:w="540"/>
        <w:gridCol w:w="630"/>
        <w:gridCol w:w="542"/>
      </w:tblGrid>
      <w:tr w:rsidR="002961DC" w:rsidRPr="000D3090" w14:paraId="68677DB7" w14:textId="77777777" w:rsidTr="00B425AD">
        <w:trPr>
          <w:trHeight w:val="20"/>
          <w:jc w:val="center"/>
        </w:trPr>
        <w:tc>
          <w:tcPr>
            <w:tcW w:w="2411" w:type="dxa"/>
            <w:vMerge w:val="restart"/>
            <w:tcBorders>
              <w:top w:val="single" w:sz="12" w:space="0" w:color="auto"/>
              <w:left w:val="single" w:sz="12" w:space="0" w:color="auto"/>
              <w:right w:val="single" w:sz="12" w:space="0" w:color="auto"/>
            </w:tcBorders>
            <w:shd w:val="clear" w:color="000000" w:fill="FFFFFF"/>
            <w:noWrap/>
            <w:vAlign w:val="center"/>
          </w:tcPr>
          <w:p w14:paraId="37915FDE"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Thresholds/Variables (base)</w:t>
            </w:r>
          </w:p>
        </w:tc>
        <w:tc>
          <w:tcPr>
            <w:tcW w:w="1078" w:type="dxa"/>
            <w:gridSpan w:val="2"/>
            <w:vMerge w:val="restart"/>
            <w:tcBorders>
              <w:top w:val="single" w:sz="12" w:space="0" w:color="auto"/>
              <w:left w:val="single" w:sz="12" w:space="0" w:color="auto"/>
              <w:right w:val="single" w:sz="12" w:space="0" w:color="auto"/>
            </w:tcBorders>
            <w:shd w:val="clear" w:color="000000" w:fill="FFFFFF"/>
            <w:vAlign w:val="center"/>
          </w:tcPr>
          <w:p w14:paraId="5F179CC4"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PPD</w:t>
            </w:r>
          </w:p>
        </w:tc>
        <w:tc>
          <w:tcPr>
            <w:tcW w:w="7936" w:type="dxa"/>
            <w:gridSpan w:val="16"/>
            <w:tcBorders>
              <w:top w:val="single" w:sz="12" w:space="0" w:color="auto"/>
              <w:left w:val="single" w:sz="12" w:space="0" w:color="auto"/>
              <w:bottom w:val="single" w:sz="12" w:space="0" w:color="auto"/>
              <w:right w:val="single" w:sz="12" w:space="0" w:color="auto"/>
            </w:tcBorders>
            <w:shd w:val="clear" w:color="000000" w:fill="FFFFFF"/>
            <w:noWrap/>
            <w:vAlign w:val="bottom"/>
          </w:tcPr>
          <w:p w14:paraId="27E5F23B"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PPD Reasons</w:t>
            </w:r>
          </w:p>
        </w:tc>
        <w:tc>
          <w:tcPr>
            <w:tcW w:w="2252" w:type="dxa"/>
            <w:gridSpan w:val="4"/>
            <w:tcBorders>
              <w:top w:val="single" w:sz="12" w:space="0" w:color="auto"/>
              <w:left w:val="single" w:sz="12" w:space="0" w:color="auto"/>
              <w:bottom w:val="single" w:sz="12" w:space="0" w:color="auto"/>
              <w:right w:val="single" w:sz="12" w:space="0" w:color="auto"/>
            </w:tcBorders>
            <w:shd w:val="clear" w:color="000000" w:fill="FFFFFF"/>
          </w:tcPr>
          <w:p w14:paraId="3B8A91E8"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 xml:space="preserve">Virtual Participation </w:t>
            </w:r>
          </w:p>
        </w:tc>
      </w:tr>
      <w:tr w:rsidR="002961DC" w:rsidRPr="000D3090" w14:paraId="79BF2B39" w14:textId="77777777" w:rsidTr="00B425AD">
        <w:trPr>
          <w:trHeight w:val="20"/>
          <w:jc w:val="center"/>
        </w:trPr>
        <w:tc>
          <w:tcPr>
            <w:tcW w:w="2411" w:type="dxa"/>
            <w:vMerge/>
            <w:tcBorders>
              <w:left w:val="single" w:sz="12" w:space="0" w:color="auto"/>
              <w:right w:val="single" w:sz="12" w:space="0" w:color="auto"/>
            </w:tcBorders>
            <w:shd w:val="clear" w:color="000000" w:fill="FFFFFF"/>
            <w:noWrap/>
            <w:vAlign w:val="center"/>
            <w:hideMark/>
          </w:tcPr>
          <w:p w14:paraId="49237080" w14:textId="77777777" w:rsidR="002961DC" w:rsidRPr="000D3090" w:rsidRDefault="002961DC" w:rsidP="00B425AD">
            <w:pPr>
              <w:spacing w:after="0" w:line="240" w:lineRule="auto"/>
              <w:jc w:val="center"/>
              <w:rPr>
                <w:rFonts w:eastAsia="Times New Roman"/>
                <w:color w:val="000000"/>
                <w:sz w:val="18"/>
                <w:szCs w:val="18"/>
              </w:rPr>
            </w:pPr>
          </w:p>
        </w:tc>
        <w:tc>
          <w:tcPr>
            <w:tcW w:w="1078" w:type="dxa"/>
            <w:gridSpan w:val="2"/>
            <w:vMerge/>
            <w:tcBorders>
              <w:left w:val="single" w:sz="12" w:space="0" w:color="auto"/>
              <w:bottom w:val="single" w:sz="12" w:space="0" w:color="auto"/>
              <w:right w:val="single" w:sz="12" w:space="0" w:color="auto"/>
            </w:tcBorders>
            <w:shd w:val="clear" w:color="000000" w:fill="FFFFFF"/>
          </w:tcPr>
          <w:p w14:paraId="6F9FCA9E" w14:textId="77777777" w:rsidR="002961DC" w:rsidRPr="000D3090" w:rsidRDefault="002961DC" w:rsidP="00B425AD">
            <w:pPr>
              <w:spacing w:after="0" w:line="240" w:lineRule="auto"/>
              <w:jc w:val="center"/>
              <w:rPr>
                <w:rFonts w:eastAsia="Times New Roman"/>
                <w:color w:val="000000"/>
                <w:sz w:val="18"/>
                <w:szCs w:val="18"/>
              </w:rPr>
            </w:pPr>
          </w:p>
        </w:tc>
        <w:tc>
          <w:tcPr>
            <w:tcW w:w="988" w:type="dxa"/>
            <w:gridSpan w:val="2"/>
            <w:tcBorders>
              <w:top w:val="single" w:sz="12" w:space="0" w:color="auto"/>
              <w:left w:val="single" w:sz="12" w:space="0" w:color="auto"/>
              <w:bottom w:val="single" w:sz="12" w:space="0" w:color="auto"/>
              <w:right w:val="single" w:sz="4" w:space="0" w:color="000000"/>
            </w:tcBorders>
            <w:shd w:val="clear" w:color="000000" w:fill="FFFFFF"/>
            <w:noWrap/>
            <w:vAlign w:val="bottom"/>
            <w:hideMark/>
          </w:tcPr>
          <w:p w14:paraId="602D13B8"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Safe</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3C5A71A8"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Clean</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74C6FE8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Reliable</w:t>
            </w:r>
          </w:p>
        </w:tc>
        <w:tc>
          <w:tcPr>
            <w:tcW w:w="998" w:type="dxa"/>
            <w:gridSpan w:val="2"/>
            <w:tcBorders>
              <w:top w:val="single" w:sz="12" w:space="0" w:color="auto"/>
              <w:left w:val="nil"/>
              <w:bottom w:val="single" w:sz="12" w:space="0" w:color="auto"/>
              <w:right w:val="single" w:sz="4" w:space="0" w:color="000000"/>
            </w:tcBorders>
            <w:shd w:val="clear" w:color="000000" w:fill="FFFFFF"/>
            <w:vAlign w:val="bottom"/>
            <w:hideMark/>
          </w:tcPr>
          <w:p w14:paraId="111EE88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Poor Destination Access</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69CBE73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Affordable</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4E716D0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Health Problems</w:t>
            </w:r>
          </w:p>
        </w:tc>
        <w:tc>
          <w:tcPr>
            <w:tcW w:w="994"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7070E67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 Time</w:t>
            </w:r>
          </w:p>
        </w:tc>
        <w:tc>
          <w:tcPr>
            <w:tcW w:w="996" w:type="dxa"/>
            <w:gridSpan w:val="2"/>
            <w:tcBorders>
              <w:top w:val="single" w:sz="12" w:space="0" w:color="auto"/>
              <w:left w:val="nil"/>
              <w:bottom w:val="single" w:sz="12" w:space="0" w:color="auto"/>
              <w:right w:val="single" w:sz="12" w:space="0" w:color="auto"/>
            </w:tcBorders>
            <w:shd w:val="clear" w:color="000000" w:fill="FFFFFF"/>
            <w:noWrap/>
            <w:vAlign w:val="bottom"/>
            <w:hideMark/>
          </w:tcPr>
          <w:p w14:paraId="3646F252"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COVID Concerns</w:t>
            </w:r>
          </w:p>
        </w:tc>
        <w:tc>
          <w:tcPr>
            <w:tcW w:w="1080" w:type="dxa"/>
            <w:gridSpan w:val="2"/>
            <w:tcBorders>
              <w:top w:val="single" w:sz="12" w:space="0" w:color="auto"/>
              <w:left w:val="nil"/>
              <w:bottom w:val="single" w:sz="12" w:space="0" w:color="auto"/>
              <w:right w:val="single" w:sz="12" w:space="0" w:color="auto"/>
            </w:tcBorders>
            <w:shd w:val="clear" w:color="000000" w:fill="FFFFFF"/>
            <w:vAlign w:val="bottom"/>
          </w:tcPr>
          <w:p w14:paraId="5ACB148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Telework</w:t>
            </w:r>
          </w:p>
        </w:tc>
        <w:tc>
          <w:tcPr>
            <w:tcW w:w="1172" w:type="dxa"/>
            <w:gridSpan w:val="2"/>
            <w:tcBorders>
              <w:top w:val="single" w:sz="12" w:space="0" w:color="auto"/>
              <w:left w:val="single" w:sz="12" w:space="0" w:color="auto"/>
              <w:bottom w:val="single" w:sz="12" w:space="0" w:color="auto"/>
              <w:right w:val="single" w:sz="12" w:space="0" w:color="auto"/>
            </w:tcBorders>
            <w:shd w:val="clear" w:color="000000" w:fill="FFFFFF"/>
            <w:vAlign w:val="bottom"/>
          </w:tcPr>
          <w:p w14:paraId="3BDF1F4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Deliveries</w:t>
            </w:r>
          </w:p>
        </w:tc>
      </w:tr>
      <w:tr w:rsidR="002961DC" w:rsidRPr="000D3090" w14:paraId="420EE5CE" w14:textId="77777777" w:rsidTr="00B425AD">
        <w:trPr>
          <w:trHeight w:val="20"/>
          <w:jc w:val="center"/>
        </w:trPr>
        <w:tc>
          <w:tcPr>
            <w:tcW w:w="2411" w:type="dxa"/>
            <w:vMerge/>
            <w:tcBorders>
              <w:left w:val="single" w:sz="12" w:space="0" w:color="auto"/>
              <w:bottom w:val="single" w:sz="12" w:space="0" w:color="auto"/>
              <w:right w:val="single" w:sz="12" w:space="0" w:color="auto"/>
            </w:tcBorders>
            <w:vAlign w:val="center"/>
            <w:hideMark/>
          </w:tcPr>
          <w:p w14:paraId="35EA1A66" w14:textId="77777777" w:rsidR="002961DC" w:rsidRPr="000D3090" w:rsidRDefault="002961DC" w:rsidP="00B425AD">
            <w:pPr>
              <w:spacing w:after="0" w:line="240" w:lineRule="auto"/>
              <w:rPr>
                <w:rFonts w:eastAsia="Times New Roman"/>
                <w:color w:val="000000"/>
                <w:sz w:val="18"/>
                <w:szCs w:val="18"/>
              </w:rPr>
            </w:pPr>
          </w:p>
        </w:tc>
        <w:tc>
          <w:tcPr>
            <w:tcW w:w="537" w:type="dxa"/>
            <w:tcBorders>
              <w:top w:val="single" w:sz="12" w:space="0" w:color="auto"/>
              <w:left w:val="single" w:sz="12" w:space="0" w:color="auto"/>
              <w:bottom w:val="single" w:sz="12" w:space="0" w:color="auto"/>
            </w:tcBorders>
            <w:shd w:val="clear" w:color="000000" w:fill="FFFFFF"/>
            <w:vAlign w:val="center"/>
          </w:tcPr>
          <w:p w14:paraId="71039C16"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1" w:type="dxa"/>
            <w:tcBorders>
              <w:top w:val="single" w:sz="12" w:space="0" w:color="auto"/>
              <w:left w:val="nil"/>
              <w:bottom w:val="single" w:sz="12" w:space="0" w:color="auto"/>
              <w:right w:val="single" w:sz="12" w:space="0" w:color="auto"/>
            </w:tcBorders>
            <w:shd w:val="clear" w:color="000000" w:fill="FFFFFF"/>
            <w:vAlign w:val="center"/>
          </w:tcPr>
          <w:p w14:paraId="3287DA7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39" w:type="dxa"/>
            <w:tcBorders>
              <w:top w:val="single" w:sz="12" w:space="0" w:color="auto"/>
              <w:left w:val="single" w:sz="12" w:space="0" w:color="auto"/>
              <w:bottom w:val="single" w:sz="12" w:space="0" w:color="auto"/>
              <w:right w:val="nil"/>
            </w:tcBorders>
            <w:shd w:val="clear" w:color="000000" w:fill="FFFFFF"/>
            <w:noWrap/>
            <w:vAlign w:val="center"/>
            <w:hideMark/>
          </w:tcPr>
          <w:p w14:paraId="20D43B5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49" w:type="dxa"/>
            <w:tcBorders>
              <w:top w:val="single" w:sz="12" w:space="0" w:color="auto"/>
              <w:left w:val="nil"/>
              <w:bottom w:val="single" w:sz="12" w:space="0" w:color="auto"/>
              <w:right w:val="single" w:sz="4" w:space="0" w:color="auto"/>
            </w:tcBorders>
            <w:shd w:val="clear" w:color="000000" w:fill="FFFFFF"/>
            <w:noWrap/>
            <w:vAlign w:val="center"/>
            <w:hideMark/>
          </w:tcPr>
          <w:p w14:paraId="08F4DF4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352697DC"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249CB06F"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2A29602D"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105B6DA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8" w:type="dxa"/>
            <w:tcBorders>
              <w:top w:val="single" w:sz="12" w:space="0" w:color="auto"/>
              <w:left w:val="nil"/>
              <w:bottom w:val="single" w:sz="12" w:space="0" w:color="auto"/>
              <w:right w:val="nil"/>
            </w:tcBorders>
            <w:shd w:val="clear" w:color="000000" w:fill="FFFFFF"/>
            <w:noWrap/>
            <w:vAlign w:val="center"/>
            <w:hideMark/>
          </w:tcPr>
          <w:p w14:paraId="1E894D5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146907F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1C63E7F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3FC61ED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2E9A9FA3"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7CEAEF27"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5BE59B2F"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4" w:type="dxa"/>
            <w:tcBorders>
              <w:top w:val="single" w:sz="12" w:space="0" w:color="auto"/>
              <w:left w:val="nil"/>
              <w:bottom w:val="single" w:sz="12" w:space="0" w:color="auto"/>
              <w:right w:val="single" w:sz="4" w:space="0" w:color="auto"/>
            </w:tcBorders>
            <w:shd w:val="clear" w:color="000000" w:fill="FFFFFF"/>
            <w:noWrap/>
            <w:vAlign w:val="center"/>
            <w:hideMark/>
          </w:tcPr>
          <w:p w14:paraId="127F4932"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3827C4F4"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6" w:type="dxa"/>
            <w:tcBorders>
              <w:top w:val="single" w:sz="12" w:space="0" w:color="auto"/>
              <w:left w:val="nil"/>
              <w:bottom w:val="single" w:sz="12" w:space="0" w:color="auto"/>
              <w:right w:val="single" w:sz="12" w:space="0" w:color="auto"/>
            </w:tcBorders>
            <w:shd w:val="clear" w:color="000000" w:fill="FFFFFF"/>
            <w:noWrap/>
            <w:vAlign w:val="center"/>
            <w:hideMark/>
          </w:tcPr>
          <w:p w14:paraId="68BB8A8C"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vAlign w:val="center"/>
          </w:tcPr>
          <w:p w14:paraId="7DBF08C1"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0" w:type="dxa"/>
            <w:tcBorders>
              <w:top w:val="single" w:sz="12" w:space="0" w:color="auto"/>
              <w:left w:val="nil"/>
              <w:bottom w:val="single" w:sz="12" w:space="0" w:color="auto"/>
              <w:right w:val="single" w:sz="12" w:space="0" w:color="auto"/>
            </w:tcBorders>
            <w:shd w:val="clear" w:color="000000" w:fill="FFFFFF"/>
            <w:vAlign w:val="center"/>
          </w:tcPr>
          <w:p w14:paraId="24BFC38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630" w:type="dxa"/>
            <w:tcBorders>
              <w:top w:val="single" w:sz="12" w:space="0" w:color="auto"/>
              <w:left w:val="single" w:sz="12" w:space="0" w:color="auto"/>
              <w:bottom w:val="single" w:sz="12" w:space="0" w:color="auto"/>
              <w:right w:val="nil"/>
            </w:tcBorders>
            <w:shd w:val="clear" w:color="000000" w:fill="FFFFFF"/>
            <w:vAlign w:val="center"/>
          </w:tcPr>
          <w:p w14:paraId="6BBD1624"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2" w:type="dxa"/>
            <w:tcBorders>
              <w:top w:val="single" w:sz="12" w:space="0" w:color="auto"/>
              <w:left w:val="nil"/>
              <w:bottom w:val="single" w:sz="12" w:space="0" w:color="auto"/>
              <w:right w:val="single" w:sz="12" w:space="0" w:color="auto"/>
            </w:tcBorders>
            <w:shd w:val="clear" w:color="000000" w:fill="FFFFFF"/>
            <w:vAlign w:val="center"/>
          </w:tcPr>
          <w:p w14:paraId="500745D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r>
      <w:tr w:rsidR="003F77D0" w:rsidRPr="000D3090" w14:paraId="6B83EC29"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5092D91D" w14:textId="57E7874A" w:rsidR="00AF3DDB" w:rsidRPr="000D3090"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Vehicles per Driver (Fewer)</w:t>
            </w:r>
          </w:p>
        </w:tc>
        <w:tc>
          <w:tcPr>
            <w:tcW w:w="537" w:type="dxa"/>
            <w:tcBorders>
              <w:top w:val="nil"/>
              <w:left w:val="single" w:sz="12" w:space="0" w:color="auto"/>
              <w:bottom w:val="nil"/>
            </w:tcBorders>
            <w:shd w:val="clear" w:color="000000" w:fill="FFFFFF"/>
          </w:tcPr>
          <w:p w14:paraId="2CA0201A"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15FC54DF"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0C50B72C" w14:textId="3476309E"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49" w:type="dxa"/>
            <w:tcBorders>
              <w:top w:val="nil"/>
              <w:left w:val="nil"/>
              <w:bottom w:val="nil"/>
              <w:right w:val="single" w:sz="4" w:space="0" w:color="auto"/>
            </w:tcBorders>
            <w:shd w:val="clear" w:color="000000" w:fill="FFFFFF"/>
            <w:noWrap/>
            <w:vAlign w:val="center"/>
          </w:tcPr>
          <w:p w14:paraId="0F8FC364" w14:textId="3533DDEA"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tcPr>
          <w:p w14:paraId="194793D8" w14:textId="21D51C8C"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0" w:type="dxa"/>
            <w:tcBorders>
              <w:top w:val="nil"/>
              <w:left w:val="nil"/>
              <w:bottom w:val="nil"/>
              <w:right w:val="single" w:sz="4" w:space="0" w:color="auto"/>
            </w:tcBorders>
            <w:shd w:val="clear" w:color="000000" w:fill="FFFFFF"/>
            <w:noWrap/>
            <w:vAlign w:val="center"/>
          </w:tcPr>
          <w:p w14:paraId="69FF8801" w14:textId="07B4E5BA"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tcPr>
          <w:p w14:paraId="0B117398" w14:textId="41DDD342"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0" w:type="dxa"/>
            <w:tcBorders>
              <w:top w:val="nil"/>
              <w:left w:val="nil"/>
              <w:bottom w:val="nil"/>
              <w:right w:val="single" w:sz="4" w:space="0" w:color="auto"/>
            </w:tcBorders>
            <w:shd w:val="clear" w:color="000000" w:fill="FFFFFF"/>
            <w:noWrap/>
            <w:vAlign w:val="center"/>
          </w:tcPr>
          <w:p w14:paraId="378C50E8" w14:textId="75FE57C6"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8" w:type="dxa"/>
            <w:tcBorders>
              <w:top w:val="nil"/>
              <w:left w:val="nil"/>
              <w:bottom w:val="nil"/>
              <w:right w:val="nil"/>
            </w:tcBorders>
            <w:shd w:val="clear" w:color="000000" w:fill="FFFFFF"/>
            <w:noWrap/>
            <w:vAlign w:val="center"/>
          </w:tcPr>
          <w:p w14:paraId="1D08A116" w14:textId="397A4E1A"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0" w:type="dxa"/>
            <w:tcBorders>
              <w:top w:val="nil"/>
              <w:left w:val="nil"/>
              <w:bottom w:val="nil"/>
              <w:right w:val="single" w:sz="4" w:space="0" w:color="auto"/>
            </w:tcBorders>
            <w:shd w:val="clear" w:color="000000" w:fill="FFFFFF"/>
            <w:noWrap/>
            <w:vAlign w:val="center"/>
          </w:tcPr>
          <w:p w14:paraId="6F18836F" w14:textId="24130900"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tcPr>
          <w:p w14:paraId="1A772D3E" w14:textId="094CF868"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0" w:type="dxa"/>
            <w:tcBorders>
              <w:top w:val="nil"/>
              <w:left w:val="nil"/>
              <w:bottom w:val="nil"/>
              <w:right w:val="single" w:sz="4" w:space="0" w:color="auto"/>
            </w:tcBorders>
            <w:shd w:val="clear" w:color="000000" w:fill="FFFFFF"/>
            <w:noWrap/>
            <w:vAlign w:val="center"/>
          </w:tcPr>
          <w:p w14:paraId="690F56FF" w14:textId="68E2521F"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tcPr>
          <w:p w14:paraId="0C896CAD" w14:textId="4D754CC6"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0" w:type="dxa"/>
            <w:tcBorders>
              <w:top w:val="nil"/>
              <w:left w:val="nil"/>
              <w:bottom w:val="nil"/>
              <w:right w:val="single" w:sz="4" w:space="0" w:color="auto"/>
            </w:tcBorders>
            <w:shd w:val="clear" w:color="000000" w:fill="FFFFFF"/>
            <w:noWrap/>
            <w:vAlign w:val="center"/>
          </w:tcPr>
          <w:p w14:paraId="0F1ADBE1" w14:textId="280F15C8"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tcPr>
          <w:p w14:paraId="1471EE9A" w14:textId="65C368EE"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4" w:type="dxa"/>
            <w:tcBorders>
              <w:top w:val="nil"/>
              <w:left w:val="nil"/>
              <w:bottom w:val="nil"/>
              <w:right w:val="single" w:sz="4" w:space="0" w:color="auto"/>
            </w:tcBorders>
            <w:shd w:val="clear" w:color="000000" w:fill="FFFFFF"/>
            <w:noWrap/>
            <w:vAlign w:val="center"/>
          </w:tcPr>
          <w:p w14:paraId="71DB55B2" w14:textId="149D530C"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tcPr>
          <w:p w14:paraId="06738002" w14:textId="7287AC01"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456" w:type="dxa"/>
            <w:tcBorders>
              <w:top w:val="nil"/>
              <w:left w:val="nil"/>
              <w:bottom w:val="nil"/>
              <w:right w:val="single" w:sz="12" w:space="0" w:color="auto"/>
            </w:tcBorders>
            <w:shd w:val="clear" w:color="000000" w:fill="FFFFFF"/>
            <w:noWrap/>
            <w:vAlign w:val="center"/>
          </w:tcPr>
          <w:p w14:paraId="18028766" w14:textId="59DE887D" w:rsidR="00AF3DDB" w:rsidRPr="000D3090" w:rsidRDefault="00AF3DDB" w:rsidP="00AF3DDB">
            <w:pPr>
              <w:spacing w:after="0" w:line="240" w:lineRule="auto"/>
              <w:jc w:val="center"/>
              <w:rPr>
                <w:rFonts w:eastAsia="Times New Roman"/>
                <w:color w:val="000000"/>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tcPr>
          <w:p w14:paraId="34111026" w14:textId="77777777" w:rsidR="00AF3DDB" w:rsidRPr="000D3090" w:rsidRDefault="00AF3DDB" w:rsidP="00AF3DDB">
            <w:pPr>
              <w:spacing w:after="0" w:line="240" w:lineRule="auto"/>
              <w:jc w:val="center"/>
              <w:rPr>
                <w:color w:val="000000"/>
                <w:sz w:val="18"/>
                <w:szCs w:val="18"/>
              </w:rPr>
            </w:pPr>
          </w:p>
        </w:tc>
        <w:tc>
          <w:tcPr>
            <w:tcW w:w="540" w:type="dxa"/>
            <w:tcBorders>
              <w:top w:val="nil"/>
              <w:left w:val="nil"/>
              <w:bottom w:val="nil"/>
              <w:right w:val="single" w:sz="12" w:space="0" w:color="auto"/>
            </w:tcBorders>
            <w:shd w:val="clear" w:color="000000" w:fill="FFFFFF"/>
          </w:tcPr>
          <w:p w14:paraId="0DA54F36" w14:textId="77777777" w:rsidR="00AF3DDB" w:rsidRPr="000D3090" w:rsidRDefault="00AF3DDB" w:rsidP="00AF3DDB">
            <w:pPr>
              <w:spacing w:after="0" w:line="240" w:lineRule="auto"/>
              <w:jc w:val="center"/>
              <w:rPr>
                <w:color w:val="000000"/>
                <w:sz w:val="18"/>
                <w:szCs w:val="18"/>
              </w:rPr>
            </w:pPr>
          </w:p>
        </w:tc>
        <w:tc>
          <w:tcPr>
            <w:tcW w:w="630" w:type="dxa"/>
            <w:tcBorders>
              <w:top w:val="nil"/>
              <w:left w:val="single" w:sz="12" w:space="0" w:color="auto"/>
              <w:bottom w:val="nil"/>
              <w:right w:val="nil"/>
            </w:tcBorders>
            <w:shd w:val="clear" w:color="000000" w:fill="FFFFFF"/>
          </w:tcPr>
          <w:p w14:paraId="19DC7016" w14:textId="77777777" w:rsidR="00AF3DDB" w:rsidRPr="000D3090" w:rsidRDefault="00AF3DDB" w:rsidP="00AF3DDB">
            <w:pPr>
              <w:spacing w:after="0" w:line="240" w:lineRule="auto"/>
              <w:jc w:val="center"/>
              <w:rPr>
                <w:color w:val="000000"/>
                <w:sz w:val="18"/>
                <w:szCs w:val="18"/>
              </w:rPr>
            </w:pPr>
          </w:p>
        </w:tc>
        <w:tc>
          <w:tcPr>
            <w:tcW w:w="542" w:type="dxa"/>
            <w:tcBorders>
              <w:top w:val="nil"/>
              <w:left w:val="nil"/>
              <w:bottom w:val="nil"/>
              <w:right w:val="single" w:sz="12" w:space="0" w:color="auto"/>
            </w:tcBorders>
            <w:shd w:val="clear" w:color="000000" w:fill="FFFFFF"/>
          </w:tcPr>
          <w:p w14:paraId="38C4A893" w14:textId="77777777" w:rsidR="00AF3DDB" w:rsidRPr="000D3090" w:rsidRDefault="00AF3DDB" w:rsidP="00AF3DDB">
            <w:pPr>
              <w:spacing w:after="0" w:line="240" w:lineRule="auto"/>
              <w:jc w:val="center"/>
              <w:rPr>
                <w:color w:val="000000"/>
                <w:sz w:val="18"/>
                <w:szCs w:val="18"/>
              </w:rPr>
            </w:pPr>
          </w:p>
        </w:tc>
      </w:tr>
      <w:tr w:rsidR="003F77D0" w:rsidRPr="000D3090" w14:paraId="675FFF3F"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4A3D9F57" w14:textId="4927136D" w:rsidR="005A056A" w:rsidRPr="000D3090" w:rsidDel="00AF3DDB"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Equal vehicles and drivers</w:t>
            </w:r>
          </w:p>
        </w:tc>
        <w:tc>
          <w:tcPr>
            <w:tcW w:w="537" w:type="dxa"/>
            <w:tcBorders>
              <w:top w:val="nil"/>
              <w:left w:val="single" w:sz="12" w:space="0" w:color="auto"/>
              <w:bottom w:val="nil"/>
            </w:tcBorders>
            <w:shd w:val="clear" w:color="000000" w:fill="FFFFFF"/>
            <w:vAlign w:val="bottom"/>
          </w:tcPr>
          <w:p w14:paraId="3916974F" w14:textId="34DD4C9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-0.06</w:t>
            </w:r>
          </w:p>
        </w:tc>
        <w:tc>
          <w:tcPr>
            <w:tcW w:w="541" w:type="dxa"/>
            <w:tcBorders>
              <w:top w:val="nil"/>
              <w:left w:val="nil"/>
              <w:bottom w:val="nil"/>
              <w:right w:val="single" w:sz="12" w:space="0" w:color="auto"/>
            </w:tcBorders>
            <w:shd w:val="clear" w:color="000000" w:fill="FFFFFF"/>
            <w:vAlign w:val="bottom"/>
          </w:tcPr>
          <w:p w14:paraId="32B78F36" w14:textId="09C7A98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w:t>
            </w:r>
            <w:r w:rsidR="009811CC" w:rsidRPr="000D3090">
              <w:rPr>
                <w:color w:val="000000"/>
                <w:sz w:val="18"/>
                <w:szCs w:val="18"/>
              </w:rPr>
              <w:t>6</w:t>
            </w:r>
          </w:p>
        </w:tc>
        <w:tc>
          <w:tcPr>
            <w:tcW w:w="539" w:type="dxa"/>
            <w:tcBorders>
              <w:top w:val="nil"/>
              <w:left w:val="single" w:sz="12" w:space="0" w:color="auto"/>
              <w:bottom w:val="nil"/>
              <w:right w:val="nil"/>
            </w:tcBorders>
            <w:shd w:val="clear" w:color="000000" w:fill="FFFFFF"/>
            <w:noWrap/>
            <w:vAlign w:val="center"/>
          </w:tcPr>
          <w:p w14:paraId="46FDD878" w14:textId="45C6E9F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49" w:type="dxa"/>
            <w:tcBorders>
              <w:top w:val="nil"/>
              <w:left w:val="nil"/>
              <w:bottom w:val="nil"/>
              <w:right w:val="single" w:sz="4" w:space="0" w:color="auto"/>
            </w:tcBorders>
            <w:shd w:val="clear" w:color="000000" w:fill="FFFFFF"/>
            <w:noWrap/>
            <w:vAlign w:val="center"/>
          </w:tcPr>
          <w:p w14:paraId="136642DF"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55201F3B" w14:textId="7B09B50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50" w:type="dxa"/>
            <w:tcBorders>
              <w:top w:val="nil"/>
              <w:left w:val="nil"/>
              <w:bottom w:val="nil"/>
              <w:right w:val="single" w:sz="4" w:space="0" w:color="auto"/>
            </w:tcBorders>
            <w:shd w:val="clear" w:color="000000" w:fill="FFFFFF"/>
            <w:noWrap/>
            <w:vAlign w:val="center"/>
          </w:tcPr>
          <w:p w14:paraId="4C5AF971"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59204A2D" w14:textId="3E732F74"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50" w:type="dxa"/>
            <w:tcBorders>
              <w:top w:val="nil"/>
              <w:left w:val="nil"/>
              <w:bottom w:val="nil"/>
              <w:right w:val="single" w:sz="4" w:space="0" w:color="auto"/>
            </w:tcBorders>
            <w:shd w:val="clear" w:color="000000" w:fill="FFFFFF"/>
            <w:noWrap/>
            <w:vAlign w:val="center"/>
          </w:tcPr>
          <w:p w14:paraId="46CA904A" w14:textId="77777777" w:rsidR="005A056A" w:rsidRPr="000D3090" w:rsidRDefault="005A056A" w:rsidP="005A056A">
            <w:pPr>
              <w:spacing w:after="0" w:line="240" w:lineRule="auto"/>
              <w:jc w:val="center"/>
              <w:rPr>
                <w:rFonts w:eastAsia="Times New Roman"/>
                <w:color w:val="000000"/>
                <w:sz w:val="18"/>
                <w:szCs w:val="18"/>
              </w:rPr>
            </w:pPr>
          </w:p>
        </w:tc>
        <w:tc>
          <w:tcPr>
            <w:tcW w:w="548" w:type="dxa"/>
            <w:tcBorders>
              <w:top w:val="nil"/>
              <w:left w:val="nil"/>
              <w:bottom w:val="nil"/>
              <w:right w:val="nil"/>
            </w:tcBorders>
            <w:shd w:val="clear" w:color="000000" w:fill="FFFFFF"/>
            <w:noWrap/>
            <w:vAlign w:val="bottom"/>
          </w:tcPr>
          <w:p w14:paraId="640E4EF5" w14:textId="0E4F2A3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-0.16</w:t>
            </w:r>
          </w:p>
        </w:tc>
        <w:tc>
          <w:tcPr>
            <w:tcW w:w="450" w:type="dxa"/>
            <w:tcBorders>
              <w:top w:val="nil"/>
              <w:left w:val="nil"/>
              <w:bottom w:val="nil"/>
              <w:right w:val="single" w:sz="4" w:space="0" w:color="auto"/>
            </w:tcBorders>
            <w:shd w:val="clear" w:color="000000" w:fill="FFFFFF"/>
            <w:noWrap/>
            <w:vAlign w:val="bottom"/>
          </w:tcPr>
          <w:p w14:paraId="13F7F24F" w14:textId="1EAA8B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-1.60</w:t>
            </w:r>
          </w:p>
        </w:tc>
        <w:tc>
          <w:tcPr>
            <w:tcW w:w="540" w:type="dxa"/>
            <w:tcBorders>
              <w:top w:val="nil"/>
              <w:left w:val="nil"/>
              <w:bottom w:val="nil"/>
              <w:right w:val="nil"/>
            </w:tcBorders>
            <w:shd w:val="clear" w:color="000000" w:fill="FFFFFF"/>
            <w:noWrap/>
            <w:vAlign w:val="center"/>
          </w:tcPr>
          <w:p w14:paraId="2A178A5B" w14:textId="02946AA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50" w:type="dxa"/>
            <w:tcBorders>
              <w:top w:val="nil"/>
              <w:left w:val="nil"/>
              <w:bottom w:val="nil"/>
              <w:right w:val="single" w:sz="4" w:space="0" w:color="auto"/>
            </w:tcBorders>
            <w:shd w:val="clear" w:color="000000" w:fill="FFFFFF"/>
            <w:noWrap/>
            <w:vAlign w:val="center"/>
          </w:tcPr>
          <w:p w14:paraId="64238DBD"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43016CD8" w14:textId="12CB7A0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50" w:type="dxa"/>
            <w:tcBorders>
              <w:top w:val="nil"/>
              <w:left w:val="nil"/>
              <w:bottom w:val="nil"/>
              <w:right w:val="single" w:sz="4" w:space="0" w:color="auto"/>
            </w:tcBorders>
            <w:shd w:val="clear" w:color="000000" w:fill="FFFFFF"/>
            <w:noWrap/>
            <w:vAlign w:val="center"/>
          </w:tcPr>
          <w:p w14:paraId="28B96480"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6B5147A8" w14:textId="2314583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54" w:type="dxa"/>
            <w:tcBorders>
              <w:top w:val="nil"/>
              <w:left w:val="nil"/>
              <w:bottom w:val="nil"/>
              <w:right w:val="single" w:sz="4" w:space="0" w:color="auto"/>
            </w:tcBorders>
            <w:shd w:val="clear" w:color="000000" w:fill="FFFFFF"/>
            <w:noWrap/>
            <w:vAlign w:val="center"/>
          </w:tcPr>
          <w:p w14:paraId="2836EAF9"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5DE11E82" w14:textId="5E88733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sz w:val="18"/>
                <w:szCs w:val="18"/>
              </w:rPr>
              <w:t>--</w:t>
            </w:r>
          </w:p>
        </w:tc>
        <w:tc>
          <w:tcPr>
            <w:tcW w:w="456" w:type="dxa"/>
            <w:tcBorders>
              <w:top w:val="nil"/>
              <w:left w:val="nil"/>
              <w:bottom w:val="nil"/>
              <w:right w:val="single" w:sz="12" w:space="0" w:color="auto"/>
            </w:tcBorders>
            <w:shd w:val="clear" w:color="000000" w:fill="FFFFFF"/>
            <w:noWrap/>
            <w:vAlign w:val="center"/>
          </w:tcPr>
          <w:p w14:paraId="205C4914"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vAlign w:val="bottom"/>
          </w:tcPr>
          <w:p w14:paraId="0F6C54AB" w14:textId="52E09E93" w:rsidR="005A056A" w:rsidRPr="000D3090" w:rsidRDefault="005A056A" w:rsidP="005A056A">
            <w:pPr>
              <w:spacing w:after="0" w:line="240" w:lineRule="auto"/>
              <w:jc w:val="center"/>
              <w:rPr>
                <w:color w:val="000000"/>
                <w:sz w:val="18"/>
                <w:szCs w:val="18"/>
              </w:rPr>
            </w:pPr>
            <w:r w:rsidRPr="000D3090">
              <w:rPr>
                <w:color w:val="000000"/>
                <w:sz w:val="18"/>
                <w:szCs w:val="18"/>
              </w:rPr>
              <w:t>-0.37</w:t>
            </w:r>
          </w:p>
        </w:tc>
        <w:tc>
          <w:tcPr>
            <w:tcW w:w="540" w:type="dxa"/>
            <w:tcBorders>
              <w:top w:val="nil"/>
              <w:left w:val="nil"/>
              <w:bottom w:val="nil"/>
              <w:right w:val="single" w:sz="12" w:space="0" w:color="auto"/>
            </w:tcBorders>
            <w:shd w:val="clear" w:color="000000" w:fill="FFFFFF"/>
            <w:vAlign w:val="bottom"/>
          </w:tcPr>
          <w:p w14:paraId="49F8D3C6" w14:textId="6FEA2782" w:rsidR="005A056A" w:rsidRPr="000D3090" w:rsidRDefault="005A056A" w:rsidP="005A056A">
            <w:pPr>
              <w:spacing w:after="0" w:line="240" w:lineRule="auto"/>
              <w:jc w:val="center"/>
              <w:rPr>
                <w:color w:val="000000"/>
                <w:sz w:val="18"/>
                <w:szCs w:val="18"/>
              </w:rPr>
            </w:pPr>
            <w:r w:rsidRPr="000D3090">
              <w:rPr>
                <w:color w:val="000000"/>
                <w:sz w:val="18"/>
                <w:szCs w:val="18"/>
              </w:rPr>
              <w:t>-8.21</w:t>
            </w:r>
          </w:p>
        </w:tc>
        <w:tc>
          <w:tcPr>
            <w:tcW w:w="630" w:type="dxa"/>
            <w:tcBorders>
              <w:top w:val="nil"/>
              <w:left w:val="single" w:sz="12" w:space="0" w:color="auto"/>
              <w:bottom w:val="nil"/>
              <w:right w:val="nil"/>
            </w:tcBorders>
            <w:shd w:val="clear" w:color="000000" w:fill="FFFFFF"/>
            <w:vAlign w:val="bottom"/>
          </w:tcPr>
          <w:p w14:paraId="69E140D9" w14:textId="4D3CBE27" w:rsidR="005A056A" w:rsidRPr="000D3090" w:rsidRDefault="005A056A" w:rsidP="005A056A">
            <w:pPr>
              <w:spacing w:after="0" w:line="240" w:lineRule="auto"/>
              <w:jc w:val="center"/>
              <w:rPr>
                <w:color w:val="000000"/>
                <w:sz w:val="18"/>
                <w:szCs w:val="18"/>
              </w:rPr>
            </w:pPr>
            <w:r w:rsidRPr="000D3090">
              <w:rPr>
                <w:color w:val="000000"/>
                <w:sz w:val="18"/>
                <w:szCs w:val="18"/>
              </w:rPr>
              <w:t>0.09</w:t>
            </w:r>
          </w:p>
        </w:tc>
        <w:tc>
          <w:tcPr>
            <w:tcW w:w="542" w:type="dxa"/>
            <w:tcBorders>
              <w:top w:val="nil"/>
              <w:left w:val="nil"/>
              <w:bottom w:val="nil"/>
              <w:right w:val="single" w:sz="12" w:space="0" w:color="auto"/>
            </w:tcBorders>
            <w:shd w:val="clear" w:color="000000" w:fill="FFFFFF"/>
            <w:vAlign w:val="bottom"/>
          </w:tcPr>
          <w:p w14:paraId="0181B095" w14:textId="7546A163" w:rsidR="005A056A" w:rsidRPr="000D3090" w:rsidRDefault="005A056A" w:rsidP="005A056A">
            <w:pPr>
              <w:spacing w:after="0" w:line="240" w:lineRule="auto"/>
              <w:jc w:val="center"/>
              <w:rPr>
                <w:color w:val="000000"/>
                <w:sz w:val="18"/>
                <w:szCs w:val="18"/>
              </w:rPr>
            </w:pPr>
            <w:r w:rsidRPr="000D3090">
              <w:rPr>
                <w:color w:val="000000"/>
                <w:sz w:val="18"/>
                <w:szCs w:val="18"/>
              </w:rPr>
              <w:t>3.33</w:t>
            </w:r>
          </w:p>
        </w:tc>
      </w:tr>
      <w:tr w:rsidR="003F77D0" w:rsidRPr="000D3090" w14:paraId="556CD7CC"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470073B9" w14:textId="09BB97F6" w:rsidR="005A056A" w:rsidRPr="000D3090" w:rsidDel="00AF3DDB"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More vehicles than drivers</w:t>
            </w:r>
          </w:p>
        </w:tc>
        <w:tc>
          <w:tcPr>
            <w:tcW w:w="537" w:type="dxa"/>
            <w:tcBorders>
              <w:top w:val="nil"/>
              <w:left w:val="single" w:sz="12" w:space="0" w:color="auto"/>
              <w:bottom w:val="nil"/>
            </w:tcBorders>
            <w:shd w:val="clear" w:color="000000" w:fill="FFFFFF"/>
            <w:vAlign w:val="bottom"/>
          </w:tcPr>
          <w:p w14:paraId="77644DC1" w14:textId="3BD8367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-0.10</w:t>
            </w:r>
          </w:p>
        </w:tc>
        <w:tc>
          <w:tcPr>
            <w:tcW w:w="541" w:type="dxa"/>
            <w:tcBorders>
              <w:top w:val="nil"/>
              <w:left w:val="nil"/>
              <w:bottom w:val="nil"/>
              <w:right w:val="single" w:sz="12" w:space="0" w:color="auto"/>
            </w:tcBorders>
            <w:shd w:val="clear" w:color="000000" w:fill="FFFFFF"/>
            <w:vAlign w:val="bottom"/>
          </w:tcPr>
          <w:p w14:paraId="5E07E53D" w14:textId="7B8D30D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-2.08</w:t>
            </w:r>
          </w:p>
        </w:tc>
        <w:tc>
          <w:tcPr>
            <w:tcW w:w="539" w:type="dxa"/>
            <w:tcBorders>
              <w:top w:val="nil"/>
              <w:left w:val="single" w:sz="12" w:space="0" w:color="auto"/>
              <w:bottom w:val="nil"/>
              <w:right w:val="nil"/>
            </w:tcBorders>
            <w:shd w:val="clear" w:color="000000" w:fill="FFFFFF"/>
            <w:noWrap/>
            <w:vAlign w:val="bottom"/>
          </w:tcPr>
          <w:p w14:paraId="6FF24660" w14:textId="6F91FEC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-0.17</w:t>
            </w:r>
          </w:p>
        </w:tc>
        <w:tc>
          <w:tcPr>
            <w:tcW w:w="449" w:type="dxa"/>
            <w:tcBorders>
              <w:top w:val="nil"/>
              <w:left w:val="nil"/>
              <w:bottom w:val="nil"/>
              <w:right w:val="single" w:sz="4" w:space="0" w:color="auto"/>
            </w:tcBorders>
            <w:shd w:val="clear" w:color="000000" w:fill="FFFFFF"/>
            <w:noWrap/>
            <w:vAlign w:val="bottom"/>
          </w:tcPr>
          <w:p w14:paraId="3C82BC53" w14:textId="508982D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-1.40</w:t>
            </w:r>
          </w:p>
        </w:tc>
        <w:tc>
          <w:tcPr>
            <w:tcW w:w="540" w:type="dxa"/>
            <w:tcBorders>
              <w:top w:val="nil"/>
              <w:left w:val="nil"/>
              <w:bottom w:val="nil"/>
              <w:right w:val="nil"/>
            </w:tcBorders>
            <w:shd w:val="clear" w:color="000000" w:fill="FFFFFF"/>
            <w:noWrap/>
            <w:vAlign w:val="center"/>
          </w:tcPr>
          <w:p w14:paraId="7E7F81E8" w14:textId="12E74AE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CA7A59A" w14:textId="4E31D204"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688FCC1" w14:textId="6852C994"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055630A" w14:textId="4B0C22B5"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bottom"/>
          </w:tcPr>
          <w:p w14:paraId="36C531D4" w14:textId="6D626FB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-0.18</w:t>
            </w:r>
          </w:p>
        </w:tc>
        <w:tc>
          <w:tcPr>
            <w:tcW w:w="450" w:type="dxa"/>
            <w:tcBorders>
              <w:top w:val="nil"/>
              <w:left w:val="nil"/>
              <w:bottom w:val="nil"/>
              <w:right w:val="single" w:sz="4" w:space="0" w:color="auto"/>
            </w:tcBorders>
            <w:shd w:val="clear" w:color="000000" w:fill="FFFFFF"/>
            <w:noWrap/>
            <w:vAlign w:val="bottom"/>
          </w:tcPr>
          <w:p w14:paraId="46155886" w14:textId="2C052A0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-1.38</w:t>
            </w:r>
          </w:p>
        </w:tc>
        <w:tc>
          <w:tcPr>
            <w:tcW w:w="540" w:type="dxa"/>
            <w:tcBorders>
              <w:top w:val="nil"/>
              <w:left w:val="nil"/>
              <w:bottom w:val="nil"/>
              <w:right w:val="nil"/>
            </w:tcBorders>
            <w:shd w:val="clear" w:color="000000" w:fill="FFFFFF"/>
            <w:noWrap/>
            <w:vAlign w:val="center"/>
          </w:tcPr>
          <w:p w14:paraId="3BF1E399" w14:textId="2BF3FE7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9B53308" w14:textId="4A75241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7739A90" w14:textId="0AF68DE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8FD6C4A" w14:textId="2FAEA0F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D3034E3" w14:textId="59614F6F"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6D69D8C8" w14:textId="05314845"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10AE554A" w14:textId="1D490AF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-0.09</w:t>
            </w:r>
          </w:p>
        </w:tc>
        <w:tc>
          <w:tcPr>
            <w:tcW w:w="456" w:type="dxa"/>
            <w:tcBorders>
              <w:top w:val="nil"/>
              <w:left w:val="nil"/>
              <w:bottom w:val="nil"/>
              <w:right w:val="single" w:sz="12" w:space="0" w:color="auto"/>
            </w:tcBorders>
            <w:shd w:val="clear" w:color="000000" w:fill="FFFFFF"/>
            <w:noWrap/>
            <w:vAlign w:val="bottom"/>
          </w:tcPr>
          <w:p w14:paraId="0B0AA944" w14:textId="62AF71C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-1.30</w:t>
            </w:r>
          </w:p>
        </w:tc>
        <w:tc>
          <w:tcPr>
            <w:tcW w:w="540" w:type="dxa"/>
            <w:tcBorders>
              <w:top w:val="nil"/>
              <w:left w:val="nil"/>
              <w:bottom w:val="nil"/>
              <w:right w:val="nil"/>
            </w:tcBorders>
            <w:shd w:val="clear" w:color="000000" w:fill="FFFFFF"/>
            <w:vAlign w:val="bottom"/>
          </w:tcPr>
          <w:p w14:paraId="330C3DB7" w14:textId="1CE9D1A4" w:rsidR="005A056A" w:rsidRPr="000D3090" w:rsidRDefault="005A056A" w:rsidP="005A056A">
            <w:pPr>
              <w:spacing w:after="0" w:line="240" w:lineRule="auto"/>
              <w:jc w:val="center"/>
              <w:rPr>
                <w:color w:val="000000"/>
                <w:sz w:val="18"/>
                <w:szCs w:val="18"/>
              </w:rPr>
            </w:pPr>
            <w:r w:rsidRPr="000D3090">
              <w:rPr>
                <w:color w:val="000000"/>
                <w:sz w:val="18"/>
                <w:szCs w:val="18"/>
              </w:rPr>
              <w:t>-0.48</w:t>
            </w:r>
          </w:p>
        </w:tc>
        <w:tc>
          <w:tcPr>
            <w:tcW w:w="540" w:type="dxa"/>
            <w:tcBorders>
              <w:top w:val="nil"/>
              <w:left w:val="nil"/>
              <w:bottom w:val="nil"/>
              <w:right w:val="single" w:sz="12" w:space="0" w:color="auto"/>
            </w:tcBorders>
            <w:shd w:val="clear" w:color="000000" w:fill="FFFFFF"/>
            <w:vAlign w:val="bottom"/>
          </w:tcPr>
          <w:p w14:paraId="77A86F2B" w14:textId="44EE4D43" w:rsidR="005A056A" w:rsidRPr="000D3090" w:rsidRDefault="005A056A" w:rsidP="005A056A">
            <w:pPr>
              <w:spacing w:after="0" w:line="240" w:lineRule="auto"/>
              <w:jc w:val="center"/>
              <w:rPr>
                <w:color w:val="000000"/>
                <w:sz w:val="18"/>
                <w:szCs w:val="18"/>
              </w:rPr>
            </w:pPr>
            <w:r w:rsidRPr="000D3090">
              <w:rPr>
                <w:color w:val="000000"/>
                <w:sz w:val="18"/>
                <w:szCs w:val="18"/>
              </w:rPr>
              <w:t>-8.87</w:t>
            </w:r>
          </w:p>
        </w:tc>
        <w:tc>
          <w:tcPr>
            <w:tcW w:w="630" w:type="dxa"/>
            <w:tcBorders>
              <w:top w:val="nil"/>
              <w:left w:val="single" w:sz="12" w:space="0" w:color="auto"/>
              <w:bottom w:val="nil"/>
              <w:right w:val="nil"/>
            </w:tcBorders>
            <w:shd w:val="clear" w:color="000000" w:fill="FFFFFF"/>
            <w:vAlign w:val="bottom"/>
          </w:tcPr>
          <w:p w14:paraId="13BDAEB9" w14:textId="6EF4C267" w:rsidR="005A056A" w:rsidRPr="000D3090" w:rsidRDefault="005A056A" w:rsidP="005A056A">
            <w:pPr>
              <w:spacing w:after="0" w:line="240" w:lineRule="auto"/>
              <w:jc w:val="center"/>
              <w:rPr>
                <w:color w:val="000000"/>
                <w:sz w:val="18"/>
                <w:szCs w:val="18"/>
              </w:rPr>
            </w:pPr>
            <w:r w:rsidRPr="000D3090">
              <w:rPr>
                <w:color w:val="000000"/>
                <w:sz w:val="18"/>
                <w:szCs w:val="18"/>
              </w:rPr>
              <w:t>0.18</w:t>
            </w:r>
          </w:p>
        </w:tc>
        <w:tc>
          <w:tcPr>
            <w:tcW w:w="542" w:type="dxa"/>
            <w:tcBorders>
              <w:top w:val="nil"/>
              <w:left w:val="nil"/>
              <w:bottom w:val="nil"/>
              <w:right w:val="single" w:sz="12" w:space="0" w:color="auto"/>
            </w:tcBorders>
            <w:shd w:val="clear" w:color="000000" w:fill="FFFFFF"/>
            <w:vAlign w:val="bottom"/>
          </w:tcPr>
          <w:p w14:paraId="6EE4AA79" w14:textId="391A8FF6" w:rsidR="005A056A" w:rsidRPr="000D3090" w:rsidRDefault="005A056A" w:rsidP="005A056A">
            <w:pPr>
              <w:spacing w:after="0" w:line="240" w:lineRule="auto"/>
              <w:jc w:val="center"/>
              <w:rPr>
                <w:color w:val="000000"/>
                <w:sz w:val="18"/>
                <w:szCs w:val="18"/>
              </w:rPr>
            </w:pPr>
            <w:r w:rsidRPr="000D3090">
              <w:rPr>
                <w:color w:val="000000"/>
                <w:sz w:val="18"/>
                <w:szCs w:val="18"/>
              </w:rPr>
              <w:t>5.33</w:t>
            </w:r>
          </w:p>
        </w:tc>
      </w:tr>
      <w:tr w:rsidR="003F77D0" w:rsidRPr="000D3090" w14:paraId="12F344A5"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255A0AD5" w14:textId="7D0A4B16" w:rsidR="00AF3DDB" w:rsidRPr="000D3090" w:rsidDel="00AF3DDB"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Household Income (&lt; $50,000)</w:t>
            </w:r>
          </w:p>
        </w:tc>
        <w:tc>
          <w:tcPr>
            <w:tcW w:w="537" w:type="dxa"/>
            <w:tcBorders>
              <w:top w:val="nil"/>
              <w:left w:val="single" w:sz="12" w:space="0" w:color="auto"/>
              <w:bottom w:val="nil"/>
            </w:tcBorders>
            <w:shd w:val="clear" w:color="000000" w:fill="FFFFFF"/>
          </w:tcPr>
          <w:p w14:paraId="0A5E62F3"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6206C863"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39425C13" w14:textId="0EEF941D"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tcPr>
          <w:p w14:paraId="41D32423" w14:textId="1811DF99"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C1E2762" w14:textId="00BBB9DE"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0BD9BE2F" w14:textId="3CD61F7D"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B61D3E9" w14:textId="7D82CDD5"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330B6C62" w14:textId="1E1F5E5D"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5849C42A" w14:textId="3473E489"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20F773EC" w14:textId="5D1331F0"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026F774" w14:textId="446F99AE"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01F00B5D" w14:textId="08678BB8"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0F0A9AD" w14:textId="0767CDB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5BAA4936" w14:textId="344B9DFA"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EC774A9" w14:textId="53F85803"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tcPr>
          <w:p w14:paraId="34D33B48" w14:textId="79553CE9"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696025D" w14:textId="560E9DF8"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tcPr>
          <w:p w14:paraId="63E56F04" w14:textId="09CF1F85"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73E0E65C" w14:textId="77777777" w:rsidR="00AF3DDB" w:rsidRPr="000D3090" w:rsidRDefault="00AF3DDB" w:rsidP="00AF3DDB">
            <w:pPr>
              <w:spacing w:after="0" w:line="240" w:lineRule="auto"/>
              <w:jc w:val="center"/>
              <w:rPr>
                <w:color w:val="000000"/>
                <w:sz w:val="18"/>
                <w:szCs w:val="18"/>
              </w:rPr>
            </w:pPr>
          </w:p>
        </w:tc>
        <w:tc>
          <w:tcPr>
            <w:tcW w:w="540" w:type="dxa"/>
            <w:tcBorders>
              <w:top w:val="nil"/>
              <w:left w:val="nil"/>
              <w:bottom w:val="nil"/>
              <w:right w:val="single" w:sz="12" w:space="0" w:color="auto"/>
            </w:tcBorders>
            <w:shd w:val="clear" w:color="000000" w:fill="FFFFFF"/>
          </w:tcPr>
          <w:p w14:paraId="15F24592" w14:textId="77777777" w:rsidR="00AF3DDB" w:rsidRPr="000D3090" w:rsidRDefault="00AF3DDB" w:rsidP="00AF3DDB">
            <w:pPr>
              <w:spacing w:after="0" w:line="240" w:lineRule="auto"/>
              <w:jc w:val="center"/>
              <w:rPr>
                <w:color w:val="000000"/>
                <w:sz w:val="18"/>
                <w:szCs w:val="18"/>
              </w:rPr>
            </w:pPr>
          </w:p>
        </w:tc>
        <w:tc>
          <w:tcPr>
            <w:tcW w:w="630" w:type="dxa"/>
            <w:tcBorders>
              <w:top w:val="nil"/>
              <w:left w:val="single" w:sz="12" w:space="0" w:color="auto"/>
              <w:bottom w:val="nil"/>
              <w:right w:val="nil"/>
            </w:tcBorders>
            <w:shd w:val="clear" w:color="000000" w:fill="FFFFFF"/>
          </w:tcPr>
          <w:p w14:paraId="0A63A61E" w14:textId="77777777" w:rsidR="00AF3DDB" w:rsidRPr="000D3090" w:rsidRDefault="00AF3DDB" w:rsidP="00AF3DDB">
            <w:pPr>
              <w:spacing w:after="0" w:line="240" w:lineRule="auto"/>
              <w:jc w:val="center"/>
              <w:rPr>
                <w:color w:val="000000"/>
                <w:sz w:val="18"/>
                <w:szCs w:val="18"/>
              </w:rPr>
            </w:pPr>
          </w:p>
        </w:tc>
        <w:tc>
          <w:tcPr>
            <w:tcW w:w="542" w:type="dxa"/>
            <w:tcBorders>
              <w:top w:val="nil"/>
              <w:left w:val="nil"/>
              <w:bottom w:val="nil"/>
              <w:right w:val="single" w:sz="12" w:space="0" w:color="auto"/>
            </w:tcBorders>
            <w:shd w:val="clear" w:color="000000" w:fill="FFFFFF"/>
          </w:tcPr>
          <w:p w14:paraId="2BE88998" w14:textId="77777777" w:rsidR="00AF3DDB" w:rsidRPr="000D3090" w:rsidRDefault="00AF3DDB" w:rsidP="00AF3DDB">
            <w:pPr>
              <w:spacing w:after="0" w:line="240" w:lineRule="auto"/>
              <w:jc w:val="center"/>
              <w:rPr>
                <w:color w:val="000000"/>
                <w:sz w:val="18"/>
                <w:szCs w:val="18"/>
              </w:rPr>
            </w:pPr>
          </w:p>
        </w:tc>
      </w:tr>
      <w:tr w:rsidR="003F77D0" w:rsidRPr="000D3090" w14:paraId="1362BF63"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0C0ED363" w14:textId="69F8DE6C" w:rsidR="005A056A" w:rsidRPr="000D3090" w:rsidDel="00AF3DDB"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$50,000 - $99,999</w:t>
            </w:r>
          </w:p>
        </w:tc>
        <w:tc>
          <w:tcPr>
            <w:tcW w:w="537" w:type="dxa"/>
            <w:tcBorders>
              <w:top w:val="nil"/>
              <w:left w:val="single" w:sz="12" w:space="0" w:color="auto"/>
              <w:bottom w:val="nil"/>
            </w:tcBorders>
            <w:shd w:val="clear" w:color="000000" w:fill="FFFFFF"/>
            <w:vAlign w:val="bottom"/>
          </w:tcPr>
          <w:p w14:paraId="2FD036F6" w14:textId="5C56B7E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-0.19</w:t>
            </w:r>
          </w:p>
        </w:tc>
        <w:tc>
          <w:tcPr>
            <w:tcW w:w="541" w:type="dxa"/>
            <w:tcBorders>
              <w:top w:val="nil"/>
              <w:left w:val="nil"/>
              <w:bottom w:val="nil"/>
              <w:right w:val="single" w:sz="12" w:space="0" w:color="auto"/>
            </w:tcBorders>
            <w:shd w:val="clear" w:color="000000" w:fill="FFFFFF"/>
            <w:vAlign w:val="bottom"/>
          </w:tcPr>
          <w:p w14:paraId="61D94578" w14:textId="163A030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-4.98</w:t>
            </w:r>
          </w:p>
        </w:tc>
        <w:tc>
          <w:tcPr>
            <w:tcW w:w="539" w:type="dxa"/>
            <w:tcBorders>
              <w:top w:val="nil"/>
              <w:left w:val="single" w:sz="12" w:space="0" w:color="auto"/>
              <w:bottom w:val="nil"/>
              <w:right w:val="nil"/>
            </w:tcBorders>
            <w:shd w:val="clear" w:color="000000" w:fill="FFFFFF"/>
            <w:noWrap/>
            <w:vAlign w:val="center"/>
          </w:tcPr>
          <w:p w14:paraId="674AFF15" w14:textId="59C2AA54"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4328B773" w14:textId="1C0D431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C12830F" w14:textId="43D2A1E4"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D3A867B" w14:textId="029982F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0945E0B9" w14:textId="0BAF64A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-0.29</w:t>
            </w:r>
          </w:p>
        </w:tc>
        <w:tc>
          <w:tcPr>
            <w:tcW w:w="450" w:type="dxa"/>
            <w:tcBorders>
              <w:top w:val="nil"/>
              <w:left w:val="nil"/>
              <w:bottom w:val="nil"/>
              <w:right w:val="single" w:sz="4" w:space="0" w:color="auto"/>
            </w:tcBorders>
            <w:shd w:val="clear" w:color="000000" w:fill="FFFFFF"/>
            <w:noWrap/>
            <w:vAlign w:val="bottom"/>
          </w:tcPr>
          <w:p w14:paraId="58CAC9FC" w14:textId="2EB6E23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-3.05</w:t>
            </w:r>
          </w:p>
        </w:tc>
        <w:tc>
          <w:tcPr>
            <w:tcW w:w="548" w:type="dxa"/>
            <w:tcBorders>
              <w:top w:val="nil"/>
              <w:left w:val="nil"/>
              <w:bottom w:val="nil"/>
              <w:right w:val="nil"/>
            </w:tcBorders>
            <w:shd w:val="clear" w:color="000000" w:fill="FFFFFF"/>
            <w:noWrap/>
            <w:vAlign w:val="bottom"/>
          </w:tcPr>
          <w:p w14:paraId="76B3ABE6" w14:textId="221F7FD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450" w:type="dxa"/>
            <w:tcBorders>
              <w:top w:val="nil"/>
              <w:left w:val="nil"/>
              <w:bottom w:val="nil"/>
              <w:right w:val="single" w:sz="4" w:space="0" w:color="auto"/>
            </w:tcBorders>
            <w:shd w:val="clear" w:color="000000" w:fill="FFFFFF"/>
            <w:noWrap/>
            <w:vAlign w:val="bottom"/>
          </w:tcPr>
          <w:p w14:paraId="65D69136" w14:textId="68EFA23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-1.59</w:t>
            </w:r>
          </w:p>
        </w:tc>
        <w:tc>
          <w:tcPr>
            <w:tcW w:w="540" w:type="dxa"/>
            <w:tcBorders>
              <w:top w:val="nil"/>
              <w:left w:val="nil"/>
              <w:bottom w:val="nil"/>
              <w:right w:val="nil"/>
            </w:tcBorders>
            <w:shd w:val="clear" w:color="000000" w:fill="FFFFFF"/>
            <w:noWrap/>
            <w:vAlign w:val="bottom"/>
          </w:tcPr>
          <w:p w14:paraId="738DABCA" w14:textId="59A6B94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-0.29</w:t>
            </w:r>
          </w:p>
        </w:tc>
        <w:tc>
          <w:tcPr>
            <w:tcW w:w="450" w:type="dxa"/>
            <w:tcBorders>
              <w:top w:val="nil"/>
              <w:left w:val="nil"/>
              <w:bottom w:val="nil"/>
              <w:right w:val="single" w:sz="4" w:space="0" w:color="auto"/>
            </w:tcBorders>
            <w:shd w:val="clear" w:color="000000" w:fill="FFFFFF"/>
            <w:noWrap/>
            <w:vAlign w:val="bottom"/>
          </w:tcPr>
          <w:p w14:paraId="1D046928" w14:textId="0BDB69F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-3.73</w:t>
            </w:r>
          </w:p>
        </w:tc>
        <w:tc>
          <w:tcPr>
            <w:tcW w:w="540" w:type="dxa"/>
            <w:tcBorders>
              <w:top w:val="nil"/>
              <w:left w:val="nil"/>
              <w:bottom w:val="nil"/>
              <w:right w:val="nil"/>
            </w:tcBorders>
            <w:shd w:val="clear" w:color="000000" w:fill="FFFFFF"/>
            <w:noWrap/>
            <w:vAlign w:val="center"/>
          </w:tcPr>
          <w:p w14:paraId="4D42F846" w14:textId="053EC14D"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D3B7FFB" w14:textId="538A680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EA97EE7" w14:textId="7FC5080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177618AC" w14:textId="44D2566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89D2D2B" w14:textId="54488CB2"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30DA8451" w14:textId="7E4A711C"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4A12EC05" w14:textId="7B87BC41" w:rsidR="005A056A" w:rsidRPr="000D3090" w:rsidRDefault="005A056A" w:rsidP="005A056A">
            <w:pPr>
              <w:spacing w:after="0" w:line="240" w:lineRule="auto"/>
              <w:jc w:val="center"/>
              <w:rPr>
                <w:color w:val="000000"/>
                <w:sz w:val="18"/>
                <w:szCs w:val="18"/>
              </w:rPr>
            </w:pPr>
            <w:r w:rsidRPr="000D3090">
              <w:rPr>
                <w:color w:val="000000"/>
                <w:sz w:val="18"/>
                <w:szCs w:val="18"/>
              </w:rPr>
              <w:t>0.10</w:t>
            </w:r>
          </w:p>
        </w:tc>
        <w:tc>
          <w:tcPr>
            <w:tcW w:w="540" w:type="dxa"/>
            <w:tcBorders>
              <w:top w:val="nil"/>
              <w:left w:val="nil"/>
              <w:bottom w:val="nil"/>
              <w:right w:val="single" w:sz="12" w:space="0" w:color="auto"/>
            </w:tcBorders>
            <w:shd w:val="clear" w:color="000000" w:fill="FFFFFF"/>
            <w:vAlign w:val="bottom"/>
          </w:tcPr>
          <w:p w14:paraId="52F5586D" w14:textId="4903D24C" w:rsidR="005A056A" w:rsidRPr="000D3090" w:rsidRDefault="005A056A" w:rsidP="005A056A">
            <w:pPr>
              <w:spacing w:after="0" w:line="240" w:lineRule="auto"/>
              <w:jc w:val="center"/>
              <w:rPr>
                <w:color w:val="000000"/>
                <w:sz w:val="18"/>
                <w:szCs w:val="18"/>
              </w:rPr>
            </w:pPr>
            <w:r w:rsidRPr="000D3090">
              <w:rPr>
                <w:color w:val="000000"/>
                <w:sz w:val="18"/>
                <w:szCs w:val="18"/>
              </w:rPr>
              <w:t>2.03</w:t>
            </w:r>
          </w:p>
        </w:tc>
        <w:tc>
          <w:tcPr>
            <w:tcW w:w="630" w:type="dxa"/>
            <w:tcBorders>
              <w:top w:val="nil"/>
              <w:left w:val="single" w:sz="12" w:space="0" w:color="auto"/>
              <w:bottom w:val="nil"/>
              <w:right w:val="nil"/>
            </w:tcBorders>
            <w:shd w:val="clear" w:color="000000" w:fill="FFFFFF"/>
            <w:vAlign w:val="bottom"/>
          </w:tcPr>
          <w:p w14:paraId="294E3AEB" w14:textId="0CEF8CB5" w:rsidR="005A056A" w:rsidRPr="000D3090" w:rsidRDefault="005A056A" w:rsidP="005A056A">
            <w:pPr>
              <w:spacing w:after="0" w:line="240" w:lineRule="auto"/>
              <w:jc w:val="center"/>
              <w:rPr>
                <w:color w:val="000000"/>
                <w:sz w:val="18"/>
                <w:szCs w:val="18"/>
              </w:rPr>
            </w:pPr>
            <w:r w:rsidRPr="000D3090">
              <w:rPr>
                <w:color w:val="000000"/>
                <w:sz w:val="18"/>
                <w:szCs w:val="18"/>
              </w:rPr>
              <w:t>0.22</w:t>
            </w:r>
          </w:p>
        </w:tc>
        <w:tc>
          <w:tcPr>
            <w:tcW w:w="542" w:type="dxa"/>
            <w:tcBorders>
              <w:top w:val="nil"/>
              <w:left w:val="nil"/>
              <w:bottom w:val="nil"/>
              <w:right w:val="single" w:sz="12" w:space="0" w:color="auto"/>
            </w:tcBorders>
            <w:shd w:val="clear" w:color="000000" w:fill="FFFFFF"/>
            <w:vAlign w:val="bottom"/>
          </w:tcPr>
          <w:p w14:paraId="393723BC" w14:textId="57D4A1AA" w:rsidR="005A056A" w:rsidRPr="000D3090" w:rsidRDefault="005A056A" w:rsidP="005A056A">
            <w:pPr>
              <w:spacing w:after="0" w:line="240" w:lineRule="auto"/>
              <w:jc w:val="center"/>
              <w:rPr>
                <w:color w:val="000000"/>
                <w:sz w:val="18"/>
                <w:szCs w:val="18"/>
              </w:rPr>
            </w:pPr>
            <w:r w:rsidRPr="000D3090">
              <w:rPr>
                <w:color w:val="000000"/>
                <w:sz w:val="18"/>
                <w:szCs w:val="18"/>
              </w:rPr>
              <w:t>7.52</w:t>
            </w:r>
          </w:p>
        </w:tc>
      </w:tr>
      <w:tr w:rsidR="003F77D0" w:rsidRPr="000D3090" w14:paraId="08AB8A55"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5D42D955" w14:textId="466F2964" w:rsidR="005A056A" w:rsidRPr="000D3090" w:rsidDel="00AF3DDB"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$100,000 - $149,999</w:t>
            </w:r>
          </w:p>
        </w:tc>
        <w:tc>
          <w:tcPr>
            <w:tcW w:w="537" w:type="dxa"/>
            <w:tcBorders>
              <w:top w:val="nil"/>
              <w:left w:val="single" w:sz="12" w:space="0" w:color="auto"/>
              <w:bottom w:val="nil"/>
            </w:tcBorders>
            <w:shd w:val="clear" w:color="000000" w:fill="FFFFFF"/>
            <w:vAlign w:val="bottom"/>
          </w:tcPr>
          <w:p w14:paraId="68987C5A" w14:textId="029F7AD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-0.33</w:t>
            </w:r>
          </w:p>
        </w:tc>
        <w:tc>
          <w:tcPr>
            <w:tcW w:w="541" w:type="dxa"/>
            <w:tcBorders>
              <w:top w:val="nil"/>
              <w:left w:val="nil"/>
              <w:bottom w:val="nil"/>
              <w:right w:val="single" w:sz="12" w:space="0" w:color="auto"/>
            </w:tcBorders>
            <w:shd w:val="clear" w:color="000000" w:fill="FFFFFF"/>
            <w:vAlign w:val="bottom"/>
          </w:tcPr>
          <w:p w14:paraId="3CE766CE" w14:textId="6A9EA48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-7.34</w:t>
            </w:r>
          </w:p>
        </w:tc>
        <w:tc>
          <w:tcPr>
            <w:tcW w:w="539" w:type="dxa"/>
            <w:tcBorders>
              <w:top w:val="nil"/>
              <w:left w:val="single" w:sz="12" w:space="0" w:color="auto"/>
              <w:bottom w:val="nil"/>
              <w:right w:val="nil"/>
            </w:tcBorders>
            <w:shd w:val="clear" w:color="000000" w:fill="FFFFFF"/>
            <w:noWrap/>
            <w:vAlign w:val="center"/>
          </w:tcPr>
          <w:p w14:paraId="145FCC13" w14:textId="05A05A4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3A24A335" w14:textId="73B4734A"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A960BD6" w14:textId="6CB7D6BD"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950D394" w14:textId="63B61069"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0CD1AF82" w14:textId="78C4843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-0.39</w:t>
            </w:r>
          </w:p>
        </w:tc>
        <w:tc>
          <w:tcPr>
            <w:tcW w:w="450" w:type="dxa"/>
            <w:tcBorders>
              <w:top w:val="nil"/>
              <w:left w:val="nil"/>
              <w:bottom w:val="nil"/>
              <w:right w:val="single" w:sz="4" w:space="0" w:color="auto"/>
            </w:tcBorders>
            <w:shd w:val="clear" w:color="000000" w:fill="FFFFFF"/>
            <w:noWrap/>
            <w:vAlign w:val="bottom"/>
          </w:tcPr>
          <w:p w14:paraId="6346C06D" w14:textId="790D517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-3.09</w:t>
            </w:r>
          </w:p>
        </w:tc>
        <w:tc>
          <w:tcPr>
            <w:tcW w:w="548" w:type="dxa"/>
            <w:tcBorders>
              <w:top w:val="nil"/>
              <w:left w:val="nil"/>
              <w:bottom w:val="nil"/>
              <w:right w:val="nil"/>
            </w:tcBorders>
            <w:shd w:val="clear" w:color="000000" w:fill="FFFFFF"/>
            <w:noWrap/>
            <w:vAlign w:val="bottom"/>
          </w:tcPr>
          <w:p w14:paraId="2C510A43" w14:textId="51A0CBE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-0.28</w:t>
            </w:r>
          </w:p>
        </w:tc>
        <w:tc>
          <w:tcPr>
            <w:tcW w:w="450" w:type="dxa"/>
            <w:tcBorders>
              <w:top w:val="nil"/>
              <w:left w:val="nil"/>
              <w:bottom w:val="nil"/>
              <w:right w:val="single" w:sz="4" w:space="0" w:color="auto"/>
            </w:tcBorders>
            <w:shd w:val="clear" w:color="000000" w:fill="FFFFFF"/>
            <w:noWrap/>
            <w:vAlign w:val="bottom"/>
          </w:tcPr>
          <w:p w14:paraId="3C037F10" w14:textId="621DE30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-2.43</w:t>
            </w:r>
          </w:p>
        </w:tc>
        <w:tc>
          <w:tcPr>
            <w:tcW w:w="540" w:type="dxa"/>
            <w:tcBorders>
              <w:top w:val="nil"/>
              <w:left w:val="nil"/>
              <w:bottom w:val="nil"/>
              <w:right w:val="nil"/>
            </w:tcBorders>
            <w:shd w:val="clear" w:color="000000" w:fill="FFFFFF"/>
            <w:noWrap/>
            <w:vAlign w:val="bottom"/>
          </w:tcPr>
          <w:p w14:paraId="6D2E50AB" w14:textId="655F62B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-0.39</w:t>
            </w:r>
          </w:p>
        </w:tc>
        <w:tc>
          <w:tcPr>
            <w:tcW w:w="450" w:type="dxa"/>
            <w:tcBorders>
              <w:top w:val="nil"/>
              <w:left w:val="nil"/>
              <w:bottom w:val="nil"/>
              <w:right w:val="single" w:sz="4" w:space="0" w:color="auto"/>
            </w:tcBorders>
            <w:shd w:val="clear" w:color="000000" w:fill="FFFFFF"/>
            <w:noWrap/>
            <w:vAlign w:val="bottom"/>
          </w:tcPr>
          <w:p w14:paraId="24D99161" w14:textId="1DE20DC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-3.98</w:t>
            </w:r>
          </w:p>
        </w:tc>
        <w:tc>
          <w:tcPr>
            <w:tcW w:w="540" w:type="dxa"/>
            <w:tcBorders>
              <w:top w:val="nil"/>
              <w:left w:val="nil"/>
              <w:bottom w:val="nil"/>
              <w:right w:val="nil"/>
            </w:tcBorders>
            <w:shd w:val="clear" w:color="000000" w:fill="FFFFFF"/>
            <w:noWrap/>
            <w:vAlign w:val="bottom"/>
          </w:tcPr>
          <w:p w14:paraId="49AB0763" w14:textId="0F49FDC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0.15</w:t>
            </w:r>
          </w:p>
        </w:tc>
        <w:tc>
          <w:tcPr>
            <w:tcW w:w="450" w:type="dxa"/>
            <w:tcBorders>
              <w:top w:val="nil"/>
              <w:left w:val="nil"/>
              <w:bottom w:val="nil"/>
              <w:right w:val="single" w:sz="4" w:space="0" w:color="auto"/>
            </w:tcBorders>
            <w:shd w:val="clear" w:color="000000" w:fill="FFFFFF"/>
            <w:noWrap/>
            <w:vAlign w:val="bottom"/>
          </w:tcPr>
          <w:p w14:paraId="41472FF1" w14:textId="1A80A4F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1.79</w:t>
            </w:r>
          </w:p>
        </w:tc>
        <w:tc>
          <w:tcPr>
            <w:tcW w:w="540" w:type="dxa"/>
            <w:tcBorders>
              <w:top w:val="nil"/>
              <w:left w:val="nil"/>
              <w:bottom w:val="nil"/>
              <w:right w:val="nil"/>
            </w:tcBorders>
            <w:shd w:val="clear" w:color="000000" w:fill="FFFFFF"/>
            <w:noWrap/>
            <w:vAlign w:val="center"/>
          </w:tcPr>
          <w:p w14:paraId="6306F542" w14:textId="4D7CE38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1CFBD479" w14:textId="4B31B2E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412E43A" w14:textId="4CA9CB65"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63CA365F" w14:textId="28ECBC5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5F94C848" w14:textId="60463579" w:rsidR="005A056A" w:rsidRPr="000D3090" w:rsidRDefault="005A056A" w:rsidP="005A056A">
            <w:pPr>
              <w:spacing w:after="0" w:line="240" w:lineRule="auto"/>
              <w:jc w:val="center"/>
              <w:rPr>
                <w:color w:val="000000"/>
                <w:sz w:val="18"/>
                <w:szCs w:val="18"/>
              </w:rPr>
            </w:pPr>
            <w:r w:rsidRPr="000D3090">
              <w:rPr>
                <w:color w:val="000000"/>
                <w:sz w:val="18"/>
                <w:szCs w:val="18"/>
              </w:rPr>
              <w:t>0.27</w:t>
            </w:r>
          </w:p>
        </w:tc>
        <w:tc>
          <w:tcPr>
            <w:tcW w:w="540" w:type="dxa"/>
            <w:tcBorders>
              <w:top w:val="nil"/>
              <w:left w:val="nil"/>
              <w:bottom w:val="nil"/>
              <w:right w:val="single" w:sz="12" w:space="0" w:color="auto"/>
            </w:tcBorders>
            <w:shd w:val="clear" w:color="000000" w:fill="FFFFFF"/>
            <w:vAlign w:val="bottom"/>
          </w:tcPr>
          <w:p w14:paraId="69D44FF7" w14:textId="08E8ED83" w:rsidR="005A056A" w:rsidRPr="000D3090" w:rsidRDefault="005A056A" w:rsidP="005A056A">
            <w:pPr>
              <w:spacing w:after="0" w:line="240" w:lineRule="auto"/>
              <w:jc w:val="center"/>
              <w:rPr>
                <w:color w:val="000000"/>
                <w:sz w:val="18"/>
                <w:szCs w:val="18"/>
              </w:rPr>
            </w:pPr>
            <w:r w:rsidRPr="000D3090">
              <w:rPr>
                <w:color w:val="000000"/>
                <w:sz w:val="18"/>
                <w:szCs w:val="18"/>
              </w:rPr>
              <w:t>5.23</w:t>
            </w:r>
          </w:p>
        </w:tc>
        <w:tc>
          <w:tcPr>
            <w:tcW w:w="630" w:type="dxa"/>
            <w:tcBorders>
              <w:top w:val="nil"/>
              <w:left w:val="single" w:sz="12" w:space="0" w:color="auto"/>
              <w:bottom w:val="nil"/>
              <w:right w:val="nil"/>
            </w:tcBorders>
            <w:shd w:val="clear" w:color="000000" w:fill="FFFFFF"/>
            <w:vAlign w:val="bottom"/>
          </w:tcPr>
          <w:p w14:paraId="110CA075" w14:textId="3BAF4709" w:rsidR="005A056A" w:rsidRPr="000D3090" w:rsidRDefault="005A056A" w:rsidP="005A056A">
            <w:pPr>
              <w:spacing w:after="0" w:line="240" w:lineRule="auto"/>
              <w:jc w:val="center"/>
              <w:rPr>
                <w:color w:val="000000"/>
                <w:sz w:val="18"/>
                <w:szCs w:val="18"/>
              </w:rPr>
            </w:pPr>
            <w:r w:rsidRPr="000D3090">
              <w:rPr>
                <w:color w:val="000000"/>
                <w:sz w:val="18"/>
                <w:szCs w:val="18"/>
              </w:rPr>
              <w:t>0.30</w:t>
            </w:r>
          </w:p>
        </w:tc>
        <w:tc>
          <w:tcPr>
            <w:tcW w:w="542" w:type="dxa"/>
            <w:tcBorders>
              <w:top w:val="nil"/>
              <w:left w:val="nil"/>
              <w:bottom w:val="nil"/>
              <w:right w:val="single" w:sz="12" w:space="0" w:color="auto"/>
            </w:tcBorders>
            <w:shd w:val="clear" w:color="000000" w:fill="FFFFFF"/>
            <w:vAlign w:val="bottom"/>
          </w:tcPr>
          <w:p w14:paraId="2C74674C" w14:textId="456B45A6" w:rsidR="005A056A" w:rsidRPr="000D3090" w:rsidRDefault="005A056A" w:rsidP="005A056A">
            <w:pPr>
              <w:spacing w:after="0" w:line="240" w:lineRule="auto"/>
              <w:jc w:val="center"/>
              <w:rPr>
                <w:color w:val="000000"/>
                <w:sz w:val="18"/>
                <w:szCs w:val="18"/>
              </w:rPr>
            </w:pPr>
            <w:r w:rsidRPr="000D3090">
              <w:rPr>
                <w:color w:val="000000"/>
                <w:sz w:val="18"/>
                <w:szCs w:val="18"/>
              </w:rPr>
              <w:t>8.97</w:t>
            </w:r>
          </w:p>
        </w:tc>
      </w:tr>
      <w:tr w:rsidR="003F77D0" w:rsidRPr="000D3090" w14:paraId="1E576D46"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042B311E" w14:textId="351251E2" w:rsidR="005A056A" w:rsidRPr="000D3090" w:rsidDel="00AF3DDB"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$150,000 - $199,999</w:t>
            </w:r>
          </w:p>
        </w:tc>
        <w:tc>
          <w:tcPr>
            <w:tcW w:w="537" w:type="dxa"/>
            <w:tcBorders>
              <w:top w:val="nil"/>
              <w:left w:val="single" w:sz="12" w:space="0" w:color="auto"/>
              <w:bottom w:val="nil"/>
            </w:tcBorders>
            <w:shd w:val="clear" w:color="000000" w:fill="FFFFFF"/>
            <w:vAlign w:val="bottom"/>
          </w:tcPr>
          <w:p w14:paraId="0807F6B0" w14:textId="4471850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-0.37</w:t>
            </w:r>
          </w:p>
        </w:tc>
        <w:tc>
          <w:tcPr>
            <w:tcW w:w="541" w:type="dxa"/>
            <w:tcBorders>
              <w:top w:val="nil"/>
              <w:left w:val="nil"/>
              <w:bottom w:val="nil"/>
              <w:right w:val="single" w:sz="12" w:space="0" w:color="auto"/>
            </w:tcBorders>
            <w:shd w:val="clear" w:color="000000" w:fill="FFFFFF"/>
            <w:vAlign w:val="bottom"/>
          </w:tcPr>
          <w:p w14:paraId="348F668D" w14:textId="23DDEC8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-5.93</w:t>
            </w:r>
          </w:p>
        </w:tc>
        <w:tc>
          <w:tcPr>
            <w:tcW w:w="539" w:type="dxa"/>
            <w:tcBorders>
              <w:top w:val="nil"/>
              <w:left w:val="single" w:sz="12" w:space="0" w:color="auto"/>
              <w:bottom w:val="nil"/>
              <w:right w:val="nil"/>
            </w:tcBorders>
            <w:shd w:val="clear" w:color="000000" w:fill="FFFFFF"/>
            <w:noWrap/>
            <w:vAlign w:val="center"/>
          </w:tcPr>
          <w:p w14:paraId="7C5DF3EE" w14:textId="1F6D54BC"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3B63E0F4" w14:textId="40586F5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1B9D546" w14:textId="1BB320B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1378FBB" w14:textId="41F9C47F"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5B91E6B4" w14:textId="33EEAFB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-0.49</w:t>
            </w:r>
          </w:p>
        </w:tc>
        <w:tc>
          <w:tcPr>
            <w:tcW w:w="450" w:type="dxa"/>
            <w:tcBorders>
              <w:top w:val="nil"/>
              <w:left w:val="nil"/>
              <w:bottom w:val="nil"/>
              <w:right w:val="single" w:sz="4" w:space="0" w:color="auto"/>
            </w:tcBorders>
            <w:shd w:val="clear" w:color="000000" w:fill="FFFFFF"/>
            <w:noWrap/>
            <w:vAlign w:val="bottom"/>
          </w:tcPr>
          <w:p w14:paraId="074C7C35" w14:textId="257674D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-3.51</w:t>
            </w:r>
          </w:p>
        </w:tc>
        <w:tc>
          <w:tcPr>
            <w:tcW w:w="548" w:type="dxa"/>
            <w:tcBorders>
              <w:top w:val="nil"/>
              <w:left w:val="nil"/>
              <w:bottom w:val="nil"/>
              <w:right w:val="nil"/>
            </w:tcBorders>
            <w:shd w:val="clear" w:color="000000" w:fill="FFFFFF"/>
            <w:noWrap/>
            <w:vAlign w:val="bottom"/>
          </w:tcPr>
          <w:p w14:paraId="1C45B78D" w14:textId="2E0B82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-0.28</w:t>
            </w:r>
          </w:p>
        </w:tc>
        <w:tc>
          <w:tcPr>
            <w:tcW w:w="450" w:type="dxa"/>
            <w:tcBorders>
              <w:top w:val="nil"/>
              <w:left w:val="nil"/>
              <w:bottom w:val="nil"/>
              <w:right w:val="single" w:sz="4" w:space="0" w:color="auto"/>
            </w:tcBorders>
            <w:shd w:val="clear" w:color="000000" w:fill="FFFFFF"/>
            <w:noWrap/>
            <w:vAlign w:val="bottom"/>
          </w:tcPr>
          <w:p w14:paraId="399F5BD6" w14:textId="629CBF2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-2.43</w:t>
            </w:r>
          </w:p>
        </w:tc>
        <w:tc>
          <w:tcPr>
            <w:tcW w:w="540" w:type="dxa"/>
            <w:tcBorders>
              <w:top w:val="nil"/>
              <w:left w:val="nil"/>
              <w:bottom w:val="nil"/>
              <w:right w:val="nil"/>
            </w:tcBorders>
            <w:shd w:val="clear" w:color="000000" w:fill="FFFFFF"/>
            <w:noWrap/>
            <w:vAlign w:val="bottom"/>
          </w:tcPr>
          <w:p w14:paraId="319302C0" w14:textId="7293592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-0.65</w:t>
            </w:r>
          </w:p>
        </w:tc>
        <w:tc>
          <w:tcPr>
            <w:tcW w:w="450" w:type="dxa"/>
            <w:tcBorders>
              <w:top w:val="nil"/>
              <w:left w:val="nil"/>
              <w:bottom w:val="nil"/>
              <w:right w:val="single" w:sz="4" w:space="0" w:color="auto"/>
            </w:tcBorders>
            <w:shd w:val="clear" w:color="000000" w:fill="FFFFFF"/>
            <w:noWrap/>
            <w:vAlign w:val="bottom"/>
          </w:tcPr>
          <w:p w14:paraId="6FDD49B4" w14:textId="55B379A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-3.90</w:t>
            </w:r>
          </w:p>
        </w:tc>
        <w:tc>
          <w:tcPr>
            <w:tcW w:w="540" w:type="dxa"/>
            <w:tcBorders>
              <w:top w:val="nil"/>
              <w:left w:val="nil"/>
              <w:bottom w:val="nil"/>
              <w:right w:val="nil"/>
            </w:tcBorders>
            <w:shd w:val="clear" w:color="000000" w:fill="FFFFFF"/>
            <w:noWrap/>
            <w:vAlign w:val="bottom"/>
          </w:tcPr>
          <w:p w14:paraId="176162F2" w14:textId="76DABB3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0.16</w:t>
            </w:r>
          </w:p>
        </w:tc>
        <w:tc>
          <w:tcPr>
            <w:tcW w:w="450" w:type="dxa"/>
            <w:tcBorders>
              <w:top w:val="nil"/>
              <w:left w:val="nil"/>
              <w:bottom w:val="nil"/>
              <w:right w:val="single" w:sz="4" w:space="0" w:color="auto"/>
            </w:tcBorders>
            <w:shd w:val="clear" w:color="000000" w:fill="FFFFFF"/>
            <w:noWrap/>
            <w:vAlign w:val="bottom"/>
          </w:tcPr>
          <w:p w14:paraId="0E1DAEC4" w14:textId="015A3D8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1.70</w:t>
            </w:r>
          </w:p>
        </w:tc>
        <w:tc>
          <w:tcPr>
            <w:tcW w:w="540" w:type="dxa"/>
            <w:tcBorders>
              <w:top w:val="nil"/>
              <w:left w:val="nil"/>
              <w:bottom w:val="nil"/>
              <w:right w:val="nil"/>
            </w:tcBorders>
            <w:shd w:val="clear" w:color="000000" w:fill="FFFFFF"/>
            <w:noWrap/>
            <w:vAlign w:val="center"/>
          </w:tcPr>
          <w:p w14:paraId="23C6484E" w14:textId="004F236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08D0AD88" w14:textId="770DDEFC"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89E020A" w14:textId="6A306F11"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70C105FB" w14:textId="5F21E1A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380F71E9" w14:textId="0E46DCD3" w:rsidR="005A056A" w:rsidRPr="000D3090" w:rsidRDefault="005A056A" w:rsidP="005A056A">
            <w:pPr>
              <w:spacing w:after="0" w:line="240" w:lineRule="auto"/>
              <w:jc w:val="center"/>
              <w:rPr>
                <w:color w:val="000000"/>
                <w:sz w:val="18"/>
                <w:szCs w:val="18"/>
              </w:rPr>
            </w:pPr>
            <w:r w:rsidRPr="000D3090">
              <w:rPr>
                <w:color w:val="000000"/>
                <w:sz w:val="18"/>
                <w:szCs w:val="18"/>
              </w:rPr>
              <w:t>0.44</w:t>
            </w:r>
          </w:p>
        </w:tc>
        <w:tc>
          <w:tcPr>
            <w:tcW w:w="540" w:type="dxa"/>
            <w:tcBorders>
              <w:top w:val="nil"/>
              <w:left w:val="nil"/>
              <w:bottom w:val="nil"/>
              <w:right w:val="single" w:sz="12" w:space="0" w:color="auto"/>
            </w:tcBorders>
            <w:shd w:val="clear" w:color="000000" w:fill="FFFFFF"/>
            <w:vAlign w:val="bottom"/>
          </w:tcPr>
          <w:p w14:paraId="4391B7B5" w14:textId="36A01E18" w:rsidR="005A056A" w:rsidRPr="000D3090" w:rsidRDefault="005A056A" w:rsidP="005A056A">
            <w:pPr>
              <w:spacing w:after="0" w:line="240" w:lineRule="auto"/>
              <w:jc w:val="center"/>
              <w:rPr>
                <w:color w:val="000000"/>
                <w:sz w:val="18"/>
                <w:szCs w:val="18"/>
              </w:rPr>
            </w:pPr>
            <w:r w:rsidRPr="000D3090">
              <w:rPr>
                <w:color w:val="000000"/>
                <w:sz w:val="18"/>
                <w:szCs w:val="18"/>
              </w:rPr>
              <w:t>7.23</w:t>
            </w:r>
          </w:p>
        </w:tc>
        <w:tc>
          <w:tcPr>
            <w:tcW w:w="630" w:type="dxa"/>
            <w:tcBorders>
              <w:top w:val="nil"/>
              <w:left w:val="single" w:sz="12" w:space="0" w:color="auto"/>
              <w:bottom w:val="nil"/>
              <w:right w:val="nil"/>
            </w:tcBorders>
            <w:shd w:val="clear" w:color="000000" w:fill="FFFFFF"/>
            <w:vAlign w:val="bottom"/>
          </w:tcPr>
          <w:p w14:paraId="48418035" w14:textId="4008B68D" w:rsidR="005A056A" w:rsidRPr="000D3090" w:rsidRDefault="005A056A" w:rsidP="005A056A">
            <w:pPr>
              <w:spacing w:after="0" w:line="240" w:lineRule="auto"/>
              <w:jc w:val="center"/>
              <w:rPr>
                <w:color w:val="000000"/>
                <w:sz w:val="18"/>
                <w:szCs w:val="18"/>
              </w:rPr>
            </w:pPr>
            <w:r w:rsidRPr="000D3090">
              <w:rPr>
                <w:color w:val="000000"/>
                <w:sz w:val="18"/>
                <w:szCs w:val="18"/>
              </w:rPr>
              <w:t>0.43</w:t>
            </w:r>
          </w:p>
        </w:tc>
        <w:tc>
          <w:tcPr>
            <w:tcW w:w="542" w:type="dxa"/>
            <w:tcBorders>
              <w:top w:val="nil"/>
              <w:left w:val="nil"/>
              <w:bottom w:val="nil"/>
              <w:right w:val="single" w:sz="12" w:space="0" w:color="auto"/>
            </w:tcBorders>
            <w:shd w:val="clear" w:color="000000" w:fill="FFFFFF"/>
            <w:vAlign w:val="bottom"/>
          </w:tcPr>
          <w:p w14:paraId="13E048D9" w14:textId="02FD940C" w:rsidR="005A056A" w:rsidRPr="000D3090" w:rsidRDefault="005A056A" w:rsidP="005A056A">
            <w:pPr>
              <w:spacing w:after="0" w:line="240" w:lineRule="auto"/>
              <w:jc w:val="center"/>
              <w:rPr>
                <w:color w:val="000000"/>
                <w:sz w:val="18"/>
                <w:szCs w:val="18"/>
              </w:rPr>
            </w:pPr>
            <w:r w:rsidRPr="000D3090">
              <w:rPr>
                <w:color w:val="000000"/>
                <w:sz w:val="18"/>
                <w:szCs w:val="18"/>
              </w:rPr>
              <w:t>10.08</w:t>
            </w:r>
          </w:p>
        </w:tc>
      </w:tr>
      <w:tr w:rsidR="003F77D0" w:rsidRPr="000D3090" w14:paraId="7F2821B7" w14:textId="77777777" w:rsidTr="007F217B">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77BA9B68" w14:textId="40ACD500" w:rsidR="005A056A" w:rsidRPr="000D3090" w:rsidDel="00AF3DDB"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$200,000+</w:t>
            </w:r>
          </w:p>
        </w:tc>
        <w:tc>
          <w:tcPr>
            <w:tcW w:w="537" w:type="dxa"/>
            <w:tcBorders>
              <w:top w:val="nil"/>
              <w:left w:val="single" w:sz="12" w:space="0" w:color="auto"/>
              <w:bottom w:val="nil"/>
            </w:tcBorders>
            <w:shd w:val="clear" w:color="000000" w:fill="FFFFFF"/>
            <w:vAlign w:val="bottom"/>
          </w:tcPr>
          <w:p w14:paraId="4CE8DE17" w14:textId="01C83CF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-0.39</w:t>
            </w:r>
          </w:p>
        </w:tc>
        <w:tc>
          <w:tcPr>
            <w:tcW w:w="541" w:type="dxa"/>
            <w:tcBorders>
              <w:top w:val="nil"/>
              <w:left w:val="nil"/>
              <w:bottom w:val="nil"/>
              <w:right w:val="single" w:sz="12" w:space="0" w:color="auto"/>
            </w:tcBorders>
            <w:shd w:val="clear" w:color="000000" w:fill="FFFFFF"/>
            <w:vAlign w:val="bottom"/>
          </w:tcPr>
          <w:p w14:paraId="1C9CF532" w14:textId="4ED94F4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-6.49</w:t>
            </w:r>
          </w:p>
        </w:tc>
        <w:tc>
          <w:tcPr>
            <w:tcW w:w="539" w:type="dxa"/>
            <w:tcBorders>
              <w:top w:val="nil"/>
              <w:left w:val="single" w:sz="12" w:space="0" w:color="auto"/>
              <w:bottom w:val="nil"/>
              <w:right w:val="nil"/>
            </w:tcBorders>
            <w:shd w:val="clear" w:color="000000" w:fill="FFFFFF"/>
            <w:noWrap/>
            <w:vAlign w:val="center"/>
          </w:tcPr>
          <w:p w14:paraId="4C7734AA" w14:textId="196E065E"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142C2BC3" w14:textId="2CF6F54E"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D978EAF" w14:textId="192D6ACF"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A49CE47" w14:textId="7E6746E3"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3C7B59A0" w14:textId="1D981ED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-0.49</w:t>
            </w:r>
          </w:p>
        </w:tc>
        <w:tc>
          <w:tcPr>
            <w:tcW w:w="450" w:type="dxa"/>
            <w:tcBorders>
              <w:top w:val="nil"/>
              <w:left w:val="nil"/>
              <w:bottom w:val="nil"/>
              <w:right w:val="single" w:sz="4" w:space="0" w:color="auto"/>
            </w:tcBorders>
            <w:shd w:val="clear" w:color="000000" w:fill="FFFFFF"/>
            <w:noWrap/>
            <w:vAlign w:val="bottom"/>
          </w:tcPr>
          <w:p w14:paraId="632A352D" w14:textId="14C631F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-3.51</w:t>
            </w:r>
          </w:p>
        </w:tc>
        <w:tc>
          <w:tcPr>
            <w:tcW w:w="548" w:type="dxa"/>
            <w:tcBorders>
              <w:top w:val="nil"/>
              <w:left w:val="nil"/>
              <w:bottom w:val="nil"/>
              <w:right w:val="nil"/>
            </w:tcBorders>
            <w:shd w:val="clear" w:color="000000" w:fill="FFFFFF"/>
            <w:noWrap/>
            <w:vAlign w:val="bottom"/>
          </w:tcPr>
          <w:p w14:paraId="6546E852" w14:textId="424C427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-0.28</w:t>
            </w:r>
          </w:p>
        </w:tc>
        <w:tc>
          <w:tcPr>
            <w:tcW w:w="450" w:type="dxa"/>
            <w:tcBorders>
              <w:top w:val="nil"/>
              <w:left w:val="nil"/>
              <w:bottom w:val="nil"/>
              <w:right w:val="single" w:sz="4" w:space="0" w:color="auto"/>
            </w:tcBorders>
            <w:shd w:val="clear" w:color="000000" w:fill="FFFFFF"/>
            <w:noWrap/>
            <w:vAlign w:val="bottom"/>
          </w:tcPr>
          <w:p w14:paraId="6C4B7DFC" w14:textId="0C6C9A2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-2.43</w:t>
            </w:r>
          </w:p>
        </w:tc>
        <w:tc>
          <w:tcPr>
            <w:tcW w:w="540" w:type="dxa"/>
            <w:tcBorders>
              <w:top w:val="nil"/>
              <w:left w:val="nil"/>
              <w:bottom w:val="nil"/>
              <w:right w:val="nil"/>
            </w:tcBorders>
            <w:shd w:val="clear" w:color="000000" w:fill="FFFFFF"/>
            <w:noWrap/>
            <w:vAlign w:val="bottom"/>
          </w:tcPr>
          <w:p w14:paraId="272D117A" w14:textId="2CD11AD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-0.78</w:t>
            </w:r>
          </w:p>
        </w:tc>
        <w:tc>
          <w:tcPr>
            <w:tcW w:w="450" w:type="dxa"/>
            <w:tcBorders>
              <w:top w:val="nil"/>
              <w:left w:val="nil"/>
              <w:bottom w:val="nil"/>
              <w:right w:val="single" w:sz="4" w:space="0" w:color="auto"/>
            </w:tcBorders>
            <w:shd w:val="clear" w:color="000000" w:fill="FFFFFF"/>
            <w:noWrap/>
            <w:vAlign w:val="bottom"/>
          </w:tcPr>
          <w:p w14:paraId="07044293" w14:textId="7C6AB73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-4.62</w:t>
            </w:r>
          </w:p>
        </w:tc>
        <w:tc>
          <w:tcPr>
            <w:tcW w:w="540" w:type="dxa"/>
            <w:tcBorders>
              <w:top w:val="nil"/>
              <w:left w:val="nil"/>
              <w:bottom w:val="nil"/>
              <w:right w:val="nil"/>
            </w:tcBorders>
            <w:shd w:val="clear" w:color="000000" w:fill="FFFFFF"/>
            <w:noWrap/>
            <w:vAlign w:val="bottom"/>
          </w:tcPr>
          <w:p w14:paraId="497ABF4B" w14:textId="14C5E83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0.16</w:t>
            </w:r>
          </w:p>
        </w:tc>
        <w:tc>
          <w:tcPr>
            <w:tcW w:w="450" w:type="dxa"/>
            <w:tcBorders>
              <w:top w:val="nil"/>
              <w:left w:val="nil"/>
              <w:bottom w:val="nil"/>
              <w:right w:val="single" w:sz="4" w:space="0" w:color="auto"/>
            </w:tcBorders>
            <w:shd w:val="clear" w:color="000000" w:fill="FFFFFF"/>
            <w:noWrap/>
            <w:vAlign w:val="bottom"/>
          </w:tcPr>
          <w:p w14:paraId="05097B70" w14:textId="04F67BC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1.70</w:t>
            </w:r>
          </w:p>
        </w:tc>
        <w:tc>
          <w:tcPr>
            <w:tcW w:w="540" w:type="dxa"/>
            <w:tcBorders>
              <w:top w:val="nil"/>
              <w:left w:val="nil"/>
              <w:bottom w:val="nil"/>
              <w:right w:val="nil"/>
            </w:tcBorders>
            <w:shd w:val="clear" w:color="000000" w:fill="FFFFFF"/>
            <w:noWrap/>
            <w:vAlign w:val="center"/>
          </w:tcPr>
          <w:p w14:paraId="57D12D56" w14:textId="5D8E9190"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0EC5182F" w14:textId="41732498"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A3D71AE" w14:textId="794FA88B"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623EF94D" w14:textId="0001C7B9"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24EED7B1" w14:textId="5CABBA35" w:rsidR="005A056A" w:rsidRPr="000D3090" w:rsidRDefault="005A056A" w:rsidP="005A056A">
            <w:pPr>
              <w:spacing w:after="0" w:line="240" w:lineRule="auto"/>
              <w:jc w:val="center"/>
              <w:rPr>
                <w:color w:val="000000"/>
                <w:sz w:val="18"/>
                <w:szCs w:val="18"/>
              </w:rPr>
            </w:pPr>
            <w:r w:rsidRPr="000D3090">
              <w:rPr>
                <w:color w:val="000000"/>
                <w:sz w:val="18"/>
                <w:szCs w:val="18"/>
              </w:rPr>
              <w:t>0.51</w:t>
            </w:r>
          </w:p>
        </w:tc>
        <w:tc>
          <w:tcPr>
            <w:tcW w:w="540" w:type="dxa"/>
            <w:tcBorders>
              <w:top w:val="nil"/>
              <w:left w:val="nil"/>
              <w:bottom w:val="nil"/>
              <w:right w:val="single" w:sz="12" w:space="0" w:color="auto"/>
            </w:tcBorders>
            <w:shd w:val="clear" w:color="000000" w:fill="FFFFFF"/>
            <w:vAlign w:val="bottom"/>
          </w:tcPr>
          <w:p w14:paraId="79D5572C" w14:textId="59B06A56" w:rsidR="005A056A" w:rsidRPr="000D3090" w:rsidRDefault="005A056A" w:rsidP="005A056A">
            <w:pPr>
              <w:spacing w:after="0" w:line="240" w:lineRule="auto"/>
              <w:jc w:val="center"/>
              <w:rPr>
                <w:color w:val="000000"/>
                <w:sz w:val="18"/>
                <w:szCs w:val="18"/>
              </w:rPr>
            </w:pPr>
            <w:r w:rsidRPr="000D3090">
              <w:rPr>
                <w:color w:val="000000"/>
                <w:sz w:val="18"/>
                <w:szCs w:val="18"/>
              </w:rPr>
              <w:t>8.57</w:t>
            </w:r>
          </w:p>
        </w:tc>
        <w:tc>
          <w:tcPr>
            <w:tcW w:w="630" w:type="dxa"/>
            <w:tcBorders>
              <w:top w:val="nil"/>
              <w:left w:val="single" w:sz="12" w:space="0" w:color="auto"/>
              <w:bottom w:val="nil"/>
              <w:right w:val="nil"/>
            </w:tcBorders>
            <w:shd w:val="clear" w:color="000000" w:fill="FFFFFF"/>
            <w:vAlign w:val="bottom"/>
          </w:tcPr>
          <w:p w14:paraId="087E23D5" w14:textId="0FD96F3E" w:rsidR="005A056A" w:rsidRPr="000D3090" w:rsidRDefault="005A056A" w:rsidP="005A056A">
            <w:pPr>
              <w:spacing w:after="0" w:line="240" w:lineRule="auto"/>
              <w:jc w:val="center"/>
              <w:rPr>
                <w:color w:val="000000"/>
                <w:sz w:val="18"/>
                <w:szCs w:val="18"/>
              </w:rPr>
            </w:pPr>
            <w:r w:rsidRPr="000D3090">
              <w:rPr>
                <w:color w:val="000000"/>
                <w:sz w:val="18"/>
                <w:szCs w:val="18"/>
              </w:rPr>
              <w:t>0.53</w:t>
            </w:r>
          </w:p>
        </w:tc>
        <w:tc>
          <w:tcPr>
            <w:tcW w:w="542" w:type="dxa"/>
            <w:tcBorders>
              <w:top w:val="nil"/>
              <w:left w:val="nil"/>
              <w:bottom w:val="nil"/>
              <w:right w:val="single" w:sz="12" w:space="0" w:color="auto"/>
            </w:tcBorders>
            <w:shd w:val="clear" w:color="000000" w:fill="FFFFFF"/>
            <w:vAlign w:val="bottom"/>
          </w:tcPr>
          <w:p w14:paraId="6A3144C5" w14:textId="7EBCC66E" w:rsidR="005A056A" w:rsidRPr="000D3090" w:rsidRDefault="005A056A" w:rsidP="005A056A">
            <w:pPr>
              <w:spacing w:after="0" w:line="240" w:lineRule="auto"/>
              <w:jc w:val="center"/>
              <w:rPr>
                <w:color w:val="000000"/>
                <w:sz w:val="18"/>
                <w:szCs w:val="18"/>
              </w:rPr>
            </w:pPr>
            <w:r w:rsidRPr="000D3090">
              <w:rPr>
                <w:color w:val="000000"/>
                <w:sz w:val="18"/>
                <w:szCs w:val="18"/>
              </w:rPr>
              <w:t>13.34</w:t>
            </w:r>
          </w:p>
        </w:tc>
      </w:tr>
      <w:tr w:rsidR="003F77D0" w:rsidRPr="000D3090" w14:paraId="3C3D6A01" w14:textId="77777777" w:rsidTr="00190696">
        <w:trPr>
          <w:trHeight w:val="20"/>
          <w:jc w:val="center"/>
        </w:trPr>
        <w:tc>
          <w:tcPr>
            <w:tcW w:w="2411" w:type="dxa"/>
            <w:tcBorders>
              <w:top w:val="nil"/>
              <w:left w:val="single" w:sz="12" w:space="0" w:color="auto"/>
              <w:right w:val="single" w:sz="12" w:space="0" w:color="auto"/>
            </w:tcBorders>
            <w:shd w:val="clear" w:color="000000" w:fill="FFFFFF"/>
            <w:noWrap/>
            <w:vAlign w:val="bottom"/>
          </w:tcPr>
          <w:p w14:paraId="3DFC416E" w14:textId="397CEA0F" w:rsidR="00561791" w:rsidRPr="000D3090" w:rsidDel="00AF3DDB" w:rsidRDefault="00561791" w:rsidP="00561791">
            <w:pPr>
              <w:spacing w:after="0" w:line="240" w:lineRule="auto"/>
              <w:rPr>
                <w:rFonts w:eastAsia="Times New Roman"/>
                <w:b/>
                <w:bCs/>
                <w:color w:val="000000"/>
                <w:sz w:val="18"/>
                <w:szCs w:val="18"/>
              </w:rPr>
            </w:pPr>
            <w:r w:rsidRPr="000D3090">
              <w:rPr>
                <w:rFonts w:eastAsia="Times New Roman"/>
                <w:color w:val="000000"/>
                <w:sz w:val="18"/>
                <w:szCs w:val="18"/>
              </w:rPr>
              <w:t>Home Ownership (Own home)</w:t>
            </w:r>
          </w:p>
        </w:tc>
        <w:tc>
          <w:tcPr>
            <w:tcW w:w="537" w:type="dxa"/>
            <w:tcBorders>
              <w:top w:val="nil"/>
              <w:left w:val="single" w:sz="12" w:space="0" w:color="auto"/>
            </w:tcBorders>
            <w:shd w:val="clear" w:color="000000" w:fill="FFFFFF"/>
          </w:tcPr>
          <w:p w14:paraId="1166E34B" w14:textId="77777777" w:rsidR="00561791" w:rsidRPr="000D3090" w:rsidRDefault="00561791" w:rsidP="00561791">
            <w:pPr>
              <w:spacing w:after="0" w:line="240" w:lineRule="auto"/>
              <w:jc w:val="center"/>
              <w:rPr>
                <w:rFonts w:eastAsia="Times New Roman"/>
                <w:color w:val="000000"/>
                <w:sz w:val="18"/>
                <w:szCs w:val="18"/>
              </w:rPr>
            </w:pPr>
          </w:p>
        </w:tc>
        <w:tc>
          <w:tcPr>
            <w:tcW w:w="541" w:type="dxa"/>
            <w:tcBorders>
              <w:top w:val="nil"/>
              <w:left w:val="nil"/>
              <w:right w:val="single" w:sz="12" w:space="0" w:color="auto"/>
            </w:tcBorders>
            <w:shd w:val="clear" w:color="000000" w:fill="FFFFFF"/>
          </w:tcPr>
          <w:p w14:paraId="332A6EEB" w14:textId="77777777" w:rsidR="00561791" w:rsidRPr="000D3090" w:rsidRDefault="00561791" w:rsidP="00561791">
            <w:pPr>
              <w:spacing w:after="0" w:line="240" w:lineRule="auto"/>
              <w:jc w:val="center"/>
              <w:rPr>
                <w:rFonts w:eastAsia="Times New Roman"/>
                <w:color w:val="000000"/>
                <w:sz w:val="18"/>
                <w:szCs w:val="18"/>
              </w:rPr>
            </w:pPr>
          </w:p>
        </w:tc>
        <w:tc>
          <w:tcPr>
            <w:tcW w:w="539" w:type="dxa"/>
            <w:tcBorders>
              <w:top w:val="nil"/>
              <w:left w:val="single" w:sz="12" w:space="0" w:color="auto"/>
              <w:right w:val="nil"/>
            </w:tcBorders>
            <w:shd w:val="clear" w:color="000000" w:fill="FFFFFF"/>
            <w:noWrap/>
            <w:vAlign w:val="center"/>
          </w:tcPr>
          <w:p w14:paraId="7DEDE976" w14:textId="082C12E6"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right w:val="single" w:sz="4" w:space="0" w:color="auto"/>
            </w:tcBorders>
            <w:shd w:val="clear" w:color="000000" w:fill="FFFFFF"/>
            <w:noWrap/>
            <w:vAlign w:val="center"/>
          </w:tcPr>
          <w:p w14:paraId="2B2247A2" w14:textId="1DDDC60B"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D22DDC1" w14:textId="60034838"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1DA20F08" w14:textId="78F67D55"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6D27582E" w14:textId="233322C9"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196ED858" w14:textId="7BCA4B10"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right w:val="nil"/>
            </w:tcBorders>
            <w:shd w:val="clear" w:color="000000" w:fill="FFFFFF"/>
            <w:noWrap/>
            <w:vAlign w:val="bottom"/>
          </w:tcPr>
          <w:p w14:paraId="4C6E76B8" w14:textId="49F0DF46" w:rsidR="00561791" w:rsidRPr="000D3090" w:rsidRDefault="00561791" w:rsidP="00561791">
            <w:pPr>
              <w:spacing w:after="0" w:line="240" w:lineRule="auto"/>
              <w:jc w:val="center"/>
              <w:rPr>
                <w:rFonts w:eastAsia="Times New Roman"/>
                <w:color w:val="000000"/>
                <w:sz w:val="18"/>
                <w:szCs w:val="18"/>
              </w:rPr>
            </w:pPr>
          </w:p>
        </w:tc>
        <w:tc>
          <w:tcPr>
            <w:tcW w:w="450" w:type="dxa"/>
            <w:tcBorders>
              <w:top w:val="nil"/>
              <w:left w:val="nil"/>
              <w:right w:val="single" w:sz="4" w:space="0" w:color="auto"/>
            </w:tcBorders>
            <w:shd w:val="clear" w:color="000000" w:fill="FFFFFF"/>
            <w:noWrap/>
            <w:vAlign w:val="bottom"/>
          </w:tcPr>
          <w:p w14:paraId="44CD4703" w14:textId="0D4923D8" w:rsidR="00561791" w:rsidRPr="000D3090" w:rsidRDefault="00561791" w:rsidP="00561791">
            <w:pPr>
              <w:spacing w:after="0" w:line="240" w:lineRule="auto"/>
              <w:jc w:val="center"/>
              <w:rPr>
                <w:rFonts w:eastAsia="Times New Roman"/>
                <w:color w:val="000000"/>
                <w:sz w:val="18"/>
                <w:szCs w:val="18"/>
              </w:rPr>
            </w:pPr>
          </w:p>
        </w:tc>
        <w:tc>
          <w:tcPr>
            <w:tcW w:w="540" w:type="dxa"/>
            <w:tcBorders>
              <w:top w:val="nil"/>
              <w:left w:val="nil"/>
              <w:right w:val="nil"/>
            </w:tcBorders>
            <w:shd w:val="clear" w:color="000000" w:fill="FFFFFF"/>
            <w:noWrap/>
            <w:vAlign w:val="center"/>
          </w:tcPr>
          <w:p w14:paraId="122A1396" w14:textId="1AAEA10C"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733E1EA2" w14:textId="38650321"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312A0F15" w14:textId="1635E48E"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35917790" w14:textId="2C8DCDB7"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28A4AE79" w14:textId="5719ACD0"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right w:val="single" w:sz="4" w:space="0" w:color="auto"/>
            </w:tcBorders>
            <w:shd w:val="clear" w:color="000000" w:fill="FFFFFF"/>
            <w:noWrap/>
            <w:vAlign w:val="center"/>
          </w:tcPr>
          <w:p w14:paraId="50C625A8" w14:textId="0F077E68"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C9F85BB" w14:textId="2D892344"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right w:val="single" w:sz="12" w:space="0" w:color="auto"/>
            </w:tcBorders>
            <w:shd w:val="clear" w:color="000000" w:fill="FFFFFF"/>
            <w:noWrap/>
            <w:vAlign w:val="center"/>
          </w:tcPr>
          <w:p w14:paraId="6EDA3FC1" w14:textId="011AA61F" w:rsidR="00561791" w:rsidRPr="000D3090" w:rsidRDefault="00561791" w:rsidP="00561791">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tcPr>
          <w:p w14:paraId="45CCD3BD" w14:textId="77777777" w:rsidR="00561791" w:rsidRPr="000D3090" w:rsidRDefault="00561791" w:rsidP="00561791">
            <w:pPr>
              <w:spacing w:after="0" w:line="240" w:lineRule="auto"/>
              <w:jc w:val="center"/>
              <w:rPr>
                <w:color w:val="000000"/>
                <w:sz w:val="18"/>
                <w:szCs w:val="18"/>
              </w:rPr>
            </w:pPr>
          </w:p>
        </w:tc>
        <w:tc>
          <w:tcPr>
            <w:tcW w:w="540" w:type="dxa"/>
            <w:tcBorders>
              <w:top w:val="nil"/>
              <w:left w:val="nil"/>
              <w:right w:val="single" w:sz="12" w:space="0" w:color="auto"/>
            </w:tcBorders>
            <w:shd w:val="clear" w:color="000000" w:fill="FFFFFF"/>
          </w:tcPr>
          <w:p w14:paraId="5DE3C09E" w14:textId="77777777" w:rsidR="00561791" w:rsidRPr="000D3090" w:rsidRDefault="00561791" w:rsidP="00561791">
            <w:pPr>
              <w:spacing w:after="0" w:line="240" w:lineRule="auto"/>
              <w:jc w:val="center"/>
              <w:rPr>
                <w:color w:val="000000"/>
                <w:sz w:val="18"/>
                <w:szCs w:val="18"/>
              </w:rPr>
            </w:pPr>
          </w:p>
        </w:tc>
        <w:tc>
          <w:tcPr>
            <w:tcW w:w="630" w:type="dxa"/>
            <w:tcBorders>
              <w:top w:val="nil"/>
              <w:left w:val="single" w:sz="12" w:space="0" w:color="auto"/>
              <w:right w:val="nil"/>
            </w:tcBorders>
            <w:shd w:val="clear" w:color="000000" w:fill="FFFFFF"/>
          </w:tcPr>
          <w:p w14:paraId="056147C4" w14:textId="77777777" w:rsidR="00561791" w:rsidRPr="000D3090" w:rsidRDefault="00561791" w:rsidP="00561791">
            <w:pPr>
              <w:spacing w:after="0" w:line="240" w:lineRule="auto"/>
              <w:jc w:val="center"/>
              <w:rPr>
                <w:color w:val="000000"/>
                <w:sz w:val="18"/>
                <w:szCs w:val="18"/>
              </w:rPr>
            </w:pPr>
          </w:p>
        </w:tc>
        <w:tc>
          <w:tcPr>
            <w:tcW w:w="542" w:type="dxa"/>
            <w:tcBorders>
              <w:top w:val="nil"/>
              <w:left w:val="nil"/>
              <w:right w:val="single" w:sz="12" w:space="0" w:color="auto"/>
            </w:tcBorders>
            <w:shd w:val="clear" w:color="000000" w:fill="FFFFFF"/>
          </w:tcPr>
          <w:p w14:paraId="000ADFEE" w14:textId="77777777" w:rsidR="00561791" w:rsidRPr="000D3090" w:rsidRDefault="00561791" w:rsidP="00561791">
            <w:pPr>
              <w:spacing w:after="0" w:line="240" w:lineRule="auto"/>
              <w:jc w:val="center"/>
              <w:rPr>
                <w:color w:val="000000"/>
                <w:sz w:val="18"/>
                <w:szCs w:val="18"/>
              </w:rPr>
            </w:pPr>
          </w:p>
        </w:tc>
      </w:tr>
      <w:tr w:rsidR="003F77D0" w:rsidRPr="000D3090" w14:paraId="5DF03701" w14:textId="77777777" w:rsidTr="00190696">
        <w:trPr>
          <w:trHeight w:val="20"/>
          <w:jc w:val="center"/>
        </w:trPr>
        <w:tc>
          <w:tcPr>
            <w:tcW w:w="2411" w:type="dxa"/>
            <w:tcBorders>
              <w:top w:val="nil"/>
              <w:left w:val="single" w:sz="12" w:space="0" w:color="auto"/>
              <w:bottom w:val="single" w:sz="4" w:space="0" w:color="auto"/>
              <w:right w:val="single" w:sz="12" w:space="0" w:color="auto"/>
            </w:tcBorders>
            <w:shd w:val="clear" w:color="000000" w:fill="FFFFFF"/>
            <w:noWrap/>
            <w:vAlign w:val="bottom"/>
          </w:tcPr>
          <w:p w14:paraId="67A70F89" w14:textId="7663B280" w:rsidR="004B6CD2" w:rsidRPr="000D3090" w:rsidDel="00AF3DDB" w:rsidRDefault="004B6CD2" w:rsidP="004B6CD2">
            <w:pPr>
              <w:spacing w:after="0" w:line="240" w:lineRule="auto"/>
              <w:rPr>
                <w:rFonts w:eastAsia="Times New Roman"/>
                <w:b/>
                <w:bCs/>
                <w:color w:val="000000"/>
                <w:sz w:val="18"/>
                <w:szCs w:val="18"/>
              </w:rPr>
            </w:pPr>
            <w:r w:rsidRPr="000D3090">
              <w:rPr>
                <w:rFonts w:eastAsia="Times New Roman"/>
                <w:color w:val="000000"/>
                <w:sz w:val="18"/>
                <w:szCs w:val="18"/>
              </w:rPr>
              <w:t xml:space="preserve">     Rent</w:t>
            </w:r>
          </w:p>
        </w:tc>
        <w:tc>
          <w:tcPr>
            <w:tcW w:w="537" w:type="dxa"/>
            <w:tcBorders>
              <w:top w:val="nil"/>
              <w:left w:val="single" w:sz="12" w:space="0" w:color="auto"/>
              <w:bottom w:val="single" w:sz="4" w:space="0" w:color="auto"/>
            </w:tcBorders>
            <w:shd w:val="clear" w:color="000000" w:fill="FFFFFF"/>
            <w:vAlign w:val="bottom"/>
          </w:tcPr>
          <w:p w14:paraId="0F0BF44E" w14:textId="549A3B15"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0.09</w:t>
            </w:r>
          </w:p>
        </w:tc>
        <w:tc>
          <w:tcPr>
            <w:tcW w:w="541" w:type="dxa"/>
            <w:tcBorders>
              <w:top w:val="nil"/>
              <w:left w:val="nil"/>
              <w:bottom w:val="single" w:sz="4" w:space="0" w:color="auto"/>
              <w:right w:val="single" w:sz="12" w:space="0" w:color="auto"/>
            </w:tcBorders>
            <w:shd w:val="clear" w:color="000000" w:fill="FFFFFF"/>
            <w:vAlign w:val="bottom"/>
          </w:tcPr>
          <w:p w14:paraId="58A81FA3" w14:textId="20D4333B"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2.49</w:t>
            </w:r>
          </w:p>
        </w:tc>
        <w:tc>
          <w:tcPr>
            <w:tcW w:w="539" w:type="dxa"/>
            <w:tcBorders>
              <w:top w:val="nil"/>
              <w:left w:val="single" w:sz="12" w:space="0" w:color="auto"/>
              <w:bottom w:val="single" w:sz="4" w:space="0" w:color="auto"/>
              <w:right w:val="nil"/>
            </w:tcBorders>
            <w:shd w:val="clear" w:color="000000" w:fill="FFFFFF"/>
            <w:noWrap/>
            <w:vAlign w:val="bottom"/>
          </w:tcPr>
          <w:p w14:paraId="44D29F1C" w14:textId="4A4E7AAA"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0.22</w:t>
            </w:r>
          </w:p>
        </w:tc>
        <w:tc>
          <w:tcPr>
            <w:tcW w:w="449" w:type="dxa"/>
            <w:tcBorders>
              <w:top w:val="nil"/>
              <w:left w:val="nil"/>
              <w:bottom w:val="single" w:sz="4" w:space="0" w:color="auto"/>
              <w:right w:val="single" w:sz="4" w:space="0" w:color="auto"/>
            </w:tcBorders>
            <w:shd w:val="clear" w:color="000000" w:fill="FFFFFF"/>
            <w:noWrap/>
            <w:vAlign w:val="bottom"/>
          </w:tcPr>
          <w:p w14:paraId="5F2EC86A" w14:textId="7750C1E5"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2.45</w:t>
            </w:r>
          </w:p>
        </w:tc>
        <w:tc>
          <w:tcPr>
            <w:tcW w:w="540" w:type="dxa"/>
            <w:tcBorders>
              <w:top w:val="nil"/>
              <w:left w:val="nil"/>
              <w:bottom w:val="single" w:sz="4" w:space="0" w:color="auto"/>
              <w:right w:val="nil"/>
            </w:tcBorders>
            <w:shd w:val="clear" w:color="000000" w:fill="FFFFFF"/>
            <w:noWrap/>
            <w:vAlign w:val="center"/>
          </w:tcPr>
          <w:p w14:paraId="20CB8325" w14:textId="5D71B5B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4" w:space="0" w:color="auto"/>
              <w:right w:val="single" w:sz="4" w:space="0" w:color="auto"/>
            </w:tcBorders>
            <w:shd w:val="clear" w:color="000000" w:fill="FFFFFF"/>
            <w:noWrap/>
            <w:vAlign w:val="center"/>
          </w:tcPr>
          <w:p w14:paraId="3A72E6DA" w14:textId="6E551F25"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bottom"/>
          </w:tcPr>
          <w:p w14:paraId="650F0CD0" w14:textId="16AA424B"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0.24</w:t>
            </w:r>
          </w:p>
        </w:tc>
        <w:tc>
          <w:tcPr>
            <w:tcW w:w="450" w:type="dxa"/>
            <w:tcBorders>
              <w:top w:val="nil"/>
              <w:left w:val="nil"/>
              <w:bottom w:val="single" w:sz="4" w:space="0" w:color="auto"/>
              <w:right w:val="single" w:sz="4" w:space="0" w:color="auto"/>
            </w:tcBorders>
            <w:shd w:val="clear" w:color="000000" w:fill="FFFFFF"/>
            <w:noWrap/>
            <w:vAlign w:val="bottom"/>
          </w:tcPr>
          <w:p w14:paraId="0D6B7CAE" w14:textId="3F1033CA"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2.66</w:t>
            </w:r>
          </w:p>
        </w:tc>
        <w:tc>
          <w:tcPr>
            <w:tcW w:w="548" w:type="dxa"/>
            <w:tcBorders>
              <w:top w:val="nil"/>
              <w:left w:val="nil"/>
              <w:bottom w:val="single" w:sz="4" w:space="0" w:color="auto"/>
              <w:right w:val="nil"/>
            </w:tcBorders>
            <w:shd w:val="clear" w:color="000000" w:fill="FFFFFF"/>
            <w:noWrap/>
            <w:vAlign w:val="bottom"/>
          </w:tcPr>
          <w:p w14:paraId="6F9ACF03" w14:textId="1CE82D3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0.26</w:t>
            </w:r>
          </w:p>
        </w:tc>
        <w:tc>
          <w:tcPr>
            <w:tcW w:w="450" w:type="dxa"/>
            <w:tcBorders>
              <w:top w:val="nil"/>
              <w:left w:val="nil"/>
              <w:bottom w:val="single" w:sz="4" w:space="0" w:color="auto"/>
              <w:right w:val="single" w:sz="4" w:space="0" w:color="auto"/>
            </w:tcBorders>
            <w:shd w:val="clear" w:color="000000" w:fill="FFFFFF"/>
            <w:noWrap/>
            <w:vAlign w:val="bottom"/>
          </w:tcPr>
          <w:p w14:paraId="2104A1F3" w14:textId="60CA34A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2.73</w:t>
            </w:r>
          </w:p>
        </w:tc>
        <w:tc>
          <w:tcPr>
            <w:tcW w:w="540" w:type="dxa"/>
            <w:tcBorders>
              <w:top w:val="nil"/>
              <w:left w:val="nil"/>
              <w:bottom w:val="single" w:sz="4" w:space="0" w:color="auto"/>
              <w:right w:val="nil"/>
            </w:tcBorders>
            <w:shd w:val="clear" w:color="000000" w:fill="FFFFFF"/>
            <w:noWrap/>
            <w:vAlign w:val="bottom"/>
          </w:tcPr>
          <w:p w14:paraId="49C5A47E" w14:textId="48F2917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0.20</w:t>
            </w:r>
          </w:p>
        </w:tc>
        <w:tc>
          <w:tcPr>
            <w:tcW w:w="450" w:type="dxa"/>
            <w:tcBorders>
              <w:top w:val="nil"/>
              <w:left w:val="nil"/>
              <w:bottom w:val="single" w:sz="4" w:space="0" w:color="auto"/>
              <w:right w:val="single" w:sz="4" w:space="0" w:color="auto"/>
            </w:tcBorders>
            <w:shd w:val="clear" w:color="000000" w:fill="FFFFFF"/>
            <w:noWrap/>
            <w:vAlign w:val="bottom"/>
          </w:tcPr>
          <w:p w14:paraId="3E445EF9" w14:textId="6DA7012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2.63</w:t>
            </w:r>
          </w:p>
        </w:tc>
        <w:tc>
          <w:tcPr>
            <w:tcW w:w="540" w:type="dxa"/>
            <w:tcBorders>
              <w:top w:val="nil"/>
              <w:left w:val="nil"/>
              <w:bottom w:val="single" w:sz="4" w:space="0" w:color="auto"/>
              <w:right w:val="nil"/>
            </w:tcBorders>
            <w:shd w:val="clear" w:color="000000" w:fill="FFFFFF"/>
            <w:noWrap/>
            <w:vAlign w:val="center"/>
          </w:tcPr>
          <w:p w14:paraId="5FFC5132" w14:textId="2CA4E2AE"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4" w:space="0" w:color="auto"/>
              <w:right w:val="single" w:sz="4" w:space="0" w:color="auto"/>
            </w:tcBorders>
            <w:shd w:val="clear" w:color="000000" w:fill="FFFFFF"/>
            <w:noWrap/>
            <w:vAlign w:val="center"/>
          </w:tcPr>
          <w:p w14:paraId="6DC3C3BA" w14:textId="4C9902B4"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noWrap/>
            <w:vAlign w:val="bottom"/>
          </w:tcPr>
          <w:p w14:paraId="0A38AB3D" w14:textId="5F31E37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-0.16</w:t>
            </w:r>
          </w:p>
        </w:tc>
        <w:tc>
          <w:tcPr>
            <w:tcW w:w="454" w:type="dxa"/>
            <w:tcBorders>
              <w:top w:val="nil"/>
              <w:left w:val="nil"/>
              <w:bottom w:val="single" w:sz="4" w:space="0" w:color="auto"/>
              <w:right w:val="single" w:sz="4" w:space="0" w:color="auto"/>
            </w:tcBorders>
            <w:shd w:val="clear" w:color="000000" w:fill="FFFFFF"/>
            <w:noWrap/>
            <w:vAlign w:val="bottom"/>
          </w:tcPr>
          <w:p w14:paraId="3B0DEF98" w14:textId="58D34D68"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-2.09</w:t>
            </w:r>
          </w:p>
        </w:tc>
        <w:tc>
          <w:tcPr>
            <w:tcW w:w="540" w:type="dxa"/>
            <w:tcBorders>
              <w:top w:val="nil"/>
              <w:left w:val="nil"/>
              <w:bottom w:val="single" w:sz="4" w:space="0" w:color="auto"/>
              <w:right w:val="nil"/>
            </w:tcBorders>
            <w:shd w:val="clear" w:color="000000" w:fill="FFFFFF"/>
            <w:noWrap/>
            <w:vAlign w:val="center"/>
          </w:tcPr>
          <w:p w14:paraId="20AD690C" w14:textId="0F195B19"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single" w:sz="4" w:space="0" w:color="auto"/>
              <w:right w:val="single" w:sz="12" w:space="0" w:color="auto"/>
            </w:tcBorders>
            <w:shd w:val="clear" w:color="000000" w:fill="FFFFFF"/>
            <w:noWrap/>
            <w:vAlign w:val="center"/>
          </w:tcPr>
          <w:p w14:paraId="37A3A822" w14:textId="5AC8800F"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4" w:space="0" w:color="auto"/>
              <w:right w:val="nil"/>
            </w:tcBorders>
            <w:shd w:val="clear" w:color="000000" w:fill="FFFFFF"/>
            <w:vAlign w:val="center"/>
          </w:tcPr>
          <w:p w14:paraId="1C75F1BA" w14:textId="58E59F35"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single" w:sz="4" w:space="0" w:color="auto"/>
              <w:right w:val="single" w:sz="12" w:space="0" w:color="auto"/>
            </w:tcBorders>
            <w:shd w:val="clear" w:color="000000" w:fill="FFFFFF"/>
            <w:vAlign w:val="center"/>
          </w:tcPr>
          <w:p w14:paraId="73C72A15" w14:textId="7C199356"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single" w:sz="4" w:space="0" w:color="auto"/>
              <w:right w:val="nil"/>
            </w:tcBorders>
            <w:shd w:val="clear" w:color="000000" w:fill="FFFFFF"/>
            <w:vAlign w:val="center"/>
          </w:tcPr>
          <w:p w14:paraId="3AA66CB4" w14:textId="7C363756"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w:t>
            </w:r>
          </w:p>
        </w:tc>
        <w:tc>
          <w:tcPr>
            <w:tcW w:w="542" w:type="dxa"/>
            <w:tcBorders>
              <w:top w:val="nil"/>
              <w:left w:val="nil"/>
              <w:bottom w:val="single" w:sz="4" w:space="0" w:color="auto"/>
              <w:right w:val="single" w:sz="12" w:space="0" w:color="auto"/>
            </w:tcBorders>
            <w:shd w:val="clear" w:color="000000" w:fill="FFFFFF"/>
            <w:vAlign w:val="center"/>
          </w:tcPr>
          <w:p w14:paraId="1DA4FFA6" w14:textId="46F5CA10"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 </w:t>
            </w:r>
          </w:p>
        </w:tc>
      </w:tr>
      <w:tr w:rsidR="003F77D0" w:rsidRPr="000D3090" w14:paraId="0DCCABEA" w14:textId="77777777" w:rsidTr="00190696">
        <w:trPr>
          <w:trHeight w:val="20"/>
          <w:jc w:val="center"/>
        </w:trPr>
        <w:tc>
          <w:tcPr>
            <w:tcW w:w="2411" w:type="dxa"/>
            <w:tcBorders>
              <w:top w:val="single" w:sz="4" w:space="0" w:color="auto"/>
              <w:left w:val="single" w:sz="12" w:space="0" w:color="auto"/>
              <w:bottom w:val="nil"/>
              <w:right w:val="single" w:sz="12" w:space="0" w:color="auto"/>
            </w:tcBorders>
            <w:shd w:val="clear" w:color="000000" w:fill="FFFFFF"/>
            <w:noWrap/>
            <w:vAlign w:val="bottom"/>
          </w:tcPr>
          <w:p w14:paraId="47FB94FE" w14:textId="12CD6F17" w:rsidR="00AF3DDB" w:rsidRPr="000D3090" w:rsidRDefault="00AF3DDB" w:rsidP="00AF3DDB">
            <w:pPr>
              <w:spacing w:after="0" w:line="240" w:lineRule="auto"/>
              <w:rPr>
                <w:rFonts w:eastAsia="Times New Roman"/>
                <w:b/>
                <w:bCs/>
                <w:color w:val="000000"/>
                <w:sz w:val="18"/>
                <w:szCs w:val="18"/>
              </w:rPr>
            </w:pPr>
            <w:r w:rsidRPr="000D3090">
              <w:rPr>
                <w:rFonts w:eastAsia="Times New Roman"/>
                <w:b/>
                <w:bCs/>
                <w:color w:val="000000"/>
                <w:sz w:val="18"/>
                <w:szCs w:val="18"/>
              </w:rPr>
              <w:t>Individual Characteristics</w:t>
            </w:r>
          </w:p>
        </w:tc>
        <w:tc>
          <w:tcPr>
            <w:tcW w:w="537" w:type="dxa"/>
            <w:tcBorders>
              <w:top w:val="single" w:sz="4" w:space="0" w:color="auto"/>
              <w:left w:val="single" w:sz="12" w:space="0" w:color="auto"/>
              <w:bottom w:val="nil"/>
            </w:tcBorders>
            <w:shd w:val="clear" w:color="000000" w:fill="FFFFFF"/>
            <w:vAlign w:val="bottom"/>
          </w:tcPr>
          <w:p w14:paraId="198FA92B"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single" w:sz="4" w:space="0" w:color="auto"/>
              <w:left w:val="nil"/>
              <w:bottom w:val="nil"/>
              <w:right w:val="single" w:sz="12" w:space="0" w:color="auto"/>
            </w:tcBorders>
            <w:shd w:val="clear" w:color="000000" w:fill="FFFFFF"/>
            <w:vAlign w:val="bottom"/>
          </w:tcPr>
          <w:p w14:paraId="3759A8BE"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single" w:sz="4" w:space="0" w:color="auto"/>
              <w:left w:val="single" w:sz="12" w:space="0" w:color="auto"/>
              <w:bottom w:val="nil"/>
              <w:right w:val="nil"/>
            </w:tcBorders>
            <w:shd w:val="clear" w:color="000000" w:fill="FFFFFF"/>
            <w:noWrap/>
            <w:vAlign w:val="center"/>
          </w:tcPr>
          <w:p w14:paraId="05AB5DDD"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top w:val="single" w:sz="4" w:space="0" w:color="auto"/>
              <w:left w:val="nil"/>
              <w:bottom w:val="nil"/>
              <w:right w:val="single" w:sz="4" w:space="0" w:color="auto"/>
            </w:tcBorders>
            <w:shd w:val="clear" w:color="000000" w:fill="FFFFFF"/>
            <w:noWrap/>
            <w:vAlign w:val="center"/>
          </w:tcPr>
          <w:p w14:paraId="1A3C9CC9"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22579906"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15963208"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bottom"/>
          </w:tcPr>
          <w:p w14:paraId="3E0A0EE2"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bottom"/>
          </w:tcPr>
          <w:p w14:paraId="22E9D3DD" w14:textId="77777777" w:rsidR="00AF3DDB" w:rsidRPr="000D3090" w:rsidRDefault="00AF3DDB" w:rsidP="00AF3DDB">
            <w:pPr>
              <w:spacing w:after="0" w:line="240" w:lineRule="auto"/>
              <w:jc w:val="center"/>
              <w:rPr>
                <w:rFonts w:eastAsia="Times New Roman"/>
                <w:color w:val="000000"/>
                <w:sz w:val="18"/>
                <w:szCs w:val="18"/>
              </w:rPr>
            </w:pPr>
          </w:p>
        </w:tc>
        <w:tc>
          <w:tcPr>
            <w:tcW w:w="548" w:type="dxa"/>
            <w:tcBorders>
              <w:top w:val="single" w:sz="4" w:space="0" w:color="auto"/>
              <w:left w:val="nil"/>
              <w:bottom w:val="nil"/>
              <w:right w:val="nil"/>
            </w:tcBorders>
            <w:shd w:val="clear" w:color="000000" w:fill="FFFFFF"/>
            <w:noWrap/>
            <w:vAlign w:val="center"/>
          </w:tcPr>
          <w:p w14:paraId="7F717E01"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3FFBD976"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center"/>
          </w:tcPr>
          <w:p w14:paraId="3BD24954"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center"/>
          </w:tcPr>
          <w:p w14:paraId="0D53DD9B"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bottom"/>
          </w:tcPr>
          <w:p w14:paraId="65693EBA"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bottom w:val="nil"/>
              <w:right w:val="single" w:sz="4" w:space="0" w:color="auto"/>
            </w:tcBorders>
            <w:shd w:val="clear" w:color="000000" w:fill="FFFFFF"/>
            <w:noWrap/>
            <w:vAlign w:val="bottom"/>
          </w:tcPr>
          <w:p w14:paraId="119840FC"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bottom"/>
          </w:tcPr>
          <w:p w14:paraId="1901CE1A" w14:textId="77777777" w:rsidR="00AF3DDB" w:rsidRPr="000D3090" w:rsidRDefault="00AF3DDB" w:rsidP="00AF3DDB">
            <w:pPr>
              <w:spacing w:after="0" w:line="240" w:lineRule="auto"/>
              <w:jc w:val="center"/>
              <w:rPr>
                <w:rFonts w:eastAsia="Times New Roman"/>
                <w:color w:val="000000"/>
                <w:sz w:val="18"/>
                <w:szCs w:val="18"/>
              </w:rPr>
            </w:pPr>
          </w:p>
        </w:tc>
        <w:tc>
          <w:tcPr>
            <w:tcW w:w="454" w:type="dxa"/>
            <w:tcBorders>
              <w:top w:val="single" w:sz="4" w:space="0" w:color="auto"/>
              <w:left w:val="nil"/>
              <w:bottom w:val="nil"/>
              <w:right w:val="single" w:sz="4" w:space="0" w:color="auto"/>
            </w:tcBorders>
            <w:shd w:val="clear" w:color="000000" w:fill="FFFFFF"/>
            <w:noWrap/>
            <w:vAlign w:val="bottom"/>
          </w:tcPr>
          <w:p w14:paraId="754C8B04"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noWrap/>
            <w:vAlign w:val="bottom"/>
          </w:tcPr>
          <w:p w14:paraId="147E14E9" w14:textId="77777777" w:rsidR="00AF3DDB" w:rsidRPr="000D3090" w:rsidRDefault="00AF3DDB" w:rsidP="00AF3DDB">
            <w:pPr>
              <w:spacing w:after="0" w:line="240" w:lineRule="auto"/>
              <w:jc w:val="center"/>
              <w:rPr>
                <w:rFonts w:eastAsia="Times New Roman"/>
                <w:color w:val="000000"/>
                <w:sz w:val="18"/>
                <w:szCs w:val="18"/>
              </w:rPr>
            </w:pPr>
          </w:p>
        </w:tc>
        <w:tc>
          <w:tcPr>
            <w:tcW w:w="456" w:type="dxa"/>
            <w:tcBorders>
              <w:top w:val="single" w:sz="4" w:space="0" w:color="auto"/>
              <w:left w:val="nil"/>
              <w:bottom w:val="nil"/>
              <w:right w:val="single" w:sz="12" w:space="0" w:color="auto"/>
            </w:tcBorders>
            <w:shd w:val="clear" w:color="000000" w:fill="FFFFFF"/>
            <w:noWrap/>
            <w:vAlign w:val="bottom"/>
          </w:tcPr>
          <w:p w14:paraId="43F4FD3F"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bottom w:val="nil"/>
              <w:right w:val="nil"/>
            </w:tcBorders>
            <w:shd w:val="clear" w:color="000000" w:fill="FFFFFF"/>
            <w:vAlign w:val="bottom"/>
          </w:tcPr>
          <w:p w14:paraId="28A4221F" w14:textId="77777777" w:rsidR="00AF3DDB" w:rsidRPr="000D3090" w:rsidRDefault="00AF3DDB" w:rsidP="00AF3DDB">
            <w:pPr>
              <w:spacing w:after="0" w:line="240" w:lineRule="auto"/>
              <w:jc w:val="center"/>
              <w:rPr>
                <w:color w:val="000000"/>
                <w:sz w:val="18"/>
                <w:szCs w:val="18"/>
              </w:rPr>
            </w:pPr>
          </w:p>
        </w:tc>
        <w:tc>
          <w:tcPr>
            <w:tcW w:w="540" w:type="dxa"/>
            <w:tcBorders>
              <w:top w:val="single" w:sz="4" w:space="0" w:color="auto"/>
              <w:left w:val="nil"/>
              <w:bottom w:val="nil"/>
              <w:right w:val="single" w:sz="12" w:space="0" w:color="auto"/>
            </w:tcBorders>
            <w:shd w:val="clear" w:color="000000" w:fill="FFFFFF"/>
            <w:vAlign w:val="bottom"/>
          </w:tcPr>
          <w:p w14:paraId="3BBDB6A2" w14:textId="77777777" w:rsidR="00AF3DDB" w:rsidRPr="000D3090" w:rsidRDefault="00AF3DDB" w:rsidP="00AF3DDB">
            <w:pPr>
              <w:spacing w:after="0" w:line="240" w:lineRule="auto"/>
              <w:jc w:val="center"/>
              <w:rPr>
                <w:color w:val="000000"/>
                <w:sz w:val="18"/>
                <w:szCs w:val="18"/>
              </w:rPr>
            </w:pPr>
          </w:p>
        </w:tc>
        <w:tc>
          <w:tcPr>
            <w:tcW w:w="630" w:type="dxa"/>
            <w:tcBorders>
              <w:top w:val="single" w:sz="4" w:space="0" w:color="auto"/>
              <w:left w:val="single" w:sz="12" w:space="0" w:color="auto"/>
              <w:bottom w:val="nil"/>
              <w:right w:val="nil"/>
            </w:tcBorders>
            <w:shd w:val="clear" w:color="000000" w:fill="FFFFFF"/>
            <w:vAlign w:val="bottom"/>
          </w:tcPr>
          <w:p w14:paraId="7814479B" w14:textId="77777777" w:rsidR="00AF3DDB" w:rsidRPr="000D3090" w:rsidRDefault="00AF3DDB" w:rsidP="00AF3DDB">
            <w:pPr>
              <w:spacing w:after="0" w:line="240" w:lineRule="auto"/>
              <w:jc w:val="center"/>
              <w:rPr>
                <w:color w:val="000000"/>
                <w:sz w:val="18"/>
                <w:szCs w:val="18"/>
              </w:rPr>
            </w:pPr>
          </w:p>
        </w:tc>
        <w:tc>
          <w:tcPr>
            <w:tcW w:w="542" w:type="dxa"/>
            <w:tcBorders>
              <w:top w:val="single" w:sz="4" w:space="0" w:color="auto"/>
              <w:left w:val="nil"/>
              <w:bottom w:val="nil"/>
              <w:right w:val="single" w:sz="12" w:space="0" w:color="auto"/>
            </w:tcBorders>
            <w:shd w:val="clear" w:color="000000" w:fill="FFFFFF"/>
            <w:vAlign w:val="bottom"/>
          </w:tcPr>
          <w:p w14:paraId="3D0BEE95" w14:textId="77777777" w:rsidR="00AF3DDB" w:rsidRPr="000D3090" w:rsidRDefault="00AF3DDB" w:rsidP="00AF3DDB">
            <w:pPr>
              <w:spacing w:after="0" w:line="240" w:lineRule="auto"/>
              <w:jc w:val="center"/>
              <w:rPr>
                <w:color w:val="000000"/>
                <w:sz w:val="18"/>
                <w:szCs w:val="18"/>
              </w:rPr>
            </w:pPr>
          </w:p>
        </w:tc>
      </w:tr>
      <w:tr w:rsidR="00AF3DDB" w:rsidRPr="000D3090" w14:paraId="7E12FFF2"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3F07DC27" w14:textId="77777777" w:rsidR="00AF3DDB" w:rsidRPr="000D3090"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Gender (Male)</w:t>
            </w:r>
          </w:p>
        </w:tc>
        <w:tc>
          <w:tcPr>
            <w:tcW w:w="537" w:type="dxa"/>
            <w:tcBorders>
              <w:top w:val="nil"/>
              <w:left w:val="single" w:sz="12" w:space="0" w:color="auto"/>
              <w:bottom w:val="nil"/>
            </w:tcBorders>
            <w:shd w:val="clear" w:color="000000" w:fill="FFFFFF"/>
          </w:tcPr>
          <w:p w14:paraId="2B95965E"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24B65197"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0164E59A"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tcPr>
          <w:p w14:paraId="16C8ECF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5374CB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258617E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44FC2D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22F259A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46655B6E"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3971564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C08A72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0300910E"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7C9876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195D231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516EBB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tcPr>
          <w:p w14:paraId="7B5D8938"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E661CF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tcPr>
          <w:p w14:paraId="3E71C75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2DF8EA09" w14:textId="77777777" w:rsidR="00AF3DDB" w:rsidRPr="000D3090" w:rsidRDefault="00AF3DDB" w:rsidP="00AF3DDB">
            <w:pPr>
              <w:spacing w:after="0" w:line="240" w:lineRule="auto"/>
              <w:jc w:val="center"/>
              <w:rPr>
                <w:color w:val="000000"/>
                <w:sz w:val="18"/>
                <w:szCs w:val="18"/>
              </w:rPr>
            </w:pPr>
          </w:p>
        </w:tc>
        <w:tc>
          <w:tcPr>
            <w:tcW w:w="540" w:type="dxa"/>
            <w:tcBorders>
              <w:top w:val="nil"/>
              <w:left w:val="nil"/>
              <w:bottom w:val="nil"/>
              <w:right w:val="single" w:sz="12" w:space="0" w:color="auto"/>
            </w:tcBorders>
            <w:shd w:val="clear" w:color="000000" w:fill="FFFFFF"/>
          </w:tcPr>
          <w:p w14:paraId="41373329" w14:textId="77777777" w:rsidR="00AF3DDB" w:rsidRPr="000D3090" w:rsidRDefault="00AF3DDB" w:rsidP="00AF3DDB">
            <w:pPr>
              <w:spacing w:after="0" w:line="240" w:lineRule="auto"/>
              <w:jc w:val="center"/>
              <w:rPr>
                <w:color w:val="000000"/>
                <w:sz w:val="18"/>
                <w:szCs w:val="18"/>
              </w:rPr>
            </w:pPr>
          </w:p>
        </w:tc>
        <w:tc>
          <w:tcPr>
            <w:tcW w:w="630" w:type="dxa"/>
            <w:tcBorders>
              <w:top w:val="nil"/>
              <w:left w:val="single" w:sz="12" w:space="0" w:color="auto"/>
              <w:bottom w:val="nil"/>
              <w:right w:val="nil"/>
            </w:tcBorders>
            <w:shd w:val="clear" w:color="000000" w:fill="FFFFFF"/>
          </w:tcPr>
          <w:p w14:paraId="7DB28834" w14:textId="77777777" w:rsidR="00AF3DDB" w:rsidRPr="000D3090" w:rsidRDefault="00AF3DDB" w:rsidP="00AF3DDB">
            <w:pPr>
              <w:spacing w:after="0" w:line="240" w:lineRule="auto"/>
              <w:jc w:val="center"/>
              <w:rPr>
                <w:color w:val="000000"/>
                <w:sz w:val="18"/>
                <w:szCs w:val="18"/>
              </w:rPr>
            </w:pPr>
          </w:p>
        </w:tc>
        <w:tc>
          <w:tcPr>
            <w:tcW w:w="542" w:type="dxa"/>
            <w:tcBorders>
              <w:top w:val="nil"/>
              <w:left w:val="nil"/>
              <w:bottom w:val="nil"/>
              <w:right w:val="single" w:sz="12" w:space="0" w:color="auto"/>
            </w:tcBorders>
            <w:shd w:val="clear" w:color="000000" w:fill="FFFFFF"/>
          </w:tcPr>
          <w:p w14:paraId="45202AB3" w14:textId="77777777" w:rsidR="00AF3DDB" w:rsidRPr="000D3090" w:rsidRDefault="00AF3DDB" w:rsidP="00AF3DDB">
            <w:pPr>
              <w:spacing w:after="0" w:line="240" w:lineRule="auto"/>
              <w:jc w:val="center"/>
              <w:rPr>
                <w:color w:val="000000"/>
                <w:sz w:val="18"/>
                <w:szCs w:val="18"/>
              </w:rPr>
            </w:pPr>
          </w:p>
        </w:tc>
      </w:tr>
      <w:tr w:rsidR="005A056A" w:rsidRPr="000D3090" w14:paraId="6C1E1BDC"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39F1EED6"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Female</w:t>
            </w:r>
          </w:p>
        </w:tc>
        <w:tc>
          <w:tcPr>
            <w:tcW w:w="537" w:type="dxa"/>
            <w:tcBorders>
              <w:top w:val="nil"/>
              <w:left w:val="single" w:sz="12" w:space="0" w:color="auto"/>
              <w:bottom w:val="nil"/>
            </w:tcBorders>
            <w:shd w:val="clear" w:color="000000" w:fill="FFFFFF"/>
            <w:vAlign w:val="bottom"/>
          </w:tcPr>
          <w:p w14:paraId="11644E67" w14:textId="683E0C0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0.10</w:t>
            </w:r>
          </w:p>
        </w:tc>
        <w:tc>
          <w:tcPr>
            <w:tcW w:w="541" w:type="dxa"/>
            <w:tcBorders>
              <w:top w:val="nil"/>
              <w:left w:val="nil"/>
              <w:bottom w:val="nil"/>
              <w:right w:val="single" w:sz="12" w:space="0" w:color="auto"/>
            </w:tcBorders>
            <w:shd w:val="clear" w:color="000000" w:fill="FFFFFF"/>
            <w:vAlign w:val="bottom"/>
          </w:tcPr>
          <w:p w14:paraId="502083E8" w14:textId="2F615DB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3.63</w:t>
            </w:r>
          </w:p>
        </w:tc>
        <w:tc>
          <w:tcPr>
            <w:tcW w:w="539" w:type="dxa"/>
            <w:tcBorders>
              <w:top w:val="nil"/>
              <w:left w:val="single" w:sz="12" w:space="0" w:color="auto"/>
              <w:bottom w:val="nil"/>
              <w:right w:val="nil"/>
            </w:tcBorders>
            <w:shd w:val="clear" w:color="000000" w:fill="FFFFFF"/>
            <w:noWrap/>
            <w:vAlign w:val="center"/>
          </w:tcPr>
          <w:p w14:paraId="0A7147D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36DE579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AD38DE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0F6CFE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792784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91C3D6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2B6BEEC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6B3629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0ADB0E95" w14:textId="4553F24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-0.11</w:t>
            </w:r>
          </w:p>
        </w:tc>
        <w:tc>
          <w:tcPr>
            <w:tcW w:w="450" w:type="dxa"/>
            <w:tcBorders>
              <w:top w:val="nil"/>
              <w:left w:val="nil"/>
              <w:bottom w:val="nil"/>
              <w:right w:val="single" w:sz="4" w:space="0" w:color="auto"/>
            </w:tcBorders>
            <w:shd w:val="clear" w:color="000000" w:fill="FFFFFF"/>
            <w:noWrap/>
            <w:vAlign w:val="bottom"/>
          </w:tcPr>
          <w:p w14:paraId="10CB330A" w14:textId="4082FA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-1.75</w:t>
            </w:r>
          </w:p>
        </w:tc>
        <w:tc>
          <w:tcPr>
            <w:tcW w:w="540" w:type="dxa"/>
            <w:tcBorders>
              <w:top w:val="nil"/>
              <w:left w:val="nil"/>
              <w:bottom w:val="nil"/>
              <w:right w:val="nil"/>
            </w:tcBorders>
            <w:shd w:val="clear" w:color="000000" w:fill="FFFFFF"/>
            <w:noWrap/>
            <w:vAlign w:val="bottom"/>
          </w:tcPr>
          <w:p w14:paraId="5E71AFFE" w14:textId="7BCDA62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0.13</w:t>
            </w:r>
          </w:p>
        </w:tc>
        <w:tc>
          <w:tcPr>
            <w:tcW w:w="450" w:type="dxa"/>
            <w:tcBorders>
              <w:top w:val="nil"/>
              <w:left w:val="nil"/>
              <w:bottom w:val="nil"/>
              <w:right w:val="single" w:sz="4" w:space="0" w:color="auto"/>
            </w:tcBorders>
            <w:shd w:val="clear" w:color="000000" w:fill="FFFFFF"/>
            <w:noWrap/>
            <w:vAlign w:val="bottom"/>
          </w:tcPr>
          <w:p w14:paraId="4A79874D" w14:textId="1B6CD4E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2.03</w:t>
            </w:r>
          </w:p>
        </w:tc>
        <w:tc>
          <w:tcPr>
            <w:tcW w:w="540" w:type="dxa"/>
            <w:tcBorders>
              <w:top w:val="nil"/>
              <w:left w:val="nil"/>
              <w:bottom w:val="nil"/>
              <w:right w:val="nil"/>
            </w:tcBorders>
            <w:shd w:val="clear" w:color="000000" w:fill="FFFFFF"/>
            <w:noWrap/>
            <w:vAlign w:val="center"/>
          </w:tcPr>
          <w:p w14:paraId="3348819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7FA172C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6FBCF0BD" w14:textId="392F8EF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0.09</w:t>
            </w:r>
          </w:p>
        </w:tc>
        <w:tc>
          <w:tcPr>
            <w:tcW w:w="456" w:type="dxa"/>
            <w:tcBorders>
              <w:top w:val="nil"/>
              <w:left w:val="nil"/>
              <w:bottom w:val="nil"/>
              <w:right w:val="single" w:sz="12" w:space="0" w:color="auto"/>
            </w:tcBorders>
            <w:shd w:val="clear" w:color="000000" w:fill="FFFFFF"/>
            <w:noWrap/>
            <w:vAlign w:val="bottom"/>
          </w:tcPr>
          <w:p w14:paraId="3E6C888F" w14:textId="708D2BD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1.70</w:t>
            </w:r>
          </w:p>
        </w:tc>
        <w:tc>
          <w:tcPr>
            <w:tcW w:w="540" w:type="dxa"/>
            <w:tcBorders>
              <w:top w:val="nil"/>
              <w:left w:val="nil"/>
              <w:bottom w:val="nil"/>
              <w:right w:val="nil"/>
            </w:tcBorders>
            <w:shd w:val="clear" w:color="000000" w:fill="FFFFFF"/>
            <w:vAlign w:val="center"/>
          </w:tcPr>
          <w:p w14:paraId="64BFA034"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2671C4F5"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759DAB37" w14:textId="72D6DBB2" w:rsidR="005A056A" w:rsidRPr="000D3090" w:rsidRDefault="005A056A" w:rsidP="005A056A">
            <w:pPr>
              <w:spacing w:after="0" w:line="240" w:lineRule="auto"/>
              <w:jc w:val="center"/>
              <w:rPr>
                <w:color w:val="000000"/>
                <w:sz w:val="18"/>
                <w:szCs w:val="18"/>
              </w:rPr>
            </w:pPr>
            <w:r w:rsidRPr="000D3090">
              <w:rPr>
                <w:color w:val="000000"/>
                <w:sz w:val="18"/>
                <w:szCs w:val="18"/>
              </w:rPr>
              <w:t>0.26</w:t>
            </w:r>
          </w:p>
        </w:tc>
        <w:tc>
          <w:tcPr>
            <w:tcW w:w="542" w:type="dxa"/>
            <w:tcBorders>
              <w:top w:val="nil"/>
              <w:left w:val="nil"/>
              <w:bottom w:val="nil"/>
              <w:right w:val="single" w:sz="12" w:space="0" w:color="auto"/>
            </w:tcBorders>
            <w:shd w:val="clear" w:color="000000" w:fill="FFFFFF"/>
            <w:vAlign w:val="bottom"/>
          </w:tcPr>
          <w:p w14:paraId="3CBE505F" w14:textId="37B735B9" w:rsidR="005A056A" w:rsidRPr="000D3090" w:rsidRDefault="005A056A" w:rsidP="005A056A">
            <w:pPr>
              <w:spacing w:after="0" w:line="240" w:lineRule="auto"/>
              <w:jc w:val="center"/>
              <w:rPr>
                <w:color w:val="000000"/>
                <w:sz w:val="18"/>
                <w:szCs w:val="18"/>
              </w:rPr>
            </w:pPr>
            <w:r w:rsidRPr="000D3090">
              <w:rPr>
                <w:color w:val="000000"/>
                <w:sz w:val="18"/>
                <w:szCs w:val="18"/>
              </w:rPr>
              <w:t>13.05</w:t>
            </w:r>
          </w:p>
        </w:tc>
      </w:tr>
      <w:tr w:rsidR="00AF3DDB" w:rsidRPr="000D3090" w14:paraId="08D4EBD8"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5A1FAE79" w14:textId="77777777" w:rsidR="00AF3DDB" w:rsidRPr="000D3090"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Age (18-24)</w:t>
            </w:r>
          </w:p>
        </w:tc>
        <w:tc>
          <w:tcPr>
            <w:tcW w:w="537" w:type="dxa"/>
            <w:tcBorders>
              <w:top w:val="nil"/>
              <w:left w:val="single" w:sz="12" w:space="0" w:color="auto"/>
              <w:bottom w:val="nil"/>
            </w:tcBorders>
            <w:shd w:val="clear" w:color="000000" w:fill="FFFFFF"/>
          </w:tcPr>
          <w:p w14:paraId="0C753300"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07322EB7"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2B36E04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tcPr>
          <w:p w14:paraId="734797D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C98802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21790D7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C05878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3B2C6FC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32C9E2B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060A644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7B52E8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5CC63F1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C6E431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6D10DA5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A9527A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tcPr>
          <w:p w14:paraId="071F08D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CA1D08E"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tcPr>
          <w:p w14:paraId="76CAABE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5830BDD7" w14:textId="77777777" w:rsidR="00AF3DDB" w:rsidRPr="000D3090" w:rsidRDefault="00AF3DDB" w:rsidP="00AF3DDB">
            <w:pPr>
              <w:spacing w:after="0" w:line="240" w:lineRule="auto"/>
              <w:jc w:val="center"/>
              <w:rPr>
                <w:color w:val="000000"/>
                <w:sz w:val="18"/>
                <w:szCs w:val="18"/>
              </w:rPr>
            </w:pPr>
          </w:p>
        </w:tc>
        <w:tc>
          <w:tcPr>
            <w:tcW w:w="540" w:type="dxa"/>
            <w:tcBorders>
              <w:top w:val="nil"/>
              <w:left w:val="nil"/>
              <w:bottom w:val="nil"/>
              <w:right w:val="single" w:sz="12" w:space="0" w:color="auto"/>
            </w:tcBorders>
            <w:shd w:val="clear" w:color="000000" w:fill="FFFFFF"/>
          </w:tcPr>
          <w:p w14:paraId="60EFB88C" w14:textId="77777777" w:rsidR="00AF3DDB" w:rsidRPr="000D3090" w:rsidRDefault="00AF3DDB" w:rsidP="00AF3DDB">
            <w:pPr>
              <w:spacing w:after="0" w:line="240" w:lineRule="auto"/>
              <w:jc w:val="center"/>
              <w:rPr>
                <w:color w:val="000000"/>
                <w:sz w:val="18"/>
                <w:szCs w:val="18"/>
              </w:rPr>
            </w:pPr>
          </w:p>
        </w:tc>
        <w:tc>
          <w:tcPr>
            <w:tcW w:w="630" w:type="dxa"/>
            <w:tcBorders>
              <w:top w:val="nil"/>
              <w:left w:val="single" w:sz="12" w:space="0" w:color="auto"/>
              <w:bottom w:val="nil"/>
              <w:right w:val="nil"/>
            </w:tcBorders>
            <w:shd w:val="clear" w:color="000000" w:fill="FFFFFF"/>
          </w:tcPr>
          <w:p w14:paraId="6787ABB9" w14:textId="77777777" w:rsidR="00AF3DDB" w:rsidRPr="000D3090" w:rsidRDefault="00AF3DDB" w:rsidP="00AF3DDB">
            <w:pPr>
              <w:spacing w:after="0" w:line="240" w:lineRule="auto"/>
              <w:jc w:val="center"/>
              <w:rPr>
                <w:color w:val="000000"/>
                <w:sz w:val="18"/>
                <w:szCs w:val="18"/>
              </w:rPr>
            </w:pPr>
          </w:p>
        </w:tc>
        <w:tc>
          <w:tcPr>
            <w:tcW w:w="542" w:type="dxa"/>
            <w:tcBorders>
              <w:top w:val="nil"/>
              <w:left w:val="nil"/>
              <w:bottom w:val="nil"/>
              <w:right w:val="single" w:sz="12" w:space="0" w:color="auto"/>
            </w:tcBorders>
            <w:shd w:val="clear" w:color="000000" w:fill="FFFFFF"/>
          </w:tcPr>
          <w:p w14:paraId="5AD3C261" w14:textId="77777777" w:rsidR="00AF3DDB" w:rsidRPr="000D3090" w:rsidRDefault="00AF3DDB" w:rsidP="00AF3DDB">
            <w:pPr>
              <w:spacing w:after="0" w:line="240" w:lineRule="auto"/>
              <w:jc w:val="center"/>
              <w:rPr>
                <w:color w:val="000000"/>
                <w:sz w:val="18"/>
                <w:szCs w:val="18"/>
              </w:rPr>
            </w:pPr>
          </w:p>
        </w:tc>
      </w:tr>
      <w:tr w:rsidR="004B6CD2" w:rsidRPr="000D3090" w14:paraId="291BD64F"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6B686075" w14:textId="77777777" w:rsidR="004B6CD2" w:rsidRPr="000D3090" w:rsidRDefault="004B6CD2" w:rsidP="004B6CD2">
            <w:pPr>
              <w:spacing w:after="0" w:line="240" w:lineRule="auto"/>
              <w:rPr>
                <w:rFonts w:eastAsia="Times New Roman"/>
                <w:b/>
                <w:bCs/>
                <w:color w:val="000000"/>
                <w:sz w:val="18"/>
                <w:szCs w:val="18"/>
              </w:rPr>
            </w:pPr>
            <w:r w:rsidRPr="000D3090">
              <w:rPr>
                <w:rFonts w:eastAsia="Times New Roman"/>
                <w:color w:val="000000"/>
                <w:sz w:val="18"/>
                <w:szCs w:val="18"/>
              </w:rPr>
              <w:t xml:space="preserve">     25-34</w:t>
            </w:r>
          </w:p>
        </w:tc>
        <w:tc>
          <w:tcPr>
            <w:tcW w:w="537" w:type="dxa"/>
            <w:tcBorders>
              <w:top w:val="nil"/>
              <w:left w:val="single" w:sz="12" w:space="0" w:color="auto"/>
              <w:bottom w:val="nil"/>
            </w:tcBorders>
            <w:shd w:val="clear" w:color="000000" w:fill="FFFFFF"/>
            <w:vAlign w:val="bottom"/>
          </w:tcPr>
          <w:p w14:paraId="1E49620A" w14:textId="0A94D00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0.20</w:t>
            </w:r>
          </w:p>
        </w:tc>
        <w:tc>
          <w:tcPr>
            <w:tcW w:w="541" w:type="dxa"/>
            <w:tcBorders>
              <w:top w:val="nil"/>
              <w:left w:val="nil"/>
              <w:bottom w:val="nil"/>
              <w:right w:val="single" w:sz="12" w:space="0" w:color="auto"/>
            </w:tcBorders>
            <w:shd w:val="clear" w:color="000000" w:fill="FFFFFF"/>
            <w:vAlign w:val="bottom"/>
          </w:tcPr>
          <w:p w14:paraId="0042E517" w14:textId="09FC6905"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3.17</w:t>
            </w:r>
          </w:p>
        </w:tc>
        <w:tc>
          <w:tcPr>
            <w:tcW w:w="539" w:type="dxa"/>
            <w:tcBorders>
              <w:top w:val="nil"/>
              <w:left w:val="single" w:sz="12" w:space="0" w:color="auto"/>
              <w:bottom w:val="nil"/>
              <w:right w:val="nil"/>
            </w:tcBorders>
            <w:shd w:val="clear" w:color="000000" w:fill="FFFFFF"/>
            <w:noWrap/>
            <w:vAlign w:val="center"/>
          </w:tcPr>
          <w:p w14:paraId="215B5376"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479DA0DF"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5316C6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41923CE"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37F74FE"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BB82857"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52F052F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8AAD06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C08D122"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94BF285"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71A3CB2E" w14:textId="33559033"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0.32</w:t>
            </w:r>
          </w:p>
        </w:tc>
        <w:tc>
          <w:tcPr>
            <w:tcW w:w="450" w:type="dxa"/>
            <w:tcBorders>
              <w:top w:val="nil"/>
              <w:left w:val="nil"/>
              <w:bottom w:val="nil"/>
              <w:right w:val="single" w:sz="4" w:space="0" w:color="auto"/>
            </w:tcBorders>
            <w:shd w:val="clear" w:color="000000" w:fill="FFFFFF"/>
            <w:noWrap/>
            <w:vAlign w:val="bottom"/>
          </w:tcPr>
          <w:p w14:paraId="33B68F16" w14:textId="7489D4E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1.88</w:t>
            </w:r>
          </w:p>
        </w:tc>
        <w:tc>
          <w:tcPr>
            <w:tcW w:w="540" w:type="dxa"/>
            <w:tcBorders>
              <w:top w:val="nil"/>
              <w:left w:val="nil"/>
              <w:bottom w:val="nil"/>
              <w:right w:val="nil"/>
            </w:tcBorders>
            <w:shd w:val="clear" w:color="000000" w:fill="FFFFFF"/>
            <w:noWrap/>
            <w:vAlign w:val="bottom"/>
          </w:tcPr>
          <w:p w14:paraId="7D9BFDB4" w14:textId="66B8D29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-0.19</w:t>
            </w:r>
          </w:p>
        </w:tc>
        <w:tc>
          <w:tcPr>
            <w:tcW w:w="454" w:type="dxa"/>
            <w:tcBorders>
              <w:top w:val="nil"/>
              <w:left w:val="nil"/>
              <w:bottom w:val="nil"/>
              <w:right w:val="single" w:sz="4" w:space="0" w:color="auto"/>
            </w:tcBorders>
            <w:shd w:val="clear" w:color="000000" w:fill="FFFFFF"/>
            <w:noWrap/>
            <w:vAlign w:val="bottom"/>
          </w:tcPr>
          <w:p w14:paraId="6460E3DD" w14:textId="5B72F73D"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-1.50</w:t>
            </w:r>
          </w:p>
        </w:tc>
        <w:tc>
          <w:tcPr>
            <w:tcW w:w="540" w:type="dxa"/>
            <w:tcBorders>
              <w:top w:val="nil"/>
              <w:left w:val="nil"/>
              <w:bottom w:val="nil"/>
              <w:right w:val="nil"/>
            </w:tcBorders>
            <w:shd w:val="clear" w:color="000000" w:fill="FFFFFF"/>
            <w:noWrap/>
            <w:vAlign w:val="center"/>
          </w:tcPr>
          <w:p w14:paraId="741290B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0745B65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1871BC2B" w14:textId="6483D4F2" w:rsidR="004B6CD2" w:rsidRPr="000D3090" w:rsidRDefault="004B6CD2" w:rsidP="004B6CD2">
            <w:pPr>
              <w:spacing w:after="0" w:line="240" w:lineRule="auto"/>
              <w:jc w:val="center"/>
              <w:rPr>
                <w:color w:val="000000"/>
                <w:sz w:val="18"/>
                <w:szCs w:val="18"/>
              </w:rPr>
            </w:pPr>
            <w:r w:rsidRPr="000D3090">
              <w:rPr>
                <w:color w:val="000000"/>
                <w:sz w:val="18"/>
                <w:szCs w:val="18"/>
              </w:rPr>
              <w:t>0.43</w:t>
            </w:r>
          </w:p>
        </w:tc>
        <w:tc>
          <w:tcPr>
            <w:tcW w:w="540" w:type="dxa"/>
            <w:tcBorders>
              <w:top w:val="nil"/>
              <w:left w:val="nil"/>
              <w:bottom w:val="nil"/>
              <w:right w:val="single" w:sz="12" w:space="0" w:color="auto"/>
            </w:tcBorders>
            <w:shd w:val="clear" w:color="000000" w:fill="FFFFFF"/>
            <w:vAlign w:val="bottom"/>
          </w:tcPr>
          <w:p w14:paraId="5E4C81CE" w14:textId="308D366F" w:rsidR="004B6CD2" w:rsidRPr="000D3090" w:rsidRDefault="004B6CD2" w:rsidP="004B6CD2">
            <w:pPr>
              <w:spacing w:after="0" w:line="240" w:lineRule="auto"/>
              <w:jc w:val="center"/>
              <w:rPr>
                <w:color w:val="000000"/>
                <w:sz w:val="18"/>
                <w:szCs w:val="18"/>
              </w:rPr>
            </w:pPr>
            <w:r w:rsidRPr="000D3090">
              <w:rPr>
                <w:color w:val="000000"/>
                <w:sz w:val="18"/>
                <w:szCs w:val="18"/>
              </w:rPr>
              <w:t>6.26</w:t>
            </w:r>
          </w:p>
        </w:tc>
        <w:tc>
          <w:tcPr>
            <w:tcW w:w="630" w:type="dxa"/>
            <w:tcBorders>
              <w:top w:val="nil"/>
              <w:left w:val="single" w:sz="12" w:space="0" w:color="auto"/>
              <w:bottom w:val="nil"/>
              <w:right w:val="nil"/>
            </w:tcBorders>
            <w:shd w:val="clear" w:color="000000" w:fill="FFFFFF"/>
            <w:vAlign w:val="center"/>
          </w:tcPr>
          <w:p w14:paraId="381CA0EA"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3D560C1F"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 </w:t>
            </w:r>
          </w:p>
        </w:tc>
      </w:tr>
      <w:tr w:rsidR="004B6CD2" w:rsidRPr="000D3090" w14:paraId="4601DE46"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2BF94E65" w14:textId="77777777" w:rsidR="004B6CD2" w:rsidRPr="000D3090" w:rsidRDefault="004B6CD2" w:rsidP="004B6CD2">
            <w:pPr>
              <w:spacing w:after="0" w:line="240" w:lineRule="auto"/>
              <w:rPr>
                <w:rFonts w:eastAsia="Times New Roman"/>
                <w:b/>
                <w:bCs/>
                <w:color w:val="000000"/>
                <w:sz w:val="18"/>
                <w:szCs w:val="18"/>
              </w:rPr>
            </w:pPr>
            <w:r w:rsidRPr="000D3090">
              <w:rPr>
                <w:rFonts w:eastAsia="Times New Roman"/>
                <w:color w:val="000000"/>
                <w:sz w:val="18"/>
                <w:szCs w:val="18"/>
              </w:rPr>
              <w:t xml:space="preserve">     35-44</w:t>
            </w:r>
          </w:p>
        </w:tc>
        <w:tc>
          <w:tcPr>
            <w:tcW w:w="537" w:type="dxa"/>
            <w:tcBorders>
              <w:top w:val="nil"/>
              <w:left w:val="single" w:sz="12" w:space="0" w:color="auto"/>
              <w:bottom w:val="nil"/>
            </w:tcBorders>
            <w:shd w:val="clear" w:color="000000" w:fill="FFFFFF"/>
            <w:vAlign w:val="bottom"/>
          </w:tcPr>
          <w:p w14:paraId="16414D4A" w14:textId="346E1718"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0.23</w:t>
            </w:r>
          </w:p>
        </w:tc>
        <w:tc>
          <w:tcPr>
            <w:tcW w:w="541" w:type="dxa"/>
            <w:tcBorders>
              <w:top w:val="nil"/>
              <w:left w:val="nil"/>
              <w:bottom w:val="nil"/>
              <w:right w:val="single" w:sz="12" w:space="0" w:color="auto"/>
            </w:tcBorders>
            <w:shd w:val="clear" w:color="000000" w:fill="FFFFFF"/>
            <w:vAlign w:val="bottom"/>
          </w:tcPr>
          <w:p w14:paraId="623EC621" w14:textId="7E78B43B"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4.17</w:t>
            </w:r>
          </w:p>
        </w:tc>
        <w:tc>
          <w:tcPr>
            <w:tcW w:w="539" w:type="dxa"/>
            <w:tcBorders>
              <w:top w:val="nil"/>
              <w:left w:val="single" w:sz="12" w:space="0" w:color="auto"/>
              <w:bottom w:val="nil"/>
              <w:right w:val="nil"/>
            </w:tcBorders>
            <w:shd w:val="clear" w:color="000000" w:fill="FFFFFF"/>
            <w:noWrap/>
            <w:vAlign w:val="center"/>
          </w:tcPr>
          <w:p w14:paraId="1D43CD5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4D282A10"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8E283E7"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4EAF176"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43E0CB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B7AA1F2"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0AA3961C"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0C277CE"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F7AE62F"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8DD9CCD"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58D52489" w14:textId="77A72455"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0.43</w:t>
            </w:r>
          </w:p>
        </w:tc>
        <w:tc>
          <w:tcPr>
            <w:tcW w:w="450" w:type="dxa"/>
            <w:tcBorders>
              <w:top w:val="nil"/>
              <w:left w:val="nil"/>
              <w:bottom w:val="nil"/>
              <w:right w:val="single" w:sz="4" w:space="0" w:color="auto"/>
            </w:tcBorders>
            <w:shd w:val="clear" w:color="000000" w:fill="FFFFFF"/>
            <w:noWrap/>
            <w:vAlign w:val="bottom"/>
          </w:tcPr>
          <w:p w14:paraId="03E7813A" w14:textId="6229B61B"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2.68</w:t>
            </w:r>
          </w:p>
        </w:tc>
        <w:tc>
          <w:tcPr>
            <w:tcW w:w="540" w:type="dxa"/>
            <w:tcBorders>
              <w:top w:val="nil"/>
              <w:left w:val="nil"/>
              <w:bottom w:val="nil"/>
              <w:right w:val="nil"/>
            </w:tcBorders>
            <w:shd w:val="clear" w:color="000000" w:fill="FFFFFF"/>
            <w:noWrap/>
            <w:vAlign w:val="bottom"/>
          </w:tcPr>
          <w:p w14:paraId="63553F4C" w14:textId="753C12EE"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-0.19</w:t>
            </w:r>
          </w:p>
        </w:tc>
        <w:tc>
          <w:tcPr>
            <w:tcW w:w="454" w:type="dxa"/>
            <w:tcBorders>
              <w:top w:val="nil"/>
              <w:left w:val="nil"/>
              <w:bottom w:val="nil"/>
              <w:right w:val="single" w:sz="4" w:space="0" w:color="auto"/>
            </w:tcBorders>
            <w:shd w:val="clear" w:color="000000" w:fill="FFFFFF"/>
            <w:noWrap/>
            <w:vAlign w:val="bottom"/>
          </w:tcPr>
          <w:p w14:paraId="586A2D69" w14:textId="1CAF2E99"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-1.50</w:t>
            </w:r>
          </w:p>
        </w:tc>
        <w:tc>
          <w:tcPr>
            <w:tcW w:w="540" w:type="dxa"/>
            <w:tcBorders>
              <w:top w:val="nil"/>
              <w:left w:val="nil"/>
              <w:bottom w:val="nil"/>
              <w:right w:val="nil"/>
            </w:tcBorders>
            <w:shd w:val="clear" w:color="000000" w:fill="FFFFFF"/>
            <w:noWrap/>
            <w:vAlign w:val="center"/>
          </w:tcPr>
          <w:p w14:paraId="7C5CF713"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157F7D4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56F4E913" w14:textId="079B5A0F" w:rsidR="004B6CD2" w:rsidRPr="000D3090" w:rsidRDefault="004B6CD2" w:rsidP="004B6CD2">
            <w:pPr>
              <w:spacing w:after="0" w:line="240" w:lineRule="auto"/>
              <w:jc w:val="center"/>
              <w:rPr>
                <w:color w:val="000000"/>
                <w:sz w:val="18"/>
                <w:szCs w:val="18"/>
              </w:rPr>
            </w:pPr>
            <w:r w:rsidRPr="000D3090">
              <w:rPr>
                <w:color w:val="000000"/>
                <w:sz w:val="18"/>
                <w:szCs w:val="18"/>
              </w:rPr>
              <w:t>0.51</w:t>
            </w:r>
          </w:p>
        </w:tc>
        <w:tc>
          <w:tcPr>
            <w:tcW w:w="540" w:type="dxa"/>
            <w:tcBorders>
              <w:top w:val="nil"/>
              <w:left w:val="nil"/>
              <w:bottom w:val="nil"/>
              <w:right w:val="single" w:sz="12" w:space="0" w:color="auto"/>
            </w:tcBorders>
            <w:shd w:val="clear" w:color="000000" w:fill="FFFFFF"/>
            <w:vAlign w:val="bottom"/>
          </w:tcPr>
          <w:p w14:paraId="0C9E5C2A" w14:textId="6DDAA6F2" w:rsidR="004B6CD2" w:rsidRPr="000D3090" w:rsidRDefault="004B6CD2" w:rsidP="004B6CD2">
            <w:pPr>
              <w:spacing w:after="0" w:line="240" w:lineRule="auto"/>
              <w:jc w:val="center"/>
              <w:rPr>
                <w:color w:val="000000"/>
                <w:sz w:val="18"/>
                <w:szCs w:val="18"/>
              </w:rPr>
            </w:pPr>
            <w:r w:rsidRPr="000D3090">
              <w:rPr>
                <w:color w:val="000000"/>
                <w:sz w:val="18"/>
                <w:szCs w:val="18"/>
              </w:rPr>
              <w:t>8.07</w:t>
            </w:r>
          </w:p>
        </w:tc>
        <w:tc>
          <w:tcPr>
            <w:tcW w:w="630" w:type="dxa"/>
            <w:tcBorders>
              <w:top w:val="nil"/>
              <w:left w:val="single" w:sz="12" w:space="0" w:color="auto"/>
              <w:bottom w:val="nil"/>
              <w:right w:val="nil"/>
            </w:tcBorders>
            <w:shd w:val="clear" w:color="000000" w:fill="FFFFFF"/>
            <w:vAlign w:val="center"/>
          </w:tcPr>
          <w:p w14:paraId="32427E11"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3BEB1E9A"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 </w:t>
            </w:r>
          </w:p>
        </w:tc>
      </w:tr>
      <w:tr w:rsidR="004B6CD2" w:rsidRPr="000D3090" w14:paraId="475A5ACA"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50B90596" w14:textId="77777777" w:rsidR="004B6CD2" w:rsidRPr="000D3090" w:rsidRDefault="004B6CD2" w:rsidP="004B6CD2">
            <w:pPr>
              <w:spacing w:after="0" w:line="240" w:lineRule="auto"/>
              <w:rPr>
                <w:rFonts w:eastAsia="Times New Roman"/>
                <w:b/>
                <w:bCs/>
                <w:color w:val="000000"/>
                <w:sz w:val="18"/>
                <w:szCs w:val="18"/>
              </w:rPr>
            </w:pPr>
            <w:r w:rsidRPr="000D3090">
              <w:rPr>
                <w:rFonts w:eastAsia="Times New Roman"/>
                <w:color w:val="000000"/>
                <w:sz w:val="18"/>
                <w:szCs w:val="18"/>
              </w:rPr>
              <w:t xml:space="preserve">     45-54</w:t>
            </w:r>
          </w:p>
        </w:tc>
        <w:tc>
          <w:tcPr>
            <w:tcW w:w="537" w:type="dxa"/>
            <w:tcBorders>
              <w:top w:val="nil"/>
              <w:left w:val="single" w:sz="12" w:space="0" w:color="auto"/>
              <w:bottom w:val="nil"/>
            </w:tcBorders>
            <w:shd w:val="clear" w:color="000000" w:fill="FFFFFF"/>
            <w:vAlign w:val="bottom"/>
          </w:tcPr>
          <w:p w14:paraId="65182362" w14:textId="78438646"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0.23</w:t>
            </w:r>
          </w:p>
        </w:tc>
        <w:tc>
          <w:tcPr>
            <w:tcW w:w="541" w:type="dxa"/>
            <w:tcBorders>
              <w:top w:val="nil"/>
              <w:left w:val="nil"/>
              <w:bottom w:val="nil"/>
              <w:right w:val="single" w:sz="12" w:space="0" w:color="auto"/>
            </w:tcBorders>
            <w:shd w:val="clear" w:color="000000" w:fill="FFFFFF"/>
            <w:vAlign w:val="bottom"/>
          </w:tcPr>
          <w:p w14:paraId="6A1242E9" w14:textId="51832F14"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4.17</w:t>
            </w:r>
          </w:p>
        </w:tc>
        <w:tc>
          <w:tcPr>
            <w:tcW w:w="539" w:type="dxa"/>
            <w:tcBorders>
              <w:top w:val="nil"/>
              <w:left w:val="single" w:sz="12" w:space="0" w:color="auto"/>
              <w:bottom w:val="nil"/>
              <w:right w:val="nil"/>
            </w:tcBorders>
            <w:shd w:val="clear" w:color="000000" w:fill="FFFFFF"/>
            <w:noWrap/>
            <w:vAlign w:val="center"/>
          </w:tcPr>
          <w:p w14:paraId="599DDC74"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181F38FE"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0DA1C8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A84252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A91398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058F3D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2F8F6C5A"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C3C8C1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9D72E91"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F222CD8" w14:textId="77777777" w:rsidR="004B6CD2" w:rsidRPr="000D3090" w:rsidRDefault="004B6CD2" w:rsidP="004B6CD2">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1D1F2ED7" w14:textId="30B1F1A7"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0.43</w:t>
            </w:r>
          </w:p>
        </w:tc>
        <w:tc>
          <w:tcPr>
            <w:tcW w:w="450" w:type="dxa"/>
            <w:tcBorders>
              <w:top w:val="nil"/>
              <w:left w:val="nil"/>
              <w:bottom w:val="nil"/>
              <w:right w:val="single" w:sz="4" w:space="0" w:color="auto"/>
            </w:tcBorders>
            <w:shd w:val="clear" w:color="000000" w:fill="FFFFFF"/>
            <w:noWrap/>
            <w:vAlign w:val="bottom"/>
          </w:tcPr>
          <w:p w14:paraId="5054B5D0" w14:textId="35904FE9"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2.68</w:t>
            </w:r>
          </w:p>
        </w:tc>
        <w:tc>
          <w:tcPr>
            <w:tcW w:w="540" w:type="dxa"/>
            <w:tcBorders>
              <w:top w:val="nil"/>
              <w:left w:val="nil"/>
              <w:bottom w:val="nil"/>
              <w:right w:val="nil"/>
            </w:tcBorders>
            <w:shd w:val="clear" w:color="000000" w:fill="FFFFFF"/>
            <w:noWrap/>
            <w:vAlign w:val="bottom"/>
          </w:tcPr>
          <w:p w14:paraId="5CCFBFE2" w14:textId="7C5678FB"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-0.32</w:t>
            </w:r>
          </w:p>
        </w:tc>
        <w:tc>
          <w:tcPr>
            <w:tcW w:w="454" w:type="dxa"/>
            <w:tcBorders>
              <w:top w:val="nil"/>
              <w:left w:val="nil"/>
              <w:bottom w:val="nil"/>
              <w:right w:val="single" w:sz="4" w:space="0" w:color="auto"/>
            </w:tcBorders>
            <w:shd w:val="clear" w:color="000000" w:fill="FFFFFF"/>
            <w:noWrap/>
            <w:vAlign w:val="bottom"/>
          </w:tcPr>
          <w:p w14:paraId="29011A58" w14:textId="1C6C1F22"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-2.26</w:t>
            </w:r>
          </w:p>
        </w:tc>
        <w:tc>
          <w:tcPr>
            <w:tcW w:w="540" w:type="dxa"/>
            <w:tcBorders>
              <w:top w:val="nil"/>
              <w:left w:val="nil"/>
              <w:bottom w:val="nil"/>
              <w:right w:val="nil"/>
            </w:tcBorders>
            <w:shd w:val="clear" w:color="000000" w:fill="FFFFFF"/>
            <w:noWrap/>
            <w:vAlign w:val="bottom"/>
          </w:tcPr>
          <w:p w14:paraId="2A5C6242" w14:textId="7AF32F3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0.17</w:t>
            </w:r>
          </w:p>
        </w:tc>
        <w:tc>
          <w:tcPr>
            <w:tcW w:w="456" w:type="dxa"/>
            <w:tcBorders>
              <w:top w:val="nil"/>
              <w:left w:val="nil"/>
              <w:bottom w:val="nil"/>
              <w:right w:val="single" w:sz="12" w:space="0" w:color="auto"/>
            </w:tcBorders>
            <w:shd w:val="clear" w:color="000000" w:fill="FFFFFF"/>
            <w:noWrap/>
            <w:vAlign w:val="bottom"/>
          </w:tcPr>
          <w:p w14:paraId="353251F9" w14:textId="5E6674D1" w:rsidR="004B6CD2" w:rsidRPr="000D3090" w:rsidRDefault="004B6CD2" w:rsidP="004B6CD2">
            <w:pPr>
              <w:spacing w:after="0" w:line="240" w:lineRule="auto"/>
              <w:jc w:val="center"/>
              <w:rPr>
                <w:rFonts w:eastAsia="Times New Roman"/>
                <w:color w:val="000000"/>
                <w:sz w:val="18"/>
                <w:szCs w:val="18"/>
              </w:rPr>
            </w:pPr>
            <w:r w:rsidRPr="000D3090">
              <w:rPr>
                <w:color w:val="000000"/>
                <w:sz w:val="18"/>
                <w:szCs w:val="18"/>
              </w:rPr>
              <w:t>1.99</w:t>
            </w:r>
          </w:p>
        </w:tc>
        <w:tc>
          <w:tcPr>
            <w:tcW w:w="540" w:type="dxa"/>
            <w:tcBorders>
              <w:top w:val="nil"/>
              <w:left w:val="nil"/>
              <w:bottom w:val="nil"/>
              <w:right w:val="nil"/>
            </w:tcBorders>
            <w:shd w:val="clear" w:color="000000" w:fill="FFFFFF"/>
            <w:vAlign w:val="bottom"/>
          </w:tcPr>
          <w:p w14:paraId="667F88AF" w14:textId="1B9C663F" w:rsidR="004B6CD2" w:rsidRPr="000D3090" w:rsidRDefault="004B6CD2" w:rsidP="004B6CD2">
            <w:pPr>
              <w:spacing w:after="0" w:line="240" w:lineRule="auto"/>
              <w:jc w:val="center"/>
              <w:rPr>
                <w:color w:val="000000"/>
                <w:sz w:val="18"/>
                <w:szCs w:val="18"/>
              </w:rPr>
            </w:pPr>
            <w:r w:rsidRPr="000D3090">
              <w:rPr>
                <w:color w:val="000000"/>
                <w:sz w:val="18"/>
                <w:szCs w:val="18"/>
              </w:rPr>
              <w:t>0.51</w:t>
            </w:r>
          </w:p>
        </w:tc>
        <w:tc>
          <w:tcPr>
            <w:tcW w:w="540" w:type="dxa"/>
            <w:tcBorders>
              <w:top w:val="nil"/>
              <w:left w:val="nil"/>
              <w:bottom w:val="nil"/>
              <w:right w:val="single" w:sz="12" w:space="0" w:color="auto"/>
            </w:tcBorders>
            <w:shd w:val="clear" w:color="000000" w:fill="FFFFFF"/>
            <w:vAlign w:val="bottom"/>
          </w:tcPr>
          <w:p w14:paraId="45AB8980" w14:textId="5A0B3D13" w:rsidR="004B6CD2" w:rsidRPr="000D3090" w:rsidRDefault="004B6CD2" w:rsidP="004B6CD2">
            <w:pPr>
              <w:spacing w:after="0" w:line="240" w:lineRule="auto"/>
              <w:jc w:val="center"/>
              <w:rPr>
                <w:color w:val="000000"/>
                <w:sz w:val="18"/>
                <w:szCs w:val="18"/>
              </w:rPr>
            </w:pPr>
            <w:r w:rsidRPr="000D3090">
              <w:rPr>
                <w:color w:val="000000"/>
                <w:sz w:val="18"/>
                <w:szCs w:val="18"/>
              </w:rPr>
              <w:t>8.07</w:t>
            </w:r>
          </w:p>
        </w:tc>
        <w:tc>
          <w:tcPr>
            <w:tcW w:w="630" w:type="dxa"/>
            <w:tcBorders>
              <w:top w:val="nil"/>
              <w:left w:val="single" w:sz="12" w:space="0" w:color="auto"/>
              <w:bottom w:val="nil"/>
              <w:right w:val="nil"/>
            </w:tcBorders>
            <w:shd w:val="clear" w:color="000000" w:fill="FFFFFF"/>
            <w:vAlign w:val="center"/>
          </w:tcPr>
          <w:p w14:paraId="60C6CADD"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4561788C" w14:textId="77777777" w:rsidR="004B6CD2" w:rsidRPr="000D3090" w:rsidRDefault="004B6CD2" w:rsidP="004B6CD2">
            <w:pPr>
              <w:spacing w:after="0" w:line="240" w:lineRule="auto"/>
              <w:jc w:val="center"/>
              <w:rPr>
                <w:color w:val="000000"/>
                <w:sz w:val="18"/>
                <w:szCs w:val="18"/>
              </w:rPr>
            </w:pPr>
            <w:r w:rsidRPr="000D3090">
              <w:rPr>
                <w:rFonts w:eastAsia="Times New Roman"/>
                <w:color w:val="000000"/>
                <w:sz w:val="18"/>
                <w:szCs w:val="18"/>
              </w:rPr>
              <w:t> </w:t>
            </w:r>
          </w:p>
        </w:tc>
      </w:tr>
      <w:tr w:rsidR="005A056A" w:rsidRPr="000D3090" w14:paraId="47C54A8F"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7059DF9B"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55-64</w:t>
            </w:r>
          </w:p>
        </w:tc>
        <w:tc>
          <w:tcPr>
            <w:tcW w:w="537" w:type="dxa"/>
            <w:tcBorders>
              <w:top w:val="nil"/>
              <w:left w:val="single" w:sz="12" w:space="0" w:color="auto"/>
              <w:bottom w:val="nil"/>
            </w:tcBorders>
            <w:shd w:val="clear" w:color="000000" w:fill="FFFFFF"/>
            <w:vAlign w:val="bottom"/>
          </w:tcPr>
          <w:p w14:paraId="42E4308C" w14:textId="7C32F8F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0.23</w:t>
            </w:r>
          </w:p>
        </w:tc>
        <w:tc>
          <w:tcPr>
            <w:tcW w:w="541" w:type="dxa"/>
            <w:tcBorders>
              <w:top w:val="nil"/>
              <w:left w:val="nil"/>
              <w:bottom w:val="nil"/>
              <w:right w:val="single" w:sz="12" w:space="0" w:color="auto"/>
            </w:tcBorders>
            <w:shd w:val="clear" w:color="000000" w:fill="FFFFFF"/>
            <w:vAlign w:val="bottom"/>
          </w:tcPr>
          <w:p w14:paraId="472752C9" w14:textId="4A85E74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4.17</w:t>
            </w:r>
          </w:p>
        </w:tc>
        <w:tc>
          <w:tcPr>
            <w:tcW w:w="539" w:type="dxa"/>
            <w:tcBorders>
              <w:top w:val="nil"/>
              <w:left w:val="single" w:sz="12" w:space="0" w:color="auto"/>
              <w:bottom w:val="nil"/>
              <w:right w:val="nil"/>
            </w:tcBorders>
            <w:shd w:val="clear" w:color="000000" w:fill="FFFFFF"/>
            <w:noWrap/>
            <w:vAlign w:val="center"/>
          </w:tcPr>
          <w:p w14:paraId="4A9FC06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6DA467D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731513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A05933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62ED2521" w14:textId="0E05AC6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-0.33</w:t>
            </w:r>
          </w:p>
        </w:tc>
        <w:tc>
          <w:tcPr>
            <w:tcW w:w="450" w:type="dxa"/>
            <w:tcBorders>
              <w:top w:val="nil"/>
              <w:left w:val="nil"/>
              <w:bottom w:val="nil"/>
              <w:right w:val="single" w:sz="4" w:space="0" w:color="auto"/>
            </w:tcBorders>
            <w:shd w:val="clear" w:color="000000" w:fill="FFFFFF"/>
            <w:noWrap/>
            <w:vAlign w:val="bottom"/>
          </w:tcPr>
          <w:p w14:paraId="3EB64AC4" w14:textId="0AB4256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-2.97</w:t>
            </w:r>
          </w:p>
        </w:tc>
        <w:tc>
          <w:tcPr>
            <w:tcW w:w="548" w:type="dxa"/>
            <w:tcBorders>
              <w:top w:val="nil"/>
              <w:left w:val="nil"/>
              <w:bottom w:val="nil"/>
              <w:right w:val="nil"/>
            </w:tcBorders>
            <w:shd w:val="clear" w:color="000000" w:fill="FFFFFF"/>
            <w:noWrap/>
            <w:vAlign w:val="center"/>
          </w:tcPr>
          <w:p w14:paraId="725F0AA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327C2F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770518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AF49E4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7568FBC2" w14:textId="3C0B40B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0.43</w:t>
            </w:r>
          </w:p>
        </w:tc>
        <w:tc>
          <w:tcPr>
            <w:tcW w:w="450" w:type="dxa"/>
            <w:tcBorders>
              <w:top w:val="nil"/>
              <w:left w:val="nil"/>
              <w:bottom w:val="nil"/>
              <w:right w:val="single" w:sz="4" w:space="0" w:color="auto"/>
            </w:tcBorders>
            <w:shd w:val="clear" w:color="000000" w:fill="FFFFFF"/>
            <w:noWrap/>
            <w:vAlign w:val="bottom"/>
          </w:tcPr>
          <w:p w14:paraId="578F25E1" w14:textId="16BED9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2.68</w:t>
            </w:r>
          </w:p>
        </w:tc>
        <w:tc>
          <w:tcPr>
            <w:tcW w:w="540" w:type="dxa"/>
            <w:tcBorders>
              <w:top w:val="nil"/>
              <w:left w:val="nil"/>
              <w:bottom w:val="nil"/>
              <w:right w:val="nil"/>
            </w:tcBorders>
            <w:shd w:val="clear" w:color="000000" w:fill="FFFFFF"/>
            <w:noWrap/>
            <w:vAlign w:val="bottom"/>
          </w:tcPr>
          <w:p w14:paraId="29AD11DD" w14:textId="32A79A0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-0.45</w:t>
            </w:r>
          </w:p>
        </w:tc>
        <w:tc>
          <w:tcPr>
            <w:tcW w:w="454" w:type="dxa"/>
            <w:tcBorders>
              <w:top w:val="nil"/>
              <w:left w:val="nil"/>
              <w:bottom w:val="nil"/>
              <w:right w:val="single" w:sz="4" w:space="0" w:color="auto"/>
            </w:tcBorders>
            <w:shd w:val="clear" w:color="000000" w:fill="FFFFFF"/>
            <w:noWrap/>
            <w:vAlign w:val="bottom"/>
          </w:tcPr>
          <w:p w14:paraId="6F931F0D" w14:textId="62CD460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-3.35</w:t>
            </w:r>
          </w:p>
        </w:tc>
        <w:tc>
          <w:tcPr>
            <w:tcW w:w="540" w:type="dxa"/>
            <w:tcBorders>
              <w:top w:val="nil"/>
              <w:left w:val="nil"/>
              <w:bottom w:val="nil"/>
              <w:right w:val="nil"/>
            </w:tcBorders>
            <w:shd w:val="clear" w:color="000000" w:fill="FFFFFF"/>
            <w:noWrap/>
            <w:vAlign w:val="bottom"/>
          </w:tcPr>
          <w:p w14:paraId="7A1B38C5" w14:textId="78035C1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0.30</w:t>
            </w:r>
          </w:p>
        </w:tc>
        <w:tc>
          <w:tcPr>
            <w:tcW w:w="456" w:type="dxa"/>
            <w:tcBorders>
              <w:top w:val="nil"/>
              <w:left w:val="nil"/>
              <w:bottom w:val="nil"/>
              <w:right w:val="single" w:sz="12" w:space="0" w:color="auto"/>
            </w:tcBorders>
            <w:shd w:val="clear" w:color="000000" w:fill="FFFFFF"/>
            <w:noWrap/>
            <w:vAlign w:val="bottom"/>
          </w:tcPr>
          <w:p w14:paraId="015DD1EF" w14:textId="33EFF1D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3.86</w:t>
            </w:r>
          </w:p>
        </w:tc>
        <w:tc>
          <w:tcPr>
            <w:tcW w:w="540" w:type="dxa"/>
            <w:tcBorders>
              <w:top w:val="nil"/>
              <w:left w:val="nil"/>
              <w:bottom w:val="nil"/>
              <w:right w:val="nil"/>
            </w:tcBorders>
            <w:shd w:val="clear" w:color="000000" w:fill="FFFFFF"/>
            <w:vAlign w:val="bottom"/>
          </w:tcPr>
          <w:p w14:paraId="074B74C0" w14:textId="171E5E2A" w:rsidR="005A056A" w:rsidRPr="000D3090" w:rsidRDefault="005A056A" w:rsidP="005A056A">
            <w:pPr>
              <w:spacing w:after="0" w:line="240" w:lineRule="auto"/>
              <w:jc w:val="center"/>
              <w:rPr>
                <w:color w:val="000000"/>
                <w:sz w:val="18"/>
                <w:szCs w:val="18"/>
              </w:rPr>
            </w:pPr>
            <w:r w:rsidRPr="000D3090">
              <w:rPr>
                <w:color w:val="000000"/>
                <w:sz w:val="18"/>
                <w:szCs w:val="18"/>
              </w:rPr>
              <w:t>0.51</w:t>
            </w:r>
          </w:p>
        </w:tc>
        <w:tc>
          <w:tcPr>
            <w:tcW w:w="540" w:type="dxa"/>
            <w:tcBorders>
              <w:top w:val="nil"/>
              <w:left w:val="nil"/>
              <w:bottom w:val="nil"/>
              <w:right w:val="single" w:sz="12" w:space="0" w:color="auto"/>
            </w:tcBorders>
            <w:shd w:val="clear" w:color="000000" w:fill="FFFFFF"/>
            <w:vAlign w:val="bottom"/>
          </w:tcPr>
          <w:p w14:paraId="74CAA2B2" w14:textId="030F318D" w:rsidR="005A056A" w:rsidRPr="000D3090" w:rsidRDefault="005A056A" w:rsidP="005A056A">
            <w:pPr>
              <w:spacing w:after="0" w:line="240" w:lineRule="auto"/>
              <w:jc w:val="center"/>
              <w:rPr>
                <w:color w:val="000000"/>
                <w:sz w:val="18"/>
                <w:szCs w:val="18"/>
              </w:rPr>
            </w:pPr>
            <w:r w:rsidRPr="000D3090">
              <w:rPr>
                <w:color w:val="000000"/>
                <w:sz w:val="18"/>
                <w:szCs w:val="18"/>
              </w:rPr>
              <w:t>8.07</w:t>
            </w:r>
          </w:p>
        </w:tc>
        <w:tc>
          <w:tcPr>
            <w:tcW w:w="630" w:type="dxa"/>
            <w:tcBorders>
              <w:top w:val="nil"/>
              <w:left w:val="single" w:sz="12" w:space="0" w:color="auto"/>
              <w:bottom w:val="nil"/>
              <w:right w:val="nil"/>
            </w:tcBorders>
            <w:shd w:val="clear" w:color="000000" w:fill="FFFFFF"/>
            <w:vAlign w:val="bottom"/>
          </w:tcPr>
          <w:p w14:paraId="1CD06DCE" w14:textId="78EC9BDA" w:rsidR="005A056A" w:rsidRPr="000D3090" w:rsidRDefault="005A056A" w:rsidP="005A056A">
            <w:pPr>
              <w:spacing w:after="0" w:line="240" w:lineRule="auto"/>
              <w:jc w:val="center"/>
              <w:rPr>
                <w:color w:val="000000"/>
                <w:sz w:val="18"/>
                <w:szCs w:val="18"/>
              </w:rPr>
            </w:pPr>
            <w:r w:rsidRPr="000D3090">
              <w:rPr>
                <w:color w:val="000000"/>
                <w:sz w:val="18"/>
                <w:szCs w:val="18"/>
              </w:rPr>
              <w:t>-0.10</w:t>
            </w:r>
          </w:p>
        </w:tc>
        <w:tc>
          <w:tcPr>
            <w:tcW w:w="542" w:type="dxa"/>
            <w:tcBorders>
              <w:top w:val="nil"/>
              <w:left w:val="nil"/>
              <w:bottom w:val="nil"/>
              <w:right w:val="single" w:sz="12" w:space="0" w:color="auto"/>
            </w:tcBorders>
            <w:shd w:val="clear" w:color="000000" w:fill="FFFFFF"/>
            <w:vAlign w:val="bottom"/>
          </w:tcPr>
          <w:p w14:paraId="03113FB2" w14:textId="2823EBCA" w:rsidR="005A056A" w:rsidRPr="000D3090" w:rsidRDefault="005A056A" w:rsidP="005A056A">
            <w:pPr>
              <w:spacing w:after="0" w:line="240" w:lineRule="auto"/>
              <w:jc w:val="center"/>
              <w:rPr>
                <w:color w:val="000000"/>
                <w:sz w:val="18"/>
                <w:szCs w:val="18"/>
              </w:rPr>
            </w:pPr>
            <w:r w:rsidRPr="000D3090">
              <w:rPr>
                <w:color w:val="000000"/>
                <w:sz w:val="18"/>
                <w:szCs w:val="18"/>
              </w:rPr>
              <w:t>-3.48</w:t>
            </w:r>
          </w:p>
        </w:tc>
      </w:tr>
      <w:tr w:rsidR="005A056A" w:rsidRPr="000D3090" w14:paraId="7B54F026"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76CA20F2"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65+</w:t>
            </w:r>
          </w:p>
        </w:tc>
        <w:tc>
          <w:tcPr>
            <w:tcW w:w="537" w:type="dxa"/>
            <w:tcBorders>
              <w:top w:val="nil"/>
              <w:left w:val="single" w:sz="12" w:space="0" w:color="auto"/>
              <w:bottom w:val="nil"/>
            </w:tcBorders>
            <w:shd w:val="clear" w:color="000000" w:fill="FFFFFF"/>
            <w:vAlign w:val="bottom"/>
          </w:tcPr>
          <w:p w14:paraId="435EE251" w14:textId="05197D0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0.23</w:t>
            </w:r>
          </w:p>
        </w:tc>
        <w:tc>
          <w:tcPr>
            <w:tcW w:w="541" w:type="dxa"/>
            <w:tcBorders>
              <w:top w:val="nil"/>
              <w:left w:val="nil"/>
              <w:bottom w:val="nil"/>
              <w:right w:val="single" w:sz="12" w:space="0" w:color="auto"/>
            </w:tcBorders>
            <w:shd w:val="clear" w:color="000000" w:fill="FFFFFF"/>
            <w:vAlign w:val="bottom"/>
          </w:tcPr>
          <w:p w14:paraId="2A1D27C0" w14:textId="3DDE247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4.17</w:t>
            </w:r>
          </w:p>
        </w:tc>
        <w:tc>
          <w:tcPr>
            <w:tcW w:w="539" w:type="dxa"/>
            <w:tcBorders>
              <w:top w:val="nil"/>
              <w:left w:val="single" w:sz="12" w:space="0" w:color="auto"/>
              <w:bottom w:val="nil"/>
              <w:right w:val="nil"/>
            </w:tcBorders>
            <w:shd w:val="clear" w:color="000000" w:fill="FFFFFF"/>
            <w:noWrap/>
            <w:vAlign w:val="center"/>
          </w:tcPr>
          <w:p w14:paraId="3B8AC0E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5518053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58CBC8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329BE6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0379EE61" w14:textId="0E291E6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-0.33</w:t>
            </w:r>
          </w:p>
        </w:tc>
        <w:tc>
          <w:tcPr>
            <w:tcW w:w="450" w:type="dxa"/>
            <w:tcBorders>
              <w:top w:val="nil"/>
              <w:left w:val="nil"/>
              <w:bottom w:val="nil"/>
              <w:right w:val="single" w:sz="4" w:space="0" w:color="auto"/>
            </w:tcBorders>
            <w:shd w:val="clear" w:color="000000" w:fill="FFFFFF"/>
            <w:noWrap/>
            <w:vAlign w:val="bottom"/>
          </w:tcPr>
          <w:p w14:paraId="77BAAFDD" w14:textId="5A7F377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-2.97</w:t>
            </w:r>
          </w:p>
        </w:tc>
        <w:tc>
          <w:tcPr>
            <w:tcW w:w="548" w:type="dxa"/>
            <w:tcBorders>
              <w:top w:val="nil"/>
              <w:left w:val="nil"/>
              <w:bottom w:val="nil"/>
              <w:right w:val="nil"/>
            </w:tcBorders>
            <w:shd w:val="clear" w:color="000000" w:fill="FFFFFF"/>
            <w:noWrap/>
            <w:vAlign w:val="center"/>
          </w:tcPr>
          <w:p w14:paraId="4FF9AD1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387141B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BF2C97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C27DF1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00A5DE0F" w14:textId="5D7FD45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0.51</w:t>
            </w:r>
          </w:p>
        </w:tc>
        <w:tc>
          <w:tcPr>
            <w:tcW w:w="450" w:type="dxa"/>
            <w:tcBorders>
              <w:top w:val="nil"/>
              <w:left w:val="nil"/>
              <w:bottom w:val="nil"/>
              <w:right w:val="single" w:sz="4" w:space="0" w:color="auto"/>
            </w:tcBorders>
            <w:shd w:val="clear" w:color="000000" w:fill="FFFFFF"/>
            <w:noWrap/>
            <w:vAlign w:val="bottom"/>
          </w:tcPr>
          <w:p w14:paraId="7644861D" w14:textId="0C017D4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2.85</w:t>
            </w:r>
          </w:p>
        </w:tc>
        <w:tc>
          <w:tcPr>
            <w:tcW w:w="540" w:type="dxa"/>
            <w:tcBorders>
              <w:top w:val="nil"/>
              <w:left w:val="nil"/>
              <w:bottom w:val="nil"/>
              <w:right w:val="nil"/>
            </w:tcBorders>
            <w:shd w:val="clear" w:color="000000" w:fill="FFFFFF"/>
            <w:noWrap/>
            <w:vAlign w:val="bottom"/>
          </w:tcPr>
          <w:p w14:paraId="3DDA0E3B" w14:textId="302FA95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-0.45</w:t>
            </w:r>
          </w:p>
        </w:tc>
        <w:tc>
          <w:tcPr>
            <w:tcW w:w="454" w:type="dxa"/>
            <w:tcBorders>
              <w:top w:val="nil"/>
              <w:left w:val="nil"/>
              <w:bottom w:val="nil"/>
              <w:right w:val="single" w:sz="4" w:space="0" w:color="auto"/>
            </w:tcBorders>
            <w:shd w:val="clear" w:color="000000" w:fill="FFFFFF"/>
            <w:noWrap/>
            <w:vAlign w:val="bottom"/>
          </w:tcPr>
          <w:p w14:paraId="7160D103" w14:textId="2F80505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-3.35</w:t>
            </w:r>
          </w:p>
        </w:tc>
        <w:tc>
          <w:tcPr>
            <w:tcW w:w="540" w:type="dxa"/>
            <w:tcBorders>
              <w:top w:val="nil"/>
              <w:left w:val="nil"/>
              <w:bottom w:val="nil"/>
              <w:right w:val="nil"/>
            </w:tcBorders>
            <w:shd w:val="clear" w:color="000000" w:fill="FFFFFF"/>
            <w:noWrap/>
            <w:vAlign w:val="bottom"/>
          </w:tcPr>
          <w:p w14:paraId="2A3F494A" w14:textId="6895E18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0.56</w:t>
            </w:r>
          </w:p>
        </w:tc>
        <w:tc>
          <w:tcPr>
            <w:tcW w:w="456" w:type="dxa"/>
            <w:tcBorders>
              <w:top w:val="nil"/>
              <w:left w:val="nil"/>
              <w:bottom w:val="nil"/>
              <w:right w:val="single" w:sz="12" w:space="0" w:color="auto"/>
            </w:tcBorders>
            <w:shd w:val="clear" w:color="000000" w:fill="FFFFFF"/>
            <w:noWrap/>
            <w:vAlign w:val="bottom"/>
          </w:tcPr>
          <w:p w14:paraId="58EB769F" w14:textId="58F906E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7.82</w:t>
            </w:r>
          </w:p>
        </w:tc>
        <w:tc>
          <w:tcPr>
            <w:tcW w:w="540" w:type="dxa"/>
            <w:tcBorders>
              <w:top w:val="nil"/>
              <w:left w:val="nil"/>
              <w:bottom w:val="nil"/>
              <w:right w:val="nil"/>
            </w:tcBorders>
            <w:shd w:val="clear" w:color="000000" w:fill="FFFFFF"/>
            <w:vAlign w:val="bottom"/>
          </w:tcPr>
          <w:p w14:paraId="5C328A53" w14:textId="648A9B1E" w:rsidR="005A056A" w:rsidRPr="000D3090" w:rsidRDefault="005A056A" w:rsidP="005A056A">
            <w:pPr>
              <w:spacing w:after="0" w:line="240" w:lineRule="auto"/>
              <w:jc w:val="center"/>
              <w:rPr>
                <w:color w:val="000000"/>
                <w:sz w:val="18"/>
                <w:szCs w:val="18"/>
              </w:rPr>
            </w:pPr>
            <w:r w:rsidRPr="000D3090">
              <w:rPr>
                <w:color w:val="000000"/>
                <w:sz w:val="18"/>
                <w:szCs w:val="18"/>
              </w:rPr>
              <w:t>0.59</w:t>
            </w:r>
          </w:p>
        </w:tc>
        <w:tc>
          <w:tcPr>
            <w:tcW w:w="540" w:type="dxa"/>
            <w:tcBorders>
              <w:top w:val="nil"/>
              <w:left w:val="nil"/>
              <w:bottom w:val="nil"/>
              <w:right w:val="single" w:sz="12" w:space="0" w:color="auto"/>
            </w:tcBorders>
            <w:shd w:val="clear" w:color="000000" w:fill="FFFFFF"/>
            <w:vAlign w:val="bottom"/>
          </w:tcPr>
          <w:p w14:paraId="19F186D1" w14:textId="346DA784" w:rsidR="005A056A" w:rsidRPr="000D3090" w:rsidRDefault="005A056A" w:rsidP="005A056A">
            <w:pPr>
              <w:spacing w:after="0" w:line="240" w:lineRule="auto"/>
              <w:jc w:val="center"/>
              <w:rPr>
                <w:color w:val="000000"/>
                <w:sz w:val="18"/>
                <w:szCs w:val="18"/>
              </w:rPr>
            </w:pPr>
            <w:r w:rsidRPr="000D3090">
              <w:rPr>
                <w:color w:val="000000"/>
                <w:sz w:val="18"/>
                <w:szCs w:val="18"/>
              </w:rPr>
              <w:t>7.68</w:t>
            </w:r>
          </w:p>
        </w:tc>
        <w:tc>
          <w:tcPr>
            <w:tcW w:w="630" w:type="dxa"/>
            <w:tcBorders>
              <w:top w:val="nil"/>
              <w:left w:val="single" w:sz="12" w:space="0" w:color="auto"/>
              <w:bottom w:val="nil"/>
              <w:right w:val="nil"/>
            </w:tcBorders>
            <w:shd w:val="clear" w:color="000000" w:fill="FFFFFF"/>
            <w:vAlign w:val="bottom"/>
          </w:tcPr>
          <w:p w14:paraId="61CDD2A5" w14:textId="6DC02FB8" w:rsidR="005A056A" w:rsidRPr="000D3090" w:rsidRDefault="005A056A" w:rsidP="005A056A">
            <w:pPr>
              <w:spacing w:after="0" w:line="240" w:lineRule="auto"/>
              <w:jc w:val="center"/>
              <w:rPr>
                <w:color w:val="000000"/>
                <w:sz w:val="18"/>
                <w:szCs w:val="18"/>
              </w:rPr>
            </w:pPr>
            <w:r w:rsidRPr="000D3090">
              <w:rPr>
                <w:color w:val="000000"/>
                <w:sz w:val="18"/>
                <w:szCs w:val="18"/>
              </w:rPr>
              <w:t>-0.23</w:t>
            </w:r>
          </w:p>
        </w:tc>
        <w:tc>
          <w:tcPr>
            <w:tcW w:w="542" w:type="dxa"/>
            <w:tcBorders>
              <w:top w:val="nil"/>
              <w:left w:val="nil"/>
              <w:bottom w:val="nil"/>
              <w:right w:val="single" w:sz="12" w:space="0" w:color="auto"/>
            </w:tcBorders>
            <w:shd w:val="clear" w:color="000000" w:fill="FFFFFF"/>
            <w:vAlign w:val="bottom"/>
          </w:tcPr>
          <w:p w14:paraId="3016F22A" w14:textId="00F38B9A" w:rsidR="005A056A" w:rsidRPr="000D3090" w:rsidRDefault="005A056A" w:rsidP="005A056A">
            <w:pPr>
              <w:spacing w:after="0" w:line="240" w:lineRule="auto"/>
              <w:jc w:val="center"/>
              <w:rPr>
                <w:color w:val="000000"/>
                <w:sz w:val="18"/>
                <w:szCs w:val="18"/>
              </w:rPr>
            </w:pPr>
            <w:r w:rsidRPr="000D3090">
              <w:rPr>
                <w:color w:val="000000"/>
                <w:sz w:val="18"/>
                <w:szCs w:val="18"/>
              </w:rPr>
              <w:t>-6.11</w:t>
            </w:r>
          </w:p>
        </w:tc>
      </w:tr>
      <w:tr w:rsidR="00AF3DDB" w:rsidRPr="000D3090" w14:paraId="25B967C9"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048DD92B" w14:textId="77777777" w:rsidR="00AF3DDB" w:rsidRPr="000D3090"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Employment Status (Employed)</w:t>
            </w:r>
          </w:p>
        </w:tc>
        <w:tc>
          <w:tcPr>
            <w:tcW w:w="537" w:type="dxa"/>
            <w:tcBorders>
              <w:top w:val="nil"/>
              <w:left w:val="single" w:sz="12" w:space="0" w:color="auto"/>
              <w:bottom w:val="nil"/>
            </w:tcBorders>
            <w:shd w:val="clear" w:color="000000" w:fill="FFFFFF"/>
          </w:tcPr>
          <w:p w14:paraId="50D107BC"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7E228B37"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0E43A79B"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tcPr>
          <w:p w14:paraId="5481AB1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D8C892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6375D50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A79B10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69882FD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289FC84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14D2699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7288E2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19E1798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9FF2AD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4D1A95C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FF0C4E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tcPr>
          <w:p w14:paraId="22BE314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5743698"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tcPr>
          <w:p w14:paraId="065F56F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1297EB05" w14:textId="77777777" w:rsidR="00AF3DDB" w:rsidRPr="000D3090" w:rsidRDefault="00AF3DDB" w:rsidP="00AF3DDB">
            <w:pPr>
              <w:spacing w:after="0" w:line="240" w:lineRule="auto"/>
              <w:jc w:val="center"/>
              <w:rPr>
                <w:color w:val="000000"/>
                <w:sz w:val="18"/>
                <w:szCs w:val="18"/>
              </w:rPr>
            </w:pPr>
          </w:p>
        </w:tc>
        <w:tc>
          <w:tcPr>
            <w:tcW w:w="540" w:type="dxa"/>
            <w:tcBorders>
              <w:top w:val="nil"/>
              <w:left w:val="nil"/>
              <w:bottom w:val="nil"/>
              <w:right w:val="single" w:sz="12" w:space="0" w:color="auto"/>
            </w:tcBorders>
            <w:shd w:val="clear" w:color="000000" w:fill="FFFFFF"/>
          </w:tcPr>
          <w:p w14:paraId="691FD583" w14:textId="77777777" w:rsidR="00AF3DDB" w:rsidRPr="000D3090" w:rsidRDefault="00AF3DDB" w:rsidP="00AF3DDB">
            <w:pPr>
              <w:spacing w:after="0" w:line="240" w:lineRule="auto"/>
              <w:jc w:val="center"/>
              <w:rPr>
                <w:color w:val="000000"/>
                <w:sz w:val="18"/>
                <w:szCs w:val="18"/>
              </w:rPr>
            </w:pPr>
          </w:p>
        </w:tc>
        <w:tc>
          <w:tcPr>
            <w:tcW w:w="630" w:type="dxa"/>
            <w:tcBorders>
              <w:top w:val="nil"/>
              <w:left w:val="single" w:sz="12" w:space="0" w:color="auto"/>
              <w:bottom w:val="nil"/>
              <w:right w:val="nil"/>
            </w:tcBorders>
            <w:shd w:val="clear" w:color="000000" w:fill="FFFFFF"/>
          </w:tcPr>
          <w:p w14:paraId="054EF35C" w14:textId="77777777" w:rsidR="00AF3DDB" w:rsidRPr="000D3090" w:rsidRDefault="00AF3DDB" w:rsidP="00AF3DDB">
            <w:pPr>
              <w:spacing w:after="0" w:line="240" w:lineRule="auto"/>
              <w:jc w:val="center"/>
              <w:rPr>
                <w:color w:val="000000"/>
                <w:sz w:val="18"/>
                <w:szCs w:val="18"/>
              </w:rPr>
            </w:pPr>
          </w:p>
        </w:tc>
        <w:tc>
          <w:tcPr>
            <w:tcW w:w="542" w:type="dxa"/>
            <w:tcBorders>
              <w:top w:val="nil"/>
              <w:left w:val="nil"/>
              <w:bottom w:val="nil"/>
              <w:right w:val="single" w:sz="12" w:space="0" w:color="auto"/>
            </w:tcBorders>
            <w:shd w:val="clear" w:color="000000" w:fill="FFFFFF"/>
          </w:tcPr>
          <w:p w14:paraId="40DAD20F" w14:textId="77777777" w:rsidR="00AF3DDB" w:rsidRPr="000D3090" w:rsidRDefault="00AF3DDB" w:rsidP="00AF3DDB">
            <w:pPr>
              <w:spacing w:after="0" w:line="240" w:lineRule="auto"/>
              <w:jc w:val="center"/>
              <w:rPr>
                <w:color w:val="000000"/>
                <w:sz w:val="18"/>
                <w:szCs w:val="18"/>
              </w:rPr>
            </w:pPr>
          </w:p>
        </w:tc>
      </w:tr>
      <w:tr w:rsidR="005A056A" w:rsidRPr="000D3090" w14:paraId="67F2A992"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54CF57CB"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Retired</w:t>
            </w:r>
          </w:p>
        </w:tc>
        <w:tc>
          <w:tcPr>
            <w:tcW w:w="537" w:type="dxa"/>
            <w:tcBorders>
              <w:top w:val="nil"/>
              <w:left w:val="single" w:sz="12" w:space="0" w:color="auto"/>
              <w:bottom w:val="nil"/>
            </w:tcBorders>
            <w:shd w:val="clear" w:color="000000" w:fill="FFFFFF"/>
            <w:vAlign w:val="center"/>
          </w:tcPr>
          <w:p w14:paraId="3167F56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bottom w:val="nil"/>
              <w:right w:val="single" w:sz="12" w:space="0" w:color="auto"/>
            </w:tcBorders>
            <w:shd w:val="clear" w:color="000000" w:fill="FFFFFF"/>
            <w:vAlign w:val="center"/>
          </w:tcPr>
          <w:p w14:paraId="7C3EC83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center"/>
          </w:tcPr>
          <w:p w14:paraId="0F939E4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2D2AE6F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61EBC39C" w14:textId="1A3F39D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-0.36</w:t>
            </w:r>
          </w:p>
        </w:tc>
        <w:tc>
          <w:tcPr>
            <w:tcW w:w="450" w:type="dxa"/>
            <w:tcBorders>
              <w:top w:val="nil"/>
              <w:left w:val="nil"/>
              <w:bottom w:val="nil"/>
              <w:right w:val="single" w:sz="4" w:space="0" w:color="auto"/>
            </w:tcBorders>
            <w:shd w:val="clear" w:color="000000" w:fill="FFFFFF"/>
            <w:noWrap/>
            <w:vAlign w:val="bottom"/>
          </w:tcPr>
          <w:p w14:paraId="2CBC19C1" w14:textId="069A84A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-2.96</w:t>
            </w:r>
          </w:p>
        </w:tc>
        <w:tc>
          <w:tcPr>
            <w:tcW w:w="540" w:type="dxa"/>
            <w:tcBorders>
              <w:top w:val="nil"/>
              <w:left w:val="nil"/>
              <w:bottom w:val="nil"/>
              <w:right w:val="nil"/>
            </w:tcBorders>
            <w:shd w:val="clear" w:color="000000" w:fill="FFFFFF"/>
            <w:noWrap/>
            <w:vAlign w:val="bottom"/>
          </w:tcPr>
          <w:p w14:paraId="4734D209" w14:textId="70DF218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-0.20</w:t>
            </w:r>
          </w:p>
        </w:tc>
        <w:tc>
          <w:tcPr>
            <w:tcW w:w="450" w:type="dxa"/>
            <w:tcBorders>
              <w:top w:val="nil"/>
              <w:left w:val="nil"/>
              <w:bottom w:val="nil"/>
              <w:right w:val="single" w:sz="4" w:space="0" w:color="auto"/>
            </w:tcBorders>
            <w:shd w:val="clear" w:color="000000" w:fill="FFFFFF"/>
            <w:noWrap/>
            <w:vAlign w:val="bottom"/>
          </w:tcPr>
          <w:p w14:paraId="506A83B4" w14:textId="3B1695C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-1.60</w:t>
            </w:r>
          </w:p>
        </w:tc>
        <w:tc>
          <w:tcPr>
            <w:tcW w:w="548" w:type="dxa"/>
            <w:tcBorders>
              <w:top w:val="nil"/>
              <w:left w:val="nil"/>
              <w:bottom w:val="nil"/>
              <w:right w:val="nil"/>
            </w:tcBorders>
            <w:shd w:val="clear" w:color="000000" w:fill="FFFFFF"/>
            <w:noWrap/>
            <w:vAlign w:val="center"/>
          </w:tcPr>
          <w:p w14:paraId="214B617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3E6DA3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2A4F1EFE" w14:textId="6C7D692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-0.38</w:t>
            </w:r>
          </w:p>
        </w:tc>
        <w:tc>
          <w:tcPr>
            <w:tcW w:w="450" w:type="dxa"/>
            <w:tcBorders>
              <w:top w:val="nil"/>
              <w:left w:val="nil"/>
              <w:bottom w:val="nil"/>
              <w:right w:val="single" w:sz="4" w:space="0" w:color="auto"/>
            </w:tcBorders>
            <w:shd w:val="clear" w:color="000000" w:fill="FFFFFF"/>
            <w:noWrap/>
            <w:vAlign w:val="bottom"/>
          </w:tcPr>
          <w:p w14:paraId="3864BF08" w14:textId="223715C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-4.86</w:t>
            </w:r>
          </w:p>
        </w:tc>
        <w:tc>
          <w:tcPr>
            <w:tcW w:w="540" w:type="dxa"/>
            <w:tcBorders>
              <w:top w:val="nil"/>
              <w:left w:val="nil"/>
              <w:bottom w:val="nil"/>
              <w:right w:val="nil"/>
            </w:tcBorders>
            <w:shd w:val="clear" w:color="000000" w:fill="FFFFFF"/>
            <w:noWrap/>
            <w:vAlign w:val="bottom"/>
          </w:tcPr>
          <w:p w14:paraId="0C0157B2" w14:textId="364AE6E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0.34</w:t>
            </w:r>
          </w:p>
        </w:tc>
        <w:tc>
          <w:tcPr>
            <w:tcW w:w="450" w:type="dxa"/>
            <w:tcBorders>
              <w:top w:val="nil"/>
              <w:left w:val="nil"/>
              <w:bottom w:val="nil"/>
              <w:right w:val="single" w:sz="4" w:space="0" w:color="auto"/>
            </w:tcBorders>
            <w:shd w:val="clear" w:color="000000" w:fill="FFFFFF"/>
            <w:noWrap/>
            <w:vAlign w:val="bottom"/>
          </w:tcPr>
          <w:p w14:paraId="2A8E0D93" w14:textId="728A136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3.78</w:t>
            </w:r>
          </w:p>
        </w:tc>
        <w:tc>
          <w:tcPr>
            <w:tcW w:w="540" w:type="dxa"/>
            <w:tcBorders>
              <w:top w:val="nil"/>
              <w:left w:val="nil"/>
              <w:bottom w:val="nil"/>
              <w:right w:val="nil"/>
            </w:tcBorders>
            <w:shd w:val="clear" w:color="000000" w:fill="FFFFFF"/>
            <w:noWrap/>
            <w:vAlign w:val="bottom"/>
          </w:tcPr>
          <w:p w14:paraId="26AB85F0" w14:textId="361803B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-0.60</w:t>
            </w:r>
          </w:p>
        </w:tc>
        <w:tc>
          <w:tcPr>
            <w:tcW w:w="454" w:type="dxa"/>
            <w:tcBorders>
              <w:top w:val="nil"/>
              <w:left w:val="nil"/>
              <w:bottom w:val="nil"/>
              <w:right w:val="single" w:sz="4" w:space="0" w:color="auto"/>
            </w:tcBorders>
            <w:shd w:val="clear" w:color="000000" w:fill="FFFFFF"/>
            <w:noWrap/>
            <w:vAlign w:val="bottom"/>
          </w:tcPr>
          <w:p w14:paraId="1D3E113F" w14:textId="5252F8C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-4.29</w:t>
            </w:r>
          </w:p>
        </w:tc>
        <w:tc>
          <w:tcPr>
            <w:tcW w:w="540" w:type="dxa"/>
            <w:tcBorders>
              <w:top w:val="nil"/>
              <w:left w:val="nil"/>
              <w:bottom w:val="nil"/>
              <w:right w:val="nil"/>
            </w:tcBorders>
            <w:shd w:val="clear" w:color="000000" w:fill="FFFFFF"/>
            <w:noWrap/>
            <w:vAlign w:val="center"/>
          </w:tcPr>
          <w:p w14:paraId="7128552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3358C7D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6FF83064"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1F6554A1"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0D6C7856" w14:textId="541E5204" w:rsidR="005A056A" w:rsidRPr="000D3090" w:rsidRDefault="005A056A" w:rsidP="005A056A">
            <w:pPr>
              <w:spacing w:after="0" w:line="240" w:lineRule="auto"/>
              <w:jc w:val="center"/>
              <w:rPr>
                <w:color w:val="000000"/>
                <w:sz w:val="18"/>
                <w:szCs w:val="18"/>
              </w:rPr>
            </w:pPr>
            <w:r w:rsidRPr="000D3090">
              <w:rPr>
                <w:color w:val="000000"/>
                <w:sz w:val="18"/>
                <w:szCs w:val="18"/>
              </w:rPr>
              <w:t>-0.31</w:t>
            </w:r>
          </w:p>
        </w:tc>
        <w:tc>
          <w:tcPr>
            <w:tcW w:w="542" w:type="dxa"/>
            <w:tcBorders>
              <w:top w:val="nil"/>
              <w:left w:val="nil"/>
              <w:bottom w:val="nil"/>
              <w:right w:val="single" w:sz="12" w:space="0" w:color="auto"/>
            </w:tcBorders>
            <w:shd w:val="clear" w:color="000000" w:fill="FFFFFF"/>
            <w:vAlign w:val="bottom"/>
          </w:tcPr>
          <w:p w14:paraId="15513889" w14:textId="2A3D42FD" w:rsidR="005A056A" w:rsidRPr="000D3090" w:rsidRDefault="005A056A" w:rsidP="005A056A">
            <w:pPr>
              <w:spacing w:after="0" w:line="240" w:lineRule="auto"/>
              <w:jc w:val="center"/>
              <w:rPr>
                <w:color w:val="000000"/>
                <w:sz w:val="18"/>
                <w:szCs w:val="18"/>
              </w:rPr>
            </w:pPr>
            <w:r w:rsidRPr="000D3090">
              <w:rPr>
                <w:color w:val="000000"/>
                <w:sz w:val="18"/>
                <w:szCs w:val="18"/>
              </w:rPr>
              <w:t>-7.16</w:t>
            </w:r>
          </w:p>
        </w:tc>
      </w:tr>
      <w:tr w:rsidR="005A056A" w:rsidRPr="000D3090" w14:paraId="2E3B83CC"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63604305"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Unemployed</w:t>
            </w:r>
          </w:p>
        </w:tc>
        <w:tc>
          <w:tcPr>
            <w:tcW w:w="537" w:type="dxa"/>
            <w:tcBorders>
              <w:top w:val="nil"/>
              <w:left w:val="single" w:sz="12" w:space="0" w:color="auto"/>
              <w:bottom w:val="nil"/>
            </w:tcBorders>
            <w:shd w:val="clear" w:color="000000" w:fill="FFFFFF"/>
            <w:vAlign w:val="center"/>
          </w:tcPr>
          <w:p w14:paraId="7EF7EFC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1" w:type="dxa"/>
            <w:tcBorders>
              <w:top w:val="nil"/>
              <w:left w:val="nil"/>
              <w:bottom w:val="nil"/>
              <w:right w:val="single" w:sz="12" w:space="0" w:color="auto"/>
            </w:tcBorders>
            <w:shd w:val="clear" w:color="000000" w:fill="FFFFFF"/>
            <w:vAlign w:val="center"/>
          </w:tcPr>
          <w:p w14:paraId="08B5B04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center"/>
          </w:tcPr>
          <w:p w14:paraId="3D37923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17F22C3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0961B3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599E9E1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522B58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0F9B2DE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4F3D98D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091C5AD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FD6174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3475CC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3BF064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26180E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119A0777" w14:textId="0B3FAE1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-0.34</w:t>
            </w:r>
          </w:p>
        </w:tc>
        <w:tc>
          <w:tcPr>
            <w:tcW w:w="454" w:type="dxa"/>
            <w:tcBorders>
              <w:top w:val="nil"/>
              <w:left w:val="nil"/>
              <w:bottom w:val="nil"/>
              <w:right w:val="single" w:sz="4" w:space="0" w:color="auto"/>
            </w:tcBorders>
            <w:shd w:val="clear" w:color="000000" w:fill="FFFFFF"/>
            <w:noWrap/>
            <w:vAlign w:val="bottom"/>
          </w:tcPr>
          <w:p w14:paraId="5D1D1DE5" w14:textId="25067B7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-2.70</w:t>
            </w:r>
          </w:p>
        </w:tc>
        <w:tc>
          <w:tcPr>
            <w:tcW w:w="540" w:type="dxa"/>
            <w:tcBorders>
              <w:top w:val="nil"/>
              <w:left w:val="nil"/>
              <w:bottom w:val="nil"/>
              <w:right w:val="nil"/>
            </w:tcBorders>
            <w:shd w:val="clear" w:color="000000" w:fill="FFFFFF"/>
            <w:noWrap/>
            <w:vAlign w:val="center"/>
          </w:tcPr>
          <w:p w14:paraId="4110C6D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3BA8E81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59DDA1B6"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2691A2A7"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3C19AAD9" w14:textId="04BAD57B" w:rsidR="005A056A" w:rsidRPr="000D3090" w:rsidRDefault="005A056A" w:rsidP="005A056A">
            <w:pPr>
              <w:spacing w:after="0" w:line="240" w:lineRule="auto"/>
              <w:jc w:val="center"/>
              <w:rPr>
                <w:color w:val="000000"/>
                <w:sz w:val="18"/>
                <w:szCs w:val="18"/>
              </w:rPr>
            </w:pPr>
            <w:r w:rsidRPr="000D3090">
              <w:rPr>
                <w:color w:val="000000"/>
                <w:sz w:val="18"/>
                <w:szCs w:val="18"/>
              </w:rPr>
              <w:t>-0.46</w:t>
            </w:r>
          </w:p>
        </w:tc>
        <w:tc>
          <w:tcPr>
            <w:tcW w:w="542" w:type="dxa"/>
            <w:tcBorders>
              <w:top w:val="nil"/>
              <w:left w:val="nil"/>
              <w:bottom w:val="nil"/>
              <w:right w:val="single" w:sz="12" w:space="0" w:color="auto"/>
            </w:tcBorders>
            <w:shd w:val="clear" w:color="000000" w:fill="FFFFFF"/>
            <w:vAlign w:val="bottom"/>
          </w:tcPr>
          <w:p w14:paraId="3FBC19EE" w14:textId="0E9C75FA" w:rsidR="005A056A" w:rsidRPr="000D3090" w:rsidRDefault="005A056A" w:rsidP="005A056A">
            <w:pPr>
              <w:spacing w:after="0" w:line="240" w:lineRule="auto"/>
              <w:jc w:val="center"/>
              <w:rPr>
                <w:color w:val="000000"/>
                <w:sz w:val="18"/>
                <w:szCs w:val="18"/>
              </w:rPr>
            </w:pPr>
            <w:r w:rsidRPr="000D3090">
              <w:rPr>
                <w:color w:val="000000"/>
                <w:sz w:val="18"/>
                <w:szCs w:val="18"/>
              </w:rPr>
              <w:t>-13.68</w:t>
            </w:r>
          </w:p>
        </w:tc>
      </w:tr>
      <w:tr w:rsidR="00AF3DDB" w:rsidRPr="000D3090" w14:paraId="3FA2A7E3"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3C3BF5C3" w14:textId="77777777" w:rsidR="00AF3DDB" w:rsidRPr="000D3090"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Race (White)</w:t>
            </w:r>
          </w:p>
        </w:tc>
        <w:tc>
          <w:tcPr>
            <w:tcW w:w="537" w:type="dxa"/>
            <w:tcBorders>
              <w:top w:val="nil"/>
              <w:left w:val="single" w:sz="12" w:space="0" w:color="auto"/>
              <w:bottom w:val="nil"/>
            </w:tcBorders>
            <w:shd w:val="clear" w:color="000000" w:fill="FFFFFF"/>
          </w:tcPr>
          <w:p w14:paraId="63500CB5"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110477EA"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tcPr>
          <w:p w14:paraId="7378FEA8"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tcPr>
          <w:p w14:paraId="03CE6B2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0F1248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5E1286A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7C4EFC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292EFB0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0A61510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526E3B5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9E6F1C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5BD697EA"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28EDB6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tcPr>
          <w:p w14:paraId="4D84C24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91D39C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tcPr>
          <w:p w14:paraId="713DDB3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D106E2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tcPr>
          <w:p w14:paraId="2A5DC008"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699CB6DD" w14:textId="77777777" w:rsidR="00AF3DDB" w:rsidRPr="000D3090" w:rsidRDefault="00AF3DDB" w:rsidP="00AF3DDB">
            <w:pPr>
              <w:spacing w:after="0" w:line="240" w:lineRule="auto"/>
              <w:jc w:val="center"/>
              <w:rPr>
                <w:color w:val="000000"/>
                <w:sz w:val="18"/>
                <w:szCs w:val="18"/>
              </w:rPr>
            </w:pPr>
          </w:p>
        </w:tc>
        <w:tc>
          <w:tcPr>
            <w:tcW w:w="540" w:type="dxa"/>
            <w:tcBorders>
              <w:top w:val="nil"/>
              <w:left w:val="nil"/>
              <w:bottom w:val="nil"/>
              <w:right w:val="single" w:sz="12" w:space="0" w:color="auto"/>
            </w:tcBorders>
            <w:shd w:val="clear" w:color="000000" w:fill="FFFFFF"/>
          </w:tcPr>
          <w:p w14:paraId="3C2032D3" w14:textId="77777777" w:rsidR="00AF3DDB" w:rsidRPr="000D3090" w:rsidRDefault="00AF3DDB" w:rsidP="00AF3DDB">
            <w:pPr>
              <w:spacing w:after="0" w:line="240" w:lineRule="auto"/>
              <w:jc w:val="center"/>
              <w:rPr>
                <w:color w:val="000000"/>
                <w:sz w:val="18"/>
                <w:szCs w:val="18"/>
              </w:rPr>
            </w:pPr>
          </w:p>
        </w:tc>
        <w:tc>
          <w:tcPr>
            <w:tcW w:w="630" w:type="dxa"/>
            <w:tcBorders>
              <w:top w:val="nil"/>
              <w:left w:val="single" w:sz="12" w:space="0" w:color="auto"/>
              <w:bottom w:val="nil"/>
              <w:right w:val="nil"/>
            </w:tcBorders>
            <w:shd w:val="clear" w:color="000000" w:fill="FFFFFF"/>
          </w:tcPr>
          <w:p w14:paraId="3A4A89C4" w14:textId="77777777" w:rsidR="00AF3DDB" w:rsidRPr="000D3090" w:rsidRDefault="00AF3DDB" w:rsidP="00AF3DDB">
            <w:pPr>
              <w:spacing w:after="0" w:line="240" w:lineRule="auto"/>
              <w:jc w:val="center"/>
              <w:rPr>
                <w:color w:val="000000"/>
                <w:sz w:val="18"/>
                <w:szCs w:val="18"/>
              </w:rPr>
            </w:pPr>
          </w:p>
        </w:tc>
        <w:tc>
          <w:tcPr>
            <w:tcW w:w="542" w:type="dxa"/>
            <w:tcBorders>
              <w:top w:val="nil"/>
              <w:left w:val="nil"/>
              <w:bottom w:val="nil"/>
              <w:right w:val="single" w:sz="12" w:space="0" w:color="auto"/>
            </w:tcBorders>
            <w:shd w:val="clear" w:color="000000" w:fill="FFFFFF"/>
          </w:tcPr>
          <w:p w14:paraId="5893F81F" w14:textId="77777777" w:rsidR="00AF3DDB" w:rsidRPr="000D3090" w:rsidRDefault="00AF3DDB" w:rsidP="00AF3DDB">
            <w:pPr>
              <w:spacing w:after="0" w:line="240" w:lineRule="auto"/>
              <w:jc w:val="center"/>
              <w:rPr>
                <w:color w:val="000000"/>
                <w:sz w:val="18"/>
                <w:szCs w:val="18"/>
              </w:rPr>
            </w:pPr>
          </w:p>
        </w:tc>
      </w:tr>
      <w:tr w:rsidR="005A056A" w:rsidRPr="000D3090" w14:paraId="600B6938"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5E0F7526"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Black</w:t>
            </w:r>
          </w:p>
        </w:tc>
        <w:tc>
          <w:tcPr>
            <w:tcW w:w="537" w:type="dxa"/>
            <w:tcBorders>
              <w:top w:val="nil"/>
              <w:left w:val="single" w:sz="12" w:space="0" w:color="auto"/>
              <w:bottom w:val="nil"/>
            </w:tcBorders>
            <w:shd w:val="clear" w:color="000000" w:fill="FFFFFF"/>
            <w:vAlign w:val="bottom"/>
          </w:tcPr>
          <w:p w14:paraId="120E09CD" w14:textId="2366A45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0.26</w:t>
            </w:r>
          </w:p>
        </w:tc>
        <w:tc>
          <w:tcPr>
            <w:tcW w:w="541" w:type="dxa"/>
            <w:tcBorders>
              <w:top w:val="nil"/>
              <w:left w:val="nil"/>
              <w:bottom w:val="nil"/>
              <w:right w:val="single" w:sz="12" w:space="0" w:color="auto"/>
            </w:tcBorders>
            <w:shd w:val="clear" w:color="000000" w:fill="FFFFFF"/>
            <w:vAlign w:val="bottom"/>
          </w:tcPr>
          <w:p w14:paraId="3F9AAC87" w14:textId="33BB004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4.91</w:t>
            </w:r>
          </w:p>
        </w:tc>
        <w:tc>
          <w:tcPr>
            <w:tcW w:w="539" w:type="dxa"/>
            <w:tcBorders>
              <w:top w:val="nil"/>
              <w:left w:val="single" w:sz="12" w:space="0" w:color="auto"/>
              <w:bottom w:val="nil"/>
              <w:right w:val="nil"/>
            </w:tcBorders>
            <w:shd w:val="clear" w:color="000000" w:fill="FFFFFF"/>
            <w:noWrap/>
            <w:vAlign w:val="center"/>
          </w:tcPr>
          <w:p w14:paraId="2BD9939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54FF7B1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8230C6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39EE75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221CCE7E" w14:textId="2807AFB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0.36</w:t>
            </w:r>
          </w:p>
        </w:tc>
        <w:tc>
          <w:tcPr>
            <w:tcW w:w="450" w:type="dxa"/>
            <w:tcBorders>
              <w:top w:val="nil"/>
              <w:left w:val="nil"/>
              <w:bottom w:val="nil"/>
              <w:right w:val="single" w:sz="4" w:space="0" w:color="auto"/>
            </w:tcBorders>
            <w:shd w:val="clear" w:color="000000" w:fill="FFFFFF"/>
            <w:noWrap/>
            <w:vAlign w:val="bottom"/>
          </w:tcPr>
          <w:p w14:paraId="462A76DD" w14:textId="49ECD13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3.20</w:t>
            </w:r>
          </w:p>
        </w:tc>
        <w:tc>
          <w:tcPr>
            <w:tcW w:w="548" w:type="dxa"/>
            <w:tcBorders>
              <w:top w:val="nil"/>
              <w:left w:val="nil"/>
              <w:bottom w:val="nil"/>
              <w:right w:val="nil"/>
            </w:tcBorders>
            <w:shd w:val="clear" w:color="000000" w:fill="FFFFFF"/>
            <w:noWrap/>
            <w:vAlign w:val="bottom"/>
          </w:tcPr>
          <w:p w14:paraId="661ED3E0" w14:textId="1D237E6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0.26</w:t>
            </w:r>
          </w:p>
        </w:tc>
        <w:tc>
          <w:tcPr>
            <w:tcW w:w="450" w:type="dxa"/>
            <w:tcBorders>
              <w:top w:val="nil"/>
              <w:left w:val="nil"/>
              <w:bottom w:val="nil"/>
              <w:right w:val="single" w:sz="4" w:space="0" w:color="auto"/>
            </w:tcBorders>
            <w:shd w:val="clear" w:color="000000" w:fill="FFFFFF"/>
            <w:noWrap/>
            <w:vAlign w:val="bottom"/>
          </w:tcPr>
          <w:p w14:paraId="47B31F2D" w14:textId="75B60C1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1.97</w:t>
            </w:r>
          </w:p>
        </w:tc>
        <w:tc>
          <w:tcPr>
            <w:tcW w:w="540" w:type="dxa"/>
            <w:tcBorders>
              <w:top w:val="nil"/>
              <w:left w:val="nil"/>
              <w:bottom w:val="nil"/>
              <w:right w:val="nil"/>
            </w:tcBorders>
            <w:shd w:val="clear" w:color="000000" w:fill="FFFFFF"/>
            <w:noWrap/>
            <w:vAlign w:val="center"/>
          </w:tcPr>
          <w:p w14:paraId="3DBFE34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057F042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74CEC1C0" w14:textId="63F9B44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-0.25</w:t>
            </w:r>
          </w:p>
        </w:tc>
        <w:tc>
          <w:tcPr>
            <w:tcW w:w="450" w:type="dxa"/>
            <w:tcBorders>
              <w:top w:val="nil"/>
              <w:left w:val="nil"/>
              <w:bottom w:val="nil"/>
              <w:right w:val="single" w:sz="4" w:space="0" w:color="auto"/>
            </w:tcBorders>
            <w:shd w:val="clear" w:color="000000" w:fill="FFFFFF"/>
            <w:noWrap/>
            <w:vAlign w:val="bottom"/>
          </w:tcPr>
          <w:p w14:paraId="3AEBD970" w14:textId="7D86DCC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-2.22</w:t>
            </w:r>
          </w:p>
        </w:tc>
        <w:tc>
          <w:tcPr>
            <w:tcW w:w="540" w:type="dxa"/>
            <w:tcBorders>
              <w:top w:val="nil"/>
              <w:left w:val="nil"/>
              <w:bottom w:val="nil"/>
              <w:right w:val="nil"/>
            </w:tcBorders>
            <w:shd w:val="clear" w:color="000000" w:fill="FFFFFF"/>
            <w:noWrap/>
            <w:vAlign w:val="center"/>
          </w:tcPr>
          <w:p w14:paraId="05016CB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22B55A5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2257809E" w14:textId="39D1240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0.35</w:t>
            </w:r>
          </w:p>
        </w:tc>
        <w:tc>
          <w:tcPr>
            <w:tcW w:w="456" w:type="dxa"/>
            <w:tcBorders>
              <w:top w:val="nil"/>
              <w:left w:val="nil"/>
              <w:bottom w:val="nil"/>
              <w:right w:val="single" w:sz="12" w:space="0" w:color="auto"/>
            </w:tcBorders>
            <w:shd w:val="clear" w:color="000000" w:fill="FFFFFF"/>
            <w:noWrap/>
            <w:vAlign w:val="bottom"/>
          </w:tcPr>
          <w:p w14:paraId="11EDEC0B" w14:textId="275FD0B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3.82</w:t>
            </w:r>
          </w:p>
        </w:tc>
        <w:tc>
          <w:tcPr>
            <w:tcW w:w="540" w:type="dxa"/>
            <w:tcBorders>
              <w:top w:val="nil"/>
              <w:left w:val="nil"/>
              <w:bottom w:val="nil"/>
              <w:right w:val="nil"/>
            </w:tcBorders>
            <w:shd w:val="clear" w:color="000000" w:fill="FFFFFF"/>
            <w:vAlign w:val="center"/>
          </w:tcPr>
          <w:p w14:paraId="6F850FC6"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5EBB1E75"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4B8C4E56" w14:textId="21D71B2E" w:rsidR="005A056A" w:rsidRPr="000D3090" w:rsidRDefault="005A056A" w:rsidP="005A056A">
            <w:pPr>
              <w:spacing w:after="0" w:line="240" w:lineRule="auto"/>
              <w:jc w:val="center"/>
              <w:rPr>
                <w:color w:val="000000"/>
                <w:sz w:val="18"/>
                <w:szCs w:val="18"/>
              </w:rPr>
            </w:pPr>
            <w:r w:rsidRPr="000D3090">
              <w:rPr>
                <w:color w:val="000000"/>
                <w:sz w:val="18"/>
                <w:szCs w:val="18"/>
              </w:rPr>
              <w:t>-0.15</w:t>
            </w:r>
          </w:p>
        </w:tc>
        <w:tc>
          <w:tcPr>
            <w:tcW w:w="542" w:type="dxa"/>
            <w:tcBorders>
              <w:top w:val="nil"/>
              <w:left w:val="nil"/>
              <w:bottom w:val="nil"/>
              <w:right w:val="single" w:sz="12" w:space="0" w:color="auto"/>
            </w:tcBorders>
            <w:shd w:val="clear" w:color="000000" w:fill="FFFFFF"/>
            <w:vAlign w:val="bottom"/>
          </w:tcPr>
          <w:p w14:paraId="60A61F4B" w14:textId="543A829C" w:rsidR="005A056A" w:rsidRPr="000D3090" w:rsidRDefault="005A056A" w:rsidP="005A056A">
            <w:pPr>
              <w:spacing w:after="0" w:line="240" w:lineRule="auto"/>
              <w:jc w:val="center"/>
              <w:rPr>
                <w:color w:val="000000"/>
                <w:sz w:val="18"/>
                <w:szCs w:val="18"/>
              </w:rPr>
            </w:pPr>
            <w:r w:rsidRPr="000D3090">
              <w:rPr>
                <w:color w:val="000000"/>
                <w:sz w:val="18"/>
                <w:szCs w:val="18"/>
              </w:rPr>
              <w:t>-3.66</w:t>
            </w:r>
          </w:p>
        </w:tc>
      </w:tr>
      <w:tr w:rsidR="005A056A" w:rsidRPr="000D3090" w14:paraId="37E59D07"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30D0758B"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Asian</w:t>
            </w:r>
          </w:p>
        </w:tc>
        <w:tc>
          <w:tcPr>
            <w:tcW w:w="537" w:type="dxa"/>
            <w:tcBorders>
              <w:top w:val="nil"/>
              <w:left w:val="single" w:sz="12" w:space="0" w:color="auto"/>
              <w:bottom w:val="nil"/>
            </w:tcBorders>
            <w:shd w:val="clear" w:color="000000" w:fill="FFFFFF"/>
            <w:vAlign w:val="bottom"/>
          </w:tcPr>
          <w:p w14:paraId="483A1410" w14:textId="63B17EC6"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0.20</w:t>
            </w:r>
          </w:p>
        </w:tc>
        <w:tc>
          <w:tcPr>
            <w:tcW w:w="541" w:type="dxa"/>
            <w:tcBorders>
              <w:top w:val="nil"/>
              <w:left w:val="nil"/>
              <w:bottom w:val="nil"/>
              <w:right w:val="single" w:sz="12" w:space="0" w:color="auto"/>
            </w:tcBorders>
            <w:shd w:val="clear" w:color="000000" w:fill="FFFFFF"/>
            <w:vAlign w:val="bottom"/>
          </w:tcPr>
          <w:p w14:paraId="772076FC" w14:textId="2B59658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3.42</w:t>
            </w:r>
          </w:p>
        </w:tc>
        <w:tc>
          <w:tcPr>
            <w:tcW w:w="539" w:type="dxa"/>
            <w:tcBorders>
              <w:top w:val="nil"/>
              <w:left w:val="single" w:sz="12" w:space="0" w:color="auto"/>
              <w:bottom w:val="nil"/>
              <w:right w:val="nil"/>
            </w:tcBorders>
            <w:shd w:val="clear" w:color="000000" w:fill="FFFFFF"/>
            <w:noWrap/>
            <w:vAlign w:val="center"/>
          </w:tcPr>
          <w:p w14:paraId="3381A53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tcPr>
          <w:p w14:paraId="0FAB4E8D"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nil"/>
            </w:tcBorders>
            <w:shd w:val="clear" w:color="000000" w:fill="FFFFFF"/>
            <w:noWrap/>
            <w:vAlign w:val="center"/>
          </w:tcPr>
          <w:p w14:paraId="39F1337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550379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21709FA0" w14:textId="1F9969C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0.21</w:t>
            </w:r>
          </w:p>
        </w:tc>
        <w:tc>
          <w:tcPr>
            <w:tcW w:w="450" w:type="dxa"/>
            <w:tcBorders>
              <w:top w:val="nil"/>
              <w:left w:val="nil"/>
              <w:bottom w:val="nil"/>
              <w:right w:val="single" w:sz="4" w:space="0" w:color="auto"/>
            </w:tcBorders>
            <w:shd w:val="clear" w:color="000000" w:fill="FFFFFF"/>
            <w:noWrap/>
            <w:vAlign w:val="bottom"/>
          </w:tcPr>
          <w:p w14:paraId="78A890F7" w14:textId="5B7AC5F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1.49</w:t>
            </w:r>
          </w:p>
        </w:tc>
        <w:tc>
          <w:tcPr>
            <w:tcW w:w="548" w:type="dxa"/>
            <w:tcBorders>
              <w:top w:val="nil"/>
              <w:left w:val="nil"/>
              <w:bottom w:val="nil"/>
              <w:right w:val="nil"/>
            </w:tcBorders>
            <w:shd w:val="clear" w:color="000000" w:fill="FFFFFF"/>
            <w:noWrap/>
            <w:vAlign w:val="bottom"/>
          </w:tcPr>
          <w:p w14:paraId="75CE5DBF" w14:textId="1008643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0.50</w:t>
            </w:r>
          </w:p>
        </w:tc>
        <w:tc>
          <w:tcPr>
            <w:tcW w:w="450" w:type="dxa"/>
            <w:tcBorders>
              <w:top w:val="nil"/>
              <w:left w:val="nil"/>
              <w:bottom w:val="nil"/>
              <w:right w:val="single" w:sz="4" w:space="0" w:color="auto"/>
            </w:tcBorders>
            <w:shd w:val="clear" w:color="000000" w:fill="FFFFFF"/>
            <w:noWrap/>
            <w:vAlign w:val="bottom"/>
          </w:tcPr>
          <w:p w14:paraId="08EF58B5" w14:textId="2CF8D47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3.47</w:t>
            </w:r>
          </w:p>
        </w:tc>
        <w:tc>
          <w:tcPr>
            <w:tcW w:w="540" w:type="dxa"/>
            <w:tcBorders>
              <w:top w:val="nil"/>
              <w:left w:val="nil"/>
              <w:bottom w:val="nil"/>
              <w:right w:val="nil"/>
            </w:tcBorders>
            <w:shd w:val="clear" w:color="000000" w:fill="FFFFFF"/>
            <w:noWrap/>
            <w:vAlign w:val="bottom"/>
          </w:tcPr>
          <w:p w14:paraId="612AD605" w14:textId="60FBAE3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-0.30</w:t>
            </w:r>
          </w:p>
        </w:tc>
        <w:tc>
          <w:tcPr>
            <w:tcW w:w="450" w:type="dxa"/>
            <w:tcBorders>
              <w:top w:val="nil"/>
              <w:left w:val="nil"/>
              <w:bottom w:val="nil"/>
              <w:right w:val="single" w:sz="4" w:space="0" w:color="auto"/>
            </w:tcBorders>
            <w:shd w:val="clear" w:color="000000" w:fill="FFFFFF"/>
            <w:noWrap/>
            <w:vAlign w:val="bottom"/>
          </w:tcPr>
          <w:p w14:paraId="4361557C" w14:textId="3256B39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-1.93</w:t>
            </w:r>
          </w:p>
        </w:tc>
        <w:tc>
          <w:tcPr>
            <w:tcW w:w="540" w:type="dxa"/>
            <w:tcBorders>
              <w:top w:val="nil"/>
              <w:left w:val="nil"/>
              <w:bottom w:val="nil"/>
              <w:right w:val="nil"/>
            </w:tcBorders>
            <w:shd w:val="clear" w:color="000000" w:fill="FFFFFF"/>
            <w:noWrap/>
            <w:vAlign w:val="center"/>
          </w:tcPr>
          <w:p w14:paraId="08193D7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B5768F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3621C0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15D9112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4373E766" w14:textId="43358D1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0.36</w:t>
            </w:r>
          </w:p>
        </w:tc>
        <w:tc>
          <w:tcPr>
            <w:tcW w:w="456" w:type="dxa"/>
            <w:tcBorders>
              <w:top w:val="nil"/>
              <w:left w:val="nil"/>
              <w:bottom w:val="nil"/>
              <w:right w:val="single" w:sz="12" w:space="0" w:color="auto"/>
            </w:tcBorders>
            <w:shd w:val="clear" w:color="000000" w:fill="FFFFFF"/>
            <w:noWrap/>
            <w:vAlign w:val="bottom"/>
          </w:tcPr>
          <w:p w14:paraId="508112EA" w14:textId="78736DC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3.31</w:t>
            </w:r>
          </w:p>
        </w:tc>
        <w:tc>
          <w:tcPr>
            <w:tcW w:w="540" w:type="dxa"/>
            <w:tcBorders>
              <w:top w:val="nil"/>
              <w:left w:val="nil"/>
              <w:bottom w:val="nil"/>
              <w:right w:val="nil"/>
            </w:tcBorders>
            <w:shd w:val="clear" w:color="000000" w:fill="FFFFFF"/>
            <w:vAlign w:val="center"/>
          </w:tcPr>
          <w:p w14:paraId="02BF7334"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05B33D5A"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484566A9" w14:textId="7F470F68" w:rsidR="005A056A" w:rsidRPr="000D3090" w:rsidRDefault="005A056A" w:rsidP="005A056A">
            <w:pPr>
              <w:spacing w:after="0" w:line="240" w:lineRule="auto"/>
              <w:jc w:val="center"/>
              <w:rPr>
                <w:color w:val="000000"/>
                <w:sz w:val="18"/>
                <w:szCs w:val="18"/>
              </w:rPr>
            </w:pPr>
            <w:r w:rsidRPr="000D3090">
              <w:rPr>
                <w:color w:val="000000"/>
                <w:sz w:val="18"/>
                <w:szCs w:val="18"/>
              </w:rPr>
              <w:t>-0.25</w:t>
            </w:r>
          </w:p>
        </w:tc>
        <w:tc>
          <w:tcPr>
            <w:tcW w:w="542" w:type="dxa"/>
            <w:tcBorders>
              <w:top w:val="nil"/>
              <w:left w:val="nil"/>
              <w:bottom w:val="nil"/>
              <w:right w:val="single" w:sz="12" w:space="0" w:color="auto"/>
            </w:tcBorders>
            <w:shd w:val="clear" w:color="000000" w:fill="FFFFFF"/>
            <w:vAlign w:val="bottom"/>
          </w:tcPr>
          <w:p w14:paraId="29803E5F" w14:textId="6426F7E6" w:rsidR="005A056A" w:rsidRPr="000D3090" w:rsidRDefault="005A056A" w:rsidP="005A056A">
            <w:pPr>
              <w:spacing w:after="0" w:line="240" w:lineRule="auto"/>
              <w:jc w:val="center"/>
              <w:rPr>
                <w:color w:val="000000"/>
                <w:sz w:val="18"/>
                <w:szCs w:val="18"/>
              </w:rPr>
            </w:pPr>
            <w:r w:rsidRPr="000D3090">
              <w:rPr>
                <w:color w:val="000000"/>
                <w:sz w:val="18"/>
                <w:szCs w:val="18"/>
              </w:rPr>
              <w:t>-5.67</w:t>
            </w:r>
          </w:p>
        </w:tc>
      </w:tr>
      <w:tr w:rsidR="005A056A" w:rsidRPr="000D3090" w14:paraId="43E00FC4"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tcPr>
          <w:p w14:paraId="7EC5D933" w14:textId="77777777" w:rsidR="005A056A" w:rsidRPr="000D3090" w:rsidRDefault="005A056A" w:rsidP="005A056A">
            <w:pPr>
              <w:spacing w:after="0" w:line="240" w:lineRule="auto"/>
              <w:rPr>
                <w:rFonts w:eastAsia="Times New Roman"/>
                <w:b/>
                <w:bCs/>
                <w:color w:val="000000"/>
                <w:sz w:val="18"/>
                <w:szCs w:val="18"/>
              </w:rPr>
            </w:pPr>
            <w:r w:rsidRPr="000D3090">
              <w:rPr>
                <w:rFonts w:eastAsia="Times New Roman"/>
                <w:color w:val="000000"/>
                <w:sz w:val="18"/>
                <w:szCs w:val="18"/>
              </w:rPr>
              <w:t xml:space="preserve">     Other</w:t>
            </w:r>
          </w:p>
        </w:tc>
        <w:tc>
          <w:tcPr>
            <w:tcW w:w="537" w:type="dxa"/>
            <w:tcBorders>
              <w:top w:val="nil"/>
              <w:left w:val="single" w:sz="12" w:space="0" w:color="auto"/>
              <w:bottom w:val="nil"/>
            </w:tcBorders>
            <w:shd w:val="clear" w:color="000000" w:fill="FFFFFF"/>
            <w:vAlign w:val="bottom"/>
          </w:tcPr>
          <w:p w14:paraId="072A7A8F" w14:textId="46011AC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0.15</w:t>
            </w:r>
          </w:p>
        </w:tc>
        <w:tc>
          <w:tcPr>
            <w:tcW w:w="541" w:type="dxa"/>
            <w:tcBorders>
              <w:top w:val="nil"/>
              <w:left w:val="nil"/>
              <w:bottom w:val="nil"/>
              <w:right w:val="single" w:sz="12" w:space="0" w:color="auto"/>
            </w:tcBorders>
            <w:shd w:val="clear" w:color="000000" w:fill="FFFFFF"/>
            <w:vAlign w:val="bottom"/>
          </w:tcPr>
          <w:p w14:paraId="03AC6B56" w14:textId="336D378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2.24</w:t>
            </w:r>
          </w:p>
        </w:tc>
        <w:tc>
          <w:tcPr>
            <w:tcW w:w="539" w:type="dxa"/>
            <w:tcBorders>
              <w:top w:val="nil"/>
              <w:left w:val="single" w:sz="12" w:space="0" w:color="auto"/>
              <w:bottom w:val="nil"/>
              <w:right w:val="nil"/>
            </w:tcBorders>
            <w:shd w:val="clear" w:color="000000" w:fill="FFFFFF"/>
            <w:noWrap/>
            <w:vAlign w:val="bottom"/>
          </w:tcPr>
          <w:p w14:paraId="089E7C3E" w14:textId="7FF8442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0.51</w:t>
            </w:r>
          </w:p>
        </w:tc>
        <w:tc>
          <w:tcPr>
            <w:tcW w:w="449" w:type="dxa"/>
            <w:tcBorders>
              <w:top w:val="nil"/>
              <w:left w:val="nil"/>
              <w:bottom w:val="nil"/>
              <w:right w:val="single" w:sz="4" w:space="0" w:color="auto"/>
            </w:tcBorders>
            <w:shd w:val="clear" w:color="000000" w:fill="FFFFFF"/>
            <w:noWrap/>
            <w:vAlign w:val="bottom"/>
          </w:tcPr>
          <w:p w14:paraId="4310FA44" w14:textId="725C888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3.74</w:t>
            </w:r>
          </w:p>
        </w:tc>
        <w:tc>
          <w:tcPr>
            <w:tcW w:w="540" w:type="dxa"/>
            <w:tcBorders>
              <w:top w:val="nil"/>
              <w:left w:val="nil"/>
              <w:bottom w:val="nil"/>
              <w:right w:val="nil"/>
            </w:tcBorders>
            <w:shd w:val="clear" w:color="000000" w:fill="FFFFFF"/>
            <w:noWrap/>
            <w:vAlign w:val="bottom"/>
          </w:tcPr>
          <w:p w14:paraId="7D5DCED4" w14:textId="62ED970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0.35</w:t>
            </w:r>
          </w:p>
        </w:tc>
        <w:tc>
          <w:tcPr>
            <w:tcW w:w="450" w:type="dxa"/>
            <w:tcBorders>
              <w:top w:val="nil"/>
              <w:left w:val="nil"/>
              <w:bottom w:val="nil"/>
              <w:right w:val="single" w:sz="4" w:space="0" w:color="auto"/>
            </w:tcBorders>
            <w:shd w:val="clear" w:color="000000" w:fill="FFFFFF"/>
            <w:noWrap/>
            <w:vAlign w:val="bottom"/>
          </w:tcPr>
          <w:p w14:paraId="12D489D6" w14:textId="4FC6C89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2.21</w:t>
            </w:r>
          </w:p>
        </w:tc>
        <w:tc>
          <w:tcPr>
            <w:tcW w:w="540" w:type="dxa"/>
            <w:tcBorders>
              <w:top w:val="nil"/>
              <w:left w:val="nil"/>
              <w:bottom w:val="nil"/>
              <w:right w:val="nil"/>
            </w:tcBorders>
            <w:shd w:val="clear" w:color="000000" w:fill="FFFFFF"/>
            <w:noWrap/>
            <w:vAlign w:val="bottom"/>
          </w:tcPr>
          <w:p w14:paraId="7EB8A317" w14:textId="180B4BA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450" w:type="dxa"/>
            <w:tcBorders>
              <w:top w:val="nil"/>
              <w:left w:val="nil"/>
              <w:bottom w:val="nil"/>
              <w:right w:val="single" w:sz="4" w:space="0" w:color="auto"/>
            </w:tcBorders>
            <w:shd w:val="clear" w:color="000000" w:fill="FFFFFF"/>
            <w:noWrap/>
            <w:vAlign w:val="bottom"/>
          </w:tcPr>
          <w:p w14:paraId="0C55AD15" w14:textId="046177D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1.51</w:t>
            </w:r>
          </w:p>
        </w:tc>
        <w:tc>
          <w:tcPr>
            <w:tcW w:w="548" w:type="dxa"/>
            <w:tcBorders>
              <w:top w:val="nil"/>
              <w:left w:val="nil"/>
              <w:bottom w:val="nil"/>
              <w:right w:val="nil"/>
            </w:tcBorders>
            <w:shd w:val="clear" w:color="000000" w:fill="FFFFFF"/>
            <w:noWrap/>
            <w:vAlign w:val="bottom"/>
          </w:tcPr>
          <w:p w14:paraId="4DDDBEB1" w14:textId="2A3E715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0.29</w:t>
            </w:r>
          </w:p>
        </w:tc>
        <w:tc>
          <w:tcPr>
            <w:tcW w:w="450" w:type="dxa"/>
            <w:tcBorders>
              <w:top w:val="nil"/>
              <w:left w:val="nil"/>
              <w:bottom w:val="nil"/>
              <w:right w:val="single" w:sz="4" w:space="0" w:color="auto"/>
            </w:tcBorders>
            <w:shd w:val="clear" w:color="000000" w:fill="FFFFFF"/>
            <w:noWrap/>
            <w:vAlign w:val="bottom"/>
          </w:tcPr>
          <w:p w14:paraId="4EE971C1" w14:textId="388E8CA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1.60</w:t>
            </w:r>
          </w:p>
        </w:tc>
        <w:tc>
          <w:tcPr>
            <w:tcW w:w="540" w:type="dxa"/>
            <w:tcBorders>
              <w:top w:val="nil"/>
              <w:left w:val="nil"/>
              <w:bottom w:val="nil"/>
              <w:right w:val="nil"/>
            </w:tcBorders>
            <w:shd w:val="clear" w:color="000000" w:fill="FFFFFF"/>
            <w:noWrap/>
            <w:vAlign w:val="bottom"/>
          </w:tcPr>
          <w:p w14:paraId="6CBDD0B4" w14:textId="4FB6435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-0.31</w:t>
            </w:r>
          </w:p>
        </w:tc>
        <w:tc>
          <w:tcPr>
            <w:tcW w:w="450" w:type="dxa"/>
            <w:tcBorders>
              <w:top w:val="nil"/>
              <w:left w:val="nil"/>
              <w:bottom w:val="nil"/>
              <w:right w:val="single" w:sz="4" w:space="0" w:color="auto"/>
            </w:tcBorders>
            <w:shd w:val="clear" w:color="000000" w:fill="FFFFFF"/>
            <w:noWrap/>
            <w:vAlign w:val="bottom"/>
          </w:tcPr>
          <w:p w14:paraId="48FC7031" w14:textId="1E428A0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-1.91</w:t>
            </w:r>
          </w:p>
        </w:tc>
        <w:tc>
          <w:tcPr>
            <w:tcW w:w="540" w:type="dxa"/>
            <w:tcBorders>
              <w:top w:val="nil"/>
              <w:left w:val="nil"/>
              <w:bottom w:val="nil"/>
              <w:right w:val="nil"/>
            </w:tcBorders>
            <w:shd w:val="clear" w:color="000000" w:fill="FFFFFF"/>
            <w:noWrap/>
            <w:vAlign w:val="center"/>
          </w:tcPr>
          <w:p w14:paraId="1768E9B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EDB944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8D476D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49DF99B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2185D7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1BC583B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035B61F2"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63C93F8D"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3A97FEBB" w14:textId="79B5AFBD" w:rsidR="005A056A" w:rsidRPr="000D3090" w:rsidRDefault="005A056A" w:rsidP="005A056A">
            <w:pPr>
              <w:spacing w:after="0" w:line="240" w:lineRule="auto"/>
              <w:jc w:val="center"/>
              <w:rPr>
                <w:color w:val="000000"/>
                <w:sz w:val="18"/>
                <w:szCs w:val="18"/>
              </w:rPr>
            </w:pPr>
            <w:r w:rsidRPr="000D3090">
              <w:rPr>
                <w:color w:val="000000"/>
                <w:sz w:val="18"/>
                <w:szCs w:val="18"/>
              </w:rPr>
              <w:t>-0.23</w:t>
            </w:r>
          </w:p>
        </w:tc>
        <w:tc>
          <w:tcPr>
            <w:tcW w:w="542" w:type="dxa"/>
            <w:tcBorders>
              <w:top w:val="nil"/>
              <w:left w:val="nil"/>
              <w:bottom w:val="nil"/>
              <w:right w:val="single" w:sz="12" w:space="0" w:color="auto"/>
            </w:tcBorders>
            <w:shd w:val="clear" w:color="000000" w:fill="FFFFFF"/>
            <w:vAlign w:val="bottom"/>
          </w:tcPr>
          <w:p w14:paraId="74142518" w14:textId="4A23E244" w:rsidR="005A056A" w:rsidRPr="000D3090" w:rsidRDefault="005A056A" w:rsidP="005A056A">
            <w:pPr>
              <w:spacing w:after="0" w:line="240" w:lineRule="auto"/>
              <w:jc w:val="center"/>
              <w:rPr>
                <w:color w:val="000000"/>
                <w:sz w:val="18"/>
                <w:szCs w:val="18"/>
              </w:rPr>
            </w:pPr>
            <w:r w:rsidRPr="000D3090">
              <w:rPr>
                <w:color w:val="000000"/>
                <w:sz w:val="18"/>
                <w:szCs w:val="18"/>
              </w:rPr>
              <w:t>-4.28</w:t>
            </w:r>
          </w:p>
        </w:tc>
      </w:tr>
      <w:tr w:rsidR="00AF3DDB" w:rsidRPr="000D3090" w14:paraId="6A4F58C1"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05C9AA66" w14:textId="77777777"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Education (No diploma)</w:t>
            </w:r>
          </w:p>
        </w:tc>
        <w:tc>
          <w:tcPr>
            <w:tcW w:w="537" w:type="dxa"/>
            <w:tcBorders>
              <w:top w:val="nil"/>
              <w:left w:val="single" w:sz="12" w:space="0" w:color="auto"/>
              <w:bottom w:val="nil"/>
            </w:tcBorders>
            <w:shd w:val="clear" w:color="000000" w:fill="FFFFFF"/>
          </w:tcPr>
          <w:p w14:paraId="249AB684" w14:textId="77777777" w:rsidR="00AF3DDB" w:rsidRPr="000D3090" w:rsidRDefault="00AF3DDB" w:rsidP="00AF3DDB">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5E58A6EA" w14:textId="77777777" w:rsidR="00AF3DDB" w:rsidRPr="000D3090" w:rsidRDefault="00AF3DDB" w:rsidP="00AF3DDB">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hideMark/>
          </w:tcPr>
          <w:p w14:paraId="0A084B5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hideMark/>
          </w:tcPr>
          <w:p w14:paraId="7B3FAE8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55188F3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2A3C41E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64B9D2F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47E07FCA"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hideMark/>
          </w:tcPr>
          <w:p w14:paraId="0A934B9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4FC7A63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394054F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7408380E"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7A5B775B"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21FECB1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46C1A33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hideMark/>
          </w:tcPr>
          <w:p w14:paraId="0D9E8258"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14FB20E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hideMark/>
          </w:tcPr>
          <w:p w14:paraId="0129AA2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3670DC5A"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nil"/>
              <w:left w:val="nil"/>
              <w:bottom w:val="nil"/>
              <w:right w:val="single" w:sz="12" w:space="0" w:color="auto"/>
            </w:tcBorders>
            <w:shd w:val="clear" w:color="000000" w:fill="FFFFFF"/>
          </w:tcPr>
          <w:p w14:paraId="22C24828"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top w:val="nil"/>
              <w:left w:val="single" w:sz="12" w:space="0" w:color="auto"/>
              <w:bottom w:val="nil"/>
              <w:right w:val="nil"/>
            </w:tcBorders>
            <w:shd w:val="clear" w:color="000000" w:fill="FFFFFF"/>
          </w:tcPr>
          <w:p w14:paraId="1256F536"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top w:val="nil"/>
              <w:left w:val="nil"/>
              <w:bottom w:val="nil"/>
              <w:right w:val="single" w:sz="12" w:space="0" w:color="auto"/>
            </w:tcBorders>
            <w:shd w:val="clear" w:color="000000" w:fill="FFFFFF"/>
          </w:tcPr>
          <w:p w14:paraId="2D09C174" w14:textId="77777777" w:rsidR="00AF3DDB" w:rsidRPr="000D3090" w:rsidRDefault="00AF3DDB" w:rsidP="00AF3DDB">
            <w:pPr>
              <w:spacing w:after="0" w:line="240" w:lineRule="auto"/>
              <w:jc w:val="center"/>
              <w:rPr>
                <w:rFonts w:eastAsia="Times New Roman"/>
                <w:color w:val="000000"/>
                <w:sz w:val="18"/>
                <w:szCs w:val="18"/>
              </w:rPr>
            </w:pPr>
          </w:p>
        </w:tc>
      </w:tr>
      <w:tr w:rsidR="005A056A" w:rsidRPr="000D3090" w14:paraId="75C6DD67"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010CC73F"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High school diploma</w:t>
            </w:r>
          </w:p>
        </w:tc>
        <w:tc>
          <w:tcPr>
            <w:tcW w:w="537" w:type="dxa"/>
            <w:tcBorders>
              <w:top w:val="nil"/>
              <w:left w:val="single" w:sz="12" w:space="0" w:color="auto"/>
              <w:bottom w:val="nil"/>
            </w:tcBorders>
            <w:shd w:val="clear" w:color="000000" w:fill="FFFFFF"/>
            <w:vAlign w:val="bottom"/>
          </w:tcPr>
          <w:p w14:paraId="62447B46" w14:textId="5DAC273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0.14</w:t>
            </w:r>
          </w:p>
        </w:tc>
        <w:tc>
          <w:tcPr>
            <w:tcW w:w="541" w:type="dxa"/>
            <w:tcBorders>
              <w:top w:val="nil"/>
              <w:left w:val="nil"/>
              <w:bottom w:val="nil"/>
              <w:right w:val="single" w:sz="12" w:space="0" w:color="auto"/>
            </w:tcBorders>
            <w:shd w:val="clear" w:color="000000" w:fill="FFFFFF"/>
            <w:vAlign w:val="bottom"/>
          </w:tcPr>
          <w:p w14:paraId="783A1FE4" w14:textId="306A358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2.16</w:t>
            </w:r>
          </w:p>
        </w:tc>
        <w:tc>
          <w:tcPr>
            <w:tcW w:w="539" w:type="dxa"/>
            <w:tcBorders>
              <w:top w:val="nil"/>
              <w:left w:val="single" w:sz="12" w:space="0" w:color="auto"/>
              <w:bottom w:val="nil"/>
              <w:right w:val="nil"/>
            </w:tcBorders>
            <w:shd w:val="clear" w:color="000000" w:fill="FFFFFF"/>
            <w:noWrap/>
            <w:vAlign w:val="center"/>
            <w:hideMark/>
          </w:tcPr>
          <w:p w14:paraId="68E675F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hideMark/>
          </w:tcPr>
          <w:p w14:paraId="6C48ACF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3B1F917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451B412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419ED88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05E63DD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hideMark/>
          </w:tcPr>
          <w:p w14:paraId="6CE01A4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6C5E061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6E1B8B0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31B13EB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hideMark/>
          </w:tcPr>
          <w:p w14:paraId="77BFF514" w14:textId="7593C11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-0.19</w:t>
            </w:r>
          </w:p>
        </w:tc>
        <w:tc>
          <w:tcPr>
            <w:tcW w:w="450" w:type="dxa"/>
            <w:tcBorders>
              <w:top w:val="nil"/>
              <w:left w:val="nil"/>
              <w:bottom w:val="nil"/>
              <w:right w:val="single" w:sz="4" w:space="0" w:color="auto"/>
            </w:tcBorders>
            <w:shd w:val="clear" w:color="000000" w:fill="FFFFFF"/>
            <w:noWrap/>
            <w:vAlign w:val="bottom"/>
            <w:hideMark/>
          </w:tcPr>
          <w:p w14:paraId="1A29F11C" w14:textId="4062D19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-1.34</w:t>
            </w:r>
          </w:p>
        </w:tc>
        <w:tc>
          <w:tcPr>
            <w:tcW w:w="540" w:type="dxa"/>
            <w:tcBorders>
              <w:top w:val="nil"/>
              <w:left w:val="nil"/>
              <w:bottom w:val="nil"/>
              <w:right w:val="nil"/>
            </w:tcBorders>
            <w:shd w:val="clear" w:color="000000" w:fill="FFFFFF"/>
            <w:noWrap/>
            <w:vAlign w:val="center"/>
            <w:hideMark/>
          </w:tcPr>
          <w:p w14:paraId="561387E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hideMark/>
          </w:tcPr>
          <w:p w14:paraId="4652773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64B5982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hideMark/>
          </w:tcPr>
          <w:p w14:paraId="259B226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4B849F0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39D53A1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bottom"/>
          </w:tcPr>
          <w:p w14:paraId="44234653" w14:textId="2A105A7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0.44</w:t>
            </w:r>
          </w:p>
        </w:tc>
        <w:tc>
          <w:tcPr>
            <w:tcW w:w="542" w:type="dxa"/>
            <w:tcBorders>
              <w:top w:val="nil"/>
              <w:left w:val="nil"/>
              <w:bottom w:val="nil"/>
              <w:right w:val="single" w:sz="12" w:space="0" w:color="auto"/>
            </w:tcBorders>
            <w:shd w:val="clear" w:color="000000" w:fill="FFFFFF"/>
            <w:vAlign w:val="bottom"/>
          </w:tcPr>
          <w:p w14:paraId="184DA530" w14:textId="506B465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9.34</w:t>
            </w:r>
          </w:p>
        </w:tc>
      </w:tr>
      <w:tr w:rsidR="005A056A" w:rsidRPr="000D3090" w14:paraId="74AC94C8"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6928B6BF"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Some college</w:t>
            </w:r>
          </w:p>
        </w:tc>
        <w:tc>
          <w:tcPr>
            <w:tcW w:w="537" w:type="dxa"/>
            <w:tcBorders>
              <w:top w:val="nil"/>
              <w:left w:val="single" w:sz="12" w:space="0" w:color="auto"/>
              <w:bottom w:val="nil"/>
            </w:tcBorders>
            <w:shd w:val="clear" w:color="000000" w:fill="FFFFFF"/>
            <w:vAlign w:val="bottom"/>
          </w:tcPr>
          <w:p w14:paraId="59F7A0D1" w14:textId="3E758F6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541" w:type="dxa"/>
            <w:tcBorders>
              <w:top w:val="nil"/>
              <w:left w:val="nil"/>
              <w:bottom w:val="nil"/>
              <w:right w:val="single" w:sz="12" w:space="0" w:color="auto"/>
            </w:tcBorders>
            <w:shd w:val="clear" w:color="000000" w:fill="FFFFFF"/>
            <w:vAlign w:val="bottom"/>
          </w:tcPr>
          <w:p w14:paraId="0BE14D31" w14:textId="3F0A630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3.81</w:t>
            </w:r>
          </w:p>
        </w:tc>
        <w:tc>
          <w:tcPr>
            <w:tcW w:w="539" w:type="dxa"/>
            <w:tcBorders>
              <w:top w:val="nil"/>
              <w:left w:val="single" w:sz="12" w:space="0" w:color="auto"/>
              <w:bottom w:val="nil"/>
              <w:right w:val="nil"/>
            </w:tcBorders>
            <w:shd w:val="clear" w:color="000000" w:fill="FFFFFF"/>
            <w:noWrap/>
            <w:vAlign w:val="center"/>
            <w:hideMark/>
          </w:tcPr>
          <w:p w14:paraId="5D5B0D6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hideMark/>
          </w:tcPr>
          <w:p w14:paraId="091E99B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75FACA4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312F01B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736200D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11C6B11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hideMark/>
          </w:tcPr>
          <w:p w14:paraId="0E8389F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675038F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0BA762E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2F8B2B9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hideMark/>
          </w:tcPr>
          <w:p w14:paraId="09130AC2" w14:textId="0C86589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-0.21</w:t>
            </w:r>
          </w:p>
        </w:tc>
        <w:tc>
          <w:tcPr>
            <w:tcW w:w="450" w:type="dxa"/>
            <w:tcBorders>
              <w:top w:val="nil"/>
              <w:left w:val="nil"/>
              <w:bottom w:val="nil"/>
              <w:right w:val="single" w:sz="4" w:space="0" w:color="auto"/>
            </w:tcBorders>
            <w:shd w:val="clear" w:color="000000" w:fill="FFFFFF"/>
            <w:noWrap/>
            <w:vAlign w:val="bottom"/>
            <w:hideMark/>
          </w:tcPr>
          <w:p w14:paraId="3A9066FB" w14:textId="190075A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-1.41</w:t>
            </w:r>
          </w:p>
        </w:tc>
        <w:tc>
          <w:tcPr>
            <w:tcW w:w="540" w:type="dxa"/>
            <w:tcBorders>
              <w:top w:val="nil"/>
              <w:left w:val="nil"/>
              <w:bottom w:val="nil"/>
              <w:right w:val="nil"/>
            </w:tcBorders>
            <w:shd w:val="clear" w:color="000000" w:fill="FFFFFF"/>
            <w:noWrap/>
            <w:vAlign w:val="bottom"/>
            <w:hideMark/>
          </w:tcPr>
          <w:p w14:paraId="50CB6EFE" w14:textId="41AEBD1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0.29</w:t>
            </w:r>
          </w:p>
        </w:tc>
        <w:tc>
          <w:tcPr>
            <w:tcW w:w="454" w:type="dxa"/>
            <w:tcBorders>
              <w:top w:val="nil"/>
              <w:left w:val="nil"/>
              <w:bottom w:val="nil"/>
              <w:right w:val="single" w:sz="4" w:space="0" w:color="auto"/>
            </w:tcBorders>
            <w:shd w:val="clear" w:color="000000" w:fill="FFFFFF"/>
            <w:noWrap/>
            <w:vAlign w:val="bottom"/>
            <w:hideMark/>
          </w:tcPr>
          <w:p w14:paraId="276DEEE0" w14:textId="67982BD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2.92</w:t>
            </w:r>
          </w:p>
        </w:tc>
        <w:tc>
          <w:tcPr>
            <w:tcW w:w="540" w:type="dxa"/>
            <w:tcBorders>
              <w:top w:val="nil"/>
              <w:left w:val="nil"/>
              <w:bottom w:val="nil"/>
              <w:right w:val="nil"/>
            </w:tcBorders>
            <w:shd w:val="clear" w:color="000000" w:fill="FFFFFF"/>
            <w:noWrap/>
            <w:vAlign w:val="center"/>
            <w:hideMark/>
          </w:tcPr>
          <w:p w14:paraId="3F71D0B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hideMark/>
          </w:tcPr>
          <w:p w14:paraId="0C61691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bottom"/>
          </w:tcPr>
          <w:p w14:paraId="1009FC1D" w14:textId="53D78C5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0.37</w:t>
            </w:r>
          </w:p>
        </w:tc>
        <w:tc>
          <w:tcPr>
            <w:tcW w:w="540" w:type="dxa"/>
            <w:tcBorders>
              <w:top w:val="nil"/>
              <w:left w:val="nil"/>
              <w:bottom w:val="nil"/>
              <w:right w:val="single" w:sz="12" w:space="0" w:color="auto"/>
            </w:tcBorders>
            <w:shd w:val="clear" w:color="000000" w:fill="FFFFFF"/>
            <w:vAlign w:val="bottom"/>
          </w:tcPr>
          <w:p w14:paraId="6A19AD10" w14:textId="0F2F8AE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7.54</w:t>
            </w:r>
          </w:p>
        </w:tc>
        <w:tc>
          <w:tcPr>
            <w:tcW w:w="630" w:type="dxa"/>
            <w:tcBorders>
              <w:top w:val="nil"/>
              <w:left w:val="single" w:sz="12" w:space="0" w:color="auto"/>
              <w:bottom w:val="nil"/>
              <w:right w:val="nil"/>
            </w:tcBorders>
            <w:shd w:val="clear" w:color="000000" w:fill="FFFFFF"/>
            <w:vAlign w:val="bottom"/>
          </w:tcPr>
          <w:p w14:paraId="7611386B" w14:textId="2DF144B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0.83</w:t>
            </w:r>
          </w:p>
        </w:tc>
        <w:tc>
          <w:tcPr>
            <w:tcW w:w="542" w:type="dxa"/>
            <w:tcBorders>
              <w:top w:val="nil"/>
              <w:left w:val="nil"/>
              <w:bottom w:val="nil"/>
              <w:right w:val="single" w:sz="12" w:space="0" w:color="auto"/>
            </w:tcBorders>
            <w:shd w:val="clear" w:color="000000" w:fill="FFFFFF"/>
            <w:vAlign w:val="bottom"/>
          </w:tcPr>
          <w:p w14:paraId="0DAE5982" w14:textId="1BE7120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18.66</w:t>
            </w:r>
          </w:p>
        </w:tc>
      </w:tr>
      <w:tr w:rsidR="005A056A" w:rsidRPr="000D3090" w14:paraId="62765CD9"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1BD4C494" w14:textId="2837C49F"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Bachelor</w:t>
            </w:r>
            <w:r w:rsidR="004B5462" w:rsidRPr="000D3090">
              <w:rPr>
                <w:rFonts w:eastAsia="Times New Roman"/>
                <w:color w:val="000000"/>
                <w:sz w:val="18"/>
                <w:szCs w:val="18"/>
              </w:rPr>
              <w:t>’</w:t>
            </w:r>
            <w:r w:rsidRPr="000D3090">
              <w:rPr>
                <w:rFonts w:eastAsia="Times New Roman"/>
                <w:color w:val="000000"/>
                <w:sz w:val="18"/>
                <w:szCs w:val="18"/>
              </w:rPr>
              <w:t>s degree</w:t>
            </w:r>
          </w:p>
        </w:tc>
        <w:tc>
          <w:tcPr>
            <w:tcW w:w="537" w:type="dxa"/>
            <w:tcBorders>
              <w:top w:val="nil"/>
              <w:left w:val="single" w:sz="12" w:space="0" w:color="auto"/>
              <w:bottom w:val="nil"/>
            </w:tcBorders>
            <w:shd w:val="clear" w:color="000000" w:fill="FFFFFF"/>
            <w:vAlign w:val="bottom"/>
          </w:tcPr>
          <w:p w14:paraId="4C86286C" w14:textId="0AAB6AB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0.24</w:t>
            </w:r>
          </w:p>
        </w:tc>
        <w:tc>
          <w:tcPr>
            <w:tcW w:w="541" w:type="dxa"/>
            <w:tcBorders>
              <w:top w:val="nil"/>
              <w:left w:val="nil"/>
              <w:bottom w:val="nil"/>
              <w:right w:val="single" w:sz="12" w:space="0" w:color="auto"/>
            </w:tcBorders>
            <w:shd w:val="clear" w:color="000000" w:fill="FFFFFF"/>
            <w:vAlign w:val="bottom"/>
          </w:tcPr>
          <w:p w14:paraId="51C99C16" w14:textId="6D28BB1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3.81</w:t>
            </w:r>
          </w:p>
        </w:tc>
        <w:tc>
          <w:tcPr>
            <w:tcW w:w="539" w:type="dxa"/>
            <w:tcBorders>
              <w:top w:val="nil"/>
              <w:left w:val="single" w:sz="12" w:space="0" w:color="auto"/>
              <w:bottom w:val="nil"/>
              <w:right w:val="nil"/>
            </w:tcBorders>
            <w:shd w:val="clear" w:color="000000" w:fill="FFFFFF"/>
            <w:noWrap/>
            <w:vAlign w:val="center"/>
            <w:hideMark/>
          </w:tcPr>
          <w:p w14:paraId="3E75E49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hideMark/>
          </w:tcPr>
          <w:p w14:paraId="4BCE49B8" w14:textId="77777777" w:rsidR="005A056A" w:rsidRPr="000D3090" w:rsidRDefault="005A056A" w:rsidP="005A056A">
            <w:pPr>
              <w:spacing w:after="0" w:line="240" w:lineRule="auto"/>
              <w:ind w:right="48"/>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hideMark/>
          </w:tcPr>
          <w:p w14:paraId="43EEF6C7" w14:textId="4E9EB42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0.17</w:t>
            </w:r>
          </w:p>
        </w:tc>
        <w:tc>
          <w:tcPr>
            <w:tcW w:w="450" w:type="dxa"/>
            <w:tcBorders>
              <w:top w:val="nil"/>
              <w:left w:val="nil"/>
              <w:bottom w:val="nil"/>
              <w:right w:val="single" w:sz="4" w:space="0" w:color="auto"/>
            </w:tcBorders>
            <w:shd w:val="clear" w:color="000000" w:fill="FFFFFF"/>
            <w:noWrap/>
            <w:vAlign w:val="bottom"/>
            <w:hideMark/>
          </w:tcPr>
          <w:p w14:paraId="417E0F74" w14:textId="39712E2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1.70</w:t>
            </w:r>
          </w:p>
        </w:tc>
        <w:tc>
          <w:tcPr>
            <w:tcW w:w="540" w:type="dxa"/>
            <w:tcBorders>
              <w:top w:val="nil"/>
              <w:left w:val="nil"/>
              <w:bottom w:val="nil"/>
              <w:right w:val="nil"/>
            </w:tcBorders>
            <w:shd w:val="clear" w:color="000000" w:fill="FFFFFF"/>
            <w:noWrap/>
            <w:vAlign w:val="center"/>
            <w:hideMark/>
          </w:tcPr>
          <w:p w14:paraId="1C23A2D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1E2AF9C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hideMark/>
          </w:tcPr>
          <w:p w14:paraId="71BE3CA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2A29FDA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27F4DCF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77CEB04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hideMark/>
          </w:tcPr>
          <w:p w14:paraId="4F4D4984" w14:textId="46056C8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-0.23</w:t>
            </w:r>
          </w:p>
        </w:tc>
        <w:tc>
          <w:tcPr>
            <w:tcW w:w="450" w:type="dxa"/>
            <w:tcBorders>
              <w:top w:val="nil"/>
              <w:left w:val="nil"/>
              <w:bottom w:val="nil"/>
              <w:right w:val="single" w:sz="4" w:space="0" w:color="auto"/>
            </w:tcBorders>
            <w:shd w:val="clear" w:color="000000" w:fill="FFFFFF"/>
            <w:noWrap/>
            <w:vAlign w:val="bottom"/>
            <w:hideMark/>
          </w:tcPr>
          <w:p w14:paraId="630A2FEE" w14:textId="592184B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-1.6</w:t>
            </w:r>
            <w:r w:rsidR="00E2340D" w:rsidRPr="000D3090">
              <w:rPr>
                <w:color w:val="000000"/>
                <w:sz w:val="18"/>
                <w:szCs w:val="18"/>
              </w:rPr>
              <w:t>5</w:t>
            </w:r>
          </w:p>
        </w:tc>
        <w:tc>
          <w:tcPr>
            <w:tcW w:w="540" w:type="dxa"/>
            <w:tcBorders>
              <w:top w:val="nil"/>
              <w:left w:val="nil"/>
              <w:bottom w:val="nil"/>
              <w:right w:val="nil"/>
            </w:tcBorders>
            <w:shd w:val="clear" w:color="000000" w:fill="FFFFFF"/>
            <w:noWrap/>
            <w:vAlign w:val="bottom"/>
            <w:hideMark/>
          </w:tcPr>
          <w:p w14:paraId="18DDBBA5" w14:textId="75EDE64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0.29</w:t>
            </w:r>
          </w:p>
        </w:tc>
        <w:tc>
          <w:tcPr>
            <w:tcW w:w="454" w:type="dxa"/>
            <w:tcBorders>
              <w:top w:val="nil"/>
              <w:left w:val="nil"/>
              <w:bottom w:val="nil"/>
              <w:right w:val="single" w:sz="4" w:space="0" w:color="auto"/>
            </w:tcBorders>
            <w:shd w:val="clear" w:color="000000" w:fill="FFFFFF"/>
            <w:noWrap/>
            <w:vAlign w:val="bottom"/>
            <w:hideMark/>
          </w:tcPr>
          <w:p w14:paraId="0D7457ED" w14:textId="42A824A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2.92</w:t>
            </w:r>
          </w:p>
        </w:tc>
        <w:tc>
          <w:tcPr>
            <w:tcW w:w="540" w:type="dxa"/>
            <w:tcBorders>
              <w:top w:val="nil"/>
              <w:left w:val="nil"/>
              <w:bottom w:val="nil"/>
              <w:right w:val="nil"/>
            </w:tcBorders>
            <w:shd w:val="clear" w:color="000000" w:fill="FFFFFF"/>
            <w:noWrap/>
            <w:vAlign w:val="bottom"/>
            <w:hideMark/>
          </w:tcPr>
          <w:p w14:paraId="435DCE4D" w14:textId="47932C6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0.16</w:t>
            </w:r>
          </w:p>
        </w:tc>
        <w:tc>
          <w:tcPr>
            <w:tcW w:w="456" w:type="dxa"/>
            <w:tcBorders>
              <w:top w:val="nil"/>
              <w:left w:val="nil"/>
              <w:bottom w:val="nil"/>
              <w:right w:val="single" w:sz="12" w:space="0" w:color="auto"/>
            </w:tcBorders>
            <w:shd w:val="clear" w:color="000000" w:fill="FFFFFF"/>
            <w:noWrap/>
            <w:vAlign w:val="bottom"/>
            <w:hideMark/>
          </w:tcPr>
          <w:p w14:paraId="00C04A73" w14:textId="741B506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2.79</w:t>
            </w:r>
          </w:p>
        </w:tc>
        <w:tc>
          <w:tcPr>
            <w:tcW w:w="540" w:type="dxa"/>
            <w:tcBorders>
              <w:top w:val="nil"/>
              <w:left w:val="nil"/>
              <w:bottom w:val="nil"/>
              <w:right w:val="nil"/>
            </w:tcBorders>
            <w:shd w:val="clear" w:color="000000" w:fill="FFFFFF"/>
            <w:vAlign w:val="bottom"/>
          </w:tcPr>
          <w:p w14:paraId="6BF4D586" w14:textId="56E91361" w:rsidR="005A056A" w:rsidRPr="000D3090" w:rsidRDefault="005A056A" w:rsidP="005A056A">
            <w:pPr>
              <w:spacing w:after="0" w:line="240" w:lineRule="auto"/>
              <w:jc w:val="center"/>
              <w:rPr>
                <w:color w:val="000000"/>
                <w:sz w:val="18"/>
                <w:szCs w:val="18"/>
              </w:rPr>
            </w:pPr>
            <w:r w:rsidRPr="000D3090">
              <w:rPr>
                <w:color w:val="000000"/>
                <w:sz w:val="18"/>
                <w:szCs w:val="18"/>
              </w:rPr>
              <w:t>0.74</w:t>
            </w:r>
          </w:p>
        </w:tc>
        <w:tc>
          <w:tcPr>
            <w:tcW w:w="540" w:type="dxa"/>
            <w:tcBorders>
              <w:top w:val="nil"/>
              <w:left w:val="nil"/>
              <w:bottom w:val="nil"/>
              <w:right w:val="single" w:sz="12" w:space="0" w:color="auto"/>
            </w:tcBorders>
            <w:shd w:val="clear" w:color="000000" w:fill="FFFFFF"/>
            <w:vAlign w:val="bottom"/>
          </w:tcPr>
          <w:p w14:paraId="2AB054EB" w14:textId="4699497A" w:rsidR="005A056A" w:rsidRPr="000D3090" w:rsidRDefault="005A056A" w:rsidP="005A056A">
            <w:pPr>
              <w:spacing w:after="0" w:line="240" w:lineRule="auto"/>
              <w:jc w:val="center"/>
              <w:rPr>
                <w:color w:val="000000"/>
                <w:sz w:val="18"/>
                <w:szCs w:val="18"/>
              </w:rPr>
            </w:pPr>
            <w:r w:rsidRPr="000D3090">
              <w:rPr>
                <w:color w:val="000000"/>
                <w:sz w:val="18"/>
                <w:szCs w:val="18"/>
              </w:rPr>
              <w:t>15.42</w:t>
            </w:r>
          </w:p>
        </w:tc>
        <w:tc>
          <w:tcPr>
            <w:tcW w:w="630" w:type="dxa"/>
            <w:tcBorders>
              <w:top w:val="nil"/>
              <w:left w:val="single" w:sz="12" w:space="0" w:color="auto"/>
              <w:bottom w:val="nil"/>
              <w:right w:val="nil"/>
            </w:tcBorders>
            <w:shd w:val="clear" w:color="000000" w:fill="FFFFFF"/>
            <w:vAlign w:val="bottom"/>
          </w:tcPr>
          <w:p w14:paraId="49B6754A" w14:textId="01A4B3FA" w:rsidR="005A056A" w:rsidRPr="000D3090" w:rsidRDefault="005A056A" w:rsidP="005A056A">
            <w:pPr>
              <w:spacing w:after="0" w:line="240" w:lineRule="auto"/>
              <w:jc w:val="center"/>
              <w:rPr>
                <w:color w:val="000000"/>
                <w:sz w:val="18"/>
                <w:szCs w:val="18"/>
              </w:rPr>
            </w:pPr>
            <w:r w:rsidRPr="000D3090">
              <w:rPr>
                <w:color w:val="000000"/>
                <w:sz w:val="18"/>
                <w:szCs w:val="18"/>
              </w:rPr>
              <w:t>0.97</w:t>
            </w:r>
          </w:p>
        </w:tc>
        <w:tc>
          <w:tcPr>
            <w:tcW w:w="542" w:type="dxa"/>
            <w:tcBorders>
              <w:top w:val="nil"/>
              <w:left w:val="nil"/>
              <w:bottom w:val="nil"/>
              <w:right w:val="single" w:sz="12" w:space="0" w:color="auto"/>
            </w:tcBorders>
            <w:shd w:val="clear" w:color="000000" w:fill="FFFFFF"/>
            <w:vAlign w:val="bottom"/>
          </w:tcPr>
          <w:p w14:paraId="77BE8161" w14:textId="26992B74" w:rsidR="005A056A" w:rsidRPr="000D3090" w:rsidRDefault="005A056A" w:rsidP="005A056A">
            <w:pPr>
              <w:spacing w:after="0" w:line="240" w:lineRule="auto"/>
              <w:jc w:val="center"/>
              <w:rPr>
                <w:color w:val="000000"/>
                <w:sz w:val="18"/>
                <w:szCs w:val="18"/>
              </w:rPr>
            </w:pPr>
            <w:r w:rsidRPr="000D3090">
              <w:rPr>
                <w:color w:val="000000"/>
                <w:sz w:val="18"/>
                <w:szCs w:val="18"/>
              </w:rPr>
              <w:t>20.89</w:t>
            </w:r>
          </w:p>
        </w:tc>
      </w:tr>
      <w:tr w:rsidR="003F77D0" w:rsidRPr="000D3090" w14:paraId="39399B5D" w14:textId="77777777" w:rsidTr="00734AF0">
        <w:trPr>
          <w:trHeight w:val="20"/>
          <w:jc w:val="center"/>
        </w:trPr>
        <w:tc>
          <w:tcPr>
            <w:tcW w:w="2411" w:type="dxa"/>
            <w:tcBorders>
              <w:top w:val="nil"/>
              <w:left w:val="single" w:sz="12" w:space="0" w:color="auto"/>
              <w:bottom w:val="nil"/>
              <w:right w:val="single" w:sz="12" w:space="0" w:color="auto"/>
            </w:tcBorders>
            <w:shd w:val="clear" w:color="000000" w:fill="FFFFFF"/>
            <w:noWrap/>
          </w:tcPr>
          <w:p w14:paraId="7241CE73" w14:textId="7C174CFA" w:rsidR="005A056A" w:rsidRPr="000D3090" w:rsidRDefault="005A056A" w:rsidP="005A056A">
            <w:pPr>
              <w:spacing w:after="0" w:line="240" w:lineRule="auto"/>
              <w:rPr>
                <w:rFonts w:eastAsia="Times New Roman"/>
                <w:color w:val="000000"/>
                <w:sz w:val="18"/>
                <w:szCs w:val="18"/>
              </w:rPr>
            </w:pPr>
            <w:r w:rsidRPr="000D3090">
              <w:rPr>
                <w:sz w:val="18"/>
                <w:szCs w:val="18"/>
              </w:rPr>
              <w:t xml:space="preserve">     Graduate degree</w:t>
            </w:r>
          </w:p>
        </w:tc>
        <w:tc>
          <w:tcPr>
            <w:tcW w:w="537" w:type="dxa"/>
            <w:tcBorders>
              <w:top w:val="nil"/>
              <w:left w:val="single" w:sz="12" w:space="0" w:color="auto"/>
              <w:bottom w:val="nil"/>
            </w:tcBorders>
            <w:shd w:val="clear" w:color="000000" w:fill="FFFFFF"/>
          </w:tcPr>
          <w:p w14:paraId="619A0AEF" w14:textId="50623444" w:rsidR="005A056A" w:rsidRPr="000D3090" w:rsidRDefault="005A056A" w:rsidP="005A056A">
            <w:pPr>
              <w:spacing w:after="0" w:line="240" w:lineRule="auto"/>
              <w:jc w:val="center"/>
              <w:rPr>
                <w:color w:val="000000"/>
                <w:sz w:val="18"/>
                <w:szCs w:val="18"/>
              </w:rPr>
            </w:pPr>
            <w:r w:rsidRPr="000D3090">
              <w:rPr>
                <w:sz w:val="18"/>
                <w:szCs w:val="18"/>
              </w:rPr>
              <w:t>0.34</w:t>
            </w:r>
          </w:p>
        </w:tc>
        <w:tc>
          <w:tcPr>
            <w:tcW w:w="541" w:type="dxa"/>
            <w:tcBorders>
              <w:top w:val="nil"/>
              <w:left w:val="nil"/>
              <w:bottom w:val="nil"/>
              <w:right w:val="single" w:sz="12" w:space="0" w:color="auto"/>
            </w:tcBorders>
            <w:shd w:val="clear" w:color="000000" w:fill="FFFFFF"/>
          </w:tcPr>
          <w:p w14:paraId="6DA26816" w14:textId="49FC1F54" w:rsidR="005A056A" w:rsidRPr="000D3090" w:rsidRDefault="005A056A" w:rsidP="005A056A">
            <w:pPr>
              <w:spacing w:after="0" w:line="240" w:lineRule="auto"/>
              <w:jc w:val="center"/>
              <w:rPr>
                <w:color w:val="000000"/>
                <w:sz w:val="18"/>
                <w:szCs w:val="18"/>
              </w:rPr>
            </w:pPr>
            <w:r w:rsidRPr="000D3090">
              <w:rPr>
                <w:sz w:val="18"/>
                <w:szCs w:val="18"/>
              </w:rPr>
              <w:t>4.72</w:t>
            </w:r>
          </w:p>
        </w:tc>
        <w:tc>
          <w:tcPr>
            <w:tcW w:w="539" w:type="dxa"/>
            <w:tcBorders>
              <w:top w:val="nil"/>
              <w:left w:val="single" w:sz="12" w:space="0" w:color="auto"/>
              <w:bottom w:val="nil"/>
              <w:right w:val="nil"/>
            </w:tcBorders>
            <w:shd w:val="clear" w:color="000000" w:fill="FFFFFF"/>
            <w:noWrap/>
          </w:tcPr>
          <w:p w14:paraId="0A7FF81A" w14:textId="15005989" w:rsidR="005A056A" w:rsidRPr="000D3090" w:rsidRDefault="005A056A" w:rsidP="005A056A">
            <w:pPr>
              <w:spacing w:after="0" w:line="240" w:lineRule="auto"/>
              <w:jc w:val="center"/>
              <w:rPr>
                <w:rFonts w:eastAsia="Times New Roman"/>
                <w:color w:val="000000"/>
                <w:sz w:val="18"/>
                <w:szCs w:val="18"/>
              </w:rPr>
            </w:pPr>
            <w:r w:rsidRPr="000D3090">
              <w:rPr>
                <w:sz w:val="18"/>
                <w:szCs w:val="18"/>
              </w:rPr>
              <w:t>--</w:t>
            </w:r>
          </w:p>
        </w:tc>
        <w:tc>
          <w:tcPr>
            <w:tcW w:w="449" w:type="dxa"/>
            <w:tcBorders>
              <w:top w:val="nil"/>
              <w:left w:val="nil"/>
              <w:bottom w:val="nil"/>
              <w:right w:val="single" w:sz="4" w:space="0" w:color="auto"/>
            </w:tcBorders>
            <w:shd w:val="clear" w:color="000000" w:fill="FFFFFF"/>
            <w:noWrap/>
          </w:tcPr>
          <w:p w14:paraId="6A5DA455" w14:textId="0BD427D4" w:rsidR="005A056A" w:rsidRPr="000D3090" w:rsidRDefault="005A056A" w:rsidP="005A056A">
            <w:pPr>
              <w:spacing w:after="0" w:line="240" w:lineRule="auto"/>
              <w:ind w:right="48"/>
              <w:jc w:val="center"/>
              <w:rPr>
                <w:rFonts w:eastAsia="Times New Roman"/>
                <w:color w:val="000000"/>
                <w:sz w:val="18"/>
                <w:szCs w:val="18"/>
              </w:rPr>
            </w:pPr>
            <w:r w:rsidRPr="000D3090">
              <w:rPr>
                <w:sz w:val="18"/>
                <w:szCs w:val="18"/>
              </w:rPr>
              <w:t xml:space="preserve"> </w:t>
            </w:r>
          </w:p>
        </w:tc>
        <w:tc>
          <w:tcPr>
            <w:tcW w:w="540" w:type="dxa"/>
            <w:tcBorders>
              <w:top w:val="nil"/>
              <w:left w:val="nil"/>
              <w:bottom w:val="nil"/>
              <w:right w:val="nil"/>
            </w:tcBorders>
            <w:shd w:val="clear" w:color="000000" w:fill="FFFFFF"/>
            <w:noWrap/>
          </w:tcPr>
          <w:p w14:paraId="25763523" w14:textId="17DF45AA" w:rsidR="005A056A" w:rsidRPr="000D3090" w:rsidRDefault="005A056A" w:rsidP="005A056A">
            <w:pPr>
              <w:spacing w:after="0" w:line="240" w:lineRule="auto"/>
              <w:jc w:val="center"/>
              <w:rPr>
                <w:color w:val="000000"/>
                <w:sz w:val="18"/>
                <w:szCs w:val="18"/>
              </w:rPr>
            </w:pPr>
            <w:r w:rsidRPr="000D3090">
              <w:rPr>
                <w:sz w:val="18"/>
                <w:szCs w:val="18"/>
              </w:rPr>
              <w:t>0.17</w:t>
            </w:r>
          </w:p>
        </w:tc>
        <w:tc>
          <w:tcPr>
            <w:tcW w:w="450" w:type="dxa"/>
            <w:tcBorders>
              <w:top w:val="nil"/>
              <w:left w:val="nil"/>
              <w:bottom w:val="nil"/>
              <w:right w:val="single" w:sz="4" w:space="0" w:color="auto"/>
            </w:tcBorders>
            <w:shd w:val="clear" w:color="000000" w:fill="FFFFFF"/>
            <w:noWrap/>
          </w:tcPr>
          <w:p w14:paraId="42E1348A" w14:textId="31F47491" w:rsidR="005A056A" w:rsidRPr="000D3090" w:rsidRDefault="005A056A" w:rsidP="005A056A">
            <w:pPr>
              <w:spacing w:after="0" w:line="240" w:lineRule="auto"/>
              <w:jc w:val="center"/>
              <w:rPr>
                <w:color w:val="000000"/>
                <w:sz w:val="18"/>
                <w:szCs w:val="18"/>
              </w:rPr>
            </w:pPr>
            <w:r w:rsidRPr="000D3090">
              <w:rPr>
                <w:sz w:val="18"/>
                <w:szCs w:val="18"/>
              </w:rPr>
              <w:t>1.70</w:t>
            </w:r>
          </w:p>
        </w:tc>
        <w:tc>
          <w:tcPr>
            <w:tcW w:w="540" w:type="dxa"/>
            <w:tcBorders>
              <w:top w:val="nil"/>
              <w:left w:val="nil"/>
              <w:bottom w:val="nil"/>
              <w:right w:val="nil"/>
            </w:tcBorders>
            <w:shd w:val="clear" w:color="000000" w:fill="FFFFFF"/>
            <w:noWrap/>
          </w:tcPr>
          <w:p w14:paraId="54A96E25" w14:textId="52DA6410" w:rsidR="005A056A" w:rsidRPr="000D3090" w:rsidRDefault="005A056A" w:rsidP="005A056A">
            <w:pPr>
              <w:spacing w:after="0" w:line="240" w:lineRule="auto"/>
              <w:jc w:val="center"/>
              <w:rPr>
                <w:rFonts w:eastAsia="Times New Roman"/>
                <w:color w:val="000000"/>
                <w:sz w:val="18"/>
                <w:szCs w:val="18"/>
              </w:rPr>
            </w:pPr>
            <w:r w:rsidRPr="000D3090">
              <w:rPr>
                <w:sz w:val="18"/>
                <w:szCs w:val="18"/>
              </w:rPr>
              <w:t>--</w:t>
            </w:r>
          </w:p>
        </w:tc>
        <w:tc>
          <w:tcPr>
            <w:tcW w:w="450" w:type="dxa"/>
            <w:tcBorders>
              <w:top w:val="nil"/>
              <w:left w:val="nil"/>
              <w:bottom w:val="nil"/>
              <w:right w:val="single" w:sz="4" w:space="0" w:color="auto"/>
            </w:tcBorders>
            <w:shd w:val="clear" w:color="000000" w:fill="FFFFFF"/>
            <w:noWrap/>
          </w:tcPr>
          <w:p w14:paraId="02F35D62" w14:textId="17A9C71A" w:rsidR="005A056A" w:rsidRPr="000D3090" w:rsidRDefault="005A056A" w:rsidP="005A056A">
            <w:pPr>
              <w:spacing w:after="0" w:line="240" w:lineRule="auto"/>
              <w:jc w:val="center"/>
              <w:rPr>
                <w:rFonts w:eastAsia="Times New Roman"/>
                <w:color w:val="000000"/>
                <w:sz w:val="18"/>
                <w:szCs w:val="18"/>
              </w:rPr>
            </w:pPr>
            <w:r w:rsidRPr="000D3090">
              <w:rPr>
                <w:sz w:val="18"/>
                <w:szCs w:val="18"/>
              </w:rPr>
              <w:t xml:space="preserve"> </w:t>
            </w:r>
          </w:p>
        </w:tc>
        <w:tc>
          <w:tcPr>
            <w:tcW w:w="548" w:type="dxa"/>
            <w:tcBorders>
              <w:top w:val="nil"/>
              <w:left w:val="nil"/>
              <w:bottom w:val="nil"/>
              <w:right w:val="nil"/>
            </w:tcBorders>
            <w:shd w:val="clear" w:color="000000" w:fill="FFFFFF"/>
            <w:noWrap/>
          </w:tcPr>
          <w:p w14:paraId="4D522735" w14:textId="4E7DC9B2" w:rsidR="005A056A" w:rsidRPr="000D3090" w:rsidRDefault="005A056A" w:rsidP="005A056A">
            <w:pPr>
              <w:spacing w:after="0" w:line="240" w:lineRule="auto"/>
              <w:jc w:val="center"/>
              <w:rPr>
                <w:rFonts w:eastAsia="Times New Roman"/>
                <w:color w:val="000000"/>
                <w:sz w:val="18"/>
                <w:szCs w:val="18"/>
              </w:rPr>
            </w:pPr>
            <w:r w:rsidRPr="000D3090">
              <w:rPr>
                <w:sz w:val="18"/>
                <w:szCs w:val="18"/>
              </w:rPr>
              <w:t>--</w:t>
            </w:r>
          </w:p>
        </w:tc>
        <w:tc>
          <w:tcPr>
            <w:tcW w:w="450" w:type="dxa"/>
            <w:tcBorders>
              <w:top w:val="nil"/>
              <w:left w:val="nil"/>
              <w:bottom w:val="nil"/>
              <w:right w:val="single" w:sz="4" w:space="0" w:color="auto"/>
            </w:tcBorders>
            <w:shd w:val="clear" w:color="000000" w:fill="FFFFFF"/>
            <w:noWrap/>
          </w:tcPr>
          <w:p w14:paraId="63B6F558" w14:textId="4C569C39" w:rsidR="005A056A" w:rsidRPr="000D3090" w:rsidRDefault="005A056A" w:rsidP="005A056A">
            <w:pPr>
              <w:spacing w:after="0" w:line="240" w:lineRule="auto"/>
              <w:jc w:val="center"/>
              <w:rPr>
                <w:rFonts w:eastAsia="Times New Roman"/>
                <w:color w:val="000000"/>
                <w:sz w:val="18"/>
                <w:szCs w:val="18"/>
              </w:rPr>
            </w:pPr>
            <w:r w:rsidRPr="000D3090">
              <w:rPr>
                <w:sz w:val="18"/>
                <w:szCs w:val="18"/>
              </w:rPr>
              <w:t xml:space="preserve"> </w:t>
            </w:r>
          </w:p>
        </w:tc>
        <w:tc>
          <w:tcPr>
            <w:tcW w:w="540" w:type="dxa"/>
            <w:tcBorders>
              <w:top w:val="nil"/>
              <w:left w:val="nil"/>
              <w:bottom w:val="nil"/>
              <w:right w:val="nil"/>
            </w:tcBorders>
            <w:shd w:val="clear" w:color="000000" w:fill="FFFFFF"/>
            <w:noWrap/>
          </w:tcPr>
          <w:p w14:paraId="7CEF20AF" w14:textId="65614BB8" w:rsidR="005A056A" w:rsidRPr="000D3090" w:rsidRDefault="005A056A" w:rsidP="005A056A">
            <w:pPr>
              <w:spacing w:after="0" w:line="240" w:lineRule="auto"/>
              <w:jc w:val="center"/>
              <w:rPr>
                <w:rFonts w:eastAsia="Times New Roman"/>
                <w:color w:val="000000"/>
                <w:sz w:val="18"/>
                <w:szCs w:val="18"/>
              </w:rPr>
            </w:pPr>
            <w:r w:rsidRPr="000D3090">
              <w:rPr>
                <w:sz w:val="18"/>
                <w:szCs w:val="18"/>
              </w:rPr>
              <w:t>-0.19</w:t>
            </w:r>
          </w:p>
        </w:tc>
        <w:tc>
          <w:tcPr>
            <w:tcW w:w="450" w:type="dxa"/>
            <w:tcBorders>
              <w:top w:val="nil"/>
              <w:left w:val="nil"/>
              <w:bottom w:val="nil"/>
              <w:right w:val="single" w:sz="4" w:space="0" w:color="auto"/>
            </w:tcBorders>
            <w:shd w:val="clear" w:color="000000" w:fill="FFFFFF"/>
            <w:noWrap/>
          </w:tcPr>
          <w:p w14:paraId="7CC5D31B" w14:textId="5BC3A8B1" w:rsidR="005A056A" w:rsidRPr="000D3090" w:rsidRDefault="005A056A" w:rsidP="005A056A">
            <w:pPr>
              <w:spacing w:after="0" w:line="240" w:lineRule="auto"/>
              <w:jc w:val="center"/>
              <w:rPr>
                <w:rFonts w:eastAsia="Times New Roman"/>
                <w:color w:val="000000"/>
                <w:sz w:val="18"/>
                <w:szCs w:val="18"/>
              </w:rPr>
            </w:pPr>
            <w:r w:rsidRPr="000D3090">
              <w:rPr>
                <w:sz w:val="18"/>
                <w:szCs w:val="18"/>
              </w:rPr>
              <w:t>-2.04</w:t>
            </w:r>
          </w:p>
        </w:tc>
        <w:tc>
          <w:tcPr>
            <w:tcW w:w="540" w:type="dxa"/>
            <w:tcBorders>
              <w:top w:val="nil"/>
              <w:left w:val="nil"/>
              <w:bottom w:val="nil"/>
              <w:right w:val="nil"/>
            </w:tcBorders>
            <w:shd w:val="clear" w:color="000000" w:fill="FFFFFF"/>
            <w:noWrap/>
          </w:tcPr>
          <w:p w14:paraId="4C40A4A0" w14:textId="2C4C1074" w:rsidR="005A056A" w:rsidRPr="000D3090" w:rsidRDefault="005A056A" w:rsidP="005A056A">
            <w:pPr>
              <w:spacing w:after="0" w:line="240" w:lineRule="auto"/>
              <w:jc w:val="center"/>
              <w:rPr>
                <w:color w:val="000000"/>
                <w:sz w:val="18"/>
                <w:szCs w:val="18"/>
              </w:rPr>
            </w:pPr>
            <w:r w:rsidRPr="000D3090">
              <w:rPr>
                <w:sz w:val="18"/>
                <w:szCs w:val="18"/>
              </w:rPr>
              <w:t>-0.24</w:t>
            </w:r>
          </w:p>
        </w:tc>
        <w:tc>
          <w:tcPr>
            <w:tcW w:w="450" w:type="dxa"/>
            <w:tcBorders>
              <w:top w:val="nil"/>
              <w:left w:val="nil"/>
              <w:bottom w:val="nil"/>
              <w:right w:val="single" w:sz="4" w:space="0" w:color="auto"/>
            </w:tcBorders>
            <w:shd w:val="clear" w:color="000000" w:fill="FFFFFF"/>
            <w:noWrap/>
          </w:tcPr>
          <w:p w14:paraId="66F864AA" w14:textId="4EC68CE5" w:rsidR="005A056A" w:rsidRPr="000D3090" w:rsidRDefault="005A056A" w:rsidP="005A056A">
            <w:pPr>
              <w:spacing w:after="0" w:line="240" w:lineRule="auto"/>
              <w:jc w:val="center"/>
              <w:rPr>
                <w:color w:val="000000"/>
                <w:sz w:val="18"/>
                <w:szCs w:val="18"/>
              </w:rPr>
            </w:pPr>
            <w:r w:rsidRPr="000D3090">
              <w:rPr>
                <w:sz w:val="18"/>
                <w:szCs w:val="18"/>
              </w:rPr>
              <w:t>-1.76</w:t>
            </w:r>
          </w:p>
        </w:tc>
        <w:tc>
          <w:tcPr>
            <w:tcW w:w="540" w:type="dxa"/>
            <w:tcBorders>
              <w:top w:val="nil"/>
              <w:left w:val="nil"/>
              <w:bottom w:val="nil"/>
              <w:right w:val="nil"/>
            </w:tcBorders>
            <w:shd w:val="clear" w:color="000000" w:fill="FFFFFF"/>
            <w:noWrap/>
          </w:tcPr>
          <w:p w14:paraId="623AC617" w14:textId="5D851E94" w:rsidR="005A056A" w:rsidRPr="000D3090" w:rsidRDefault="005A056A" w:rsidP="005A056A">
            <w:pPr>
              <w:spacing w:after="0" w:line="240" w:lineRule="auto"/>
              <w:jc w:val="center"/>
              <w:rPr>
                <w:color w:val="000000"/>
                <w:sz w:val="18"/>
                <w:szCs w:val="18"/>
              </w:rPr>
            </w:pPr>
            <w:r w:rsidRPr="000D3090">
              <w:rPr>
                <w:sz w:val="18"/>
                <w:szCs w:val="18"/>
              </w:rPr>
              <w:t>0.29</w:t>
            </w:r>
          </w:p>
        </w:tc>
        <w:tc>
          <w:tcPr>
            <w:tcW w:w="454" w:type="dxa"/>
            <w:tcBorders>
              <w:top w:val="nil"/>
              <w:left w:val="nil"/>
              <w:bottom w:val="nil"/>
              <w:right w:val="single" w:sz="4" w:space="0" w:color="auto"/>
            </w:tcBorders>
            <w:shd w:val="clear" w:color="000000" w:fill="FFFFFF"/>
            <w:noWrap/>
          </w:tcPr>
          <w:p w14:paraId="03CE559F" w14:textId="4327473C" w:rsidR="005A056A" w:rsidRPr="000D3090" w:rsidRDefault="005A056A" w:rsidP="005A056A">
            <w:pPr>
              <w:spacing w:after="0" w:line="240" w:lineRule="auto"/>
              <w:jc w:val="center"/>
              <w:rPr>
                <w:color w:val="000000"/>
                <w:sz w:val="18"/>
                <w:szCs w:val="18"/>
              </w:rPr>
            </w:pPr>
            <w:r w:rsidRPr="000D3090">
              <w:rPr>
                <w:sz w:val="18"/>
                <w:szCs w:val="18"/>
              </w:rPr>
              <w:t>2.92</w:t>
            </w:r>
          </w:p>
        </w:tc>
        <w:tc>
          <w:tcPr>
            <w:tcW w:w="540" w:type="dxa"/>
            <w:tcBorders>
              <w:top w:val="nil"/>
              <w:left w:val="nil"/>
              <w:bottom w:val="nil"/>
              <w:right w:val="nil"/>
            </w:tcBorders>
            <w:shd w:val="clear" w:color="000000" w:fill="FFFFFF"/>
            <w:noWrap/>
          </w:tcPr>
          <w:p w14:paraId="1DB77281" w14:textId="63DE0643" w:rsidR="005A056A" w:rsidRPr="000D3090" w:rsidRDefault="005A056A" w:rsidP="005A056A">
            <w:pPr>
              <w:spacing w:after="0" w:line="240" w:lineRule="auto"/>
              <w:jc w:val="center"/>
              <w:rPr>
                <w:color w:val="000000"/>
                <w:sz w:val="18"/>
                <w:szCs w:val="18"/>
              </w:rPr>
            </w:pPr>
            <w:r w:rsidRPr="000D3090">
              <w:rPr>
                <w:sz w:val="18"/>
                <w:szCs w:val="18"/>
              </w:rPr>
              <w:t>0.16</w:t>
            </w:r>
          </w:p>
        </w:tc>
        <w:tc>
          <w:tcPr>
            <w:tcW w:w="456" w:type="dxa"/>
            <w:tcBorders>
              <w:top w:val="nil"/>
              <w:left w:val="nil"/>
              <w:bottom w:val="nil"/>
              <w:right w:val="single" w:sz="12" w:space="0" w:color="auto"/>
            </w:tcBorders>
            <w:shd w:val="clear" w:color="000000" w:fill="FFFFFF"/>
            <w:noWrap/>
          </w:tcPr>
          <w:p w14:paraId="21B08C1E" w14:textId="28F9DDFC" w:rsidR="005A056A" w:rsidRPr="000D3090" w:rsidRDefault="005A056A" w:rsidP="005A056A">
            <w:pPr>
              <w:spacing w:after="0" w:line="240" w:lineRule="auto"/>
              <w:jc w:val="center"/>
              <w:rPr>
                <w:color w:val="000000"/>
                <w:sz w:val="18"/>
                <w:szCs w:val="18"/>
              </w:rPr>
            </w:pPr>
            <w:r w:rsidRPr="000D3090">
              <w:rPr>
                <w:sz w:val="18"/>
                <w:szCs w:val="18"/>
              </w:rPr>
              <w:t>2.79</w:t>
            </w:r>
          </w:p>
        </w:tc>
        <w:tc>
          <w:tcPr>
            <w:tcW w:w="540" w:type="dxa"/>
            <w:tcBorders>
              <w:top w:val="nil"/>
              <w:left w:val="nil"/>
              <w:bottom w:val="nil"/>
              <w:right w:val="nil"/>
            </w:tcBorders>
            <w:shd w:val="clear" w:color="000000" w:fill="FFFFFF"/>
          </w:tcPr>
          <w:p w14:paraId="0CFC18CB" w14:textId="03C5DC70" w:rsidR="005A056A" w:rsidRPr="000D3090" w:rsidRDefault="005A056A" w:rsidP="005A056A">
            <w:pPr>
              <w:spacing w:after="0" w:line="240" w:lineRule="auto"/>
              <w:jc w:val="center"/>
              <w:rPr>
                <w:color w:val="000000"/>
                <w:sz w:val="18"/>
                <w:szCs w:val="18"/>
              </w:rPr>
            </w:pPr>
            <w:r w:rsidRPr="000D3090">
              <w:rPr>
                <w:sz w:val="18"/>
                <w:szCs w:val="18"/>
              </w:rPr>
              <w:t>0.74</w:t>
            </w:r>
          </w:p>
        </w:tc>
        <w:tc>
          <w:tcPr>
            <w:tcW w:w="540" w:type="dxa"/>
            <w:tcBorders>
              <w:top w:val="nil"/>
              <w:left w:val="nil"/>
              <w:bottom w:val="nil"/>
              <w:right w:val="single" w:sz="12" w:space="0" w:color="auto"/>
            </w:tcBorders>
            <w:shd w:val="clear" w:color="000000" w:fill="FFFFFF"/>
          </w:tcPr>
          <w:p w14:paraId="3E4FD892" w14:textId="043316B5" w:rsidR="005A056A" w:rsidRPr="000D3090" w:rsidRDefault="005A056A" w:rsidP="005A056A">
            <w:pPr>
              <w:spacing w:after="0" w:line="240" w:lineRule="auto"/>
              <w:jc w:val="center"/>
              <w:rPr>
                <w:color w:val="000000"/>
                <w:sz w:val="18"/>
                <w:szCs w:val="18"/>
              </w:rPr>
            </w:pPr>
            <w:r w:rsidRPr="000D3090">
              <w:rPr>
                <w:sz w:val="18"/>
                <w:szCs w:val="18"/>
              </w:rPr>
              <w:t>15.42</w:t>
            </w:r>
          </w:p>
        </w:tc>
        <w:tc>
          <w:tcPr>
            <w:tcW w:w="630" w:type="dxa"/>
            <w:tcBorders>
              <w:top w:val="nil"/>
              <w:left w:val="single" w:sz="12" w:space="0" w:color="auto"/>
              <w:bottom w:val="nil"/>
              <w:right w:val="nil"/>
            </w:tcBorders>
            <w:shd w:val="clear" w:color="000000" w:fill="FFFFFF"/>
          </w:tcPr>
          <w:p w14:paraId="1834350E" w14:textId="50368AB9" w:rsidR="005A056A" w:rsidRPr="000D3090" w:rsidRDefault="005A056A" w:rsidP="005A056A">
            <w:pPr>
              <w:spacing w:after="0" w:line="240" w:lineRule="auto"/>
              <w:jc w:val="center"/>
              <w:rPr>
                <w:color w:val="000000"/>
                <w:sz w:val="18"/>
                <w:szCs w:val="18"/>
              </w:rPr>
            </w:pPr>
            <w:r w:rsidRPr="000D3090">
              <w:rPr>
                <w:sz w:val="18"/>
                <w:szCs w:val="18"/>
              </w:rPr>
              <w:t>1.06</w:t>
            </w:r>
          </w:p>
        </w:tc>
        <w:tc>
          <w:tcPr>
            <w:tcW w:w="542" w:type="dxa"/>
            <w:tcBorders>
              <w:top w:val="nil"/>
              <w:left w:val="nil"/>
              <w:bottom w:val="nil"/>
              <w:right w:val="single" w:sz="12" w:space="0" w:color="auto"/>
            </w:tcBorders>
            <w:shd w:val="clear" w:color="000000" w:fill="FFFFFF"/>
          </w:tcPr>
          <w:p w14:paraId="25E40FA9" w14:textId="3665FB99" w:rsidR="005A056A" w:rsidRPr="000D3090" w:rsidRDefault="005A056A" w:rsidP="005A056A">
            <w:pPr>
              <w:spacing w:after="0" w:line="240" w:lineRule="auto"/>
              <w:jc w:val="center"/>
              <w:rPr>
                <w:color w:val="000000"/>
                <w:sz w:val="18"/>
                <w:szCs w:val="18"/>
              </w:rPr>
            </w:pPr>
            <w:r w:rsidRPr="000D3090">
              <w:rPr>
                <w:sz w:val="18"/>
                <w:szCs w:val="18"/>
              </w:rPr>
              <w:t>21.56</w:t>
            </w:r>
          </w:p>
        </w:tc>
      </w:tr>
      <w:tr w:rsidR="005A056A" w:rsidRPr="000D3090" w14:paraId="110AACC7"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41732164" w14:textId="77777777" w:rsidR="005A056A" w:rsidRPr="000D3090" w:rsidRDefault="005A056A" w:rsidP="005A056A">
            <w:pPr>
              <w:spacing w:after="0" w:line="240" w:lineRule="auto"/>
              <w:rPr>
                <w:rFonts w:eastAsia="Times New Roman"/>
                <w:sz w:val="18"/>
                <w:szCs w:val="18"/>
              </w:rPr>
            </w:pPr>
            <w:r w:rsidRPr="000D3090">
              <w:rPr>
                <w:rFonts w:eastAsia="Times New Roman"/>
                <w:sz w:val="18"/>
                <w:szCs w:val="18"/>
              </w:rPr>
              <w:t>Driver Status (Driver)</w:t>
            </w:r>
          </w:p>
        </w:tc>
        <w:tc>
          <w:tcPr>
            <w:tcW w:w="537" w:type="dxa"/>
            <w:tcBorders>
              <w:top w:val="nil"/>
              <w:left w:val="single" w:sz="12" w:space="0" w:color="auto"/>
              <w:bottom w:val="nil"/>
            </w:tcBorders>
            <w:shd w:val="clear" w:color="000000" w:fill="FFFFFF"/>
          </w:tcPr>
          <w:p w14:paraId="78D4D8B5" w14:textId="77777777" w:rsidR="005A056A" w:rsidRPr="000D3090" w:rsidRDefault="005A056A" w:rsidP="005A056A">
            <w:pPr>
              <w:spacing w:after="0" w:line="240" w:lineRule="auto"/>
              <w:jc w:val="center"/>
              <w:rPr>
                <w:rFonts w:eastAsia="Times New Roman"/>
                <w:color w:val="000000"/>
                <w:sz w:val="18"/>
                <w:szCs w:val="18"/>
              </w:rPr>
            </w:pPr>
          </w:p>
        </w:tc>
        <w:tc>
          <w:tcPr>
            <w:tcW w:w="541" w:type="dxa"/>
            <w:tcBorders>
              <w:top w:val="nil"/>
              <w:left w:val="nil"/>
              <w:bottom w:val="nil"/>
              <w:right w:val="single" w:sz="12" w:space="0" w:color="auto"/>
            </w:tcBorders>
            <w:shd w:val="clear" w:color="000000" w:fill="FFFFFF"/>
          </w:tcPr>
          <w:p w14:paraId="188AA0BA" w14:textId="77777777" w:rsidR="005A056A" w:rsidRPr="000D3090" w:rsidRDefault="005A056A" w:rsidP="005A056A">
            <w:pPr>
              <w:spacing w:after="0" w:line="240" w:lineRule="auto"/>
              <w:jc w:val="center"/>
              <w:rPr>
                <w:rFonts w:eastAsia="Times New Roman"/>
                <w:color w:val="000000"/>
                <w:sz w:val="18"/>
                <w:szCs w:val="18"/>
              </w:rPr>
            </w:pPr>
          </w:p>
        </w:tc>
        <w:tc>
          <w:tcPr>
            <w:tcW w:w="539" w:type="dxa"/>
            <w:tcBorders>
              <w:top w:val="nil"/>
              <w:left w:val="single" w:sz="12" w:space="0" w:color="auto"/>
              <w:bottom w:val="nil"/>
              <w:right w:val="nil"/>
            </w:tcBorders>
            <w:shd w:val="clear" w:color="000000" w:fill="FFFFFF"/>
            <w:noWrap/>
            <w:vAlign w:val="center"/>
            <w:hideMark/>
          </w:tcPr>
          <w:p w14:paraId="1944B48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bottom w:val="nil"/>
              <w:right w:val="single" w:sz="4" w:space="0" w:color="auto"/>
            </w:tcBorders>
            <w:shd w:val="clear" w:color="000000" w:fill="FFFFFF"/>
            <w:noWrap/>
            <w:vAlign w:val="center"/>
            <w:hideMark/>
          </w:tcPr>
          <w:p w14:paraId="7BCF227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5469431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65405EF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718802B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09DE2B2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hideMark/>
          </w:tcPr>
          <w:p w14:paraId="2B2997C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75B0CB1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1A6C1FBA"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450" w:type="dxa"/>
            <w:tcBorders>
              <w:top w:val="nil"/>
              <w:left w:val="nil"/>
              <w:bottom w:val="nil"/>
              <w:right w:val="single" w:sz="4" w:space="0" w:color="auto"/>
            </w:tcBorders>
            <w:shd w:val="clear" w:color="000000" w:fill="FFFFFF"/>
            <w:noWrap/>
            <w:vAlign w:val="center"/>
            <w:hideMark/>
          </w:tcPr>
          <w:p w14:paraId="4109EB7A"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center"/>
            <w:hideMark/>
          </w:tcPr>
          <w:p w14:paraId="349B770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bottom w:val="nil"/>
              <w:right w:val="single" w:sz="4" w:space="0" w:color="auto"/>
            </w:tcBorders>
            <w:shd w:val="clear" w:color="000000" w:fill="FFFFFF"/>
            <w:noWrap/>
            <w:vAlign w:val="center"/>
            <w:hideMark/>
          </w:tcPr>
          <w:p w14:paraId="4B32C50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75BD63D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bottom w:val="nil"/>
              <w:right w:val="single" w:sz="4" w:space="0" w:color="auto"/>
            </w:tcBorders>
            <w:shd w:val="clear" w:color="000000" w:fill="FFFFFF"/>
            <w:noWrap/>
            <w:vAlign w:val="center"/>
            <w:hideMark/>
          </w:tcPr>
          <w:p w14:paraId="7DAB7E0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370EAD6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bottom w:val="nil"/>
              <w:right w:val="single" w:sz="12" w:space="0" w:color="auto"/>
            </w:tcBorders>
            <w:shd w:val="clear" w:color="000000" w:fill="FFFFFF"/>
            <w:noWrap/>
            <w:vAlign w:val="center"/>
            <w:hideMark/>
          </w:tcPr>
          <w:p w14:paraId="49203B8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tcPr>
          <w:p w14:paraId="7498EA28"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bottom w:val="nil"/>
              <w:right w:val="single" w:sz="12" w:space="0" w:color="auto"/>
            </w:tcBorders>
            <w:shd w:val="clear" w:color="000000" w:fill="FFFFFF"/>
          </w:tcPr>
          <w:p w14:paraId="295BF63F" w14:textId="77777777" w:rsidR="005A056A" w:rsidRPr="000D3090" w:rsidRDefault="005A056A" w:rsidP="005A056A">
            <w:pPr>
              <w:spacing w:after="0" w:line="240" w:lineRule="auto"/>
              <w:jc w:val="center"/>
              <w:rPr>
                <w:rFonts w:eastAsia="Times New Roman"/>
                <w:color w:val="000000"/>
                <w:sz w:val="18"/>
                <w:szCs w:val="18"/>
              </w:rPr>
            </w:pPr>
          </w:p>
        </w:tc>
        <w:tc>
          <w:tcPr>
            <w:tcW w:w="630" w:type="dxa"/>
            <w:tcBorders>
              <w:top w:val="nil"/>
              <w:left w:val="single" w:sz="12" w:space="0" w:color="auto"/>
              <w:bottom w:val="nil"/>
              <w:right w:val="nil"/>
            </w:tcBorders>
            <w:shd w:val="clear" w:color="000000" w:fill="FFFFFF"/>
          </w:tcPr>
          <w:p w14:paraId="48029026" w14:textId="77777777" w:rsidR="005A056A" w:rsidRPr="000D3090" w:rsidRDefault="005A056A" w:rsidP="005A056A">
            <w:pPr>
              <w:spacing w:after="0" w:line="240" w:lineRule="auto"/>
              <w:jc w:val="center"/>
              <w:rPr>
                <w:rFonts w:eastAsia="Times New Roman"/>
                <w:color w:val="000000"/>
                <w:sz w:val="18"/>
                <w:szCs w:val="18"/>
              </w:rPr>
            </w:pPr>
          </w:p>
        </w:tc>
        <w:tc>
          <w:tcPr>
            <w:tcW w:w="542" w:type="dxa"/>
            <w:tcBorders>
              <w:top w:val="nil"/>
              <w:left w:val="nil"/>
              <w:bottom w:val="nil"/>
              <w:right w:val="single" w:sz="12" w:space="0" w:color="auto"/>
            </w:tcBorders>
            <w:shd w:val="clear" w:color="000000" w:fill="FFFFFF"/>
          </w:tcPr>
          <w:p w14:paraId="2560E3AA" w14:textId="77777777" w:rsidR="005A056A" w:rsidRPr="000D3090" w:rsidRDefault="005A056A" w:rsidP="005A056A">
            <w:pPr>
              <w:spacing w:after="0" w:line="240" w:lineRule="auto"/>
              <w:jc w:val="center"/>
              <w:rPr>
                <w:rFonts w:eastAsia="Times New Roman"/>
                <w:color w:val="000000"/>
                <w:sz w:val="18"/>
                <w:szCs w:val="18"/>
              </w:rPr>
            </w:pPr>
          </w:p>
        </w:tc>
      </w:tr>
      <w:tr w:rsidR="005A056A" w:rsidRPr="000D3090" w14:paraId="0768CD88"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bottom"/>
            <w:hideMark/>
          </w:tcPr>
          <w:p w14:paraId="619314B9" w14:textId="77777777" w:rsidR="005A056A" w:rsidRPr="000D3090" w:rsidRDefault="005A056A" w:rsidP="005A056A">
            <w:pPr>
              <w:spacing w:after="0" w:line="240" w:lineRule="auto"/>
              <w:rPr>
                <w:rFonts w:eastAsia="Times New Roman"/>
                <w:sz w:val="18"/>
                <w:szCs w:val="18"/>
              </w:rPr>
            </w:pPr>
            <w:r w:rsidRPr="000D3090">
              <w:rPr>
                <w:rFonts w:eastAsia="Times New Roman"/>
                <w:sz w:val="18"/>
                <w:szCs w:val="18"/>
              </w:rPr>
              <w:t xml:space="preserve">     Not a driver</w:t>
            </w:r>
          </w:p>
        </w:tc>
        <w:tc>
          <w:tcPr>
            <w:tcW w:w="537" w:type="dxa"/>
            <w:tcBorders>
              <w:top w:val="nil"/>
              <w:left w:val="single" w:sz="12" w:space="0" w:color="auto"/>
              <w:bottom w:val="nil"/>
            </w:tcBorders>
            <w:shd w:val="clear" w:color="000000" w:fill="FFFFFF"/>
            <w:vAlign w:val="bottom"/>
          </w:tcPr>
          <w:p w14:paraId="628EF384" w14:textId="5D24CC5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0.18</w:t>
            </w:r>
          </w:p>
        </w:tc>
        <w:tc>
          <w:tcPr>
            <w:tcW w:w="541" w:type="dxa"/>
            <w:tcBorders>
              <w:top w:val="nil"/>
              <w:left w:val="nil"/>
              <w:bottom w:val="nil"/>
              <w:right w:val="single" w:sz="12" w:space="0" w:color="auto"/>
            </w:tcBorders>
            <w:shd w:val="clear" w:color="000000" w:fill="FFFFFF"/>
            <w:vAlign w:val="bottom"/>
          </w:tcPr>
          <w:p w14:paraId="212107E4" w14:textId="67C1259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3.80</w:t>
            </w:r>
          </w:p>
        </w:tc>
        <w:tc>
          <w:tcPr>
            <w:tcW w:w="539" w:type="dxa"/>
            <w:tcBorders>
              <w:top w:val="nil"/>
              <w:left w:val="single" w:sz="12" w:space="0" w:color="auto"/>
              <w:bottom w:val="nil"/>
              <w:right w:val="nil"/>
            </w:tcBorders>
            <w:shd w:val="clear" w:color="000000" w:fill="FFFFFF"/>
            <w:noWrap/>
            <w:vAlign w:val="center"/>
            <w:hideMark/>
          </w:tcPr>
          <w:p w14:paraId="0B386FC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nil"/>
              <w:right w:val="single" w:sz="4" w:space="0" w:color="auto"/>
            </w:tcBorders>
            <w:shd w:val="clear" w:color="000000" w:fill="FFFFFF"/>
            <w:noWrap/>
            <w:vAlign w:val="center"/>
            <w:hideMark/>
          </w:tcPr>
          <w:p w14:paraId="0F23DBE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6DB763B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2F792B9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5689034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614EF3E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hideMark/>
          </w:tcPr>
          <w:p w14:paraId="2CF011E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hideMark/>
          </w:tcPr>
          <w:p w14:paraId="10EC9A9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hideMark/>
          </w:tcPr>
          <w:p w14:paraId="5FF3AFD4"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w:t>
            </w:r>
          </w:p>
        </w:tc>
        <w:tc>
          <w:tcPr>
            <w:tcW w:w="450" w:type="dxa"/>
            <w:tcBorders>
              <w:top w:val="nil"/>
              <w:left w:val="nil"/>
              <w:bottom w:val="nil"/>
              <w:right w:val="single" w:sz="4" w:space="0" w:color="auto"/>
            </w:tcBorders>
            <w:shd w:val="clear" w:color="000000" w:fill="FFFFFF"/>
            <w:noWrap/>
            <w:vAlign w:val="center"/>
            <w:hideMark/>
          </w:tcPr>
          <w:p w14:paraId="22AD4676" w14:textId="77777777" w:rsidR="005A056A" w:rsidRPr="000D3090" w:rsidRDefault="005A056A" w:rsidP="005A056A">
            <w:pPr>
              <w:spacing w:after="0" w:line="240" w:lineRule="auto"/>
              <w:jc w:val="center"/>
              <w:rPr>
                <w:rFonts w:eastAsia="Times New Roman"/>
                <w:sz w:val="18"/>
                <w:szCs w:val="18"/>
              </w:rPr>
            </w:pPr>
            <w:r w:rsidRPr="000D3090">
              <w:rPr>
                <w:rFonts w:eastAsia="Times New Roman"/>
                <w:sz w:val="18"/>
                <w:szCs w:val="18"/>
              </w:rPr>
              <w:t> </w:t>
            </w:r>
          </w:p>
        </w:tc>
        <w:tc>
          <w:tcPr>
            <w:tcW w:w="540" w:type="dxa"/>
            <w:tcBorders>
              <w:top w:val="nil"/>
              <w:left w:val="nil"/>
              <w:bottom w:val="nil"/>
              <w:right w:val="nil"/>
            </w:tcBorders>
            <w:shd w:val="clear" w:color="000000" w:fill="FFFFFF"/>
            <w:noWrap/>
            <w:vAlign w:val="bottom"/>
            <w:hideMark/>
          </w:tcPr>
          <w:p w14:paraId="6C74ECAA" w14:textId="77CB5E7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-0.23</w:t>
            </w:r>
          </w:p>
        </w:tc>
        <w:tc>
          <w:tcPr>
            <w:tcW w:w="450" w:type="dxa"/>
            <w:tcBorders>
              <w:top w:val="nil"/>
              <w:left w:val="nil"/>
              <w:bottom w:val="nil"/>
              <w:right w:val="single" w:sz="4" w:space="0" w:color="auto"/>
            </w:tcBorders>
            <w:shd w:val="clear" w:color="000000" w:fill="FFFFFF"/>
            <w:noWrap/>
            <w:vAlign w:val="bottom"/>
            <w:hideMark/>
          </w:tcPr>
          <w:p w14:paraId="5CA820C1" w14:textId="4FF3711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-2.12</w:t>
            </w:r>
          </w:p>
        </w:tc>
        <w:tc>
          <w:tcPr>
            <w:tcW w:w="540" w:type="dxa"/>
            <w:tcBorders>
              <w:top w:val="nil"/>
              <w:left w:val="nil"/>
              <w:bottom w:val="nil"/>
              <w:right w:val="nil"/>
            </w:tcBorders>
            <w:shd w:val="clear" w:color="000000" w:fill="FFFFFF"/>
            <w:noWrap/>
            <w:vAlign w:val="bottom"/>
            <w:hideMark/>
          </w:tcPr>
          <w:p w14:paraId="38FD74A4" w14:textId="494751C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0.35</w:t>
            </w:r>
          </w:p>
        </w:tc>
        <w:tc>
          <w:tcPr>
            <w:tcW w:w="454" w:type="dxa"/>
            <w:tcBorders>
              <w:top w:val="nil"/>
              <w:left w:val="nil"/>
              <w:bottom w:val="nil"/>
              <w:right w:val="single" w:sz="4" w:space="0" w:color="auto"/>
            </w:tcBorders>
            <w:shd w:val="clear" w:color="000000" w:fill="FFFFFF"/>
            <w:noWrap/>
            <w:vAlign w:val="bottom"/>
            <w:hideMark/>
          </w:tcPr>
          <w:p w14:paraId="6E7079F6" w14:textId="501A37B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2.82</w:t>
            </w:r>
          </w:p>
        </w:tc>
        <w:tc>
          <w:tcPr>
            <w:tcW w:w="540" w:type="dxa"/>
            <w:tcBorders>
              <w:top w:val="nil"/>
              <w:left w:val="nil"/>
              <w:bottom w:val="nil"/>
              <w:right w:val="nil"/>
            </w:tcBorders>
            <w:shd w:val="clear" w:color="000000" w:fill="FFFFFF"/>
            <w:noWrap/>
            <w:vAlign w:val="center"/>
            <w:hideMark/>
          </w:tcPr>
          <w:p w14:paraId="6C03D00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hideMark/>
          </w:tcPr>
          <w:p w14:paraId="6950412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46E17B2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533F0B5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34A2157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491D62E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3F77D0" w:rsidRPr="000D3090" w14:paraId="7C7E3E27" w14:textId="77777777" w:rsidTr="00190696">
        <w:trPr>
          <w:trHeight w:val="20"/>
          <w:jc w:val="center"/>
        </w:trPr>
        <w:tc>
          <w:tcPr>
            <w:tcW w:w="2411" w:type="dxa"/>
            <w:tcBorders>
              <w:top w:val="nil"/>
              <w:left w:val="single" w:sz="12" w:space="0" w:color="auto"/>
              <w:right w:val="single" w:sz="12" w:space="0" w:color="auto"/>
            </w:tcBorders>
            <w:shd w:val="clear" w:color="000000" w:fill="FFFFFF"/>
            <w:noWrap/>
            <w:vAlign w:val="bottom"/>
          </w:tcPr>
          <w:p w14:paraId="5AA18D0E"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sz w:val="18"/>
                <w:szCs w:val="18"/>
              </w:rPr>
              <w:t>Medical Condition (No)</w:t>
            </w:r>
          </w:p>
        </w:tc>
        <w:tc>
          <w:tcPr>
            <w:tcW w:w="537" w:type="dxa"/>
            <w:tcBorders>
              <w:top w:val="nil"/>
              <w:left w:val="single" w:sz="12" w:space="0" w:color="auto"/>
            </w:tcBorders>
            <w:shd w:val="clear" w:color="000000" w:fill="FFFFFF"/>
          </w:tcPr>
          <w:p w14:paraId="02AD4A33" w14:textId="77777777" w:rsidR="005A056A" w:rsidRPr="000D3090" w:rsidRDefault="005A056A" w:rsidP="005A056A">
            <w:pPr>
              <w:spacing w:after="0" w:line="240" w:lineRule="auto"/>
              <w:jc w:val="center"/>
              <w:rPr>
                <w:rFonts w:eastAsia="Times New Roman"/>
                <w:color w:val="000000"/>
                <w:sz w:val="18"/>
                <w:szCs w:val="18"/>
              </w:rPr>
            </w:pPr>
          </w:p>
        </w:tc>
        <w:tc>
          <w:tcPr>
            <w:tcW w:w="541" w:type="dxa"/>
            <w:tcBorders>
              <w:top w:val="nil"/>
              <w:left w:val="nil"/>
              <w:right w:val="single" w:sz="12" w:space="0" w:color="auto"/>
            </w:tcBorders>
            <w:shd w:val="clear" w:color="000000" w:fill="FFFFFF"/>
          </w:tcPr>
          <w:p w14:paraId="4D044085" w14:textId="77777777" w:rsidR="005A056A" w:rsidRPr="000D3090" w:rsidRDefault="005A056A" w:rsidP="005A056A">
            <w:pPr>
              <w:spacing w:after="0" w:line="240" w:lineRule="auto"/>
              <w:jc w:val="center"/>
              <w:rPr>
                <w:rFonts w:eastAsia="Times New Roman"/>
                <w:color w:val="000000"/>
                <w:sz w:val="18"/>
                <w:szCs w:val="18"/>
              </w:rPr>
            </w:pPr>
          </w:p>
        </w:tc>
        <w:tc>
          <w:tcPr>
            <w:tcW w:w="539" w:type="dxa"/>
            <w:tcBorders>
              <w:top w:val="nil"/>
              <w:left w:val="single" w:sz="12" w:space="0" w:color="auto"/>
              <w:right w:val="nil"/>
            </w:tcBorders>
            <w:shd w:val="clear" w:color="000000" w:fill="FFFFFF"/>
            <w:noWrap/>
            <w:vAlign w:val="center"/>
          </w:tcPr>
          <w:p w14:paraId="372C1EC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49" w:type="dxa"/>
            <w:tcBorders>
              <w:top w:val="nil"/>
              <w:left w:val="nil"/>
              <w:right w:val="single" w:sz="4" w:space="0" w:color="auto"/>
            </w:tcBorders>
            <w:shd w:val="clear" w:color="000000" w:fill="FFFFFF"/>
            <w:noWrap/>
            <w:vAlign w:val="center"/>
          </w:tcPr>
          <w:p w14:paraId="32A5E82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21C7DF8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0BD83E0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01D14F0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55D2161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right w:val="nil"/>
            </w:tcBorders>
            <w:shd w:val="clear" w:color="000000" w:fill="FFFFFF"/>
            <w:noWrap/>
            <w:vAlign w:val="center"/>
          </w:tcPr>
          <w:p w14:paraId="77A53F1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1971B5E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3A5B943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6651D82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6CDDFF4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0" w:type="dxa"/>
            <w:tcBorders>
              <w:top w:val="nil"/>
              <w:left w:val="nil"/>
              <w:right w:val="single" w:sz="4" w:space="0" w:color="auto"/>
            </w:tcBorders>
            <w:shd w:val="clear" w:color="000000" w:fill="FFFFFF"/>
            <w:noWrap/>
            <w:vAlign w:val="center"/>
          </w:tcPr>
          <w:p w14:paraId="1B97EA1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2DFD3CC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4" w:type="dxa"/>
            <w:tcBorders>
              <w:top w:val="nil"/>
              <w:left w:val="nil"/>
              <w:right w:val="single" w:sz="4" w:space="0" w:color="auto"/>
            </w:tcBorders>
            <w:shd w:val="clear" w:color="000000" w:fill="FFFFFF"/>
            <w:noWrap/>
            <w:vAlign w:val="center"/>
          </w:tcPr>
          <w:p w14:paraId="67110A0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13BBE00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456" w:type="dxa"/>
            <w:tcBorders>
              <w:top w:val="nil"/>
              <w:left w:val="nil"/>
              <w:right w:val="single" w:sz="12" w:space="0" w:color="auto"/>
            </w:tcBorders>
            <w:shd w:val="clear" w:color="000000" w:fill="FFFFFF"/>
            <w:noWrap/>
            <w:vAlign w:val="center"/>
          </w:tcPr>
          <w:p w14:paraId="298D583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tcPr>
          <w:p w14:paraId="2E7CEA67" w14:textId="77777777" w:rsidR="005A056A" w:rsidRPr="000D3090" w:rsidRDefault="005A056A" w:rsidP="005A056A">
            <w:pPr>
              <w:spacing w:after="0" w:line="240" w:lineRule="auto"/>
              <w:jc w:val="center"/>
              <w:rPr>
                <w:rFonts w:eastAsia="Times New Roman"/>
                <w:color w:val="000000"/>
                <w:sz w:val="18"/>
                <w:szCs w:val="18"/>
              </w:rPr>
            </w:pPr>
          </w:p>
        </w:tc>
        <w:tc>
          <w:tcPr>
            <w:tcW w:w="540" w:type="dxa"/>
            <w:tcBorders>
              <w:top w:val="nil"/>
              <w:left w:val="nil"/>
              <w:right w:val="single" w:sz="12" w:space="0" w:color="auto"/>
            </w:tcBorders>
            <w:shd w:val="clear" w:color="000000" w:fill="FFFFFF"/>
          </w:tcPr>
          <w:p w14:paraId="09393768" w14:textId="77777777" w:rsidR="005A056A" w:rsidRPr="000D3090" w:rsidRDefault="005A056A" w:rsidP="005A056A">
            <w:pPr>
              <w:spacing w:after="0" w:line="240" w:lineRule="auto"/>
              <w:jc w:val="center"/>
              <w:rPr>
                <w:rFonts w:eastAsia="Times New Roman"/>
                <w:color w:val="000000"/>
                <w:sz w:val="18"/>
                <w:szCs w:val="18"/>
              </w:rPr>
            </w:pPr>
          </w:p>
        </w:tc>
        <w:tc>
          <w:tcPr>
            <w:tcW w:w="630" w:type="dxa"/>
            <w:tcBorders>
              <w:top w:val="nil"/>
              <w:left w:val="single" w:sz="12" w:space="0" w:color="auto"/>
              <w:right w:val="nil"/>
            </w:tcBorders>
            <w:shd w:val="clear" w:color="000000" w:fill="FFFFFF"/>
          </w:tcPr>
          <w:p w14:paraId="730F36EB" w14:textId="77777777" w:rsidR="005A056A" w:rsidRPr="000D3090" w:rsidRDefault="005A056A" w:rsidP="005A056A">
            <w:pPr>
              <w:spacing w:after="0" w:line="240" w:lineRule="auto"/>
              <w:jc w:val="center"/>
              <w:rPr>
                <w:rFonts w:eastAsia="Times New Roman"/>
                <w:color w:val="000000"/>
                <w:sz w:val="18"/>
                <w:szCs w:val="18"/>
              </w:rPr>
            </w:pPr>
          </w:p>
        </w:tc>
        <w:tc>
          <w:tcPr>
            <w:tcW w:w="542" w:type="dxa"/>
            <w:tcBorders>
              <w:top w:val="nil"/>
              <w:left w:val="nil"/>
              <w:right w:val="single" w:sz="12" w:space="0" w:color="auto"/>
            </w:tcBorders>
            <w:shd w:val="clear" w:color="000000" w:fill="FFFFFF"/>
          </w:tcPr>
          <w:p w14:paraId="29BAC0AC" w14:textId="77777777" w:rsidR="005A056A" w:rsidRPr="000D3090" w:rsidRDefault="005A056A" w:rsidP="005A056A">
            <w:pPr>
              <w:spacing w:after="0" w:line="240" w:lineRule="auto"/>
              <w:jc w:val="center"/>
              <w:rPr>
                <w:rFonts w:eastAsia="Times New Roman"/>
                <w:color w:val="000000"/>
                <w:sz w:val="18"/>
                <w:szCs w:val="18"/>
              </w:rPr>
            </w:pPr>
          </w:p>
        </w:tc>
      </w:tr>
      <w:tr w:rsidR="003F77D0" w:rsidRPr="000D3090" w14:paraId="68186634" w14:textId="77777777" w:rsidTr="00190696">
        <w:trPr>
          <w:trHeight w:val="20"/>
          <w:jc w:val="center"/>
        </w:trPr>
        <w:tc>
          <w:tcPr>
            <w:tcW w:w="2411" w:type="dxa"/>
            <w:tcBorders>
              <w:top w:val="nil"/>
              <w:left w:val="single" w:sz="12" w:space="0" w:color="auto"/>
              <w:bottom w:val="single" w:sz="12" w:space="0" w:color="auto"/>
              <w:right w:val="single" w:sz="12" w:space="0" w:color="auto"/>
            </w:tcBorders>
            <w:shd w:val="clear" w:color="000000" w:fill="FFFFFF"/>
            <w:noWrap/>
            <w:vAlign w:val="bottom"/>
          </w:tcPr>
          <w:p w14:paraId="12235CCD"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 xml:space="preserve">     Yes</w:t>
            </w:r>
          </w:p>
        </w:tc>
        <w:tc>
          <w:tcPr>
            <w:tcW w:w="537" w:type="dxa"/>
            <w:tcBorders>
              <w:top w:val="nil"/>
              <w:left w:val="single" w:sz="12" w:space="0" w:color="auto"/>
              <w:bottom w:val="single" w:sz="12" w:space="0" w:color="auto"/>
            </w:tcBorders>
            <w:shd w:val="clear" w:color="000000" w:fill="FFFFFF"/>
            <w:vAlign w:val="bottom"/>
          </w:tcPr>
          <w:p w14:paraId="71ABD70C" w14:textId="18D8F05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0.66</w:t>
            </w:r>
          </w:p>
        </w:tc>
        <w:tc>
          <w:tcPr>
            <w:tcW w:w="541" w:type="dxa"/>
            <w:tcBorders>
              <w:top w:val="nil"/>
              <w:left w:val="nil"/>
              <w:bottom w:val="single" w:sz="12" w:space="0" w:color="auto"/>
              <w:right w:val="single" w:sz="12" w:space="0" w:color="auto"/>
            </w:tcBorders>
            <w:shd w:val="clear" w:color="000000" w:fill="FFFFFF"/>
            <w:vAlign w:val="bottom"/>
          </w:tcPr>
          <w:p w14:paraId="6865D880" w14:textId="55898A5B"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14.37</w:t>
            </w:r>
          </w:p>
        </w:tc>
        <w:tc>
          <w:tcPr>
            <w:tcW w:w="539" w:type="dxa"/>
            <w:tcBorders>
              <w:top w:val="nil"/>
              <w:left w:val="single" w:sz="12" w:space="0" w:color="auto"/>
              <w:bottom w:val="single" w:sz="12" w:space="0" w:color="auto"/>
              <w:right w:val="nil"/>
            </w:tcBorders>
            <w:shd w:val="clear" w:color="000000" w:fill="FFFFFF"/>
            <w:noWrap/>
            <w:vAlign w:val="center"/>
          </w:tcPr>
          <w:p w14:paraId="262F8B2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top w:val="nil"/>
              <w:left w:val="nil"/>
              <w:bottom w:val="single" w:sz="12" w:space="0" w:color="auto"/>
              <w:right w:val="single" w:sz="4" w:space="0" w:color="auto"/>
            </w:tcBorders>
            <w:shd w:val="clear" w:color="000000" w:fill="FFFFFF"/>
            <w:noWrap/>
            <w:vAlign w:val="center"/>
          </w:tcPr>
          <w:p w14:paraId="08F948A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5E651C7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12" w:space="0" w:color="auto"/>
              <w:right w:val="single" w:sz="4" w:space="0" w:color="auto"/>
            </w:tcBorders>
            <w:shd w:val="clear" w:color="000000" w:fill="FFFFFF"/>
            <w:noWrap/>
            <w:vAlign w:val="center"/>
          </w:tcPr>
          <w:p w14:paraId="6800D27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02983BD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12" w:space="0" w:color="auto"/>
              <w:right w:val="single" w:sz="4" w:space="0" w:color="auto"/>
            </w:tcBorders>
            <w:shd w:val="clear" w:color="000000" w:fill="FFFFFF"/>
            <w:noWrap/>
            <w:vAlign w:val="center"/>
          </w:tcPr>
          <w:p w14:paraId="253D4C1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single" w:sz="12" w:space="0" w:color="auto"/>
              <w:right w:val="nil"/>
            </w:tcBorders>
            <w:shd w:val="clear" w:color="000000" w:fill="FFFFFF"/>
            <w:noWrap/>
            <w:vAlign w:val="center"/>
          </w:tcPr>
          <w:p w14:paraId="3B9C56F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12" w:space="0" w:color="auto"/>
              <w:right w:val="single" w:sz="4" w:space="0" w:color="auto"/>
            </w:tcBorders>
            <w:shd w:val="clear" w:color="000000" w:fill="FFFFFF"/>
            <w:noWrap/>
            <w:vAlign w:val="center"/>
          </w:tcPr>
          <w:p w14:paraId="77C1E97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65269E5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single" w:sz="12" w:space="0" w:color="auto"/>
              <w:right w:val="single" w:sz="4" w:space="0" w:color="auto"/>
            </w:tcBorders>
            <w:shd w:val="clear" w:color="000000" w:fill="FFFFFF"/>
            <w:noWrap/>
            <w:vAlign w:val="center"/>
          </w:tcPr>
          <w:p w14:paraId="1594A83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bottom"/>
          </w:tcPr>
          <w:p w14:paraId="03058266" w14:textId="188DA0D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1.25</w:t>
            </w:r>
          </w:p>
        </w:tc>
        <w:tc>
          <w:tcPr>
            <w:tcW w:w="450" w:type="dxa"/>
            <w:tcBorders>
              <w:top w:val="nil"/>
              <w:left w:val="nil"/>
              <w:bottom w:val="single" w:sz="12" w:space="0" w:color="auto"/>
              <w:right w:val="single" w:sz="4" w:space="0" w:color="auto"/>
            </w:tcBorders>
            <w:shd w:val="clear" w:color="000000" w:fill="FFFFFF"/>
            <w:noWrap/>
            <w:vAlign w:val="bottom"/>
          </w:tcPr>
          <w:p w14:paraId="05683CAE" w14:textId="0C606BD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15.67</w:t>
            </w:r>
          </w:p>
        </w:tc>
        <w:tc>
          <w:tcPr>
            <w:tcW w:w="540" w:type="dxa"/>
            <w:tcBorders>
              <w:top w:val="nil"/>
              <w:left w:val="nil"/>
              <w:bottom w:val="single" w:sz="12" w:space="0" w:color="auto"/>
              <w:right w:val="nil"/>
            </w:tcBorders>
            <w:shd w:val="clear" w:color="000000" w:fill="FFFFFF"/>
            <w:noWrap/>
            <w:vAlign w:val="bottom"/>
          </w:tcPr>
          <w:p w14:paraId="0AEC867B" w14:textId="6A16DE9D"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-0.41</w:t>
            </w:r>
          </w:p>
        </w:tc>
        <w:tc>
          <w:tcPr>
            <w:tcW w:w="454" w:type="dxa"/>
            <w:tcBorders>
              <w:top w:val="nil"/>
              <w:left w:val="nil"/>
              <w:bottom w:val="single" w:sz="12" w:space="0" w:color="auto"/>
              <w:right w:val="single" w:sz="4" w:space="0" w:color="auto"/>
            </w:tcBorders>
            <w:shd w:val="clear" w:color="000000" w:fill="FFFFFF"/>
            <w:noWrap/>
            <w:vAlign w:val="bottom"/>
          </w:tcPr>
          <w:p w14:paraId="2EEFC7AF" w14:textId="0A672B5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-3.93</w:t>
            </w:r>
          </w:p>
        </w:tc>
        <w:tc>
          <w:tcPr>
            <w:tcW w:w="540" w:type="dxa"/>
            <w:tcBorders>
              <w:top w:val="nil"/>
              <w:left w:val="nil"/>
              <w:bottom w:val="single" w:sz="12" w:space="0" w:color="auto"/>
              <w:right w:val="nil"/>
            </w:tcBorders>
            <w:shd w:val="clear" w:color="000000" w:fill="FFFFFF"/>
            <w:noWrap/>
            <w:vAlign w:val="center"/>
          </w:tcPr>
          <w:p w14:paraId="3FCC593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single" w:sz="12" w:space="0" w:color="auto"/>
              <w:right w:val="single" w:sz="12" w:space="0" w:color="auto"/>
            </w:tcBorders>
            <w:shd w:val="clear" w:color="000000" w:fill="FFFFFF"/>
            <w:noWrap/>
            <w:vAlign w:val="center"/>
          </w:tcPr>
          <w:p w14:paraId="1D86B73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vAlign w:val="bottom"/>
          </w:tcPr>
          <w:p w14:paraId="542EBF72" w14:textId="32F7721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0.45</w:t>
            </w:r>
          </w:p>
        </w:tc>
        <w:tc>
          <w:tcPr>
            <w:tcW w:w="540" w:type="dxa"/>
            <w:tcBorders>
              <w:top w:val="nil"/>
              <w:left w:val="nil"/>
              <w:bottom w:val="single" w:sz="12" w:space="0" w:color="auto"/>
              <w:right w:val="single" w:sz="12" w:space="0" w:color="auto"/>
            </w:tcBorders>
            <w:shd w:val="clear" w:color="000000" w:fill="FFFFFF"/>
            <w:vAlign w:val="bottom"/>
          </w:tcPr>
          <w:p w14:paraId="207360CB" w14:textId="59DFC380"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4.87</w:t>
            </w:r>
          </w:p>
        </w:tc>
        <w:tc>
          <w:tcPr>
            <w:tcW w:w="630" w:type="dxa"/>
            <w:tcBorders>
              <w:top w:val="nil"/>
              <w:left w:val="single" w:sz="12" w:space="0" w:color="auto"/>
              <w:bottom w:val="single" w:sz="12" w:space="0" w:color="auto"/>
              <w:right w:val="nil"/>
            </w:tcBorders>
            <w:shd w:val="clear" w:color="000000" w:fill="FFFFFF"/>
            <w:vAlign w:val="bottom"/>
          </w:tcPr>
          <w:p w14:paraId="05550033" w14:textId="785BF0B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0.07</w:t>
            </w:r>
          </w:p>
        </w:tc>
        <w:tc>
          <w:tcPr>
            <w:tcW w:w="542" w:type="dxa"/>
            <w:tcBorders>
              <w:top w:val="nil"/>
              <w:left w:val="nil"/>
              <w:bottom w:val="single" w:sz="12" w:space="0" w:color="auto"/>
              <w:right w:val="single" w:sz="12" w:space="0" w:color="auto"/>
            </w:tcBorders>
            <w:shd w:val="clear" w:color="000000" w:fill="FFFFFF"/>
            <w:vAlign w:val="bottom"/>
          </w:tcPr>
          <w:p w14:paraId="28F55DB3" w14:textId="7A2EC04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1.93</w:t>
            </w:r>
          </w:p>
        </w:tc>
      </w:tr>
    </w:tbl>
    <w:p w14:paraId="6B117A7F" w14:textId="77777777" w:rsidR="0067403B" w:rsidRPr="000D3090" w:rsidRDefault="0067403B" w:rsidP="002961DC">
      <w:pPr>
        <w:spacing w:after="0" w:line="240" w:lineRule="auto"/>
        <w:jc w:val="both"/>
        <w:rPr>
          <w:b/>
          <w:bCs/>
          <w:sz w:val="20"/>
          <w:szCs w:val="20"/>
        </w:rPr>
      </w:pPr>
    </w:p>
    <w:p w14:paraId="25E62B40" w14:textId="47334EDA" w:rsidR="002961DC" w:rsidRPr="000D3090" w:rsidRDefault="002961DC" w:rsidP="002961DC">
      <w:pPr>
        <w:spacing w:after="0" w:line="240" w:lineRule="auto"/>
        <w:jc w:val="both"/>
        <w:rPr>
          <w:b/>
          <w:bCs/>
        </w:rPr>
      </w:pPr>
      <w:r w:rsidRPr="000D3090">
        <w:rPr>
          <w:b/>
          <w:bCs/>
        </w:rPr>
        <w:lastRenderedPageBreak/>
        <w:t>Table 3 Main Estimation Results (cont. 3/3)</w:t>
      </w:r>
    </w:p>
    <w:p w14:paraId="0A160F1E" w14:textId="77777777" w:rsidR="002961DC" w:rsidRPr="000D3090" w:rsidRDefault="002961DC" w:rsidP="002961DC">
      <w:pPr>
        <w:spacing w:after="0" w:line="240" w:lineRule="auto"/>
        <w:jc w:val="both"/>
        <w:rPr>
          <w:sz w:val="20"/>
          <w:szCs w:val="20"/>
        </w:rPr>
      </w:pPr>
    </w:p>
    <w:tbl>
      <w:tblPr>
        <w:tblW w:w="13677" w:type="dxa"/>
        <w:jc w:val="center"/>
        <w:tblLayout w:type="fixed"/>
        <w:tblCellMar>
          <w:left w:w="0" w:type="dxa"/>
          <w:right w:w="0" w:type="dxa"/>
        </w:tblCellMar>
        <w:tblLook w:val="04A0" w:firstRow="1" w:lastRow="0" w:firstColumn="1" w:lastColumn="0" w:noHBand="0" w:noVBand="1"/>
      </w:tblPr>
      <w:tblGrid>
        <w:gridCol w:w="2411"/>
        <w:gridCol w:w="537"/>
        <w:gridCol w:w="541"/>
        <w:gridCol w:w="539"/>
        <w:gridCol w:w="449"/>
        <w:gridCol w:w="540"/>
        <w:gridCol w:w="450"/>
        <w:gridCol w:w="540"/>
        <w:gridCol w:w="450"/>
        <w:gridCol w:w="548"/>
        <w:gridCol w:w="450"/>
        <w:gridCol w:w="540"/>
        <w:gridCol w:w="450"/>
        <w:gridCol w:w="540"/>
        <w:gridCol w:w="450"/>
        <w:gridCol w:w="540"/>
        <w:gridCol w:w="454"/>
        <w:gridCol w:w="540"/>
        <w:gridCol w:w="456"/>
        <w:gridCol w:w="540"/>
        <w:gridCol w:w="540"/>
        <w:gridCol w:w="630"/>
        <w:gridCol w:w="542"/>
      </w:tblGrid>
      <w:tr w:rsidR="002961DC" w:rsidRPr="000D3090" w14:paraId="1C923A55" w14:textId="77777777" w:rsidTr="00B425AD">
        <w:trPr>
          <w:trHeight w:val="20"/>
          <w:jc w:val="center"/>
        </w:trPr>
        <w:tc>
          <w:tcPr>
            <w:tcW w:w="2411" w:type="dxa"/>
            <w:vMerge w:val="restart"/>
            <w:tcBorders>
              <w:top w:val="single" w:sz="12" w:space="0" w:color="auto"/>
              <w:left w:val="single" w:sz="12" w:space="0" w:color="auto"/>
              <w:right w:val="single" w:sz="12" w:space="0" w:color="auto"/>
            </w:tcBorders>
            <w:shd w:val="clear" w:color="000000" w:fill="FFFFFF"/>
            <w:noWrap/>
            <w:vAlign w:val="center"/>
          </w:tcPr>
          <w:p w14:paraId="0B4EB5B6"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Thresholds/Variables (base)</w:t>
            </w:r>
          </w:p>
        </w:tc>
        <w:tc>
          <w:tcPr>
            <w:tcW w:w="1078" w:type="dxa"/>
            <w:gridSpan w:val="2"/>
            <w:vMerge w:val="restart"/>
            <w:tcBorders>
              <w:top w:val="single" w:sz="12" w:space="0" w:color="auto"/>
              <w:left w:val="single" w:sz="12" w:space="0" w:color="auto"/>
              <w:right w:val="single" w:sz="12" w:space="0" w:color="auto"/>
            </w:tcBorders>
            <w:shd w:val="clear" w:color="000000" w:fill="FFFFFF"/>
            <w:vAlign w:val="center"/>
          </w:tcPr>
          <w:p w14:paraId="659DC95A"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PPD</w:t>
            </w:r>
          </w:p>
        </w:tc>
        <w:tc>
          <w:tcPr>
            <w:tcW w:w="7936" w:type="dxa"/>
            <w:gridSpan w:val="16"/>
            <w:tcBorders>
              <w:top w:val="single" w:sz="12" w:space="0" w:color="auto"/>
              <w:left w:val="single" w:sz="12" w:space="0" w:color="auto"/>
              <w:bottom w:val="single" w:sz="12" w:space="0" w:color="auto"/>
              <w:right w:val="single" w:sz="12" w:space="0" w:color="auto"/>
            </w:tcBorders>
            <w:shd w:val="clear" w:color="000000" w:fill="FFFFFF"/>
            <w:noWrap/>
            <w:vAlign w:val="bottom"/>
          </w:tcPr>
          <w:p w14:paraId="71427169"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PPD Reasons</w:t>
            </w:r>
          </w:p>
        </w:tc>
        <w:tc>
          <w:tcPr>
            <w:tcW w:w="2252" w:type="dxa"/>
            <w:gridSpan w:val="4"/>
            <w:tcBorders>
              <w:top w:val="single" w:sz="12" w:space="0" w:color="auto"/>
              <w:left w:val="single" w:sz="12" w:space="0" w:color="auto"/>
              <w:bottom w:val="single" w:sz="12" w:space="0" w:color="auto"/>
              <w:right w:val="single" w:sz="12" w:space="0" w:color="auto"/>
            </w:tcBorders>
            <w:shd w:val="clear" w:color="000000" w:fill="FFFFFF"/>
          </w:tcPr>
          <w:p w14:paraId="1D05C2AE" w14:textId="77777777" w:rsidR="002961DC" w:rsidRPr="000D3090" w:rsidRDefault="002961DC" w:rsidP="00B425AD">
            <w:pPr>
              <w:spacing w:after="0" w:line="240" w:lineRule="auto"/>
              <w:jc w:val="center"/>
              <w:rPr>
                <w:rFonts w:eastAsia="Times New Roman"/>
                <w:b/>
                <w:bCs/>
                <w:color w:val="000000"/>
                <w:sz w:val="18"/>
                <w:szCs w:val="18"/>
              </w:rPr>
            </w:pPr>
            <w:r w:rsidRPr="000D3090">
              <w:rPr>
                <w:rFonts w:eastAsia="Times New Roman"/>
                <w:b/>
                <w:bCs/>
                <w:color w:val="000000"/>
                <w:sz w:val="18"/>
                <w:szCs w:val="18"/>
              </w:rPr>
              <w:t xml:space="preserve">Virtual Participation </w:t>
            </w:r>
          </w:p>
        </w:tc>
      </w:tr>
      <w:tr w:rsidR="002961DC" w:rsidRPr="000D3090" w14:paraId="740F5E0F" w14:textId="77777777" w:rsidTr="00B425AD">
        <w:trPr>
          <w:trHeight w:val="20"/>
          <w:jc w:val="center"/>
        </w:trPr>
        <w:tc>
          <w:tcPr>
            <w:tcW w:w="2411" w:type="dxa"/>
            <w:vMerge/>
            <w:tcBorders>
              <w:left w:val="single" w:sz="12" w:space="0" w:color="auto"/>
              <w:right w:val="single" w:sz="12" w:space="0" w:color="auto"/>
            </w:tcBorders>
            <w:shd w:val="clear" w:color="000000" w:fill="FFFFFF"/>
            <w:noWrap/>
            <w:vAlign w:val="center"/>
            <w:hideMark/>
          </w:tcPr>
          <w:p w14:paraId="04F8483B" w14:textId="77777777" w:rsidR="002961DC" w:rsidRPr="000D3090" w:rsidRDefault="002961DC" w:rsidP="00B425AD">
            <w:pPr>
              <w:spacing w:after="0" w:line="240" w:lineRule="auto"/>
              <w:jc w:val="center"/>
              <w:rPr>
                <w:rFonts w:eastAsia="Times New Roman"/>
                <w:color w:val="000000"/>
                <w:sz w:val="18"/>
                <w:szCs w:val="18"/>
              </w:rPr>
            </w:pPr>
          </w:p>
        </w:tc>
        <w:tc>
          <w:tcPr>
            <w:tcW w:w="1078" w:type="dxa"/>
            <w:gridSpan w:val="2"/>
            <w:vMerge/>
            <w:tcBorders>
              <w:left w:val="single" w:sz="12" w:space="0" w:color="auto"/>
              <w:bottom w:val="single" w:sz="12" w:space="0" w:color="auto"/>
              <w:right w:val="single" w:sz="12" w:space="0" w:color="auto"/>
            </w:tcBorders>
            <w:shd w:val="clear" w:color="000000" w:fill="FFFFFF"/>
          </w:tcPr>
          <w:p w14:paraId="43F7A413" w14:textId="77777777" w:rsidR="002961DC" w:rsidRPr="000D3090" w:rsidRDefault="002961DC" w:rsidP="00B425AD">
            <w:pPr>
              <w:spacing w:after="0" w:line="240" w:lineRule="auto"/>
              <w:jc w:val="center"/>
              <w:rPr>
                <w:rFonts w:eastAsia="Times New Roman"/>
                <w:color w:val="000000"/>
                <w:sz w:val="18"/>
                <w:szCs w:val="18"/>
              </w:rPr>
            </w:pPr>
          </w:p>
        </w:tc>
        <w:tc>
          <w:tcPr>
            <w:tcW w:w="988" w:type="dxa"/>
            <w:gridSpan w:val="2"/>
            <w:tcBorders>
              <w:top w:val="single" w:sz="12" w:space="0" w:color="auto"/>
              <w:left w:val="single" w:sz="12" w:space="0" w:color="auto"/>
              <w:bottom w:val="single" w:sz="12" w:space="0" w:color="auto"/>
              <w:right w:val="single" w:sz="4" w:space="0" w:color="000000"/>
            </w:tcBorders>
            <w:shd w:val="clear" w:color="000000" w:fill="FFFFFF"/>
            <w:noWrap/>
            <w:vAlign w:val="bottom"/>
            <w:hideMark/>
          </w:tcPr>
          <w:p w14:paraId="0E5E4B6C"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Safe</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528032A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Clean</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1B23B79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Reliable</w:t>
            </w:r>
          </w:p>
        </w:tc>
        <w:tc>
          <w:tcPr>
            <w:tcW w:w="998" w:type="dxa"/>
            <w:gridSpan w:val="2"/>
            <w:tcBorders>
              <w:top w:val="single" w:sz="12" w:space="0" w:color="auto"/>
              <w:left w:val="nil"/>
              <w:bottom w:val="single" w:sz="12" w:space="0" w:color="auto"/>
              <w:right w:val="single" w:sz="4" w:space="0" w:color="000000"/>
            </w:tcBorders>
            <w:shd w:val="clear" w:color="000000" w:fill="FFFFFF"/>
            <w:vAlign w:val="bottom"/>
            <w:hideMark/>
          </w:tcPr>
          <w:p w14:paraId="4445DE1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Poor Destination Access</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4764E1F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Not Affordable</w:t>
            </w:r>
          </w:p>
        </w:tc>
        <w:tc>
          <w:tcPr>
            <w:tcW w:w="990"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043E2FAE"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Health Problems</w:t>
            </w:r>
          </w:p>
        </w:tc>
        <w:tc>
          <w:tcPr>
            <w:tcW w:w="994" w:type="dxa"/>
            <w:gridSpan w:val="2"/>
            <w:tcBorders>
              <w:top w:val="single" w:sz="12" w:space="0" w:color="auto"/>
              <w:left w:val="nil"/>
              <w:bottom w:val="single" w:sz="12" w:space="0" w:color="auto"/>
              <w:right w:val="single" w:sz="4" w:space="0" w:color="000000"/>
            </w:tcBorders>
            <w:shd w:val="clear" w:color="000000" w:fill="FFFFFF"/>
            <w:noWrap/>
            <w:vAlign w:val="bottom"/>
            <w:hideMark/>
          </w:tcPr>
          <w:p w14:paraId="60B7E35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No Time</w:t>
            </w:r>
          </w:p>
        </w:tc>
        <w:tc>
          <w:tcPr>
            <w:tcW w:w="996" w:type="dxa"/>
            <w:gridSpan w:val="2"/>
            <w:tcBorders>
              <w:top w:val="single" w:sz="12" w:space="0" w:color="auto"/>
              <w:left w:val="nil"/>
              <w:bottom w:val="single" w:sz="12" w:space="0" w:color="auto"/>
              <w:right w:val="single" w:sz="12" w:space="0" w:color="auto"/>
            </w:tcBorders>
            <w:shd w:val="clear" w:color="000000" w:fill="FFFFFF"/>
            <w:noWrap/>
            <w:vAlign w:val="bottom"/>
            <w:hideMark/>
          </w:tcPr>
          <w:p w14:paraId="0999D5EE"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COVID Concerns</w:t>
            </w:r>
          </w:p>
        </w:tc>
        <w:tc>
          <w:tcPr>
            <w:tcW w:w="1080" w:type="dxa"/>
            <w:gridSpan w:val="2"/>
            <w:tcBorders>
              <w:top w:val="single" w:sz="12" w:space="0" w:color="auto"/>
              <w:left w:val="nil"/>
              <w:bottom w:val="single" w:sz="12" w:space="0" w:color="auto"/>
              <w:right w:val="single" w:sz="12" w:space="0" w:color="auto"/>
            </w:tcBorders>
            <w:shd w:val="clear" w:color="000000" w:fill="FFFFFF"/>
            <w:vAlign w:val="bottom"/>
          </w:tcPr>
          <w:p w14:paraId="6DB0C3F4"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Telework</w:t>
            </w:r>
          </w:p>
        </w:tc>
        <w:tc>
          <w:tcPr>
            <w:tcW w:w="1172" w:type="dxa"/>
            <w:gridSpan w:val="2"/>
            <w:tcBorders>
              <w:top w:val="single" w:sz="12" w:space="0" w:color="auto"/>
              <w:left w:val="single" w:sz="12" w:space="0" w:color="auto"/>
              <w:bottom w:val="single" w:sz="12" w:space="0" w:color="auto"/>
              <w:right w:val="single" w:sz="12" w:space="0" w:color="auto"/>
            </w:tcBorders>
            <w:shd w:val="clear" w:color="000000" w:fill="FFFFFF"/>
            <w:vAlign w:val="bottom"/>
          </w:tcPr>
          <w:p w14:paraId="315A6632"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Deliveries</w:t>
            </w:r>
          </w:p>
        </w:tc>
      </w:tr>
      <w:tr w:rsidR="003F77D0" w:rsidRPr="000D3090" w14:paraId="1F5EA64C" w14:textId="77777777" w:rsidTr="007155C4">
        <w:trPr>
          <w:trHeight w:val="20"/>
          <w:jc w:val="center"/>
        </w:trPr>
        <w:tc>
          <w:tcPr>
            <w:tcW w:w="2411" w:type="dxa"/>
            <w:vMerge/>
            <w:tcBorders>
              <w:left w:val="single" w:sz="12" w:space="0" w:color="auto"/>
              <w:bottom w:val="single" w:sz="12" w:space="0" w:color="auto"/>
              <w:right w:val="single" w:sz="12" w:space="0" w:color="auto"/>
            </w:tcBorders>
            <w:vAlign w:val="center"/>
            <w:hideMark/>
          </w:tcPr>
          <w:p w14:paraId="0C9853BF" w14:textId="77777777" w:rsidR="002961DC" w:rsidRPr="000D3090" w:rsidRDefault="002961DC" w:rsidP="00B425AD">
            <w:pPr>
              <w:spacing w:after="0" w:line="240" w:lineRule="auto"/>
              <w:rPr>
                <w:rFonts w:eastAsia="Times New Roman"/>
                <w:color w:val="000000"/>
                <w:sz w:val="18"/>
                <w:szCs w:val="18"/>
              </w:rPr>
            </w:pPr>
          </w:p>
        </w:tc>
        <w:tc>
          <w:tcPr>
            <w:tcW w:w="537" w:type="dxa"/>
            <w:tcBorders>
              <w:top w:val="single" w:sz="12" w:space="0" w:color="auto"/>
              <w:left w:val="single" w:sz="12" w:space="0" w:color="auto"/>
              <w:bottom w:val="single" w:sz="12" w:space="0" w:color="auto"/>
            </w:tcBorders>
            <w:shd w:val="clear" w:color="000000" w:fill="FFFFFF"/>
            <w:vAlign w:val="center"/>
          </w:tcPr>
          <w:p w14:paraId="4AD1884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1" w:type="dxa"/>
            <w:tcBorders>
              <w:top w:val="single" w:sz="12" w:space="0" w:color="auto"/>
              <w:left w:val="nil"/>
              <w:bottom w:val="single" w:sz="12" w:space="0" w:color="auto"/>
              <w:right w:val="single" w:sz="12" w:space="0" w:color="auto"/>
            </w:tcBorders>
            <w:shd w:val="clear" w:color="000000" w:fill="FFFFFF"/>
            <w:vAlign w:val="center"/>
          </w:tcPr>
          <w:p w14:paraId="6364CC2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39" w:type="dxa"/>
            <w:tcBorders>
              <w:top w:val="single" w:sz="12" w:space="0" w:color="auto"/>
              <w:left w:val="single" w:sz="12" w:space="0" w:color="auto"/>
              <w:bottom w:val="single" w:sz="12" w:space="0" w:color="auto"/>
              <w:right w:val="nil"/>
            </w:tcBorders>
            <w:shd w:val="clear" w:color="000000" w:fill="FFFFFF"/>
            <w:noWrap/>
            <w:vAlign w:val="center"/>
            <w:hideMark/>
          </w:tcPr>
          <w:p w14:paraId="2CF7CF67"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49" w:type="dxa"/>
            <w:tcBorders>
              <w:top w:val="single" w:sz="12" w:space="0" w:color="auto"/>
              <w:left w:val="nil"/>
              <w:bottom w:val="single" w:sz="12" w:space="0" w:color="auto"/>
              <w:right w:val="single" w:sz="4" w:space="0" w:color="auto"/>
            </w:tcBorders>
            <w:shd w:val="clear" w:color="000000" w:fill="FFFFFF"/>
            <w:noWrap/>
            <w:vAlign w:val="center"/>
            <w:hideMark/>
          </w:tcPr>
          <w:p w14:paraId="39DC6BD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58223DF8"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34B040A4"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68AC9C7B"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40FC10C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8" w:type="dxa"/>
            <w:tcBorders>
              <w:top w:val="single" w:sz="12" w:space="0" w:color="auto"/>
              <w:left w:val="nil"/>
              <w:bottom w:val="single" w:sz="12" w:space="0" w:color="auto"/>
              <w:right w:val="nil"/>
            </w:tcBorders>
            <w:shd w:val="clear" w:color="000000" w:fill="FFFFFF"/>
            <w:noWrap/>
            <w:vAlign w:val="center"/>
            <w:hideMark/>
          </w:tcPr>
          <w:p w14:paraId="211C399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52DA68DD"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1FF5CEA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3406043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65DC44C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0" w:type="dxa"/>
            <w:tcBorders>
              <w:top w:val="single" w:sz="12" w:space="0" w:color="auto"/>
              <w:left w:val="nil"/>
              <w:bottom w:val="single" w:sz="12" w:space="0" w:color="auto"/>
              <w:right w:val="single" w:sz="4" w:space="0" w:color="auto"/>
            </w:tcBorders>
            <w:shd w:val="clear" w:color="000000" w:fill="FFFFFF"/>
            <w:noWrap/>
            <w:vAlign w:val="center"/>
            <w:hideMark/>
          </w:tcPr>
          <w:p w14:paraId="4E47C39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32263E69"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4" w:type="dxa"/>
            <w:tcBorders>
              <w:top w:val="single" w:sz="12" w:space="0" w:color="auto"/>
              <w:left w:val="nil"/>
              <w:bottom w:val="single" w:sz="12" w:space="0" w:color="auto"/>
              <w:right w:val="single" w:sz="4" w:space="0" w:color="auto"/>
            </w:tcBorders>
            <w:shd w:val="clear" w:color="000000" w:fill="FFFFFF"/>
            <w:noWrap/>
            <w:vAlign w:val="center"/>
            <w:hideMark/>
          </w:tcPr>
          <w:p w14:paraId="0035067C"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noWrap/>
            <w:vAlign w:val="center"/>
            <w:hideMark/>
          </w:tcPr>
          <w:p w14:paraId="0D466957"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456" w:type="dxa"/>
            <w:tcBorders>
              <w:top w:val="single" w:sz="12" w:space="0" w:color="auto"/>
              <w:left w:val="nil"/>
              <w:bottom w:val="single" w:sz="12" w:space="0" w:color="auto"/>
              <w:right w:val="single" w:sz="12" w:space="0" w:color="auto"/>
            </w:tcBorders>
            <w:shd w:val="clear" w:color="000000" w:fill="FFFFFF"/>
            <w:noWrap/>
            <w:vAlign w:val="center"/>
            <w:hideMark/>
          </w:tcPr>
          <w:p w14:paraId="6143DB1D"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540" w:type="dxa"/>
            <w:tcBorders>
              <w:top w:val="single" w:sz="12" w:space="0" w:color="auto"/>
              <w:left w:val="nil"/>
              <w:bottom w:val="single" w:sz="12" w:space="0" w:color="auto"/>
              <w:right w:val="nil"/>
            </w:tcBorders>
            <w:shd w:val="clear" w:color="000000" w:fill="FFFFFF"/>
            <w:vAlign w:val="center"/>
          </w:tcPr>
          <w:p w14:paraId="0339CBB5"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0" w:type="dxa"/>
            <w:tcBorders>
              <w:top w:val="single" w:sz="12" w:space="0" w:color="auto"/>
              <w:left w:val="nil"/>
              <w:bottom w:val="single" w:sz="12" w:space="0" w:color="auto"/>
              <w:right w:val="single" w:sz="12" w:space="0" w:color="auto"/>
            </w:tcBorders>
            <w:shd w:val="clear" w:color="000000" w:fill="FFFFFF"/>
            <w:vAlign w:val="center"/>
          </w:tcPr>
          <w:p w14:paraId="5B48A3B0"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c>
          <w:tcPr>
            <w:tcW w:w="630" w:type="dxa"/>
            <w:tcBorders>
              <w:top w:val="single" w:sz="12" w:space="0" w:color="auto"/>
              <w:left w:val="single" w:sz="12" w:space="0" w:color="auto"/>
              <w:bottom w:val="single" w:sz="12" w:space="0" w:color="auto"/>
              <w:right w:val="nil"/>
            </w:tcBorders>
            <w:shd w:val="clear" w:color="000000" w:fill="FFFFFF"/>
            <w:vAlign w:val="center"/>
          </w:tcPr>
          <w:p w14:paraId="0CBC74F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Coeff.</w:t>
            </w:r>
          </w:p>
        </w:tc>
        <w:tc>
          <w:tcPr>
            <w:tcW w:w="542" w:type="dxa"/>
            <w:tcBorders>
              <w:top w:val="single" w:sz="12" w:space="0" w:color="auto"/>
              <w:left w:val="nil"/>
              <w:bottom w:val="single" w:sz="12" w:space="0" w:color="auto"/>
              <w:right w:val="single" w:sz="12" w:space="0" w:color="auto"/>
            </w:tcBorders>
            <w:shd w:val="clear" w:color="000000" w:fill="FFFFFF"/>
            <w:vAlign w:val="center"/>
          </w:tcPr>
          <w:p w14:paraId="34E063BA" w14:textId="77777777" w:rsidR="002961DC" w:rsidRPr="000D3090" w:rsidRDefault="002961DC" w:rsidP="00B425AD">
            <w:pPr>
              <w:spacing w:after="0" w:line="240" w:lineRule="auto"/>
              <w:jc w:val="center"/>
              <w:rPr>
                <w:rFonts w:eastAsia="Times New Roman"/>
                <w:color w:val="000000"/>
                <w:sz w:val="18"/>
                <w:szCs w:val="18"/>
              </w:rPr>
            </w:pPr>
            <w:r w:rsidRPr="000D3090">
              <w:rPr>
                <w:rFonts w:eastAsia="Times New Roman"/>
                <w:color w:val="000000"/>
                <w:sz w:val="18"/>
                <w:szCs w:val="18"/>
              </w:rPr>
              <w:t>t-stat</w:t>
            </w:r>
          </w:p>
        </w:tc>
      </w:tr>
      <w:tr w:rsidR="005A056A" w:rsidRPr="000D3090" w14:paraId="7BC42661" w14:textId="77777777" w:rsidTr="007155C4">
        <w:trPr>
          <w:trHeight w:val="20"/>
          <w:jc w:val="center"/>
        </w:trPr>
        <w:tc>
          <w:tcPr>
            <w:tcW w:w="2411" w:type="dxa"/>
            <w:tcBorders>
              <w:top w:val="single" w:sz="12" w:space="0" w:color="auto"/>
              <w:left w:val="single" w:sz="12" w:space="0" w:color="auto"/>
              <w:right w:val="single" w:sz="12" w:space="0" w:color="auto"/>
            </w:tcBorders>
            <w:shd w:val="clear" w:color="000000" w:fill="FFFFFF"/>
            <w:noWrap/>
            <w:vAlign w:val="bottom"/>
          </w:tcPr>
          <w:p w14:paraId="0D1E6F47" w14:textId="6E9319F7" w:rsidR="00AF3DDB" w:rsidRPr="000D3090" w:rsidRDefault="00AF3DDB" w:rsidP="00AF3DDB">
            <w:pPr>
              <w:spacing w:after="0" w:line="240" w:lineRule="auto"/>
              <w:rPr>
                <w:rFonts w:eastAsia="Times New Roman"/>
                <w:b/>
                <w:bCs/>
                <w:color w:val="000000"/>
                <w:sz w:val="18"/>
                <w:szCs w:val="18"/>
              </w:rPr>
            </w:pPr>
            <w:r w:rsidRPr="000D3090">
              <w:rPr>
                <w:rFonts w:eastAsia="Times New Roman"/>
                <w:b/>
                <w:bCs/>
                <w:color w:val="000000"/>
                <w:sz w:val="18"/>
                <w:szCs w:val="18"/>
              </w:rPr>
              <w:t>Endogenous Effects</w:t>
            </w:r>
          </w:p>
        </w:tc>
        <w:tc>
          <w:tcPr>
            <w:tcW w:w="537" w:type="dxa"/>
            <w:tcBorders>
              <w:top w:val="single" w:sz="12" w:space="0" w:color="auto"/>
              <w:left w:val="single" w:sz="12" w:space="0" w:color="auto"/>
            </w:tcBorders>
            <w:shd w:val="clear" w:color="000000" w:fill="FFFFFF"/>
            <w:vAlign w:val="bottom"/>
          </w:tcPr>
          <w:p w14:paraId="639FBD13" w14:textId="77777777" w:rsidR="00AF3DDB" w:rsidRPr="000D3090" w:rsidRDefault="00AF3DDB" w:rsidP="00AF3DDB">
            <w:pPr>
              <w:spacing w:after="0" w:line="240" w:lineRule="auto"/>
              <w:jc w:val="center"/>
              <w:rPr>
                <w:color w:val="000000"/>
                <w:sz w:val="18"/>
                <w:szCs w:val="18"/>
              </w:rPr>
            </w:pPr>
          </w:p>
        </w:tc>
        <w:tc>
          <w:tcPr>
            <w:tcW w:w="541" w:type="dxa"/>
            <w:tcBorders>
              <w:top w:val="single" w:sz="12" w:space="0" w:color="auto"/>
              <w:left w:val="nil"/>
              <w:right w:val="single" w:sz="12" w:space="0" w:color="auto"/>
            </w:tcBorders>
            <w:shd w:val="clear" w:color="000000" w:fill="FFFFFF"/>
            <w:vAlign w:val="bottom"/>
          </w:tcPr>
          <w:p w14:paraId="02256A48" w14:textId="77777777" w:rsidR="00AF3DDB" w:rsidRPr="000D3090" w:rsidRDefault="00AF3DDB" w:rsidP="00AF3DDB">
            <w:pPr>
              <w:spacing w:after="0" w:line="240" w:lineRule="auto"/>
              <w:jc w:val="center"/>
              <w:rPr>
                <w:color w:val="000000"/>
                <w:sz w:val="18"/>
                <w:szCs w:val="18"/>
              </w:rPr>
            </w:pPr>
          </w:p>
        </w:tc>
        <w:tc>
          <w:tcPr>
            <w:tcW w:w="539" w:type="dxa"/>
            <w:tcBorders>
              <w:top w:val="single" w:sz="12" w:space="0" w:color="auto"/>
              <w:left w:val="single" w:sz="12" w:space="0" w:color="auto"/>
              <w:right w:val="nil"/>
            </w:tcBorders>
            <w:shd w:val="clear" w:color="000000" w:fill="FFFFFF"/>
            <w:noWrap/>
            <w:vAlign w:val="center"/>
          </w:tcPr>
          <w:p w14:paraId="706B009A"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top w:val="single" w:sz="12" w:space="0" w:color="auto"/>
              <w:left w:val="nil"/>
              <w:right w:val="single" w:sz="4" w:space="0" w:color="auto"/>
            </w:tcBorders>
            <w:shd w:val="clear" w:color="000000" w:fill="FFFFFF"/>
            <w:noWrap/>
            <w:vAlign w:val="center"/>
          </w:tcPr>
          <w:p w14:paraId="540319D8"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12" w:space="0" w:color="auto"/>
              <w:left w:val="nil"/>
              <w:right w:val="nil"/>
            </w:tcBorders>
            <w:shd w:val="clear" w:color="000000" w:fill="FFFFFF"/>
            <w:noWrap/>
            <w:vAlign w:val="center"/>
          </w:tcPr>
          <w:p w14:paraId="160354A7"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12" w:space="0" w:color="auto"/>
              <w:left w:val="nil"/>
              <w:right w:val="single" w:sz="4" w:space="0" w:color="auto"/>
            </w:tcBorders>
            <w:shd w:val="clear" w:color="000000" w:fill="FFFFFF"/>
            <w:noWrap/>
            <w:vAlign w:val="center"/>
          </w:tcPr>
          <w:p w14:paraId="18D354B3"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12" w:space="0" w:color="auto"/>
              <w:left w:val="nil"/>
              <w:right w:val="nil"/>
            </w:tcBorders>
            <w:shd w:val="clear" w:color="000000" w:fill="FFFFFF"/>
            <w:noWrap/>
            <w:vAlign w:val="center"/>
          </w:tcPr>
          <w:p w14:paraId="7E651C2F"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12" w:space="0" w:color="auto"/>
              <w:left w:val="nil"/>
              <w:right w:val="single" w:sz="4" w:space="0" w:color="auto"/>
            </w:tcBorders>
            <w:shd w:val="clear" w:color="000000" w:fill="FFFFFF"/>
            <w:noWrap/>
            <w:vAlign w:val="center"/>
          </w:tcPr>
          <w:p w14:paraId="07F72A05" w14:textId="77777777" w:rsidR="00AF3DDB" w:rsidRPr="000D3090" w:rsidRDefault="00AF3DDB" w:rsidP="00AF3DDB">
            <w:pPr>
              <w:spacing w:after="0" w:line="240" w:lineRule="auto"/>
              <w:jc w:val="center"/>
              <w:rPr>
                <w:rFonts w:eastAsia="Times New Roman"/>
                <w:color w:val="000000"/>
                <w:sz w:val="18"/>
                <w:szCs w:val="18"/>
              </w:rPr>
            </w:pPr>
          </w:p>
        </w:tc>
        <w:tc>
          <w:tcPr>
            <w:tcW w:w="548" w:type="dxa"/>
            <w:tcBorders>
              <w:top w:val="single" w:sz="12" w:space="0" w:color="auto"/>
              <w:left w:val="nil"/>
              <w:right w:val="nil"/>
            </w:tcBorders>
            <w:shd w:val="clear" w:color="000000" w:fill="FFFFFF"/>
            <w:noWrap/>
            <w:vAlign w:val="center"/>
          </w:tcPr>
          <w:p w14:paraId="3013A782" w14:textId="77777777" w:rsidR="00AF3DDB" w:rsidRPr="000D3090" w:rsidRDefault="00AF3DDB" w:rsidP="00AF3DDB">
            <w:pPr>
              <w:spacing w:after="0" w:line="240" w:lineRule="auto"/>
              <w:jc w:val="center"/>
              <w:rPr>
                <w:color w:val="000000"/>
                <w:sz w:val="18"/>
                <w:szCs w:val="18"/>
              </w:rPr>
            </w:pPr>
          </w:p>
        </w:tc>
        <w:tc>
          <w:tcPr>
            <w:tcW w:w="450" w:type="dxa"/>
            <w:tcBorders>
              <w:top w:val="single" w:sz="12" w:space="0" w:color="auto"/>
              <w:left w:val="nil"/>
              <w:right w:val="single" w:sz="4" w:space="0" w:color="auto"/>
            </w:tcBorders>
            <w:shd w:val="clear" w:color="000000" w:fill="FFFFFF"/>
            <w:noWrap/>
            <w:vAlign w:val="center"/>
          </w:tcPr>
          <w:p w14:paraId="7D0DE7B6" w14:textId="77777777" w:rsidR="00AF3DDB" w:rsidRPr="000D3090" w:rsidRDefault="00AF3DDB" w:rsidP="00AF3DDB">
            <w:pPr>
              <w:spacing w:after="0" w:line="240" w:lineRule="auto"/>
              <w:jc w:val="center"/>
              <w:rPr>
                <w:color w:val="000000"/>
                <w:sz w:val="18"/>
                <w:szCs w:val="18"/>
              </w:rPr>
            </w:pPr>
          </w:p>
        </w:tc>
        <w:tc>
          <w:tcPr>
            <w:tcW w:w="540" w:type="dxa"/>
            <w:tcBorders>
              <w:top w:val="single" w:sz="12" w:space="0" w:color="auto"/>
              <w:left w:val="nil"/>
              <w:right w:val="nil"/>
            </w:tcBorders>
            <w:shd w:val="clear" w:color="000000" w:fill="FFFFFF"/>
            <w:noWrap/>
            <w:vAlign w:val="center"/>
          </w:tcPr>
          <w:p w14:paraId="197F27E2"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12" w:space="0" w:color="auto"/>
              <w:left w:val="nil"/>
              <w:right w:val="single" w:sz="4" w:space="0" w:color="auto"/>
            </w:tcBorders>
            <w:shd w:val="clear" w:color="000000" w:fill="FFFFFF"/>
            <w:noWrap/>
            <w:vAlign w:val="center"/>
          </w:tcPr>
          <w:p w14:paraId="3E29B8D5"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12" w:space="0" w:color="auto"/>
              <w:left w:val="nil"/>
              <w:right w:val="nil"/>
            </w:tcBorders>
            <w:shd w:val="clear" w:color="000000" w:fill="FFFFFF"/>
            <w:noWrap/>
            <w:vAlign w:val="bottom"/>
          </w:tcPr>
          <w:p w14:paraId="61A491E7"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12" w:space="0" w:color="auto"/>
              <w:left w:val="nil"/>
              <w:right w:val="single" w:sz="4" w:space="0" w:color="auto"/>
            </w:tcBorders>
            <w:shd w:val="clear" w:color="000000" w:fill="FFFFFF"/>
            <w:noWrap/>
            <w:vAlign w:val="bottom"/>
          </w:tcPr>
          <w:p w14:paraId="017E328C"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12" w:space="0" w:color="auto"/>
              <w:left w:val="nil"/>
              <w:right w:val="nil"/>
            </w:tcBorders>
            <w:shd w:val="clear" w:color="000000" w:fill="FFFFFF"/>
            <w:noWrap/>
            <w:vAlign w:val="bottom"/>
          </w:tcPr>
          <w:p w14:paraId="6165E05A" w14:textId="77777777" w:rsidR="00AF3DDB" w:rsidRPr="000D3090" w:rsidRDefault="00AF3DDB" w:rsidP="00AF3DDB">
            <w:pPr>
              <w:spacing w:after="0" w:line="240" w:lineRule="auto"/>
              <w:jc w:val="center"/>
              <w:rPr>
                <w:color w:val="000000"/>
                <w:sz w:val="18"/>
                <w:szCs w:val="18"/>
              </w:rPr>
            </w:pPr>
          </w:p>
        </w:tc>
        <w:tc>
          <w:tcPr>
            <w:tcW w:w="454" w:type="dxa"/>
            <w:tcBorders>
              <w:top w:val="single" w:sz="12" w:space="0" w:color="auto"/>
              <w:left w:val="nil"/>
              <w:right w:val="single" w:sz="4" w:space="0" w:color="auto"/>
            </w:tcBorders>
            <w:shd w:val="clear" w:color="000000" w:fill="FFFFFF"/>
            <w:noWrap/>
            <w:vAlign w:val="bottom"/>
          </w:tcPr>
          <w:p w14:paraId="1C5CBF14" w14:textId="77777777" w:rsidR="00AF3DDB" w:rsidRPr="000D3090" w:rsidRDefault="00AF3DDB" w:rsidP="00AF3DDB">
            <w:pPr>
              <w:spacing w:after="0" w:line="240" w:lineRule="auto"/>
              <w:jc w:val="center"/>
              <w:rPr>
                <w:color w:val="000000"/>
                <w:sz w:val="18"/>
                <w:szCs w:val="18"/>
              </w:rPr>
            </w:pPr>
          </w:p>
        </w:tc>
        <w:tc>
          <w:tcPr>
            <w:tcW w:w="540" w:type="dxa"/>
            <w:tcBorders>
              <w:top w:val="single" w:sz="12" w:space="0" w:color="auto"/>
              <w:left w:val="nil"/>
              <w:right w:val="nil"/>
            </w:tcBorders>
            <w:shd w:val="clear" w:color="000000" w:fill="FFFFFF"/>
            <w:noWrap/>
            <w:vAlign w:val="center"/>
          </w:tcPr>
          <w:p w14:paraId="2D1B342A" w14:textId="77777777" w:rsidR="00AF3DDB" w:rsidRPr="000D3090" w:rsidRDefault="00AF3DDB" w:rsidP="00AF3DDB">
            <w:pPr>
              <w:spacing w:after="0" w:line="240" w:lineRule="auto"/>
              <w:jc w:val="center"/>
              <w:rPr>
                <w:rFonts w:eastAsia="Times New Roman"/>
                <w:color w:val="000000"/>
                <w:sz w:val="18"/>
                <w:szCs w:val="18"/>
              </w:rPr>
            </w:pPr>
          </w:p>
        </w:tc>
        <w:tc>
          <w:tcPr>
            <w:tcW w:w="456" w:type="dxa"/>
            <w:tcBorders>
              <w:top w:val="single" w:sz="12" w:space="0" w:color="auto"/>
              <w:left w:val="nil"/>
              <w:right w:val="single" w:sz="12" w:space="0" w:color="auto"/>
            </w:tcBorders>
            <w:shd w:val="clear" w:color="000000" w:fill="FFFFFF"/>
            <w:noWrap/>
            <w:vAlign w:val="center"/>
          </w:tcPr>
          <w:p w14:paraId="07ACF731"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12" w:space="0" w:color="auto"/>
              <w:left w:val="nil"/>
              <w:right w:val="nil"/>
            </w:tcBorders>
            <w:shd w:val="clear" w:color="000000" w:fill="FFFFFF"/>
            <w:vAlign w:val="center"/>
          </w:tcPr>
          <w:p w14:paraId="1193D4AA"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12" w:space="0" w:color="auto"/>
              <w:left w:val="nil"/>
              <w:right w:val="single" w:sz="12" w:space="0" w:color="auto"/>
            </w:tcBorders>
            <w:shd w:val="clear" w:color="000000" w:fill="FFFFFF"/>
            <w:vAlign w:val="center"/>
          </w:tcPr>
          <w:p w14:paraId="6F524AA2"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top w:val="single" w:sz="12" w:space="0" w:color="auto"/>
              <w:left w:val="single" w:sz="12" w:space="0" w:color="auto"/>
              <w:right w:val="nil"/>
            </w:tcBorders>
            <w:shd w:val="clear" w:color="000000" w:fill="FFFFFF"/>
            <w:vAlign w:val="center"/>
          </w:tcPr>
          <w:p w14:paraId="430610A1"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top w:val="single" w:sz="12" w:space="0" w:color="auto"/>
              <w:left w:val="nil"/>
              <w:right w:val="single" w:sz="12" w:space="0" w:color="auto"/>
            </w:tcBorders>
            <w:shd w:val="clear" w:color="000000" w:fill="FFFFFF"/>
            <w:vAlign w:val="center"/>
          </w:tcPr>
          <w:p w14:paraId="5AB8B9FE" w14:textId="77777777" w:rsidR="00AF3DDB" w:rsidRPr="000D3090" w:rsidRDefault="00AF3DDB" w:rsidP="00AF3DDB">
            <w:pPr>
              <w:spacing w:after="0" w:line="240" w:lineRule="auto"/>
              <w:jc w:val="center"/>
              <w:rPr>
                <w:rFonts w:eastAsia="Times New Roman"/>
                <w:color w:val="000000"/>
                <w:sz w:val="18"/>
                <w:szCs w:val="18"/>
              </w:rPr>
            </w:pPr>
          </w:p>
        </w:tc>
      </w:tr>
      <w:tr w:rsidR="003F77D0" w:rsidRPr="000D3090" w14:paraId="6B52BEB4" w14:textId="77777777" w:rsidTr="007155C4">
        <w:trPr>
          <w:trHeight w:val="20"/>
          <w:jc w:val="center"/>
        </w:trPr>
        <w:tc>
          <w:tcPr>
            <w:tcW w:w="2411" w:type="dxa"/>
            <w:tcBorders>
              <w:left w:val="single" w:sz="12" w:space="0" w:color="auto"/>
              <w:right w:val="single" w:sz="12" w:space="0" w:color="auto"/>
            </w:tcBorders>
            <w:shd w:val="clear" w:color="000000" w:fill="FFFFFF"/>
            <w:noWrap/>
            <w:vAlign w:val="bottom"/>
          </w:tcPr>
          <w:p w14:paraId="675D8AC1" w14:textId="54AC0744" w:rsidR="00AF3DDB" w:rsidRPr="000D3090" w:rsidDel="00AF3DDB" w:rsidRDefault="00AF3DDB" w:rsidP="00AF3DDB">
            <w:pPr>
              <w:spacing w:after="0" w:line="240" w:lineRule="auto"/>
              <w:rPr>
                <w:rFonts w:eastAsia="Times New Roman"/>
                <w:b/>
                <w:bCs/>
                <w:color w:val="000000"/>
                <w:sz w:val="18"/>
                <w:szCs w:val="18"/>
              </w:rPr>
            </w:pPr>
            <w:r w:rsidRPr="000D3090">
              <w:rPr>
                <w:rFonts w:eastAsia="Times New Roman"/>
                <w:color w:val="000000"/>
                <w:sz w:val="18"/>
                <w:szCs w:val="18"/>
              </w:rPr>
              <w:t>Telework (none)</w:t>
            </w:r>
          </w:p>
        </w:tc>
        <w:tc>
          <w:tcPr>
            <w:tcW w:w="537" w:type="dxa"/>
            <w:tcBorders>
              <w:left w:val="single" w:sz="12" w:space="0" w:color="auto"/>
            </w:tcBorders>
            <w:shd w:val="clear" w:color="000000" w:fill="FFFFFF"/>
            <w:vAlign w:val="bottom"/>
          </w:tcPr>
          <w:p w14:paraId="0AA10E52" w14:textId="77777777" w:rsidR="00AF3DDB" w:rsidRPr="000D3090" w:rsidRDefault="00AF3DDB" w:rsidP="00AF3DDB">
            <w:pPr>
              <w:spacing w:after="0" w:line="240" w:lineRule="auto"/>
              <w:jc w:val="center"/>
              <w:rPr>
                <w:color w:val="000000"/>
                <w:sz w:val="18"/>
                <w:szCs w:val="18"/>
              </w:rPr>
            </w:pPr>
          </w:p>
        </w:tc>
        <w:tc>
          <w:tcPr>
            <w:tcW w:w="541" w:type="dxa"/>
            <w:tcBorders>
              <w:left w:val="nil"/>
              <w:right w:val="single" w:sz="12" w:space="0" w:color="auto"/>
            </w:tcBorders>
            <w:shd w:val="clear" w:color="000000" w:fill="FFFFFF"/>
            <w:vAlign w:val="bottom"/>
          </w:tcPr>
          <w:p w14:paraId="5FAF0B19" w14:textId="77777777" w:rsidR="00AF3DDB" w:rsidRPr="000D3090" w:rsidRDefault="00AF3DDB" w:rsidP="00AF3DDB">
            <w:pPr>
              <w:spacing w:after="0" w:line="240" w:lineRule="auto"/>
              <w:jc w:val="center"/>
              <w:rPr>
                <w:color w:val="000000"/>
                <w:sz w:val="18"/>
                <w:szCs w:val="18"/>
              </w:rPr>
            </w:pPr>
          </w:p>
        </w:tc>
        <w:tc>
          <w:tcPr>
            <w:tcW w:w="539" w:type="dxa"/>
            <w:tcBorders>
              <w:left w:val="single" w:sz="12" w:space="0" w:color="auto"/>
              <w:right w:val="nil"/>
            </w:tcBorders>
            <w:shd w:val="clear" w:color="000000" w:fill="FFFFFF"/>
            <w:noWrap/>
            <w:vAlign w:val="center"/>
          </w:tcPr>
          <w:p w14:paraId="59499778"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left w:val="nil"/>
              <w:right w:val="single" w:sz="4" w:space="0" w:color="auto"/>
            </w:tcBorders>
            <w:shd w:val="clear" w:color="000000" w:fill="FFFFFF"/>
            <w:noWrap/>
            <w:vAlign w:val="center"/>
          </w:tcPr>
          <w:p w14:paraId="7744CB2E"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253395D4"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4707B211"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0D471E08"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7C57C2F0" w14:textId="77777777" w:rsidR="00AF3DDB" w:rsidRPr="000D3090" w:rsidRDefault="00AF3DDB" w:rsidP="00AF3DDB">
            <w:pPr>
              <w:spacing w:after="0" w:line="240" w:lineRule="auto"/>
              <w:jc w:val="center"/>
              <w:rPr>
                <w:rFonts w:eastAsia="Times New Roman"/>
                <w:color w:val="000000"/>
                <w:sz w:val="18"/>
                <w:szCs w:val="18"/>
              </w:rPr>
            </w:pPr>
          </w:p>
        </w:tc>
        <w:tc>
          <w:tcPr>
            <w:tcW w:w="548" w:type="dxa"/>
            <w:tcBorders>
              <w:left w:val="nil"/>
              <w:right w:val="nil"/>
            </w:tcBorders>
            <w:shd w:val="clear" w:color="000000" w:fill="FFFFFF"/>
            <w:noWrap/>
            <w:vAlign w:val="center"/>
          </w:tcPr>
          <w:p w14:paraId="4DDE6D91" w14:textId="77777777" w:rsidR="00AF3DDB" w:rsidRPr="000D3090" w:rsidRDefault="00AF3DDB" w:rsidP="00AF3DDB">
            <w:pPr>
              <w:spacing w:after="0" w:line="240" w:lineRule="auto"/>
              <w:jc w:val="center"/>
              <w:rPr>
                <w:color w:val="000000"/>
                <w:sz w:val="18"/>
                <w:szCs w:val="18"/>
              </w:rPr>
            </w:pPr>
          </w:p>
        </w:tc>
        <w:tc>
          <w:tcPr>
            <w:tcW w:w="450" w:type="dxa"/>
            <w:tcBorders>
              <w:left w:val="nil"/>
              <w:right w:val="single" w:sz="4" w:space="0" w:color="auto"/>
            </w:tcBorders>
            <w:shd w:val="clear" w:color="000000" w:fill="FFFFFF"/>
            <w:noWrap/>
            <w:vAlign w:val="center"/>
          </w:tcPr>
          <w:p w14:paraId="691E4198"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48C74FF7"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21539837"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1F033586"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bottom"/>
          </w:tcPr>
          <w:p w14:paraId="59290A5A"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167F1323" w14:textId="77777777" w:rsidR="00AF3DDB" w:rsidRPr="000D3090" w:rsidRDefault="00AF3DDB" w:rsidP="00AF3DDB">
            <w:pPr>
              <w:spacing w:after="0" w:line="240" w:lineRule="auto"/>
              <w:jc w:val="center"/>
              <w:rPr>
                <w:color w:val="000000"/>
                <w:sz w:val="18"/>
                <w:szCs w:val="18"/>
              </w:rPr>
            </w:pPr>
          </w:p>
        </w:tc>
        <w:tc>
          <w:tcPr>
            <w:tcW w:w="454" w:type="dxa"/>
            <w:tcBorders>
              <w:left w:val="nil"/>
              <w:right w:val="single" w:sz="4" w:space="0" w:color="auto"/>
            </w:tcBorders>
            <w:shd w:val="clear" w:color="000000" w:fill="FFFFFF"/>
            <w:noWrap/>
            <w:vAlign w:val="bottom"/>
          </w:tcPr>
          <w:p w14:paraId="240DE388" w14:textId="77777777" w:rsidR="00AF3DDB" w:rsidRPr="000D3090" w:rsidRDefault="00AF3DDB" w:rsidP="00AF3DDB">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43DEACA0" w14:textId="77777777" w:rsidR="00AF3DDB" w:rsidRPr="000D3090" w:rsidRDefault="00AF3DDB" w:rsidP="00AF3DDB">
            <w:pPr>
              <w:spacing w:after="0" w:line="240" w:lineRule="auto"/>
              <w:jc w:val="center"/>
              <w:rPr>
                <w:rFonts w:eastAsia="Times New Roman"/>
                <w:color w:val="000000"/>
                <w:sz w:val="18"/>
                <w:szCs w:val="18"/>
              </w:rPr>
            </w:pPr>
          </w:p>
        </w:tc>
        <w:tc>
          <w:tcPr>
            <w:tcW w:w="456" w:type="dxa"/>
            <w:tcBorders>
              <w:left w:val="nil"/>
              <w:right w:val="single" w:sz="12" w:space="0" w:color="auto"/>
            </w:tcBorders>
            <w:shd w:val="clear" w:color="000000" w:fill="FFFFFF"/>
            <w:noWrap/>
            <w:vAlign w:val="center"/>
          </w:tcPr>
          <w:p w14:paraId="50915642"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vAlign w:val="center"/>
          </w:tcPr>
          <w:p w14:paraId="72A6FD89"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vAlign w:val="center"/>
          </w:tcPr>
          <w:p w14:paraId="0B596FA0"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vAlign w:val="center"/>
          </w:tcPr>
          <w:p w14:paraId="011C1489"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vAlign w:val="center"/>
          </w:tcPr>
          <w:p w14:paraId="2D4C8338" w14:textId="77777777" w:rsidR="00AF3DDB" w:rsidRPr="000D3090" w:rsidRDefault="00AF3DDB" w:rsidP="00AF3DDB">
            <w:pPr>
              <w:spacing w:after="0" w:line="240" w:lineRule="auto"/>
              <w:jc w:val="center"/>
              <w:rPr>
                <w:rFonts w:eastAsia="Times New Roman"/>
                <w:color w:val="000000"/>
                <w:sz w:val="18"/>
                <w:szCs w:val="18"/>
              </w:rPr>
            </w:pPr>
          </w:p>
        </w:tc>
      </w:tr>
      <w:tr w:rsidR="003F77D0" w:rsidRPr="000D3090" w14:paraId="07765C7D" w14:textId="77777777" w:rsidTr="007155C4">
        <w:trPr>
          <w:trHeight w:val="20"/>
          <w:jc w:val="center"/>
        </w:trPr>
        <w:tc>
          <w:tcPr>
            <w:tcW w:w="2411" w:type="dxa"/>
            <w:tcBorders>
              <w:left w:val="single" w:sz="12" w:space="0" w:color="auto"/>
              <w:right w:val="single" w:sz="12" w:space="0" w:color="auto"/>
            </w:tcBorders>
            <w:shd w:val="clear" w:color="000000" w:fill="FFFFFF"/>
            <w:noWrap/>
            <w:vAlign w:val="center"/>
          </w:tcPr>
          <w:p w14:paraId="632AA560" w14:textId="669F91F2"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 xml:space="preserve">     1 – 2 days per week</w:t>
            </w:r>
          </w:p>
        </w:tc>
        <w:tc>
          <w:tcPr>
            <w:tcW w:w="537" w:type="dxa"/>
            <w:tcBorders>
              <w:left w:val="single" w:sz="12" w:space="0" w:color="auto"/>
            </w:tcBorders>
            <w:shd w:val="clear" w:color="000000" w:fill="FFFFFF"/>
            <w:vAlign w:val="bottom"/>
          </w:tcPr>
          <w:p w14:paraId="76173534" w14:textId="4A8E8C19" w:rsidR="009811CC" w:rsidRPr="000D3090" w:rsidRDefault="009811CC" w:rsidP="009811CC">
            <w:pPr>
              <w:spacing w:after="0" w:line="240" w:lineRule="auto"/>
              <w:jc w:val="center"/>
              <w:rPr>
                <w:color w:val="000000"/>
                <w:sz w:val="18"/>
                <w:szCs w:val="18"/>
              </w:rPr>
            </w:pPr>
            <w:r w:rsidRPr="000D3090">
              <w:rPr>
                <w:color w:val="000000"/>
                <w:sz w:val="18"/>
                <w:szCs w:val="18"/>
              </w:rPr>
              <w:t>-0.10</w:t>
            </w:r>
          </w:p>
        </w:tc>
        <w:tc>
          <w:tcPr>
            <w:tcW w:w="541" w:type="dxa"/>
            <w:tcBorders>
              <w:left w:val="nil"/>
              <w:right w:val="single" w:sz="12" w:space="0" w:color="auto"/>
            </w:tcBorders>
            <w:shd w:val="clear" w:color="000000" w:fill="FFFFFF"/>
            <w:vAlign w:val="bottom"/>
          </w:tcPr>
          <w:p w14:paraId="73610A38" w14:textId="21405CB8" w:rsidR="009811CC" w:rsidRPr="000D3090" w:rsidRDefault="009811CC" w:rsidP="009811CC">
            <w:pPr>
              <w:spacing w:after="0" w:line="240" w:lineRule="auto"/>
              <w:jc w:val="center"/>
              <w:rPr>
                <w:color w:val="000000"/>
                <w:sz w:val="18"/>
                <w:szCs w:val="18"/>
              </w:rPr>
            </w:pPr>
            <w:r w:rsidRPr="000D3090">
              <w:rPr>
                <w:color w:val="000000"/>
                <w:sz w:val="18"/>
                <w:szCs w:val="18"/>
              </w:rPr>
              <w:t>-1.96</w:t>
            </w:r>
          </w:p>
        </w:tc>
        <w:tc>
          <w:tcPr>
            <w:tcW w:w="539" w:type="dxa"/>
            <w:tcBorders>
              <w:left w:val="single" w:sz="12" w:space="0" w:color="auto"/>
              <w:right w:val="nil"/>
            </w:tcBorders>
            <w:shd w:val="clear" w:color="000000" w:fill="FFFFFF"/>
            <w:noWrap/>
            <w:vAlign w:val="center"/>
          </w:tcPr>
          <w:p w14:paraId="6CD1E9C5" w14:textId="2B61B59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4C022C44" w14:textId="5E7FF07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A6916BB" w14:textId="6D38EF2D"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C99B83B" w14:textId="3C3C8B6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303DA765" w14:textId="79BCEA9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84BA030" w14:textId="5F7FE26A"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right w:val="nil"/>
            </w:tcBorders>
            <w:shd w:val="clear" w:color="000000" w:fill="FFFFFF"/>
            <w:noWrap/>
            <w:vAlign w:val="center"/>
          </w:tcPr>
          <w:p w14:paraId="184D2AC1" w14:textId="481DF49E" w:rsidR="009811CC" w:rsidRPr="000D3090" w:rsidRDefault="009811CC" w:rsidP="009811CC">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636DF55E" w14:textId="403E31C2" w:rsidR="009811CC" w:rsidRPr="000D3090" w:rsidRDefault="009811CC" w:rsidP="009811CC">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C6B0D64" w14:textId="2D07A99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01ED5A92" w14:textId="1A01854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09B85115" w14:textId="4761FD6F"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F0B5564" w14:textId="1544579B"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70D7C817" w14:textId="0F452C82" w:rsidR="009811CC" w:rsidRPr="000D3090" w:rsidRDefault="009811CC" w:rsidP="009811CC">
            <w:pPr>
              <w:spacing w:after="0" w:line="240" w:lineRule="auto"/>
              <w:jc w:val="center"/>
              <w:rPr>
                <w:color w:val="000000"/>
                <w:sz w:val="18"/>
                <w:szCs w:val="18"/>
              </w:rPr>
            </w:pPr>
            <w:r w:rsidRPr="000D3090">
              <w:rPr>
                <w:color w:val="000000"/>
                <w:sz w:val="18"/>
                <w:szCs w:val="18"/>
              </w:rPr>
              <w:t>-0.17</w:t>
            </w:r>
          </w:p>
        </w:tc>
        <w:tc>
          <w:tcPr>
            <w:tcW w:w="454" w:type="dxa"/>
            <w:tcBorders>
              <w:left w:val="nil"/>
              <w:right w:val="single" w:sz="4" w:space="0" w:color="auto"/>
            </w:tcBorders>
            <w:shd w:val="clear" w:color="000000" w:fill="FFFFFF"/>
            <w:noWrap/>
            <w:vAlign w:val="bottom"/>
          </w:tcPr>
          <w:p w14:paraId="21240521" w14:textId="231B632A" w:rsidR="009811CC" w:rsidRPr="000D3090" w:rsidRDefault="009811CC" w:rsidP="009811CC">
            <w:pPr>
              <w:spacing w:after="0" w:line="240" w:lineRule="auto"/>
              <w:jc w:val="center"/>
              <w:rPr>
                <w:color w:val="000000"/>
                <w:sz w:val="18"/>
                <w:szCs w:val="18"/>
              </w:rPr>
            </w:pPr>
            <w:r w:rsidRPr="000D3090">
              <w:rPr>
                <w:color w:val="000000"/>
                <w:sz w:val="18"/>
                <w:szCs w:val="18"/>
              </w:rPr>
              <w:t>-2.09</w:t>
            </w:r>
          </w:p>
        </w:tc>
        <w:tc>
          <w:tcPr>
            <w:tcW w:w="540" w:type="dxa"/>
            <w:tcBorders>
              <w:left w:val="nil"/>
              <w:right w:val="nil"/>
            </w:tcBorders>
            <w:shd w:val="clear" w:color="000000" w:fill="FFFFFF"/>
            <w:noWrap/>
            <w:vAlign w:val="center"/>
          </w:tcPr>
          <w:p w14:paraId="7DE596AE" w14:textId="343550B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6BD28D4A" w14:textId="7C66863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0783484C" w14:textId="043726D3"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52793B30" w14:textId="52D92D7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center"/>
          </w:tcPr>
          <w:p w14:paraId="0FE08764" w14:textId="70B20CA3"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right w:val="single" w:sz="12" w:space="0" w:color="auto"/>
            </w:tcBorders>
            <w:shd w:val="clear" w:color="000000" w:fill="FFFFFF"/>
            <w:vAlign w:val="center"/>
          </w:tcPr>
          <w:p w14:paraId="33B6D0D5" w14:textId="799BC45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3F77D0" w:rsidRPr="000D3090" w14:paraId="6E406A78" w14:textId="77777777" w:rsidTr="007155C4">
        <w:trPr>
          <w:trHeight w:val="20"/>
          <w:jc w:val="center"/>
        </w:trPr>
        <w:tc>
          <w:tcPr>
            <w:tcW w:w="2411" w:type="dxa"/>
            <w:tcBorders>
              <w:left w:val="single" w:sz="12" w:space="0" w:color="auto"/>
              <w:right w:val="single" w:sz="12" w:space="0" w:color="auto"/>
            </w:tcBorders>
            <w:shd w:val="clear" w:color="000000" w:fill="FFFFFF"/>
            <w:noWrap/>
            <w:vAlign w:val="center"/>
          </w:tcPr>
          <w:p w14:paraId="5A865F2E" w14:textId="67C76869"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 xml:space="preserve">     3 – 4 days per week</w:t>
            </w:r>
          </w:p>
        </w:tc>
        <w:tc>
          <w:tcPr>
            <w:tcW w:w="537" w:type="dxa"/>
            <w:tcBorders>
              <w:left w:val="single" w:sz="12" w:space="0" w:color="auto"/>
            </w:tcBorders>
            <w:shd w:val="clear" w:color="000000" w:fill="FFFFFF"/>
            <w:vAlign w:val="bottom"/>
          </w:tcPr>
          <w:p w14:paraId="6FFE3B2E" w14:textId="3ABA559C" w:rsidR="009811CC" w:rsidRPr="000D3090" w:rsidRDefault="009811CC" w:rsidP="009811CC">
            <w:pPr>
              <w:spacing w:after="0" w:line="240" w:lineRule="auto"/>
              <w:jc w:val="center"/>
              <w:rPr>
                <w:color w:val="000000"/>
                <w:sz w:val="18"/>
                <w:szCs w:val="18"/>
              </w:rPr>
            </w:pPr>
            <w:r w:rsidRPr="000D3090">
              <w:rPr>
                <w:color w:val="000000"/>
                <w:sz w:val="18"/>
                <w:szCs w:val="18"/>
              </w:rPr>
              <w:t>-0.18</w:t>
            </w:r>
          </w:p>
        </w:tc>
        <w:tc>
          <w:tcPr>
            <w:tcW w:w="541" w:type="dxa"/>
            <w:tcBorders>
              <w:left w:val="nil"/>
              <w:right w:val="single" w:sz="12" w:space="0" w:color="auto"/>
            </w:tcBorders>
            <w:shd w:val="clear" w:color="000000" w:fill="FFFFFF"/>
            <w:vAlign w:val="bottom"/>
          </w:tcPr>
          <w:p w14:paraId="07313AE4" w14:textId="7157B239" w:rsidR="009811CC" w:rsidRPr="000D3090" w:rsidRDefault="009811CC" w:rsidP="009811CC">
            <w:pPr>
              <w:spacing w:after="0" w:line="240" w:lineRule="auto"/>
              <w:jc w:val="center"/>
              <w:rPr>
                <w:color w:val="000000"/>
                <w:sz w:val="18"/>
                <w:szCs w:val="18"/>
              </w:rPr>
            </w:pPr>
            <w:r w:rsidRPr="000D3090">
              <w:rPr>
                <w:color w:val="000000"/>
                <w:sz w:val="18"/>
                <w:szCs w:val="18"/>
              </w:rPr>
              <w:t>-3.07</w:t>
            </w:r>
          </w:p>
        </w:tc>
        <w:tc>
          <w:tcPr>
            <w:tcW w:w="539" w:type="dxa"/>
            <w:tcBorders>
              <w:left w:val="single" w:sz="12" w:space="0" w:color="auto"/>
              <w:right w:val="nil"/>
            </w:tcBorders>
            <w:shd w:val="clear" w:color="000000" w:fill="FFFFFF"/>
            <w:noWrap/>
            <w:vAlign w:val="center"/>
          </w:tcPr>
          <w:p w14:paraId="06ACF4F4" w14:textId="3047510E"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343DE9FE" w14:textId="3AFD6300"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46467556" w14:textId="25CBBEF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181049B3" w14:textId="146A08A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43E80941" w14:textId="42DB09B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7B7E96A" w14:textId="680FC46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right w:val="nil"/>
            </w:tcBorders>
            <w:shd w:val="clear" w:color="000000" w:fill="FFFFFF"/>
            <w:noWrap/>
            <w:vAlign w:val="bottom"/>
          </w:tcPr>
          <w:p w14:paraId="25826971" w14:textId="6B754C8B" w:rsidR="009811CC" w:rsidRPr="000D3090" w:rsidRDefault="009811CC" w:rsidP="009811CC">
            <w:pPr>
              <w:spacing w:after="0" w:line="240" w:lineRule="auto"/>
              <w:jc w:val="center"/>
              <w:rPr>
                <w:color w:val="000000"/>
                <w:sz w:val="18"/>
                <w:szCs w:val="18"/>
              </w:rPr>
            </w:pPr>
            <w:r w:rsidRPr="000D3090">
              <w:rPr>
                <w:color w:val="000000"/>
                <w:sz w:val="18"/>
                <w:szCs w:val="18"/>
              </w:rPr>
              <w:t>-0.21</w:t>
            </w:r>
          </w:p>
        </w:tc>
        <w:tc>
          <w:tcPr>
            <w:tcW w:w="450" w:type="dxa"/>
            <w:tcBorders>
              <w:left w:val="nil"/>
              <w:right w:val="single" w:sz="4" w:space="0" w:color="auto"/>
            </w:tcBorders>
            <w:shd w:val="clear" w:color="000000" w:fill="FFFFFF"/>
            <w:noWrap/>
            <w:vAlign w:val="bottom"/>
          </w:tcPr>
          <w:p w14:paraId="1713D70A" w14:textId="27CAF89A" w:rsidR="009811CC" w:rsidRPr="000D3090" w:rsidRDefault="009811CC" w:rsidP="009811CC">
            <w:pPr>
              <w:spacing w:after="0" w:line="240" w:lineRule="auto"/>
              <w:jc w:val="center"/>
              <w:rPr>
                <w:color w:val="000000"/>
                <w:sz w:val="18"/>
                <w:szCs w:val="18"/>
              </w:rPr>
            </w:pPr>
            <w:r w:rsidRPr="000D3090">
              <w:rPr>
                <w:color w:val="000000"/>
                <w:sz w:val="18"/>
                <w:szCs w:val="18"/>
              </w:rPr>
              <w:t>-1.89</w:t>
            </w:r>
          </w:p>
        </w:tc>
        <w:tc>
          <w:tcPr>
            <w:tcW w:w="540" w:type="dxa"/>
            <w:tcBorders>
              <w:left w:val="nil"/>
              <w:right w:val="nil"/>
            </w:tcBorders>
            <w:shd w:val="clear" w:color="000000" w:fill="FFFFFF"/>
            <w:noWrap/>
            <w:vAlign w:val="center"/>
          </w:tcPr>
          <w:p w14:paraId="6F2D5CF1" w14:textId="437A39DB"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A53803D" w14:textId="430A6DF6"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306B7336" w14:textId="02294353"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252FAA4C" w14:textId="0408692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30A4EA9F" w14:textId="696EF28D" w:rsidR="009811CC" w:rsidRPr="000D3090" w:rsidRDefault="009811CC" w:rsidP="009811CC">
            <w:pPr>
              <w:spacing w:after="0" w:line="240" w:lineRule="auto"/>
              <w:jc w:val="center"/>
              <w:rPr>
                <w:color w:val="000000"/>
                <w:sz w:val="18"/>
                <w:szCs w:val="18"/>
              </w:rPr>
            </w:pPr>
            <w:r w:rsidRPr="000D3090">
              <w:rPr>
                <w:color w:val="000000"/>
                <w:sz w:val="18"/>
                <w:szCs w:val="18"/>
              </w:rPr>
              <w:t>-0.24</w:t>
            </w:r>
          </w:p>
        </w:tc>
        <w:tc>
          <w:tcPr>
            <w:tcW w:w="454" w:type="dxa"/>
            <w:tcBorders>
              <w:left w:val="nil"/>
              <w:right w:val="single" w:sz="4" w:space="0" w:color="auto"/>
            </w:tcBorders>
            <w:shd w:val="clear" w:color="000000" w:fill="FFFFFF"/>
            <w:noWrap/>
            <w:vAlign w:val="bottom"/>
          </w:tcPr>
          <w:p w14:paraId="41C99467" w14:textId="4457BB7B" w:rsidR="009811CC" w:rsidRPr="000D3090" w:rsidRDefault="009811CC" w:rsidP="009811CC">
            <w:pPr>
              <w:spacing w:after="0" w:line="240" w:lineRule="auto"/>
              <w:jc w:val="center"/>
              <w:rPr>
                <w:color w:val="000000"/>
                <w:sz w:val="18"/>
                <w:szCs w:val="18"/>
              </w:rPr>
            </w:pPr>
            <w:r w:rsidRPr="000D3090">
              <w:rPr>
                <w:color w:val="000000"/>
                <w:sz w:val="18"/>
                <w:szCs w:val="18"/>
              </w:rPr>
              <w:t>-2.51</w:t>
            </w:r>
          </w:p>
        </w:tc>
        <w:tc>
          <w:tcPr>
            <w:tcW w:w="540" w:type="dxa"/>
            <w:tcBorders>
              <w:left w:val="nil"/>
              <w:right w:val="nil"/>
            </w:tcBorders>
            <w:shd w:val="clear" w:color="000000" w:fill="FFFFFF"/>
            <w:noWrap/>
            <w:vAlign w:val="center"/>
          </w:tcPr>
          <w:p w14:paraId="6D4F078F" w14:textId="2BD585C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0BE1F87B" w14:textId="397A496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77064027" w14:textId="235F0F5F"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45D7FE38" w14:textId="10DD7B44"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center"/>
          </w:tcPr>
          <w:p w14:paraId="0A409379" w14:textId="1BCEABAF"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right w:val="single" w:sz="12" w:space="0" w:color="auto"/>
            </w:tcBorders>
            <w:shd w:val="clear" w:color="000000" w:fill="FFFFFF"/>
            <w:vAlign w:val="center"/>
          </w:tcPr>
          <w:p w14:paraId="6A66365C" w14:textId="629D131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3F77D0" w:rsidRPr="000D3090" w14:paraId="7C2B00DB" w14:textId="77777777" w:rsidTr="007155C4">
        <w:trPr>
          <w:trHeight w:val="20"/>
          <w:jc w:val="center"/>
        </w:trPr>
        <w:tc>
          <w:tcPr>
            <w:tcW w:w="2411" w:type="dxa"/>
            <w:tcBorders>
              <w:left w:val="single" w:sz="12" w:space="0" w:color="auto"/>
              <w:right w:val="single" w:sz="12" w:space="0" w:color="auto"/>
            </w:tcBorders>
            <w:shd w:val="clear" w:color="000000" w:fill="FFFFFF"/>
            <w:noWrap/>
            <w:vAlign w:val="center"/>
          </w:tcPr>
          <w:p w14:paraId="73C187E2" w14:textId="3EF2543D"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 xml:space="preserve">     5 or more days per week</w:t>
            </w:r>
          </w:p>
        </w:tc>
        <w:tc>
          <w:tcPr>
            <w:tcW w:w="537" w:type="dxa"/>
            <w:tcBorders>
              <w:left w:val="single" w:sz="12" w:space="0" w:color="auto"/>
            </w:tcBorders>
            <w:shd w:val="clear" w:color="000000" w:fill="FFFFFF"/>
            <w:vAlign w:val="bottom"/>
          </w:tcPr>
          <w:p w14:paraId="6286E050" w14:textId="3DDB7948" w:rsidR="009811CC" w:rsidRPr="000D3090" w:rsidRDefault="009811CC" w:rsidP="009811CC">
            <w:pPr>
              <w:spacing w:after="0" w:line="240" w:lineRule="auto"/>
              <w:jc w:val="center"/>
              <w:rPr>
                <w:color w:val="000000"/>
                <w:sz w:val="18"/>
                <w:szCs w:val="18"/>
              </w:rPr>
            </w:pPr>
            <w:r w:rsidRPr="000D3090">
              <w:rPr>
                <w:color w:val="000000"/>
                <w:sz w:val="18"/>
                <w:szCs w:val="18"/>
              </w:rPr>
              <w:t>-0.18</w:t>
            </w:r>
          </w:p>
        </w:tc>
        <w:tc>
          <w:tcPr>
            <w:tcW w:w="541" w:type="dxa"/>
            <w:tcBorders>
              <w:left w:val="nil"/>
              <w:right w:val="single" w:sz="12" w:space="0" w:color="auto"/>
            </w:tcBorders>
            <w:shd w:val="clear" w:color="000000" w:fill="FFFFFF"/>
            <w:vAlign w:val="bottom"/>
          </w:tcPr>
          <w:p w14:paraId="6B583699" w14:textId="539CD796" w:rsidR="009811CC" w:rsidRPr="000D3090" w:rsidRDefault="009811CC" w:rsidP="009811CC">
            <w:pPr>
              <w:spacing w:after="0" w:line="240" w:lineRule="auto"/>
              <w:jc w:val="center"/>
              <w:rPr>
                <w:color w:val="000000"/>
                <w:sz w:val="18"/>
                <w:szCs w:val="18"/>
              </w:rPr>
            </w:pPr>
            <w:r w:rsidRPr="000D3090">
              <w:rPr>
                <w:color w:val="000000"/>
                <w:sz w:val="18"/>
                <w:szCs w:val="18"/>
              </w:rPr>
              <w:t>-3.07</w:t>
            </w:r>
          </w:p>
        </w:tc>
        <w:tc>
          <w:tcPr>
            <w:tcW w:w="539" w:type="dxa"/>
            <w:tcBorders>
              <w:left w:val="single" w:sz="12" w:space="0" w:color="auto"/>
              <w:right w:val="nil"/>
            </w:tcBorders>
            <w:shd w:val="clear" w:color="000000" w:fill="FFFFFF"/>
            <w:noWrap/>
            <w:vAlign w:val="center"/>
          </w:tcPr>
          <w:p w14:paraId="32338E1C" w14:textId="0193752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7EDF8BD4" w14:textId="1101F9FD"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104450A" w14:textId="13E027D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BD988BD" w14:textId="1964582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635FC161" w14:textId="39969C7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6B8A96DA" w14:textId="61FE07BD"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right w:val="nil"/>
            </w:tcBorders>
            <w:shd w:val="clear" w:color="000000" w:fill="FFFFFF"/>
            <w:noWrap/>
            <w:vAlign w:val="bottom"/>
          </w:tcPr>
          <w:p w14:paraId="3ECA299F" w14:textId="68CA04FF" w:rsidR="009811CC" w:rsidRPr="000D3090" w:rsidRDefault="009811CC" w:rsidP="009811CC">
            <w:pPr>
              <w:spacing w:after="0" w:line="240" w:lineRule="auto"/>
              <w:jc w:val="center"/>
              <w:rPr>
                <w:color w:val="000000"/>
                <w:sz w:val="18"/>
                <w:szCs w:val="18"/>
              </w:rPr>
            </w:pPr>
            <w:r w:rsidRPr="000D3090">
              <w:rPr>
                <w:color w:val="000000"/>
                <w:sz w:val="18"/>
                <w:szCs w:val="18"/>
              </w:rPr>
              <w:t>-0.23</w:t>
            </w:r>
          </w:p>
        </w:tc>
        <w:tc>
          <w:tcPr>
            <w:tcW w:w="450" w:type="dxa"/>
            <w:tcBorders>
              <w:left w:val="nil"/>
              <w:right w:val="single" w:sz="4" w:space="0" w:color="auto"/>
            </w:tcBorders>
            <w:shd w:val="clear" w:color="000000" w:fill="FFFFFF"/>
            <w:noWrap/>
            <w:vAlign w:val="bottom"/>
          </w:tcPr>
          <w:p w14:paraId="6CAB9F7C" w14:textId="7A6BD92B" w:rsidR="009811CC" w:rsidRPr="000D3090" w:rsidRDefault="009811CC" w:rsidP="009811CC">
            <w:pPr>
              <w:spacing w:after="0" w:line="240" w:lineRule="auto"/>
              <w:jc w:val="center"/>
              <w:rPr>
                <w:color w:val="000000"/>
                <w:sz w:val="18"/>
                <w:szCs w:val="18"/>
              </w:rPr>
            </w:pPr>
            <w:r w:rsidRPr="000D3090">
              <w:rPr>
                <w:color w:val="000000"/>
                <w:sz w:val="18"/>
                <w:szCs w:val="18"/>
              </w:rPr>
              <w:t>-1.81</w:t>
            </w:r>
          </w:p>
        </w:tc>
        <w:tc>
          <w:tcPr>
            <w:tcW w:w="540" w:type="dxa"/>
            <w:tcBorders>
              <w:left w:val="nil"/>
              <w:right w:val="nil"/>
            </w:tcBorders>
            <w:shd w:val="clear" w:color="000000" w:fill="FFFFFF"/>
            <w:noWrap/>
            <w:vAlign w:val="center"/>
          </w:tcPr>
          <w:p w14:paraId="0F125960" w14:textId="5070D94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DFB7F22" w14:textId="144C7C2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44490B3A" w14:textId="55435AE0"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1407BAC" w14:textId="14022F80"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61D559E3" w14:textId="0ADA3B7B" w:rsidR="009811CC" w:rsidRPr="000D3090" w:rsidRDefault="009811CC" w:rsidP="009811CC">
            <w:pPr>
              <w:spacing w:after="0" w:line="240" w:lineRule="auto"/>
              <w:jc w:val="center"/>
              <w:rPr>
                <w:color w:val="000000"/>
                <w:sz w:val="18"/>
                <w:szCs w:val="18"/>
              </w:rPr>
            </w:pPr>
            <w:r w:rsidRPr="000D3090">
              <w:rPr>
                <w:color w:val="000000"/>
                <w:sz w:val="18"/>
                <w:szCs w:val="18"/>
              </w:rPr>
              <w:t>-0.28</w:t>
            </w:r>
          </w:p>
        </w:tc>
        <w:tc>
          <w:tcPr>
            <w:tcW w:w="454" w:type="dxa"/>
            <w:tcBorders>
              <w:left w:val="nil"/>
              <w:right w:val="single" w:sz="4" w:space="0" w:color="auto"/>
            </w:tcBorders>
            <w:shd w:val="clear" w:color="000000" w:fill="FFFFFF"/>
            <w:noWrap/>
            <w:vAlign w:val="bottom"/>
          </w:tcPr>
          <w:p w14:paraId="50E64297" w14:textId="3A89B842" w:rsidR="009811CC" w:rsidRPr="000D3090" w:rsidRDefault="009811CC" w:rsidP="009811CC">
            <w:pPr>
              <w:spacing w:after="0" w:line="240" w:lineRule="auto"/>
              <w:jc w:val="center"/>
              <w:rPr>
                <w:color w:val="000000"/>
                <w:sz w:val="18"/>
                <w:szCs w:val="18"/>
              </w:rPr>
            </w:pPr>
            <w:r w:rsidRPr="000D3090">
              <w:rPr>
                <w:color w:val="000000"/>
                <w:sz w:val="18"/>
                <w:szCs w:val="18"/>
              </w:rPr>
              <w:t>-2.00</w:t>
            </w:r>
          </w:p>
        </w:tc>
        <w:tc>
          <w:tcPr>
            <w:tcW w:w="540" w:type="dxa"/>
            <w:tcBorders>
              <w:left w:val="nil"/>
              <w:right w:val="nil"/>
            </w:tcBorders>
            <w:shd w:val="clear" w:color="000000" w:fill="FFFFFF"/>
            <w:noWrap/>
            <w:vAlign w:val="center"/>
          </w:tcPr>
          <w:p w14:paraId="2C956EA0" w14:textId="2E1C372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7BC1CCCF" w14:textId="0B7C8FA3"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54DB157D" w14:textId="449F2A1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73D432A6" w14:textId="291EB84E"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center"/>
          </w:tcPr>
          <w:p w14:paraId="2EA80D22" w14:textId="1A915D2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right w:val="single" w:sz="12" w:space="0" w:color="auto"/>
            </w:tcBorders>
            <w:shd w:val="clear" w:color="000000" w:fill="FFFFFF"/>
            <w:vAlign w:val="center"/>
          </w:tcPr>
          <w:p w14:paraId="000C8A87" w14:textId="55AF92AF"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3F77D0" w:rsidRPr="000D3090" w14:paraId="609D037E" w14:textId="77777777" w:rsidTr="007155C4">
        <w:trPr>
          <w:trHeight w:val="20"/>
          <w:jc w:val="center"/>
        </w:trPr>
        <w:tc>
          <w:tcPr>
            <w:tcW w:w="2411" w:type="dxa"/>
            <w:tcBorders>
              <w:left w:val="single" w:sz="12" w:space="0" w:color="auto"/>
              <w:right w:val="single" w:sz="12" w:space="0" w:color="auto"/>
            </w:tcBorders>
            <w:shd w:val="clear" w:color="000000" w:fill="FFFFFF"/>
            <w:noWrap/>
            <w:vAlign w:val="bottom"/>
          </w:tcPr>
          <w:p w14:paraId="7FC474C9" w14:textId="4B9B2488"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Deliveries (none)</w:t>
            </w:r>
          </w:p>
        </w:tc>
        <w:tc>
          <w:tcPr>
            <w:tcW w:w="537" w:type="dxa"/>
            <w:tcBorders>
              <w:left w:val="single" w:sz="12" w:space="0" w:color="auto"/>
            </w:tcBorders>
            <w:shd w:val="clear" w:color="000000" w:fill="FFFFFF"/>
            <w:vAlign w:val="bottom"/>
          </w:tcPr>
          <w:p w14:paraId="2EC152F5" w14:textId="77777777" w:rsidR="009811CC" w:rsidRPr="000D3090" w:rsidRDefault="009811CC" w:rsidP="009811CC">
            <w:pPr>
              <w:spacing w:after="0" w:line="240" w:lineRule="auto"/>
              <w:jc w:val="center"/>
              <w:rPr>
                <w:color w:val="000000"/>
                <w:sz w:val="18"/>
                <w:szCs w:val="18"/>
              </w:rPr>
            </w:pPr>
          </w:p>
        </w:tc>
        <w:tc>
          <w:tcPr>
            <w:tcW w:w="541" w:type="dxa"/>
            <w:tcBorders>
              <w:left w:val="nil"/>
              <w:right w:val="single" w:sz="12" w:space="0" w:color="auto"/>
            </w:tcBorders>
            <w:shd w:val="clear" w:color="000000" w:fill="FFFFFF"/>
            <w:vAlign w:val="bottom"/>
          </w:tcPr>
          <w:p w14:paraId="4998584C" w14:textId="77777777" w:rsidR="009811CC" w:rsidRPr="000D3090" w:rsidRDefault="009811CC" w:rsidP="009811CC">
            <w:pPr>
              <w:spacing w:after="0" w:line="240" w:lineRule="auto"/>
              <w:jc w:val="center"/>
              <w:rPr>
                <w:color w:val="000000"/>
                <w:sz w:val="18"/>
                <w:szCs w:val="18"/>
              </w:rPr>
            </w:pPr>
          </w:p>
        </w:tc>
        <w:tc>
          <w:tcPr>
            <w:tcW w:w="539" w:type="dxa"/>
            <w:tcBorders>
              <w:left w:val="single" w:sz="12" w:space="0" w:color="auto"/>
              <w:right w:val="nil"/>
            </w:tcBorders>
            <w:shd w:val="clear" w:color="000000" w:fill="FFFFFF"/>
            <w:noWrap/>
            <w:vAlign w:val="center"/>
          </w:tcPr>
          <w:p w14:paraId="74802689" w14:textId="77777777" w:rsidR="009811CC" w:rsidRPr="000D3090" w:rsidRDefault="009811CC" w:rsidP="009811CC">
            <w:pPr>
              <w:spacing w:after="0" w:line="240" w:lineRule="auto"/>
              <w:jc w:val="center"/>
              <w:rPr>
                <w:rFonts w:eastAsia="Times New Roman"/>
                <w:color w:val="000000"/>
                <w:sz w:val="18"/>
                <w:szCs w:val="18"/>
              </w:rPr>
            </w:pPr>
          </w:p>
        </w:tc>
        <w:tc>
          <w:tcPr>
            <w:tcW w:w="449" w:type="dxa"/>
            <w:tcBorders>
              <w:left w:val="nil"/>
              <w:right w:val="single" w:sz="4" w:space="0" w:color="auto"/>
            </w:tcBorders>
            <w:shd w:val="clear" w:color="000000" w:fill="FFFFFF"/>
            <w:noWrap/>
            <w:vAlign w:val="center"/>
          </w:tcPr>
          <w:p w14:paraId="7353482F" w14:textId="77777777" w:rsidR="009811CC" w:rsidRPr="000D3090" w:rsidRDefault="009811CC" w:rsidP="009811CC">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5D051B00" w14:textId="77777777" w:rsidR="009811CC" w:rsidRPr="000D3090" w:rsidRDefault="009811CC" w:rsidP="009811CC">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27E9A671" w14:textId="77777777" w:rsidR="009811CC" w:rsidRPr="000D3090" w:rsidRDefault="009811CC" w:rsidP="009811CC">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center"/>
          </w:tcPr>
          <w:p w14:paraId="49A315EA" w14:textId="77777777" w:rsidR="009811CC" w:rsidRPr="000D3090" w:rsidRDefault="009811CC" w:rsidP="009811CC">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108C9C2F" w14:textId="77777777" w:rsidR="009811CC" w:rsidRPr="000D3090" w:rsidRDefault="009811CC" w:rsidP="009811CC">
            <w:pPr>
              <w:spacing w:after="0" w:line="240" w:lineRule="auto"/>
              <w:jc w:val="center"/>
              <w:rPr>
                <w:rFonts w:eastAsia="Times New Roman"/>
                <w:color w:val="000000"/>
                <w:sz w:val="18"/>
                <w:szCs w:val="18"/>
              </w:rPr>
            </w:pPr>
          </w:p>
        </w:tc>
        <w:tc>
          <w:tcPr>
            <w:tcW w:w="548" w:type="dxa"/>
            <w:tcBorders>
              <w:left w:val="nil"/>
              <w:right w:val="nil"/>
            </w:tcBorders>
            <w:shd w:val="clear" w:color="000000" w:fill="FFFFFF"/>
            <w:noWrap/>
            <w:vAlign w:val="center"/>
          </w:tcPr>
          <w:p w14:paraId="7D50794F" w14:textId="77777777" w:rsidR="009811CC" w:rsidRPr="000D3090" w:rsidRDefault="009811CC" w:rsidP="009811CC">
            <w:pPr>
              <w:spacing w:after="0" w:line="240" w:lineRule="auto"/>
              <w:jc w:val="center"/>
              <w:rPr>
                <w:color w:val="000000"/>
                <w:sz w:val="18"/>
                <w:szCs w:val="18"/>
              </w:rPr>
            </w:pPr>
          </w:p>
        </w:tc>
        <w:tc>
          <w:tcPr>
            <w:tcW w:w="450" w:type="dxa"/>
            <w:tcBorders>
              <w:left w:val="nil"/>
              <w:right w:val="single" w:sz="4" w:space="0" w:color="auto"/>
            </w:tcBorders>
            <w:shd w:val="clear" w:color="000000" w:fill="FFFFFF"/>
            <w:noWrap/>
            <w:vAlign w:val="center"/>
          </w:tcPr>
          <w:p w14:paraId="134ABB6C" w14:textId="77777777" w:rsidR="009811CC" w:rsidRPr="000D3090" w:rsidRDefault="009811CC" w:rsidP="009811CC">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3504CB1E" w14:textId="77777777" w:rsidR="009811CC" w:rsidRPr="000D3090" w:rsidRDefault="009811CC" w:rsidP="009811CC">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center"/>
          </w:tcPr>
          <w:p w14:paraId="13F1102C" w14:textId="77777777" w:rsidR="009811CC" w:rsidRPr="000D3090" w:rsidRDefault="009811CC" w:rsidP="009811CC">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22062C65" w14:textId="77777777" w:rsidR="009811CC" w:rsidRPr="000D3090" w:rsidRDefault="009811CC" w:rsidP="009811CC">
            <w:pPr>
              <w:spacing w:after="0" w:line="240" w:lineRule="auto"/>
              <w:jc w:val="center"/>
              <w:rPr>
                <w:rFonts w:eastAsia="Times New Roman"/>
                <w:color w:val="000000"/>
                <w:sz w:val="18"/>
                <w:szCs w:val="18"/>
              </w:rPr>
            </w:pPr>
          </w:p>
        </w:tc>
        <w:tc>
          <w:tcPr>
            <w:tcW w:w="450" w:type="dxa"/>
            <w:tcBorders>
              <w:left w:val="nil"/>
              <w:right w:val="single" w:sz="4" w:space="0" w:color="auto"/>
            </w:tcBorders>
            <w:shd w:val="clear" w:color="000000" w:fill="FFFFFF"/>
            <w:noWrap/>
            <w:vAlign w:val="bottom"/>
          </w:tcPr>
          <w:p w14:paraId="61E1F24F" w14:textId="77777777" w:rsidR="009811CC" w:rsidRPr="000D3090" w:rsidRDefault="009811CC" w:rsidP="009811CC">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noWrap/>
            <w:vAlign w:val="bottom"/>
          </w:tcPr>
          <w:p w14:paraId="3419B5D0" w14:textId="77777777" w:rsidR="009811CC" w:rsidRPr="000D3090" w:rsidRDefault="009811CC" w:rsidP="009811CC">
            <w:pPr>
              <w:spacing w:after="0" w:line="240" w:lineRule="auto"/>
              <w:jc w:val="center"/>
              <w:rPr>
                <w:color w:val="000000"/>
                <w:sz w:val="18"/>
                <w:szCs w:val="18"/>
              </w:rPr>
            </w:pPr>
          </w:p>
        </w:tc>
        <w:tc>
          <w:tcPr>
            <w:tcW w:w="454" w:type="dxa"/>
            <w:tcBorders>
              <w:left w:val="nil"/>
              <w:right w:val="single" w:sz="4" w:space="0" w:color="auto"/>
            </w:tcBorders>
            <w:shd w:val="clear" w:color="000000" w:fill="FFFFFF"/>
            <w:noWrap/>
            <w:vAlign w:val="bottom"/>
          </w:tcPr>
          <w:p w14:paraId="5960C2BB" w14:textId="77777777" w:rsidR="009811CC" w:rsidRPr="000D3090" w:rsidRDefault="009811CC" w:rsidP="009811CC">
            <w:pPr>
              <w:spacing w:after="0" w:line="240" w:lineRule="auto"/>
              <w:jc w:val="center"/>
              <w:rPr>
                <w:color w:val="000000"/>
                <w:sz w:val="18"/>
                <w:szCs w:val="18"/>
              </w:rPr>
            </w:pPr>
          </w:p>
        </w:tc>
        <w:tc>
          <w:tcPr>
            <w:tcW w:w="540" w:type="dxa"/>
            <w:tcBorders>
              <w:left w:val="nil"/>
              <w:right w:val="nil"/>
            </w:tcBorders>
            <w:shd w:val="clear" w:color="000000" w:fill="FFFFFF"/>
            <w:noWrap/>
            <w:vAlign w:val="center"/>
          </w:tcPr>
          <w:p w14:paraId="701B556D" w14:textId="77777777" w:rsidR="009811CC" w:rsidRPr="000D3090" w:rsidRDefault="009811CC" w:rsidP="009811CC">
            <w:pPr>
              <w:spacing w:after="0" w:line="240" w:lineRule="auto"/>
              <w:jc w:val="center"/>
              <w:rPr>
                <w:rFonts w:eastAsia="Times New Roman"/>
                <w:color w:val="000000"/>
                <w:sz w:val="18"/>
                <w:szCs w:val="18"/>
              </w:rPr>
            </w:pPr>
          </w:p>
        </w:tc>
        <w:tc>
          <w:tcPr>
            <w:tcW w:w="456" w:type="dxa"/>
            <w:tcBorders>
              <w:left w:val="nil"/>
              <w:right w:val="single" w:sz="12" w:space="0" w:color="auto"/>
            </w:tcBorders>
            <w:shd w:val="clear" w:color="000000" w:fill="FFFFFF"/>
            <w:noWrap/>
            <w:vAlign w:val="center"/>
          </w:tcPr>
          <w:p w14:paraId="63A91A1A" w14:textId="77777777" w:rsidR="009811CC" w:rsidRPr="000D3090" w:rsidRDefault="009811CC" w:rsidP="009811CC">
            <w:pPr>
              <w:spacing w:after="0" w:line="240" w:lineRule="auto"/>
              <w:jc w:val="center"/>
              <w:rPr>
                <w:rFonts w:eastAsia="Times New Roman"/>
                <w:color w:val="000000"/>
                <w:sz w:val="18"/>
                <w:szCs w:val="18"/>
              </w:rPr>
            </w:pPr>
          </w:p>
        </w:tc>
        <w:tc>
          <w:tcPr>
            <w:tcW w:w="540" w:type="dxa"/>
            <w:tcBorders>
              <w:left w:val="nil"/>
              <w:right w:val="nil"/>
            </w:tcBorders>
            <w:shd w:val="clear" w:color="000000" w:fill="FFFFFF"/>
            <w:vAlign w:val="center"/>
          </w:tcPr>
          <w:p w14:paraId="695B39AD" w14:textId="77777777" w:rsidR="009811CC" w:rsidRPr="000D3090" w:rsidRDefault="009811CC" w:rsidP="009811CC">
            <w:pPr>
              <w:spacing w:after="0" w:line="240" w:lineRule="auto"/>
              <w:jc w:val="center"/>
              <w:rPr>
                <w:rFonts w:eastAsia="Times New Roman"/>
                <w:color w:val="000000"/>
                <w:sz w:val="18"/>
                <w:szCs w:val="18"/>
              </w:rPr>
            </w:pPr>
          </w:p>
        </w:tc>
        <w:tc>
          <w:tcPr>
            <w:tcW w:w="540" w:type="dxa"/>
            <w:tcBorders>
              <w:left w:val="nil"/>
              <w:right w:val="single" w:sz="12" w:space="0" w:color="auto"/>
            </w:tcBorders>
            <w:shd w:val="clear" w:color="000000" w:fill="FFFFFF"/>
            <w:vAlign w:val="center"/>
          </w:tcPr>
          <w:p w14:paraId="6BC080B4" w14:textId="77777777" w:rsidR="009811CC" w:rsidRPr="000D3090" w:rsidRDefault="009811CC" w:rsidP="009811CC">
            <w:pPr>
              <w:spacing w:after="0" w:line="240" w:lineRule="auto"/>
              <w:jc w:val="center"/>
              <w:rPr>
                <w:rFonts w:eastAsia="Times New Roman"/>
                <w:color w:val="000000"/>
                <w:sz w:val="18"/>
                <w:szCs w:val="18"/>
              </w:rPr>
            </w:pPr>
          </w:p>
        </w:tc>
        <w:tc>
          <w:tcPr>
            <w:tcW w:w="630" w:type="dxa"/>
            <w:tcBorders>
              <w:left w:val="single" w:sz="12" w:space="0" w:color="auto"/>
              <w:right w:val="nil"/>
            </w:tcBorders>
            <w:shd w:val="clear" w:color="000000" w:fill="FFFFFF"/>
            <w:vAlign w:val="center"/>
          </w:tcPr>
          <w:p w14:paraId="531677F2" w14:textId="77777777" w:rsidR="009811CC" w:rsidRPr="000D3090" w:rsidRDefault="009811CC" w:rsidP="009811CC">
            <w:pPr>
              <w:spacing w:after="0" w:line="240" w:lineRule="auto"/>
              <w:jc w:val="center"/>
              <w:rPr>
                <w:rFonts w:eastAsia="Times New Roman"/>
                <w:color w:val="000000"/>
                <w:sz w:val="18"/>
                <w:szCs w:val="18"/>
              </w:rPr>
            </w:pPr>
          </w:p>
        </w:tc>
        <w:tc>
          <w:tcPr>
            <w:tcW w:w="542" w:type="dxa"/>
            <w:tcBorders>
              <w:left w:val="nil"/>
              <w:right w:val="single" w:sz="12" w:space="0" w:color="auto"/>
            </w:tcBorders>
            <w:shd w:val="clear" w:color="000000" w:fill="FFFFFF"/>
            <w:vAlign w:val="center"/>
          </w:tcPr>
          <w:p w14:paraId="200450D0" w14:textId="77777777" w:rsidR="009811CC" w:rsidRPr="000D3090" w:rsidRDefault="009811CC" w:rsidP="009811CC">
            <w:pPr>
              <w:spacing w:after="0" w:line="240" w:lineRule="auto"/>
              <w:jc w:val="center"/>
              <w:rPr>
                <w:rFonts w:eastAsia="Times New Roman"/>
                <w:color w:val="000000"/>
                <w:sz w:val="18"/>
                <w:szCs w:val="18"/>
              </w:rPr>
            </w:pPr>
          </w:p>
        </w:tc>
      </w:tr>
      <w:tr w:rsidR="003F77D0" w:rsidRPr="000D3090" w14:paraId="4BFE3115" w14:textId="77777777" w:rsidTr="007155C4">
        <w:trPr>
          <w:trHeight w:val="20"/>
          <w:jc w:val="center"/>
        </w:trPr>
        <w:tc>
          <w:tcPr>
            <w:tcW w:w="2411" w:type="dxa"/>
            <w:tcBorders>
              <w:left w:val="single" w:sz="12" w:space="0" w:color="auto"/>
              <w:right w:val="single" w:sz="12" w:space="0" w:color="auto"/>
            </w:tcBorders>
            <w:shd w:val="clear" w:color="000000" w:fill="FFFFFF"/>
            <w:noWrap/>
            <w:vAlign w:val="center"/>
          </w:tcPr>
          <w:p w14:paraId="7A81286B" w14:textId="19D550E5"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 xml:space="preserve">     1 – 5</w:t>
            </w:r>
          </w:p>
        </w:tc>
        <w:tc>
          <w:tcPr>
            <w:tcW w:w="537" w:type="dxa"/>
            <w:tcBorders>
              <w:left w:val="single" w:sz="12" w:space="0" w:color="auto"/>
            </w:tcBorders>
            <w:shd w:val="clear" w:color="000000" w:fill="FFFFFF"/>
            <w:vAlign w:val="center"/>
          </w:tcPr>
          <w:p w14:paraId="47F87AD2" w14:textId="278D32B7" w:rsidR="009811CC" w:rsidRPr="000D3090" w:rsidRDefault="009811CC" w:rsidP="009811CC">
            <w:pPr>
              <w:spacing w:after="0" w:line="240" w:lineRule="auto"/>
              <w:jc w:val="center"/>
              <w:rPr>
                <w:color w:val="000000"/>
                <w:sz w:val="18"/>
                <w:szCs w:val="18"/>
              </w:rPr>
            </w:pPr>
            <w:r w:rsidRPr="000D3090">
              <w:rPr>
                <w:rFonts w:eastAsia="Times New Roman"/>
                <w:color w:val="000000"/>
                <w:sz w:val="18"/>
                <w:szCs w:val="18"/>
              </w:rPr>
              <w:t>--</w:t>
            </w:r>
          </w:p>
        </w:tc>
        <w:tc>
          <w:tcPr>
            <w:tcW w:w="541" w:type="dxa"/>
            <w:tcBorders>
              <w:left w:val="nil"/>
              <w:right w:val="single" w:sz="12" w:space="0" w:color="auto"/>
            </w:tcBorders>
            <w:shd w:val="clear" w:color="000000" w:fill="FFFFFF"/>
            <w:vAlign w:val="center"/>
          </w:tcPr>
          <w:p w14:paraId="228C9E23" w14:textId="6EDF61EE" w:rsidR="009811CC" w:rsidRPr="000D3090" w:rsidRDefault="009811CC" w:rsidP="009811CC">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left w:val="single" w:sz="12" w:space="0" w:color="auto"/>
              <w:right w:val="nil"/>
            </w:tcBorders>
            <w:shd w:val="clear" w:color="000000" w:fill="FFFFFF"/>
            <w:noWrap/>
            <w:vAlign w:val="center"/>
          </w:tcPr>
          <w:p w14:paraId="079B6203" w14:textId="0ABCE44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6F0BB087" w14:textId="0B8EDC6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2E802806" w14:textId="02AA1604"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058C4720" w14:textId="521B4C94"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71913B0A" w14:textId="7C559B4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6B92D31C" w14:textId="7B334856"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right w:val="nil"/>
            </w:tcBorders>
            <w:shd w:val="clear" w:color="000000" w:fill="FFFFFF"/>
            <w:noWrap/>
            <w:vAlign w:val="bottom"/>
          </w:tcPr>
          <w:p w14:paraId="7AB9C956" w14:textId="3EE402B8" w:rsidR="009811CC" w:rsidRPr="000D3090" w:rsidRDefault="009811CC" w:rsidP="009811CC">
            <w:pPr>
              <w:spacing w:after="0" w:line="240" w:lineRule="auto"/>
              <w:jc w:val="center"/>
              <w:rPr>
                <w:color w:val="000000"/>
                <w:sz w:val="18"/>
                <w:szCs w:val="18"/>
              </w:rPr>
            </w:pPr>
            <w:r w:rsidRPr="000D3090">
              <w:rPr>
                <w:color w:val="000000"/>
                <w:sz w:val="18"/>
                <w:szCs w:val="18"/>
              </w:rPr>
              <w:t>-0.18</w:t>
            </w:r>
          </w:p>
        </w:tc>
        <w:tc>
          <w:tcPr>
            <w:tcW w:w="450" w:type="dxa"/>
            <w:tcBorders>
              <w:left w:val="nil"/>
              <w:right w:val="single" w:sz="4" w:space="0" w:color="auto"/>
            </w:tcBorders>
            <w:shd w:val="clear" w:color="000000" w:fill="FFFFFF"/>
            <w:noWrap/>
            <w:vAlign w:val="bottom"/>
          </w:tcPr>
          <w:p w14:paraId="446DE54C" w14:textId="2DB1357F" w:rsidR="009811CC" w:rsidRPr="000D3090" w:rsidRDefault="009811CC" w:rsidP="009811CC">
            <w:pPr>
              <w:spacing w:after="0" w:line="240" w:lineRule="auto"/>
              <w:jc w:val="center"/>
              <w:rPr>
                <w:color w:val="000000"/>
                <w:sz w:val="18"/>
                <w:szCs w:val="18"/>
              </w:rPr>
            </w:pPr>
            <w:r w:rsidRPr="000D3090">
              <w:rPr>
                <w:color w:val="000000"/>
                <w:sz w:val="18"/>
                <w:szCs w:val="18"/>
              </w:rPr>
              <w:t>-1.58</w:t>
            </w:r>
          </w:p>
        </w:tc>
        <w:tc>
          <w:tcPr>
            <w:tcW w:w="540" w:type="dxa"/>
            <w:tcBorders>
              <w:left w:val="nil"/>
              <w:right w:val="nil"/>
            </w:tcBorders>
            <w:shd w:val="clear" w:color="000000" w:fill="FFFFFF"/>
            <w:noWrap/>
            <w:vAlign w:val="center"/>
          </w:tcPr>
          <w:p w14:paraId="47027498" w14:textId="5148BD4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443FB8D8" w14:textId="6E916D5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5BA31733" w14:textId="5C1C465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1ABDEC7A" w14:textId="43C3908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0325BBD9" w14:textId="3E7EB8B3" w:rsidR="009811CC" w:rsidRPr="000D3090" w:rsidRDefault="009811CC" w:rsidP="009811CC">
            <w:pPr>
              <w:spacing w:after="0" w:line="240" w:lineRule="auto"/>
              <w:jc w:val="center"/>
              <w:rPr>
                <w:color w:val="000000"/>
                <w:sz w:val="18"/>
                <w:szCs w:val="18"/>
              </w:rPr>
            </w:pPr>
            <w:r w:rsidRPr="000D3090">
              <w:rPr>
                <w:color w:val="000000"/>
                <w:sz w:val="18"/>
                <w:szCs w:val="18"/>
              </w:rPr>
              <w:t>-0.14</w:t>
            </w:r>
          </w:p>
        </w:tc>
        <w:tc>
          <w:tcPr>
            <w:tcW w:w="454" w:type="dxa"/>
            <w:tcBorders>
              <w:left w:val="nil"/>
              <w:right w:val="single" w:sz="4" w:space="0" w:color="auto"/>
            </w:tcBorders>
            <w:shd w:val="clear" w:color="000000" w:fill="FFFFFF"/>
            <w:noWrap/>
            <w:vAlign w:val="bottom"/>
          </w:tcPr>
          <w:p w14:paraId="59A417CC" w14:textId="44114356" w:rsidR="009811CC" w:rsidRPr="000D3090" w:rsidRDefault="009811CC" w:rsidP="009811CC">
            <w:pPr>
              <w:spacing w:after="0" w:line="240" w:lineRule="auto"/>
              <w:jc w:val="center"/>
              <w:rPr>
                <w:color w:val="000000"/>
                <w:sz w:val="18"/>
                <w:szCs w:val="18"/>
              </w:rPr>
            </w:pPr>
            <w:r w:rsidRPr="000D3090">
              <w:rPr>
                <w:color w:val="000000"/>
                <w:sz w:val="18"/>
                <w:szCs w:val="18"/>
              </w:rPr>
              <w:t>-1.99</w:t>
            </w:r>
          </w:p>
        </w:tc>
        <w:tc>
          <w:tcPr>
            <w:tcW w:w="540" w:type="dxa"/>
            <w:tcBorders>
              <w:left w:val="nil"/>
              <w:right w:val="nil"/>
            </w:tcBorders>
            <w:shd w:val="clear" w:color="000000" w:fill="FFFFFF"/>
            <w:noWrap/>
            <w:vAlign w:val="center"/>
          </w:tcPr>
          <w:p w14:paraId="0731CE26" w14:textId="1294AD8F"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1CBE348A" w14:textId="6CD3079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47F25678" w14:textId="76D7E281"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36EC063F" w14:textId="5319725D"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center"/>
          </w:tcPr>
          <w:p w14:paraId="17B871C3" w14:textId="12452B3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right w:val="single" w:sz="12" w:space="0" w:color="auto"/>
            </w:tcBorders>
            <w:shd w:val="clear" w:color="000000" w:fill="FFFFFF"/>
            <w:vAlign w:val="center"/>
          </w:tcPr>
          <w:p w14:paraId="19F0F546" w14:textId="0298614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3F77D0" w:rsidRPr="000D3090" w14:paraId="0B172EF5" w14:textId="77777777" w:rsidTr="007155C4">
        <w:trPr>
          <w:trHeight w:val="20"/>
          <w:jc w:val="center"/>
        </w:trPr>
        <w:tc>
          <w:tcPr>
            <w:tcW w:w="2411" w:type="dxa"/>
            <w:tcBorders>
              <w:left w:val="single" w:sz="12" w:space="0" w:color="auto"/>
              <w:right w:val="single" w:sz="12" w:space="0" w:color="auto"/>
            </w:tcBorders>
            <w:shd w:val="clear" w:color="000000" w:fill="FFFFFF"/>
            <w:noWrap/>
            <w:vAlign w:val="center"/>
          </w:tcPr>
          <w:p w14:paraId="07FE4C15" w14:textId="2AD8E1BF"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 xml:space="preserve">     6 – 10</w:t>
            </w:r>
          </w:p>
        </w:tc>
        <w:tc>
          <w:tcPr>
            <w:tcW w:w="537" w:type="dxa"/>
            <w:tcBorders>
              <w:left w:val="single" w:sz="12" w:space="0" w:color="auto"/>
            </w:tcBorders>
            <w:shd w:val="clear" w:color="000000" w:fill="FFFFFF"/>
            <w:vAlign w:val="bottom"/>
          </w:tcPr>
          <w:p w14:paraId="41B97C39" w14:textId="3374C660" w:rsidR="009811CC" w:rsidRPr="000D3090" w:rsidRDefault="009811CC" w:rsidP="009811CC">
            <w:pPr>
              <w:spacing w:after="0" w:line="240" w:lineRule="auto"/>
              <w:jc w:val="center"/>
              <w:rPr>
                <w:color w:val="000000"/>
                <w:sz w:val="18"/>
                <w:szCs w:val="18"/>
              </w:rPr>
            </w:pPr>
            <w:r w:rsidRPr="000D3090">
              <w:rPr>
                <w:color w:val="000000"/>
                <w:sz w:val="18"/>
                <w:szCs w:val="18"/>
              </w:rPr>
              <w:t>-0.30</w:t>
            </w:r>
          </w:p>
        </w:tc>
        <w:tc>
          <w:tcPr>
            <w:tcW w:w="541" w:type="dxa"/>
            <w:tcBorders>
              <w:left w:val="nil"/>
              <w:right w:val="single" w:sz="12" w:space="0" w:color="auto"/>
            </w:tcBorders>
            <w:shd w:val="clear" w:color="000000" w:fill="FFFFFF"/>
            <w:vAlign w:val="bottom"/>
          </w:tcPr>
          <w:p w14:paraId="03DF7233" w14:textId="51F88C83" w:rsidR="009811CC" w:rsidRPr="000D3090" w:rsidRDefault="009811CC" w:rsidP="009811CC">
            <w:pPr>
              <w:spacing w:after="0" w:line="240" w:lineRule="auto"/>
              <w:jc w:val="center"/>
              <w:rPr>
                <w:color w:val="000000"/>
                <w:sz w:val="18"/>
                <w:szCs w:val="18"/>
              </w:rPr>
            </w:pPr>
            <w:r w:rsidRPr="000D3090">
              <w:rPr>
                <w:color w:val="000000"/>
                <w:sz w:val="18"/>
                <w:szCs w:val="18"/>
              </w:rPr>
              <w:t>-6.40</w:t>
            </w:r>
          </w:p>
        </w:tc>
        <w:tc>
          <w:tcPr>
            <w:tcW w:w="539" w:type="dxa"/>
            <w:tcBorders>
              <w:left w:val="single" w:sz="12" w:space="0" w:color="auto"/>
              <w:right w:val="nil"/>
            </w:tcBorders>
            <w:shd w:val="clear" w:color="000000" w:fill="FFFFFF"/>
            <w:noWrap/>
            <w:vAlign w:val="center"/>
          </w:tcPr>
          <w:p w14:paraId="2E2CB9B0" w14:textId="26CB72E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04DC6065" w14:textId="6603FE01"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56AB2CC" w14:textId="4234506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95A071D" w14:textId="6BFCF8F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4DCFB68E" w14:textId="62E850D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49B4951" w14:textId="0571D64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right w:val="nil"/>
            </w:tcBorders>
            <w:shd w:val="clear" w:color="000000" w:fill="FFFFFF"/>
            <w:noWrap/>
            <w:vAlign w:val="bottom"/>
          </w:tcPr>
          <w:p w14:paraId="44587933" w14:textId="6FB5CAE5" w:rsidR="009811CC" w:rsidRPr="000D3090" w:rsidRDefault="009811CC" w:rsidP="009811CC">
            <w:pPr>
              <w:spacing w:after="0" w:line="240" w:lineRule="auto"/>
              <w:jc w:val="center"/>
              <w:rPr>
                <w:color w:val="000000"/>
                <w:sz w:val="18"/>
                <w:szCs w:val="18"/>
              </w:rPr>
            </w:pPr>
            <w:r w:rsidRPr="000D3090">
              <w:rPr>
                <w:color w:val="000000"/>
                <w:sz w:val="18"/>
                <w:szCs w:val="18"/>
              </w:rPr>
              <w:t>-0.23</w:t>
            </w:r>
          </w:p>
        </w:tc>
        <w:tc>
          <w:tcPr>
            <w:tcW w:w="450" w:type="dxa"/>
            <w:tcBorders>
              <w:left w:val="nil"/>
              <w:right w:val="single" w:sz="4" w:space="0" w:color="auto"/>
            </w:tcBorders>
            <w:shd w:val="clear" w:color="000000" w:fill="FFFFFF"/>
            <w:noWrap/>
            <w:vAlign w:val="bottom"/>
          </w:tcPr>
          <w:p w14:paraId="112E6C07" w14:textId="2304F462" w:rsidR="009811CC" w:rsidRPr="000D3090" w:rsidRDefault="009811CC" w:rsidP="009811CC">
            <w:pPr>
              <w:spacing w:after="0" w:line="240" w:lineRule="auto"/>
              <w:jc w:val="center"/>
              <w:rPr>
                <w:color w:val="000000"/>
                <w:sz w:val="18"/>
                <w:szCs w:val="18"/>
              </w:rPr>
            </w:pPr>
            <w:r w:rsidRPr="000D3090">
              <w:rPr>
                <w:color w:val="000000"/>
                <w:sz w:val="18"/>
                <w:szCs w:val="18"/>
              </w:rPr>
              <w:t>-1.29</w:t>
            </w:r>
          </w:p>
        </w:tc>
        <w:tc>
          <w:tcPr>
            <w:tcW w:w="540" w:type="dxa"/>
            <w:tcBorders>
              <w:left w:val="nil"/>
              <w:right w:val="nil"/>
            </w:tcBorders>
            <w:shd w:val="clear" w:color="000000" w:fill="FFFFFF"/>
            <w:noWrap/>
            <w:vAlign w:val="center"/>
          </w:tcPr>
          <w:p w14:paraId="3CF2FB7F" w14:textId="6B4E889B"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50A6FE65" w14:textId="3EDB9074"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317A3891" w14:textId="08418C9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8D8DE47" w14:textId="55BAECD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72D42E32" w14:textId="73902EE2" w:rsidR="009811CC" w:rsidRPr="000D3090" w:rsidRDefault="009811CC" w:rsidP="009811CC">
            <w:pPr>
              <w:spacing w:after="0" w:line="240" w:lineRule="auto"/>
              <w:jc w:val="center"/>
              <w:rPr>
                <w:color w:val="000000"/>
                <w:sz w:val="18"/>
                <w:szCs w:val="18"/>
              </w:rPr>
            </w:pPr>
            <w:r w:rsidRPr="000D3090">
              <w:rPr>
                <w:color w:val="000000"/>
                <w:sz w:val="18"/>
                <w:szCs w:val="18"/>
              </w:rPr>
              <w:t>-0.18</w:t>
            </w:r>
          </w:p>
        </w:tc>
        <w:tc>
          <w:tcPr>
            <w:tcW w:w="454" w:type="dxa"/>
            <w:tcBorders>
              <w:left w:val="nil"/>
              <w:right w:val="single" w:sz="4" w:space="0" w:color="auto"/>
            </w:tcBorders>
            <w:shd w:val="clear" w:color="000000" w:fill="FFFFFF"/>
            <w:noWrap/>
            <w:vAlign w:val="bottom"/>
          </w:tcPr>
          <w:p w14:paraId="50FD1D4A" w14:textId="6E601B8C" w:rsidR="009811CC" w:rsidRPr="000D3090" w:rsidRDefault="009811CC" w:rsidP="009811CC">
            <w:pPr>
              <w:spacing w:after="0" w:line="240" w:lineRule="auto"/>
              <w:jc w:val="center"/>
              <w:rPr>
                <w:color w:val="000000"/>
                <w:sz w:val="18"/>
                <w:szCs w:val="18"/>
              </w:rPr>
            </w:pPr>
            <w:r w:rsidRPr="000D3090">
              <w:rPr>
                <w:color w:val="000000"/>
                <w:sz w:val="18"/>
                <w:szCs w:val="18"/>
              </w:rPr>
              <w:t>-1.49</w:t>
            </w:r>
          </w:p>
        </w:tc>
        <w:tc>
          <w:tcPr>
            <w:tcW w:w="540" w:type="dxa"/>
            <w:tcBorders>
              <w:left w:val="nil"/>
              <w:right w:val="nil"/>
            </w:tcBorders>
            <w:shd w:val="clear" w:color="000000" w:fill="FFFFFF"/>
            <w:noWrap/>
            <w:vAlign w:val="center"/>
          </w:tcPr>
          <w:p w14:paraId="195973BB" w14:textId="77104E91"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17B98A3A" w14:textId="47A2F7B4"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43F89CE0" w14:textId="520584F0"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33A713FE" w14:textId="38C9CF2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center"/>
          </w:tcPr>
          <w:p w14:paraId="2BB6D037" w14:textId="311C7DC2"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right w:val="single" w:sz="12" w:space="0" w:color="auto"/>
            </w:tcBorders>
            <w:shd w:val="clear" w:color="000000" w:fill="FFFFFF"/>
            <w:vAlign w:val="center"/>
          </w:tcPr>
          <w:p w14:paraId="1F5E98C3" w14:textId="2D11419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9811CC" w:rsidRPr="000D3090" w14:paraId="0BC72BF0" w14:textId="77777777" w:rsidTr="007155C4">
        <w:trPr>
          <w:trHeight w:val="20"/>
          <w:jc w:val="center"/>
        </w:trPr>
        <w:tc>
          <w:tcPr>
            <w:tcW w:w="2411" w:type="dxa"/>
            <w:tcBorders>
              <w:left w:val="single" w:sz="12" w:space="0" w:color="auto"/>
              <w:right w:val="single" w:sz="12" w:space="0" w:color="auto"/>
            </w:tcBorders>
            <w:shd w:val="clear" w:color="000000" w:fill="FFFFFF"/>
            <w:noWrap/>
            <w:vAlign w:val="center"/>
          </w:tcPr>
          <w:p w14:paraId="14E5FD96" w14:textId="0A0ED81D" w:rsidR="009811CC" w:rsidRPr="000D3090" w:rsidDel="00AF3DDB" w:rsidRDefault="009811CC" w:rsidP="009811CC">
            <w:pPr>
              <w:spacing w:after="0" w:line="240" w:lineRule="auto"/>
              <w:rPr>
                <w:rFonts w:eastAsia="Times New Roman"/>
                <w:b/>
                <w:bCs/>
                <w:color w:val="000000"/>
                <w:sz w:val="18"/>
                <w:szCs w:val="18"/>
              </w:rPr>
            </w:pPr>
            <w:r w:rsidRPr="000D3090">
              <w:rPr>
                <w:rFonts w:eastAsia="Times New Roman"/>
                <w:color w:val="000000"/>
                <w:sz w:val="18"/>
                <w:szCs w:val="18"/>
              </w:rPr>
              <w:t xml:space="preserve">     More than 10</w:t>
            </w:r>
          </w:p>
        </w:tc>
        <w:tc>
          <w:tcPr>
            <w:tcW w:w="537" w:type="dxa"/>
            <w:tcBorders>
              <w:left w:val="single" w:sz="12" w:space="0" w:color="auto"/>
            </w:tcBorders>
            <w:shd w:val="clear" w:color="000000" w:fill="FFFFFF"/>
            <w:vAlign w:val="bottom"/>
          </w:tcPr>
          <w:p w14:paraId="563E2C8C" w14:textId="16B993A1" w:rsidR="009811CC" w:rsidRPr="000D3090" w:rsidRDefault="009811CC" w:rsidP="009811CC">
            <w:pPr>
              <w:spacing w:after="0" w:line="240" w:lineRule="auto"/>
              <w:jc w:val="center"/>
              <w:rPr>
                <w:color w:val="000000"/>
                <w:sz w:val="18"/>
                <w:szCs w:val="18"/>
              </w:rPr>
            </w:pPr>
            <w:r w:rsidRPr="000D3090">
              <w:rPr>
                <w:color w:val="000000"/>
                <w:sz w:val="18"/>
                <w:szCs w:val="18"/>
              </w:rPr>
              <w:t>-0.35</w:t>
            </w:r>
          </w:p>
        </w:tc>
        <w:tc>
          <w:tcPr>
            <w:tcW w:w="541" w:type="dxa"/>
            <w:tcBorders>
              <w:left w:val="nil"/>
              <w:right w:val="single" w:sz="12" w:space="0" w:color="auto"/>
            </w:tcBorders>
            <w:shd w:val="clear" w:color="000000" w:fill="FFFFFF"/>
            <w:vAlign w:val="bottom"/>
          </w:tcPr>
          <w:p w14:paraId="2A3FD485" w14:textId="75CF3F83" w:rsidR="009811CC" w:rsidRPr="000D3090" w:rsidRDefault="009811CC" w:rsidP="009811CC">
            <w:pPr>
              <w:spacing w:after="0" w:line="240" w:lineRule="auto"/>
              <w:jc w:val="center"/>
              <w:rPr>
                <w:color w:val="000000"/>
                <w:sz w:val="18"/>
                <w:szCs w:val="18"/>
              </w:rPr>
            </w:pPr>
            <w:r w:rsidRPr="000D3090">
              <w:rPr>
                <w:color w:val="000000"/>
                <w:sz w:val="18"/>
                <w:szCs w:val="18"/>
              </w:rPr>
              <w:t>-4.99</w:t>
            </w:r>
          </w:p>
        </w:tc>
        <w:tc>
          <w:tcPr>
            <w:tcW w:w="539" w:type="dxa"/>
            <w:tcBorders>
              <w:left w:val="single" w:sz="12" w:space="0" w:color="auto"/>
              <w:right w:val="nil"/>
            </w:tcBorders>
            <w:shd w:val="clear" w:color="000000" w:fill="FFFFFF"/>
            <w:noWrap/>
            <w:vAlign w:val="center"/>
          </w:tcPr>
          <w:p w14:paraId="6DC8CE1A" w14:textId="00314ADC"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right w:val="single" w:sz="4" w:space="0" w:color="auto"/>
            </w:tcBorders>
            <w:shd w:val="clear" w:color="000000" w:fill="FFFFFF"/>
            <w:noWrap/>
            <w:vAlign w:val="center"/>
          </w:tcPr>
          <w:p w14:paraId="4B97A8D7" w14:textId="7E11908B"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4352171" w14:textId="02E30E4D"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55509DA7" w14:textId="5BA84DC1"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10BCF2F3" w14:textId="62BBBE4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3BC1219B" w14:textId="577FA07A"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right w:val="nil"/>
            </w:tcBorders>
            <w:shd w:val="clear" w:color="000000" w:fill="FFFFFF"/>
            <w:noWrap/>
            <w:vAlign w:val="bottom"/>
          </w:tcPr>
          <w:p w14:paraId="7B32FC2A" w14:textId="3ADE57DB" w:rsidR="009811CC" w:rsidRPr="000D3090" w:rsidRDefault="009811CC" w:rsidP="009811CC">
            <w:pPr>
              <w:spacing w:after="0" w:line="240" w:lineRule="auto"/>
              <w:jc w:val="center"/>
              <w:rPr>
                <w:color w:val="000000"/>
                <w:sz w:val="18"/>
                <w:szCs w:val="18"/>
              </w:rPr>
            </w:pPr>
            <w:r w:rsidRPr="000D3090">
              <w:rPr>
                <w:color w:val="000000"/>
                <w:sz w:val="18"/>
                <w:szCs w:val="18"/>
              </w:rPr>
              <w:t>-0.38</w:t>
            </w:r>
          </w:p>
        </w:tc>
        <w:tc>
          <w:tcPr>
            <w:tcW w:w="450" w:type="dxa"/>
            <w:tcBorders>
              <w:left w:val="nil"/>
              <w:right w:val="single" w:sz="4" w:space="0" w:color="auto"/>
            </w:tcBorders>
            <w:shd w:val="clear" w:color="000000" w:fill="FFFFFF"/>
            <w:noWrap/>
            <w:vAlign w:val="bottom"/>
          </w:tcPr>
          <w:p w14:paraId="6E00D4AF" w14:textId="09FC6791" w:rsidR="009811CC" w:rsidRPr="000D3090" w:rsidRDefault="009811CC" w:rsidP="009811CC">
            <w:pPr>
              <w:spacing w:after="0" w:line="240" w:lineRule="auto"/>
              <w:jc w:val="center"/>
              <w:rPr>
                <w:color w:val="000000"/>
                <w:sz w:val="18"/>
                <w:szCs w:val="18"/>
              </w:rPr>
            </w:pPr>
            <w:r w:rsidRPr="000D3090">
              <w:rPr>
                <w:color w:val="000000"/>
                <w:sz w:val="18"/>
                <w:szCs w:val="18"/>
              </w:rPr>
              <w:t>-1.49</w:t>
            </w:r>
          </w:p>
        </w:tc>
        <w:tc>
          <w:tcPr>
            <w:tcW w:w="540" w:type="dxa"/>
            <w:tcBorders>
              <w:left w:val="nil"/>
              <w:right w:val="nil"/>
            </w:tcBorders>
            <w:shd w:val="clear" w:color="000000" w:fill="FFFFFF"/>
            <w:noWrap/>
            <w:vAlign w:val="center"/>
          </w:tcPr>
          <w:p w14:paraId="30EC407A" w14:textId="36CBFBD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2724862" w14:textId="4A88D90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center"/>
          </w:tcPr>
          <w:p w14:paraId="254FBD0E" w14:textId="7EFA68F5"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right w:val="single" w:sz="4" w:space="0" w:color="auto"/>
            </w:tcBorders>
            <w:shd w:val="clear" w:color="000000" w:fill="FFFFFF"/>
            <w:noWrap/>
            <w:vAlign w:val="center"/>
          </w:tcPr>
          <w:p w14:paraId="7F1499D3" w14:textId="67997E8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noWrap/>
            <w:vAlign w:val="bottom"/>
          </w:tcPr>
          <w:p w14:paraId="545E2864" w14:textId="4413594D" w:rsidR="009811CC" w:rsidRPr="000D3090" w:rsidRDefault="009811CC" w:rsidP="009811CC">
            <w:pPr>
              <w:spacing w:after="0" w:line="240" w:lineRule="auto"/>
              <w:jc w:val="center"/>
              <w:rPr>
                <w:color w:val="000000"/>
                <w:sz w:val="18"/>
                <w:szCs w:val="18"/>
              </w:rPr>
            </w:pPr>
            <w:r w:rsidRPr="000D3090">
              <w:rPr>
                <w:color w:val="000000"/>
                <w:sz w:val="18"/>
                <w:szCs w:val="18"/>
              </w:rPr>
              <w:t>-0.24</w:t>
            </w:r>
          </w:p>
        </w:tc>
        <w:tc>
          <w:tcPr>
            <w:tcW w:w="454" w:type="dxa"/>
            <w:tcBorders>
              <w:left w:val="nil"/>
              <w:right w:val="single" w:sz="4" w:space="0" w:color="auto"/>
            </w:tcBorders>
            <w:shd w:val="clear" w:color="000000" w:fill="FFFFFF"/>
            <w:noWrap/>
            <w:vAlign w:val="bottom"/>
          </w:tcPr>
          <w:p w14:paraId="3B405E2B" w14:textId="34609815" w:rsidR="009811CC" w:rsidRPr="000D3090" w:rsidRDefault="009811CC" w:rsidP="009811CC">
            <w:pPr>
              <w:spacing w:after="0" w:line="240" w:lineRule="auto"/>
              <w:jc w:val="center"/>
              <w:rPr>
                <w:color w:val="000000"/>
                <w:sz w:val="18"/>
                <w:szCs w:val="18"/>
              </w:rPr>
            </w:pPr>
            <w:r w:rsidRPr="000D3090">
              <w:rPr>
                <w:color w:val="000000"/>
                <w:sz w:val="18"/>
                <w:szCs w:val="18"/>
              </w:rPr>
              <w:t>-1.32</w:t>
            </w:r>
          </w:p>
        </w:tc>
        <w:tc>
          <w:tcPr>
            <w:tcW w:w="540" w:type="dxa"/>
            <w:tcBorders>
              <w:left w:val="nil"/>
              <w:right w:val="nil"/>
            </w:tcBorders>
            <w:shd w:val="clear" w:color="000000" w:fill="FFFFFF"/>
            <w:noWrap/>
            <w:vAlign w:val="center"/>
          </w:tcPr>
          <w:p w14:paraId="2F69694B" w14:textId="5B1B2197"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right w:val="single" w:sz="12" w:space="0" w:color="auto"/>
            </w:tcBorders>
            <w:shd w:val="clear" w:color="000000" w:fill="FFFFFF"/>
            <w:noWrap/>
            <w:vAlign w:val="center"/>
          </w:tcPr>
          <w:p w14:paraId="79F93BA2" w14:textId="3AE48A0D"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right w:val="nil"/>
            </w:tcBorders>
            <w:shd w:val="clear" w:color="000000" w:fill="FFFFFF"/>
            <w:vAlign w:val="center"/>
          </w:tcPr>
          <w:p w14:paraId="6971AA70" w14:textId="6C90F9A6"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right w:val="single" w:sz="12" w:space="0" w:color="auto"/>
            </w:tcBorders>
            <w:shd w:val="clear" w:color="000000" w:fill="FFFFFF"/>
            <w:vAlign w:val="center"/>
          </w:tcPr>
          <w:p w14:paraId="48A47CCE" w14:textId="10C648D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right w:val="nil"/>
            </w:tcBorders>
            <w:shd w:val="clear" w:color="000000" w:fill="FFFFFF"/>
            <w:vAlign w:val="center"/>
          </w:tcPr>
          <w:p w14:paraId="6954B6D0" w14:textId="21E563E8"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right w:val="single" w:sz="12" w:space="0" w:color="auto"/>
            </w:tcBorders>
            <w:shd w:val="clear" w:color="000000" w:fill="FFFFFF"/>
            <w:vAlign w:val="center"/>
          </w:tcPr>
          <w:p w14:paraId="71F62A71" w14:textId="78368229" w:rsidR="009811CC" w:rsidRPr="000D3090" w:rsidRDefault="009811CC" w:rsidP="009811CC">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AF3DDB" w:rsidRPr="000D3090" w14:paraId="3DDA0B92" w14:textId="77777777" w:rsidTr="00B425AD">
        <w:trPr>
          <w:trHeight w:val="20"/>
          <w:jc w:val="center"/>
        </w:trPr>
        <w:tc>
          <w:tcPr>
            <w:tcW w:w="2411" w:type="dxa"/>
            <w:tcBorders>
              <w:top w:val="single" w:sz="4" w:space="0" w:color="auto"/>
              <w:left w:val="single" w:sz="12" w:space="0" w:color="auto"/>
              <w:right w:val="single" w:sz="12" w:space="0" w:color="auto"/>
            </w:tcBorders>
            <w:shd w:val="clear" w:color="000000" w:fill="FFFFFF"/>
            <w:noWrap/>
            <w:vAlign w:val="center"/>
          </w:tcPr>
          <w:p w14:paraId="20313CCB" w14:textId="709BA018" w:rsidR="00AF3DDB" w:rsidRPr="000D3090" w:rsidRDefault="00AF3DDB" w:rsidP="00AF3DDB">
            <w:pPr>
              <w:spacing w:after="0" w:line="240" w:lineRule="auto"/>
              <w:rPr>
                <w:rFonts w:eastAsia="Times New Roman"/>
                <w:b/>
                <w:bCs/>
                <w:color w:val="000000"/>
                <w:sz w:val="18"/>
                <w:szCs w:val="18"/>
              </w:rPr>
            </w:pPr>
            <w:r w:rsidRPr="000D3090">
              <w:rPr>
                <w:rFonts w:eastAsia="Times New Roman"/>
                <w:b/>
                <w:bCs/>
                <w:color w:val="000000"/>
                <w:sz w:val="18"/>
                <w:szCs w:val="18"/>
              </w:rPr>
              <w:t>Correlations</w:t>
            </w:r>
          </w:p>
        </w:tc>
        <w:tc>
          <w:tcPr>
            <w:tcW w:w="537" w:type="dxa"/>
            <w:tcBorders>
              <w:top w:val="single" w:sz="4" w:space="0" w:color="auto"/>
              <w:left w:val="single" w:sz="12" w:space="0" w:color="auto"/>
            </w:tcBorders>
            <w:shd w:val="clear" w:color="000000" w:fill="FFFFFF"/>
            <w:vAlign w:val="bottom"/>
          </w:tcPr>
          <w:p w14:paraId="1BF602E7" w14:textId="77777777" w:rsidR="00AF3DDB" w:rsidRPr="000D3090" w:rsidRDefault="00AF3DDB" w:rsidP="00AF3DDB">
            <w:pPr>
              <w:spacing w:after="0" w:line="240" w:lineRule="auto"/>
              <w:jc w:val="center"/>
              <w:rPr>
                <w:color w:val="000000"/>
                <w:sz w:val="18"/>
                <w:szCs w:val="18"/>
              </w:rPr>
            </w:pPr>
          </w:p>
        </w:tc>
        <w:tc>
          <w:tcPr>
            <w:tcW w:w="541" w:type="dxa"/>
            <w:tcBorders>
              <w:top w:val="single" w:sz="4" w:space="0" w:color="auto"/>
              <w:left w:val="nil"/>
              <w:right w:val="single" w:sz="12" w:space="0" w:color="auto"/>
            </w:tcBorders>
            <w:shd w:val="clear" w:color="000000" w:fill="FFFFFF"/>
            <w:vAlign w:val="bottom"/>
          </w:tcPr>
          <w:p w14:paraId="47DA1283" w14:textId="77777777" w:rsidR="00AF3DDB" w:rsidRPr="000D3090" w:rsidRDefault="00AF3DDB" w:rsidP="00AF3DDB">
            <w:pPr>
              <w:spacing w:after="0" w:line="240" w:lineRule="auto"/>
              <w:jc w:val="center"/>
              <w:rPr>
                <w:color w:val="000000"/>
                <w:sz w:val="18"/>
                <w:szCs w:val="18"/>
              </w:rPr>
            </w:pPr>
          </w:p>
        </w:tc>
        <w:tc>
          <w:tcPr>
            <w:tcW w:w="539" w:type="dxa"/>
            <w:tcBorders>
              <w:top w:val="single" w:sz="4" w:space="0" w:color="auto"/>
              <w:left w:val="single" w:sz="12" w:space="0" w:color="auto"/>
              <w:right w:val="nil"/>
            </w:tcBorders>
            <w:shd w:val="clear" w:color="000000" w:fill="FFFFFF"/>
            <w:noWrap/>
            <w:vAlign w:val="center"/>
          </w:tcPr>
          <w:p w14:paraId="14050715" w14:textId="77777777" w:rsidR="00AF3DDB" w:rsidRPr="000D3090" w:rsidRDefault="00AF3DDB" w:rsidP="00AF3DDB">
            <w:pPr>
              <w:spacing w:after="0" w:line="240" w:lineRule="auto"/>
              <w:jc w:val="center"/>
              <w:rPr>
                <w:rFonts w:eastAsia="Times New Roman"/>
                <w:color w:val="000000"/>
                <w:sz w:val="18"/>
                <w:szCs w:val="18"/>
              </w:rPr>
            </w:pPr>
          </w:p>
        </w:tc>
        <w:tc>
          <w:tcPr>
            <w:tcW w:w="449" w:type="dxa"/>
            <w:tcBorders>
              <w:top w:val="single" w:sz="4" w:space="0" w:color="auto"/>
              <w:left w:val="nil"/>
              <w:right w:val="single" w:sz="4" w:space="0" w:color="auto"/>
            </w:tcBorders>
            <w:shd w:val="clear" w:color="000000" w:fill="FFFFFF"/>
            <w:noWrap/>
            <w:vAlign w:val="center"/>
          </w:tcPr>
          <w:p w14:paraId="1FED5BCA"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right w:val="nil"/>
            </w:tcBorders>
            <w:shd w:val="clear" w:color="000000" w:fill="FFFFFF"/>
            <w:noWrap/>
            <w:vAlign w:val="center"/>
          </w:tcPr>
          <w:p w14:paraId="6FE71FD5"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right w:val="single" w:sz="4" w:space="0" w:color="auto"/>
            </w:tcBorders>
            <w:shd w:val="clear" w:color="000000" w:fill="FFFFFF"/>
            <w:noWrap/>
            <w:vAlign w:val="center"/>
          </w:tcPr>
          <w:p w14:paraId="10BD2B36"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right w:val="nil"/>
            </w:tcBorders>
            <w:shd w:val="clear" w:color="000000" w:fill="FFFFFF"/>
            <w:noWrap/>
            <w:vAlign w:val="center"/>
          </w:tcPr>
          <w:p w14:paraId="442F81C5"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right w:val="single" w:sz="4" w:space="0" w:color="auto"/>
            </w:tcBorders>
            <w:shd w:val="clear" w:color="000000" w:fill="FFFFFF"/>
            <w:noWrap/>
            <w:vAlign w:val="center"/>
          </w:tcPr>
          <w:p w14:paraId="6D924385" w14:textId="77777777" w:rsidR="00AF3DDB" w:rsidRPr="000D3090" w:rsidRDefault="00AF3DDB" w:rsidP="00AF3DDB">
            <w:pPr>
              <w:spacing w:after="0" w:line="240" w:lineRule="auto"/>
              <w:jc w:val="center"/>
              <w:rPr>
                <w:rFonts w:eastAsia="Times New Roman"/>
                <w:color w:val="000000"/>
                <w:sz w:val="18"/>
                <w:szCs w:val="18"/>
              </w:rPr>
            </w:pPr>
          </w:p>
        </w:tc>
        <w:tc>
          <w:tcPr>
            <w:tcW w:w="548" w:type="dxa"/>
            <w:tcBorders>
              <w:top w:val="single" w:sz="4" w:space="0" w:color="auto"/>
              <w:left w:val="nil"/>
              <w:right w:val="nil"/>
            </w:tcBorders>
            <w:shd w:val="clear" w:color="000000" w:fill="FFFFFF"/>
            <w:noWrap/>
            <w:vAlign w:val="bottom"/>
          </w:tcPr>
          <w:p w14:paraId="1F35472B" w14:textId="77777777" w:rsidR="00AF3DDB" w:rsidRPr="000D3090" w:rsidRDefault="00AF3DDB" w:rsidP="00AF3DDB">
            <w:pPr>
              <w:spacing w:after="0" w:line="240" w:lineRule="auto"/>
              <w:jc w:val="center"/>
              <w:rPr>
                <w:color w:val="000000"/>
                <w:sz w:val="18"/>
                <w:szCs w:val="18"/>
              </w:rPr>
            </w:pPr>
          </w:p>
        </w:tc>
        <w:tc>
          <w:tcPr>
            <w:tcW w:w="450" w:type="dxa"/>
            <w:tcBorders>
              <w:top w:val="single" w:sz="4" w:space="0" w:color="auto"/>
              <w:left w:val="nil"/>
              <w:right w:val="single" w:sz="4" w:space="0" w:color="auto"/>
            </w:tcBorders>
            <w:shd w:val="clear" w:color="000000" w:fill="FFFFFF"/>
            <w:noWrap/>
            <w:vAlign w:val="bottom"/>
          </w:tcPr>
          <w:p w14:paraId="59F80E37" w14:textId="77777777" w:rsidR="00AF3DDB" w:rsidRPr="000D3090" w:rsidRDefault="00AF3DDB" w:rsidP="00AF3DDB">
            <w:pPr>
              <w:spacing w:after="0" w:line="240" w:lineRule="auto"/>
              <w:jc w:val="center"/>
              <w:rPr>
                <w:color w:val="000000"/>
                <w:sz w:val="18"/>
                <w:szCs w:val="18"/>
              </w:rPr>
            </w:pPr>
          </w:p>
        </w:tc>
        <w:tc>
          <w:tcPr>
            <w:tcW w:w="540" w:type="dxa"/>
            <w:tcBorders>
              <w:top w:val="single" w:sz="4" w:space="0" w:color="auto"/>
              <w:left w:val="nil"/>
              <w:right w:val="nil"/>
            </w:tcBorders>
            <w:shd w:val="clear" w:color="000000" w:fill="FFFFFF"/>
            <w:noWrap/>
            <w:vAlign w:val="center"/>
          </w:tcPr>
          <w:p w14:paraId="1C464CC4"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right w:val="single" w:sz="4" w:space="0" w:color="auto"/>
            </w:tcBorders>
            <w:shd w:val="clear" w:color="000000" w:fill="FFFFFF"/>
            <w:noWrap/>
            <w:vAlign w:val="center"/>
          </w:tcPr>
          <w:p w14:paraId="4FFBCD8C"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right w:val="nil"/>
            </w:tcBorders>
            <w:shd w:val="clear" w:color="000000" w:fill="FFFFFF"/>
            <w:noWrap/>
            <w:vAlign w:val="center"/>
          </w:tcPr>
          <w:p w14:paraId="0A09659B" w14:textId="77777777" w:rsidR="00AF3DDB" w:rsidRPr="000D3090" w:rsidRDefault="00AF3DDB" w:rsidP="00AF3DDB">
            <w:pPr>
              <w:spacing w:after="0" w:line="240" w:lineRule="auto"/>
              <w:jc w:val="center"/>
              <w:rPr>
                <w:rFonts w:eastAsia="Times New Roman"/>
                <w:color w:val="000000"/>
                <w:sz w:val="18"/>
                <w:szCs w:val="18"/>
              </w:rPr>
            </w:pPr>
          </w:p>
        </w:tc>
        <w:tc>
          <w:tcPr>
            <w:tcW w:w="450" w:type="dxa"/>
            <w:tcBorders>
              <w:top w:val="single" w:sz="4" w:space="0" w:color="auto"/>
              <w:left w:val="nil"/>
              <w:right w:val="single" w:sz="4" w:space="0" w:color="auto"/>
            </w:tcBorders>
            <w:shd w:val="clear" w:color="000000" w:fill="FFFFFF"/>
            <w:noWrap/>
            <w:vAlign w:val="center"/>
          </w:tcPr>
          <w:p w14:paraId="258B9472"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right w:val="nil"/>
            </w:tcBorders>
            <w:shd w:val="clear" w:color="000000" w:fill="FFFFFF"/>
            <w:noWrap/>
            <w:vAlign w:val="bottom"/>
          </w:tcPr>
          <w:p w14:paraId="76CAA889" w14:textId="77777777" w:rsidR="00AF3DDB" w:rsidRPr="000D3090" w:rsidRDefault="00AF3DDB" w:rsidP="00AF3DDB">
            <w:pPr>
              <w:spacing w:after="0" w:line="240" w:lineRule="auto"/>
              <w:jc w:val="center"/>
              <w:rPr>
                <w:color w:val="000000"/>
                <w:sz w:val="18"/>
                <w:szCs w:val="18"/>
              </w:rPr>
            </w:pPr>
          </w:p>
        </w:tc>
        <w:tc>
          <w:tcPr>
            <w:tcW w:w="454" w:type="dxa"/>
            <w:tcBorders>
              <w:top w:val="single" w:sz="4" w:space="0" w:color="auto"/>
              <w:left w:val="nil"/>
              <w:right w:val="single" w:sz="4" w:space="0" w:color="auto"/>
            </w:tcBorders>
            <w:shd w:val="clear" w:color="000000" w:fill="FFFFFF"/>
            <w:noWrap/>
            <w:vAlign w:val="bottom"/>
          </w:tcPr>
          <w:p w14:paraId="57B088C7" w14:textId="77777777" w:rsidR="00AF3DDB" w:rsidRPr="000D3090" w:rsidRDefault="00AF3DDB" w:rsidP="00AF3DDB">
            <w:pPr>
              <w:spacing w:after="0" w:line="240" w:lineRule="auto"/>
              <w:jc w:val="center"/>
              <w:rPr>
                <w:color w:val="000000"/>
                <w:sz w:val="18"/>
                <w:szCs w:val="18"/>
              </w:rPr>
            </w:pPr>
          </w:p>
        </w:tc>
        <w:tc>
          <w:tcPr>
            <w:tcW w:w="540" w:type="dxa"/>
            <w:tcBorders>
              <w:top w:val="single" w:sz="4" w:space="0" w:color="auto"/>
              <w:left w:val="nil"/>
              <w:right w:val="nil"/>
            </w:tcBorders>
            <w:shd w:val="clear" w:color="000000" w:fill="FFFFFF"/>
            <w:noWrap/>
            <w:vAlign w:val="center"/>
          </w:tcPr>
          <w:p w14:paraId="2A7C219F" w14:textId="77777777" w:rsidR="00AF3DDB" w:rsidRPr="000D3090" w:rsidRDefault="00AF3DDB" w:rsidP="00AF3DDB">
            <w:pPr>
              <w:spacing w:after="0" w:line="240" w:lineRule="auto"/>
              <w:jc w:val="center"/>
              <w:rPr>
                <w:rFonts w:eastAsia="Times New Roman"/>
                <w:color w:val="000000"/>
                <w:sz w:val="18"/>
                <w:szCs w:val="18"/>
              </w:rPr>
            </w:pPr>
          </w:p>
        </w:tc>
        <w:tc>
          <w:tcPr>
            <w:tcW w:w="456" w:type="dxa"/>
            <w:tcBorders>
              <w:top w:val="single" w:sz="4" w:space="0" w:color="auto"/>
              <w:left w:val="nil"/>
              <w:right w:val="single" w:sz="12" w:space="0" w:color="auto"/>
            </w:tcBorders>
            <w:shd w:val="clear" w:color="000000" w:fill="FFFFFF"/>
            <w:noWrap/>
            <w:vAlign w:val="center"/>
          </w:tcPr>
          <w:p w14:paraId="772296BE"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right w:val="nil"/>
            </w:tcBorders>
            <w:shd w:val="clear" w:color="000000" w:fill="FFFFFF"/>
            <w:vAlign w:val="center"/>
          </w:tcPr>
          <w:p w14:paraId="04FDE9E4" w14:textId="77777777" w:rsidR="00AF3DDB" w:rsidRPr="000D3090" w:rsidRDefault="00AF3DDB" w:rsidP="00AF3DDB">
            <w:pPr>
              <w:spacing w:after="0" w:line="240" w:lineRule="auto"/>
              <w:jc w:val="center"/>
              <w:rPr>
                <w:rFonts w:eastAsia="Times New Roman"/>
                <w:color w:val="000000"/>
                <w:sz w:val="18"/>
                <w:szCs w:val="18"/>
              </w:rPr>
            </w:pPr>
          </w:p>
        </w:tc>
        <w:tc>
          <w:tcPr>
            <w:tcW w:w="540" w:type="dxa"/>
            <w:tcBorders>
              <w:top w:val="single" w:sz="4" w:space="0" w:color="auto"/>
              <w:left w:val="nil"/>
              <w:right w:val="single" w:sz="12" w:space="0" w:color="auto"/>
            </w:tcBorders>
            <w:shd w:val="clear" w:color="000000" w:fill="FFFFFF"/>
            <w:vAlign w:val="center"/>
          </w:tcPr>
          <w:p w14:paraId="1C0294D7" w14:textId="77777777" w:rsidR="00AF3DDB" w:rsidRPr="000D3090" w:rsidRDefault="00AF3DDB" w:rsidP="00AF3DDB">
            <w:pPr>
              <w:spacing w:after="0" w:line="240" w:lineRule="auto"/>
              <w:jc w:val="center"/>
              <w:rPr>
                <w:rFonts w:eastAsia="Times New Roman"/>
                <w:color w:val="000000"/>
                <w:sz w:val="18"/>
                <w:szCs w:val="18"/>
              </w:rPr>
            </w:pPr>
          </w:p>
        </w:tc>
        <w:tc>
          <w:tcPr>
            <w:tcW w:w="630" w:type="dxa"/>
            <w:tcBorders>
              <w:top w:val="single" w:sz="4" w:space="0" w:color="auto"/>
              <w:left w:val="single" w:sz="12" w:space="0" w:color="auto"/>
              <w:right w:val="nil"/>
            </w:tcBorders>
            <w:shd w:val="clear" w:color="000000" w:fill="FFFFFF"/>
            <w:vAlign w:val="center"/>
          </w:tcPr>
          <w:p w14:paraId="2A14BABF" w14:textId="77777777" w:rsidR="00AF3DDB" w:rsidRPr="000D3090" w:rsidRDefault="00AF3DDB" w:rsidP="00AF3DDB">
            <w:pPr>
              <w:spacing w:after="0" w:line="240" w:lineRule="auto"/>
              <w:jc w:val="center"/>
              <w:rPr>
                <w:rFonts w:eastAsia="Times New Roman"/>
                <w:color w:val="000000"/>
                <w:sz w:val="18"/>
                <w:szCs w:val="18"/>
              </w:rPr>
            </w:pPr>
          </w:p>
        </w:tc>
        <w:tc>
          <w:tcPr>
            <w:tcW w:w="542" w:type="dxa"/>
            <w:tcBorders>
              <w:top w:val="single" w:sz="4" w:space="0" w:color="auto"/>
              <w:left w:val="nil"/>
              <w:right w:val="single" w:sz="12" w:space="0" w:color="auto"/>
            </w:tcBorders>
            <w:shd w:val="clear" w:color="000000" w:fill="FFFFFF"/>
            <w:vAlign w:val="center"/>
          </w:tcPr>
          <w:p w14:paraId="784D0587" w14:textId="77777777" w:rsidR="00AF3DDB" w:rsidRPr="000D3090" w:rsidRDefault="00AF3DDB" w:rsidP="00AF3DDB">
            <w:pPr>
              <w:spacing w:after="0" w:line="240" w:lineRule="auto"/>
              <w:jc w:val="center"/>
              <w:rPr>
                <w:rFonts w:eastAsia="Times New Roman"/>
                <w:color w:val="000000"/>
                <w:sz w:val="18"/>
                <w:szCs w:val="18"/>
              </w:rPr>
            </w:pPr>
          </w:p>
        </w:tc>
      </w:tr>
      <w:tr w:rsidR="00AF3DDB" w:rsidRPr="000D3090" w14:paraId="2782ABF1" w14:textId="77777777" w:rsidTr="00B425AD">
        <w:trPr>
          <w:trHeight w:val="20"/>
          <w:jc w:val="center"/>
        </w:trPr>
        <w:tc>
          <w:tcPr>
            <w:tcW w:w="2411" w:type="dxa"/>
            <w:tcBorders>
              <w:left w:val="single" w:sz="12" w:space="0" w:color="auto"/>
              <w:bottom w:val="nil"/>
              <w:right w:val="single" w:sz="12" w:space="0" w:color="auto"/>
            </w:tcBorders>
            <w:shd w:val="clear" w:color="000000" w:fill="FFFFFF"/>
            <w:noWrap/>
            <w:vAlign w:val="center"/>
          </w:tcPr>
          <w:p w14:paraId="2F0140AA" w14:textId="77777777"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PPD</w:t>
            </w:r>
          </w:p>
        </w:tc>
        <w:tc>
          <w:tcPr>
            <w:tcW w:w="537" w:type="dxa"/>
            <w:tcBorders>
              <w:left w:val="single" w:sz="12" w:space="0" w:color="auto"/>
              <w:bottom w:val="nil"/>
            </w:tcBorders>
            <w:shd w:val="clear" w:color="000000" w:fill="FFFFFF"/>
            <w:vAlign w:val="center"/>
          </w:tcPr>
          <w:p w14:paraId="5E1A831C"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1.00</w:t>
            </w:r>
          </w:p>
        </w:tc>
        <w:tc>
          <w:tcPr>
            <w:tcW w:w="541" w:type="dxa"/>
            <w:tcBorders>
              <w:left w:val="nil"/>
              <w:bottom w:val="nil"/>
              <w:right w:val="single" w:sz="12" w:space="0" w:color="auto"/>
            </w:tcBorders>
            <w:shd w:val="clear" w:color="000000" w:fill="FFFFFF"/>
            <w:vAlign w:val="center"/>
          </w:tcPr>
          <w:p w14:paraId="3A24C2B5"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left w:val="single" w:sz="12" w:space="0" w:color="auto"/>
              <w:bottom w:val="nil"/>
              <w:right w:val="nil"/>
            </w:tcBorders>
            <w:shd w:val="clear" w:color="000000" w:fill="FFFFFF"/>
            <w:noWrap/>
            <w:vAlign w:val="center"/>
          </w:tcPr>
          <w:p w14:paraId="2F4E650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49" w:type="dxa"/>
            <w:tcBorders>
              <w:left w:val="nil"/>
              <w:bottom w:val="nil"/>
              <w:right w:val="single" w:sz="4" w:space="0" w:color="auto"/>
            </w:tcBorders>
            <w:shd w:val="clear" w:color="000000" w:fill="FFFFFF"/>
            <w:noWrap/>
            <w:vAlign w:val="center"/>
          </w:tcPr>
          <w:p w14:paraId="6D87B8FA"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0AD0486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7377764E"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4902801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7FF84EE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bottom w:val="nil"/>
              <w:right w:val="nil"/>
            </w:tcBorders>
            <w:shd w:val="clear" w:color="000000" w:fill="FFFFFF"/>
            <w:noWrap/>
            <w:vAlign w:val="center"/>
          </w:tcPr>
          <w:p w14:paraId="73F84411"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16583118"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5060355E"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15EC343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219BC60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700895D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14685143"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bottom w:val="nil"/>
              <w:right w:val="single" w:sz="4" w:space="0" w:color="auto"/>
            </w:tcBorders>
            <w:shd w:val="clear" w:color="000000" w:fill="FFFFFF"/>
            <w:noWrap/>
            <w:vAlign w:val="center"/>
          </w:tcPr>
          <w:p w14:paraId="01024532"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4F25381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bottom w:val="nil"/>
              <w:right w:val="single" w:sz="12" w:space="0" w:color="auto"/>
            </w:tcBorders>
            <w:shd w:val="clear" w:color="000000" w:fill="FFFFFF"/>
            <w:noWrap/>
            <w:vAlign w:val="center"/>
          </w:tcPr>
          <w:p w14:paraId="61E5117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vAlign w:val="center"/>
          </w:tcPr>
          <w:p w14:paraId="2BDCAC8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bottom w:val="nil"/>
              <w:right w:val="single" w:sz="12" w:space="0" w:color="auto"/>
            </w:tcBorders>
            <w:shd w:val="clear" w:color="000000" w:fill="FFFFFF"/>
            <w:vAlign w:val="center"/>
          </w:tcPr>
          <w:p w14:paraId="4BD3486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bottom w:val="nil"/>
              <w:right w:val="nil"/>
            </w:tcBorders>
            <w:shd w:val="clear" w:color="000000" w:fill="FFFFFF"/>
            <w:vAlign w:val="center"/>
          </w:tcPr>
          <w:p w14:paraId="038E5CD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bottom w:val="nil"/>
              <w:right w:val="single" w:sz="12" w:space="0" w:color="auto"/>
            </w:tcBorders>
            <w:shd w:val="clear" w:color="000000" w:fill="FFFFFF"/>
            <w:vAlign w:val="center"/>
          </w:tcPr>
          <w:p w14:paraId="078C2C0D" w14:textId="77777777" w:rsidR="00AF3DDB" w:rsidRPr="000D3090" w:rsidRDefault="00AF3DDB" w:rsidP="00AF3DDB">
            <w:pPr>
              <w:spacing w:after="0" w:line="240" w:lineRule="auto"/>
              <w:jc w:val="center"/>
              <w:rPr>
                <w:rFonts w:eastAsia="Times New Roman"/>
                <w:color w:val="000000"/>
                <w:sz w:val="18"/>
                <w:szCs w:val="18"/>
              </w:rPr>
            </w:pPr>
          </w:p>
        </w:tc>
      </w:tr>
      <w:tr w:rsidR="00AF3DDB" w:rsidRPr="000D3090" w14:paraId="58ADDA36" w14:textId="77777777" w:rsidTr="00B425AD">
        <w:trPr>
          <w:trHeight w:val="20"/>
          <w:jc w:val="center"/>
        </w:trPr>
        <w:tc>
          <w:tcPr>
            <w:tcW w:w="2411" w:type="dxa"/>
            <w:tcBorders>
              <w:left w:val="single" w:sz="12" w:space="0" w:color="auto"/>
              <w:bottom w:val="nil"/>
              <w:right w:val="single" w:sz="12" w:space="0" w:color="auto"/>
            </w:tcBorders>
            <w:shd w:val="clear" w:color="000000" w:fill="FFFFFF"/>
            <w:noWrap/>
            <w:vAlign w:val="center"/>
          </w:tcPr>
          <w:p w14:paraId="5B0AFF63" w14:textId="77777777"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Not Safe</w:t>
            </w:r>
          </w:p>
        </w:tc>
        <w:tc>
          <w:tcPr>
            <w:tcW w:w="537" w:type="dxa"/>
            <w:tcBorders>
              <w:left w:val="single" w:sz="12" w:space="0" w:color="auto"/>
              <w:bottom w:val="nil"/>
            </w:tcBorders>
            <w:shd w:val="clear" w:color="000000" w:fill="FFFFFF"/>
            <w:vAlign w:val="center"/>
          </w:tcPr>
          <w:p w14:paraId="4FF453B4"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left w:val="nil"/>
              <w:bottom w:val="nil"/>
              <w:right w:val="single" w:sz="12" w:space="0" w:color="auto"/>
            </w:tcBorders>
            <w:shd w:val="clear" w:color="000000" w:fill="FFFFFF"/>
            <w:vAlign w:val="center"/>
          </w:tcPr>
          <w:p w14:paraId="6B3BF8F4"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left w:val="single" w:sz="12" w:space="0" w:color="auto"/>
              <w:bottom w:val="nil"/>
              <w:right w:val="nil"/>
            </w:tcBorders>
            <w:shd w:val="clear" w:color="000000" w:fill="FFFFFF"/>
            <w:noWrap/>
            <w:vAlign w:val="center"/>
          </w:tcPr>
          <w:p w14:paraId="76CA9D4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49" w:type="dxa"/>
            <w:tcBorders>
              <w:left w:val="nil"/>
              <w:bottom w:val="nil"/>
              <w:right w:val="single" w:sz="4" w:space="0" w:color="auto"/>
            </w:tcBorders>
            <w:shd w:val="clear" w:color="000000" w:fill="FFFFFF"/>
            <w:noWrap/>
            <w:vAlign w:val="center"/>
          </w:tcPr>
          <w:p w14:paraId="56018C2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1469C34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3874525B"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61883A4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4231CCF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left w:val="nil"/>
              <w:bottom w:val="nil"/>
              <w:right w:val="nil"/>
            </w:tcBorders>
            <w:shd w:val="clear" w:color="000000" w:fill="FFFFFF"/>
            <w:noWrap/>
            <w:vAlign w:val="center"/>
          </w:tcPr>
          <w:p w14:paraId="0B9087D5"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42B7AC07"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1B4F647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4FCE97A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439CBAC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left w:val="nil"/>
              <w:bottom w:val="nil"/>
              <w:right w:val="single" w:sz="4" w:space="0" w:color="auto"/>
            </w:tcBorders>
            <w:shd w:val="clear" w:color="000000" w:fill="FFFFFF"/>
            <w:noWrap/>
            <w:vAlign w:val="center"/>
          </w:tcPr>
          <w:p w14:paraId="6EB57D30"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43909D0A"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left w:val="nil"/>
              <w:bottom w:val="nil"/>
              <w:right w:val="single" w:sz="4" w:space="0" w:color="auto"/>
            </w:tcBorders>
            <w:shd w:val="clear" w:color="000000" w:fill="FFFFFF"/>
            <w:noWrap/>
            <w:vAlign w:val="center"/>
          </w:tcPr>
          <w:p w14:paraId="1DE55330"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noWrap/>
            <w:vAlign w:val="center"/>
          </w:tcPr>
          <w:p w14:paraId="01B52804"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left w:val="nil"/>
              <w:bottom w:val="nil"/>
              <w:right w:val="single" w:sz="12" w:space="0" w:color="auto"/>
            </w:tcBorders>
            <w:shd w:val="clear" w:color="000000" w:fill="FFFFFF"/>
            <w:noWrap/>
            <w:vAlign w:val="center"/>
          </w:tcPr>
          <w:p w14:paraId="1DCCD12F"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left w:val="nil"/>
              <w:bottom w:val="nil"/>
              <w:right w:val="nil"/>
            </w:tcBorders>
            <w:shd w:val="clear" w:color="000000" w:fill="FFFFFF"/>
            <w:vAlign w:val="center"/>
          </w:tcPr>
          <w:p w14:paraId="5581C69A"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left w:val="nil"/>
              <w:bottom w:val="nil"/>
              <w:right w:val="single" w:sz="12" w:space="0" w:color="auto"/>
            </w:tcBorders>
            <w:shd w:val="clear" w:color="000000" w:fill="FFFFFF"/>
            <w:vAlign w:val="center"/>
          </w:tcPr>
          <w:p w14:paraId="6EACDA3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left w:val="single" w:sz="12" w:space="0" w:color="auto"/>
              <w:bottom w:val="nil"/>
              <w:right w:val="nil"/>
            </w:tcBorders>
            <w:shd w:val="clear" w:color="000000" w:fill="FFFFFF"/>
            <w:vAlign w:val="center"/>
          </w:tcPr>
          <w:p w14:paraId="783C226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left w:val="nil"/>
              <w:bottom w:val="nil"/>
              <w:right w:val="single" w:sz="12" w:space="0" w:color="auto"/>
            </w:tcBorders>
            <w:shd w:val="clear" w:color="000000" w:fill="FFFFFF"/>
            <w:vAlign w:val="center"/>
          </w:tcPr>
          <w:p w14:paraId="3600D310" w14:textId="77777777" w:rsidR="00AF3DDB" w:rsidRPr="000D3090" w:rsidRDefault="00AF3DDB" w:rsidP="00AF3DDB">
            <w:pPr>
              <w:spacing w:after="0" w:line="240" w:lineRule="auto"/>
              <w:jc w:val="center"/>
              <w:rPr>
                <w:rFonts w:eastAsia="Times New Roman"/>
                <w:color w:val="000000"/>
                <w:sz w:val="18"/>
                <w:szCs w:val="18"/>
              </w:rPr>
            </w:pPr>
          </w:p>
        </w:tc>
      </w:tr>
      <w:tr w:rsidR="005A056A" w:rsidRPr="000D3090" w14:paraId="1256C522"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20993BCF"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Not Clean</w:t>
            </w:r>
          </w:p>
        </w:tc>
        <w:tc>
          <w:tcPr>
            <w:tcW w:w="537" w:type="dxa"/>
            <w:tcBorders>
              <w:top w:val="nil"/>
              <w:left w:val="single" w:sz="12" w:space="0" w:color="auto"/>
              <w:bottom w:val="nil"/>
            </w:tcBorders>
            <w:shd w:val="clear" w:color="000000" w:fill="FFFFFF"/>
            <w:vAlign w:val="center"/>
          </w:tcPr>
          <w:p w14:paraId="31984725"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39EE3334"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bottom"/>
          </w:tcPr>
          <w:p w14:paraId="022F26CA" w14:textId="1C57FF2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0.58</w:t>
            </w:r>
          </w:p>
        </w:tc>
        <w:tc>
          <w:tcPr>
            <w:tcW w:w="449" w:type="dxa"/>
            <w:tcBorders>
              <w:top w:val="nil"/>
              <w:left w:val="nil"/>
              <w:bottom w:val="nil"/>
              <w:right w:val="single" w:sz="4" w:space="0" w:color="auto"/>
            </w:tcBorders>
            <w:shd w:val="clear" w:color="000000" w:fill="FFFFFF"/>
            <w:noWrap/>
            <w:vAlign w:val="bottom"/>
          </w:tcPr>
          <w:p w14:paraId="65EFBF24" w14:textId="76E4870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6.51</w:t>
            </w:r>
          </w:p>
        </w:tc>
        <w:tc>
          <w:tcPr>
            <w:tcW w:w="540" w:type="dxa"/>
            <w:tcBorders>
              <w:top w:val="nil"/>
              <w:left w:val="nil"/>
              <w:bottom w:val="nil"/>
              <w:right w:val="nil"/>
            </w:tcBorders>
            <w:shd w:val="clear" w:color="000000" w:fill="FFFFFF"/>
            <w:noWrap/>
            <w:vAlign w:val="center"/>
          </w:tcPr>
          <w:p w14:paraId="3984A4E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50" w:type="dxa"/>
            <w:tcBorders>
              <w:top w:val="nil"/>
              <w:left w:val="nil"/>
              <w:bottom w:val="nil"/>
              <w:right w:val="single" w:sz="4" w:space="0" w:color="auto"/>
            </w:tcBorders>
            <w:shd w:val="clear" w:color="000000" w:fill="FFFFFF"/>
            <w:noWrap/>
            <w:vAlign w:val="center"/>
          </w:tcPr>
          <w:p w14:paraId="30B797E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E4A315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F5281B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2B47E190"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FA52A19"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E4D0AA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C9E6F0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516289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0E20535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9292D2F"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0BB726FD"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C5F734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44D5590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47C6632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20D591D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3C482544"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36CA84D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62D2F826"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25D57674"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Not Reliable</w:t>
            </w:r>
          </w:p>
        </w:tc>
        <w:tc>
          <w:tcPr>
            <w:tcW w:w="537" w:type="dxa"/>
            <w:tcBorders>
              <w:top w:val="nil"/>
              <w:left w:val="single" w:sz="12" w:space="0" w:color="auto"/>
              <w:bottom w:val="nil"/>
            </w:tcBorders>
            <w:shd w:val="clear" w:color="000000" w:fill="FFFFFF"/>
            <w:vAlign w:val="center"/>
          </w:tcPr>
          <w:p w14:paraId="092E1676"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482069EF"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bottom"/>
          </w:tcPr>
          <w:p w14:paraId="1E8CD117" w14:textId="381E290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0.26</w:t>
            </w:r>
          </w:p>
        </w:tc>
        <w:tc>
          <w:tcPr>
            <w:tcW w:w="449" w:type="dxa"/>
            <w:tcBorders>
              <w:top w:val="nil"/>
              <w:left w:val="nil"/>
              <w:bottom w:val="nil"/>
              <w:right w:val="single" w:sz="4" w:space="0" w:color="auto"/>
            </w:tcBorders>
            <w:shd w:val="clear" w:color="000000" w:fill="FFFFFF"/>
            <w:noWrap/>
            <w:vAlign w:val="bottom"/>
          </w:tcPr>
          <w:p w14:paraId="1B3E1BFA" w14:textId="7818148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2.94</w:t>
            </w:r>
          </w:p>
        </w:tc>
        <w:tc>
          <w:tcPr>
            <w:tcW w:w="540" w:type="dxa"/>
            <w:tcBorders>
              <w:top w:val="nil"/>
              <w:left w:val="nil"/>
              <w:bottom w:val="nil"/>
              <w:right w:val="nil"/>
            </w:tcBorders>
            <w:shd w:val="clear" w:color="000000" w:fill="FFFFFF"/>
            <w:noWrap/>
            <w:vAlign w:val="bottom"/>
          </w:tcPr>
          <w:p w14:paraId="38C3F746" w14:textId="4ED97BD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0.31</w:t>
            </w:r>
          </w:p>
        </w:tc>
        <w:tc>
          <w:tcPr>
            <w:tcW w:w="450" w:type="dxa"/>
            <w:tcBorders>
              <w:top w:val="nil"/>
              <w:left w:val="nil"/>
              <w:bottom w:val="nil"/>
              <w:right w:val="single" w:sz="4" w:space="0" w:color="auto"/>
            </w:tcBorders>
            <w:shd w:val="clear" w:color="000000" w:fill="FFFFFF"/>
            <w:noWrap/>
            <w:vAlign w:val="bottom"/>
          </w:tcPr>
          <w:p w14:paraId="50F20DC6" w14:textId="087051C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2.18</w:t>
            </w:r>
          </w:p>
        </w:tc>
        <w:tc>
          <w:tcPr>
            <w:tcW w:w="540" w:type="dxa"/>
            <w:tcBorders>
              <w:top w:val="nil"/>
              <w:left w:val="nil"/>
              <w:bottom w:val="nil"/>
              <w:right w:val="nil"/>
            </w:tcBorders>
            <w:shd w:val="clear" w:color="000000" w:fill="FFFFFF"/>
            <w:noWrap/>
            <w:vAlign w:val="center"/>
          </w:tcPr>
          <w:p w14:paraId="71073A7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50" w:type="dxa"/>
            <w:tcBorders>
              <w:top w:val="nil"/>
              <w:left w:val="nil"/>
              <w:bottom w:val="nil"/>
              <w:right w:val="single" w:sz="4" w:space="0" w:color="auto"/>
            </w:tcBorders>
            <w:shd w:val="clear" w:color="000000" w:fill="FFFFFF"/>
            <w:noWrap/>
            <w:vAlign w:val="center"/>
          </w:tcPr>
          <w:p w14:paraId="3D5C049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0E29B2DC"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70BF61C2"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916466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669727F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FE627F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4B992A9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E04C617"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28304044"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E1E375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483EA94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26F0CF0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7F42146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2515B8B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4D5C23B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1B00D864"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5286AD62"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Poor Destination Access</w:t>
            </w:r>
          </w:p>
        </w:tc>
        <w:tc>
          <w:tcPr>
            <w:tcW w:w="537" w:type="dxa"/>
            <w:tcBorders>
              <w:top w:val="nil"/>
              <w:left w:val="single" w:sz="12" w:space="0" w:color="auto"/>
              <w:bottom w:val="nil"/>
            </w:tcBorders>
            <w:shd w:val="clear" w:color="000000" w:fill="FFFFFF"/>
            <w:vAlign w:val="center"/>
          </w:tcPr>
          <w:p w14:paraId="13B671CE"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5938A036"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bottom"/>
          </w:tcPr>
          <w:p w14:paraId="6C67102E" w14:textId="57FD1581"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0.14</w:t>
            </w:r>
          </w:p>
        </w:tc>
        <w:tc>
          <w:tcPr>
            <w:tcW w:w="449" w:type="dxa"/>
            <w:tcBorders>
              <w:top w:val="nil"/>
              <w:left w:val="nil"/>
              <w:bottom w:val="nil"/>
              <w:right w:val="single" w:sz="4" w:space="0" w:color="auto"/>
            </w:tcBorders>
            <w:shd w:val="clear" w:color="000000" w:fill="FFFFFF"/>
            <w:noWrap/>
            <w:vAlign w:val="bottom"/>
          </w:tcPr>
          <w:p w14:paraId="48E4A960" w14:textId="232EDF2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1.87</w:t>
            </w:r>
          </w:p>
        </w:tc>
        <w:tc>
          <w:tcPr>
            <w:tcW w:w="540" w:type="dxa"/>
            <w:tcBorders>
              <w:top w:val="nil"/>
              <w:left w:val="nil"/>
              <w:bottom w:val="nil"/>
              <w:right w:val="nil"/>
            </w:tcBorders>
            <w:shd w:val="clear" w:color="000000" w:fill="FFFFFF"/>
            <w:noWrap/>
            <w:vAlign w:val="bottom"/>
          </w:tcPr>
          <w:p w14:paraId="07429AAD" w14:textId="5833236C"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0.29</w:t>
            </w:r>
          </w:p>
        </w:tc>
        <w:tc>
          <w:tcPr>
            <w:tcW w:w="450" w:type="dxa"/>
            <w:tcBorders>
              <w:top w:val="nil"/>
              <w:left w:val="nil"/>
              <w:bottom w:val="nil"/>
              <w:right w:val="single" w:sz="4" w:space="0" w:color="auto"/>
            </w:tcBorders>
            <w:shd w:val="clear" w:color="000000" w:fill="FFFFFF"/>
            <w:noWrap/>
            <w:vAlign w:val="bottom"/>
          </w:tcPr>
          <w:p w14:paraId="21348750" w14:textId="3CE2BAAE"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2.13</w:t>
            </w:r>
          </w:p>
        </w:tc>
        <w:tc>
          <w:tcPr>
            <w:tcW w:w="540" w:type="dxa"/>
            <w:tcBorders>
              <w:top w:val="nil"/>
              <w:left w:val="nil"/>
              <w:bottom w:val="nil"/>
              <w:right w:val="nil"/>
            </w:tcBorders>
            <w:shd w:val="clear" w:color="000000" w:fill="FFFFFF"/>
            <w:noWrap/>
            <w:vAlign w:val="bottom"/>
          </w:tcPr>
          <w:p w14:paraId="7737BED5" w14:textId="612073E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0.33</w:t>
            </w:r>
          </w:p>
        </w:tc>
        <w:tc>
          <w:tcPr>
            <w:tcW w:w="450" w:type="dxa"/>
            <w:tcBorders>
              <w:top w:val="nil"/>
              <w:left w:val="nil"/>
              <w:bottom w:val="nil"/>
              <w:right w:val="single" w:sz="4" w:space="0" w:color="auto"/>
            </w:tcBorders>
            <w:shd w:val="clear" w:color="000000" w:fill="FFFFFF"/>
            <w:noWrap/>
            <w:vAlign w:val="bottom"/>
          </w:tcPr>
          <w:p w14:paraId="30A0E91E" w14:textId="350A9AAA"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3.66</w:t>
            </w:r>
          </w:p>
        </w:tc>
        <w:tc>
          <w:tcPr>
            <w:tcW w:w="548" w:type="dxa"/>
            <w:tcBorders>
              <w:top w:val="nil"/>
              <w:left w:val="nil"/>
              <w:bottom w:val="nil"/>
              <w:right w:val="nil"/>
            </w:tcBorders>
            <w:shd w:val="clear" w:color="000000" w:fill="FFFFFF"/>
            <w:noWrap/>
            <w:vAlign w:val="center"/>
          </w:tcPr>
          <w:p w14:paraId="281BE191"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1.00</w:t>
            </w:r>
          </w:p>
        </w:tc>
        <w:tc>
          <w:tcPr>
            <w:tcW w:w="450" w:type="dxa"/>
            <w:tcBorders>
              <w:top w:val="nil"/>
              <w:left w:val="nil"/>
              <w:bottom w:val="nil"/>
              <w:right w:val="single" w:sz="4" w:space="0" w:color="auto"/>
            </w:tcBorders>
            <w:shd w:val="clear" w:color="000000" w:fill="FFFFFF"/>
            <w:noWrap/>
            <w:vAlign w:val="center"/>
          </w:tcPr>
          <w:p w14:paraId="50A93DF5"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7BAC86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3A60C0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4292E4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2AE0642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D6F25A0"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2C0355D3"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7004C4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017C1F3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11C60A0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757C475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3BCB0B2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7776936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546FFF88"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0A7A3A64"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Not Affordable</w:t>
            </w:r>
          </w:p>
        </w:tc>
        <w:tc>
          <w:tcPr>
            <w:tcW w:w="537" w:type="dxa"/>
            <w:tcBorders>
              <w:top w:val="nil"/>
              <w:left w:val="single" w:sz="12" w:space="0" w:color="auto"/>
              <w:bottom w:val="nil"/>
            </w:tcBorders>
            <w:shd w:val="clear" w:color="000000" w:fill="FFFFFF"/>
            <w:vAlign w:val="center"/>
          </w:tcPr>
          <w:p w14:paraId="0E1EBB70"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4C097880"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center"/>
          </w:tcPr>
          <w:p w14:paraId="2260A4E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49" w:type="dxa"/>
            <w:tcBorders>
              <w:top w:val="nil"/>
              <w:left w:val="nil"/>
              <w:bottom w:val="nil"/>
              <w:right w:val="single" w:sz="4" w:space="0" w:color="auto"/>
            </w:tcBorders>
            <w:shd w:val="clear" w:color="000000" w:fill="FFFFFF"/>
            <w:noWrap/>
            <w:vAlign w:val="center"/>
          </w:tcPr>
          <w:p w14:paraId="70A3536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4C2E78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043871D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047347FB" w14:textId="72DC455F"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0.12</w:t>
            </w:r>
          </w:p>
        </w:tc>
        <w:tc>
          <w:tcPr>
            <w:tcW w:w="450" w:type="dxa"/>
            <w:tcBorders>
              <w:top w:val="nil"/>
              <w:left w:val="nil"/>
              <w:bottom w:val="nil"/>
              <w:right w:val="single" w:sz="4" w:space="0" w:color="auto"/>
            </w:tcBorders>
            <w:shd w:val="clear" w:color="000000" w:fill="FFFFFF"/>
            <w:noWrap/>
            <w:vAlign w:val="bottom"/>
          </w:tcPr>
          <w:p w14:paraId="559D0E9F" w14:textId="075E30A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1.99</w:t>
            </w:r>
          </w:p>
        </w:tc>
        <w:tc>
          <w:tcPr>
            <w:tcW w:w="548" w:type="dxa"/>
            <w:tcBorders>
              <w:top w:val="nil"/>
              <w:left w:val="nil"/>
              <w:bottom w:val="nil"/>
              <w:right w:val="nil"/>
            </w:tcBorders>
            <w:shd w:val="clear" w:color="000000" w:fill="FFFFFF"/>
            <w:noWrap/>
            <w:vAlign w:val="bottom"/>
          </w:tcPr>
          <w:p w14:paraId="0546CA93" w14:textId="437CE968" w:rsidR="005A056A" w:rsidRPr="000D3090" w:rsidRDefault="005A056A" w:rsidP="005A056A">
            <w:pPr>
              <w:spacing w:after="0" w:line="240" w:lineRule="auto"/>
              <w:jc w:val="center"/>
              <w:rPr>
                <w:color w:val="000000"/>
                <w:sz w:val="18"/>
                <w:szCs w:val="18"/>
              </w:rPr>
            </w:pPr>
            <w:r w:rsidRPr="000D3090">
              <w:rPr>
                <w:color w:val="000000"/>
                <w:sz w:val="18"/>
                <w:szCs w:val="18"/>
              </w:rPr>
              <w:t>0.17</w:t>
            </w:r>
          </w:p>
        </w:tc>
        <w:tc>
          <w:tcPr>
            <w:tcW w:w="450" w:type="dxa"/>
            <w:tcBorders>
              <w:top w:val="nil"/>
              <w:left w:val="nil"/>
              <w:bottom w:val="nil"/>
              <w:right w:val="single" w:sz="4" w:space="0" w:color="auto"/>
            </w:tcBorders>
            <w:shd w:val="clear" w:color="000000" w:fill="FFFFFF"/>
            <w:noWrap/>
            <w:vAlign w:val="bottom"/>
          </w:tcPr>
          <w:p w14:paraId="07D61098" w14:textId="2A130EDA" w:rsidR="005A056A" w:rsidRPr="000D3090" w:rsidRDefault="005A056A" w:rsidP="005A056A">
            <w:pPr>
              <w:spacing w:after="0" w:line="240" w:lineRule="auto"/>
              <w:jc w:val="center"/>
              <w:rPr>
                <w:color w:val="000000"/>
                <w:sz w:val="18"/>
                <w:szCs w:val="18"/>
              </w:rPr>
            </w:pPr>
            <w:r w:rsidRPr="000D3090">
              <w:rPr>
                <w:color w:val="000000"/>
                <w:sz w:val="18"/>
                <w:szCs w:val="18"/>
              </w:rPr>
              <w:t>2.85</w:t>
            </w:r>
          </w:p>
        </w:tc>
        <w:tc>
          <w:tcPr>
            <w:tcW w:w="540" w:type="dxa"/>
            <w:tcBorders>
              <w:top w:val="nil"/>
              <w:left w:val="nil"/>
              <w:bottom w:val="nil"/>
              <w:right w:val="nil"/>
            </w:tcBorders>
            <w:shd w:val="clear" w:color="000000" w:fill="FFFFFF"/>
            <w:noWrap/>
            <w:vAlign w:val="center"/>
          </w:tcPr>
          <w:p w14:paraId="3A474A9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50" w:type="dxa"/>
            <w:tcBorders>
              <w:top w:val="nil"/>
              <w:left w:val="nil"/>
              <w:bottom w:val="nil"/>
              <w:right w:val="single" w:sz="4" w:space="0" w:color="auto"/>
            </w:tcBorders>
            <w:shd w:val="clear" w:color="000000" w:fill="FFFFFF"/>
            <w:noWrap/>
            <w:vAlign w:val="center"/>
          </w:tcPr>
          <w:p w14:paraId="5C068077"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07B32B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0" w:type="dxa"/>
            <w:tcBorders>
              <w:top w:val="nil"/>
              <w:left w:val="nil"/>
              <w:bottom w:val="nil"/>
              <w:right w:val="single" w:sz="4" w:space="0" w:color="auto"/>
            </w:tcBorders>
            <w:shd w:val="clear" w:color="000000" w:fill="FFFFFF"/>
            <w:noWrap/>
            <w:vAlign w:val="center"/>
          </w:tcPr>
          <w:p w14:paraId="115670E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C3510A7"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5ACC9C63"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6986FA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51007D3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1AD154B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6BABDC3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3B2C7E8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34FFCD3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53934611"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67AAF4B9"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Health Problems</w:t>
            </w:r>
          </w:p>
        </w:tc>
        <w:tc>
          <w:tcPr>
            <w:tcW w:w="537" w:type="dxa"/>
            <w:tcBorders>
              <w:top w:val="nil"/>
              <w:left w:val="single" w:sz="12" w:space="0" w:color="auto"/>
              <w:bottom w:val="nil"/>
            </w:tcBorders>
            <w:shd w:val="clear" w:color="000000" w:fill="FFFFFF"/>
            <w:vAlign w:val="center"/>
          </w:tcPr>
          <w:p w14:paraId="247B41C3"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2796A68A"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bottom"/>
          </w:tcPr>
          <w:p w14:paraId="597FC7A9" w14:textId="382D9364"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-0.36</w:t>
            </w:r>
          </w:p>
        </w:tc>
        <w:tc>
          <w:tcPr>
            <w:tcW w:w="449" w:type="dxa"/>
            <w:tcBorders>
              <w:top w:val="nil"/>
              <w:left w:val="nil"/>
              <w:bottom w:val="nil"/>
              <w:right w:val="single" w:sz="4" w:space="0" w:color="auto"/>
            </w:tcBorders>
            <w:shd w:val="clear" w:color="000000" w:fill="FFFFFF"/>
            <w:noWrap/>
            <w:vAlign w:val="bottom"/>
          </w:tcPr>
          <w:p w14:paraId="161B7BD5" w14:textId="477C4722"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-3.25</w:t>
            </w:r>
          </w:p>
        </w:tc>
        <w:tc>
          <w:tcPr>
            <w:tcW w:w="540" w:type="dxa"/>
            <w:tcBorders>
              <w:top w:val="nil"/>
              <w:left w:val="nil"/>
              <w:bottom w:val="nil"/>
              <w:right w:val="nil"/>
            </w:tcBorders>
            <w:shd w:val="clear" w:color="000000" w:fill="FFFFFF"/>
            <w:noWrap/>
            <w:vAlign w:val="center"/>
          </w:tcPr>
          <w:p w14:paraId="376A6143"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07221AB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42687E8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3DC9FD6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090AE010"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01428D86"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713BFAA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250B187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5B60C6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50" w:type="dxa"/>
            <w:tcBorders>
              <w:top w:val="nil"/>
              <w:left w:val="nil"/>
              <w:bottom w:val="nil"/>
              <w:right w:val="single" w:sz="4" w:space="0" w:color="auto"/>
            </w:tcBorders>
            <w:shd w:val="clear" w:color="000000" w:fill="FFFFFF"/>
            <w:noWrap/>
            <w:vAlign w:val="center"/>
          </w:tcPr>
          <w:p w14:paraId="2406CBB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33C1444E"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w:t>
            </w:r>
          </w:p>
        </w:tc>
        <w:tc>
          <w:tcPr>
            <w:tcW w:w="454" w:type="dxa"/>
            <w:tcBorders>
              <w:top w:val="nil"/>
              <w:left w:val="nil"/>
              <w:bottom w:val="nil"/>
              <w:right w:val="single" w:sz="4" w:space="0" w:color="auto"/>
            </w:tcBorders>
            <w:shd w:val="clear" w:color="000000" w:fill="FFFFFF"/>
            <w:noWrap/>
            <w:vAlign w:val="center"/>
          </w:tcPr>
          <w:p w14:paraId="1866399B"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4BCBDE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77CE5BD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42A77E1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2E9DDB0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78E77F3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64094B1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AF3DDB" w:rsidRPr="000D3090" w14:paraId="423840A3"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53F3CC4C" w14:textId="77777777" w:rsidR="00AF3DDB" w:rsidRPr="000D3090" w:rsidRDefault="00AF3DDB" w:rsidP="00AF3DDB">
            <w:pPr>
              <w:spacing w:after="0" w:line="240" w:lineRule="auto"/>
              <w:rPr>
                <w:rFonts w:eastAsia="Times New Roman"/>
                <w:color w:val="000000"/>
                <w:sz w:val="18"/>
                <w:szCs w:val="18"/>
              </w:rPr>
            </w:pPr>
            <w:r w:rsidRPr="000D3090">
              <w:rPr>
                <w:rFonts w:eastAsia="Times New Roman"/>
                <w:color w:val="000000"/>
                <w:sz w:val="18"/>
                <w:szCs w:val="18"/>
              </w:rPr>
              <w:t>No Time</w:t>
            </w:r>
          </w:p>
        </w:tc>
        <w:tc>
          <w:tcPr>
            <w:tcW w:w="537" w:type="dxa"/>
            <w:tcBorders>
              <w:top w:val="nil"/>
              <w:left w:val="single" w:sz="12" w:space="0" w:color="auto"/>
              <w:bottom w:val="nil"/>
            </w:tcBorders>
            <w:shd w:val="clear" w:color="000000" w:fill="FFFFFF"/>
            <w:vAlign w:val="center"/>
          </w:tcPr>
          <w:p w14:paraId="4AF15C72"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28745D4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center"/>
          </w:tcPr>
          <w:p w14:paraId="132B3ACC"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0.00</w:t>
            </w:r>
          </w:p>
        </w:tc>
        <w:tc>
          <w:tcPr>
            <w:tcW w:w="449" w:type="dxa"/>
            <w:tcBorders>
              <w:top w:val="nil"/>
              <w:left w:val="nil"/>
              <w:bottom w:val="nil"/>
              <w:right w:val="single" w:sz="4" w:space="0" w:color="auto"/>
            </w:tcBorders>
            <w:shd w:val="clear" w:color="000000" w:fill="FFFFFF"/>
            <w:noWrap/>
            <w:vAlign w:val="center"/>
          </w:tcPr>
          <w:p w14:paraId="7C7B5AF4" w14:textId="77777777" w:rsidR="00AF3DDB" w:rsidRPr="000D3090" w:rsidRDefault="00AF3DDB" w:rsidP="00AF3DDB">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35D4159"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4BA0ACC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E121A8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47906FA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0B1845F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3D3FF41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983B90C"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2D5EDF0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2B9E9E9B"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7F376756"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0B8455F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54" w:type="dxa"/>
            <w:tcBorders>
              <w:top w:val="nil"/>
              <w:left w:val="nil"/>
              <w:bottom w:val="nil"/>
              <w:right w:val="single" w:sz="4" w:space="0" w:color="auto"/>
            </w:tcBorders>
            <w:shd w:val="clear" w:color="000000" w:fill="FFFFFF"/>
            <w:noWrap/>
            <w:vAlign w:val="center"/>
          </w:tcPr>
          <w:p w14:paraId="6EE1B03A"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63328B51"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456" w:type="dxa"/>
            <w:tcBorders>
              <w:top w:val="nil"/>
              <w:left w:val="nil"/>
              <w:bottom w:val="nil"/>
              <w:right w:val="single" w:sz="12" w:space="0" w:color="auto"/>
            </w:tcBorders>
            <w:shd w:val="clear" w:color="000000" w:fill="FFFFFF"/>
            <w:noWrap/>
            <w:vAlign w:val="center"/>
          </w:tcPr>
          <w:p w14:paraId="2517922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144E689D"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1F101A57"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47CF4423"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7575C5F5" w14:textId="77777777" w:rsidR="00AF3DDB" w:rsidRPr="000D3090" w:rsidRDefault="00AF3DDB" w:rsidP="00AF3DDB">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23038141" w14:textId="77777777" w:rsidTr="00B425AD">
        <w:trPr>
          <w:trHeight w:val="20"/>
          <w:jc w:val="center"/>
        </w:trPr>
        <w:tc>
          <w:tcPr>
            <w:tcW w:w="2411" w:type="dxa"/>
            <w:tcBorders>
              <w:top w:val="nil"/>
              <w:left w:val="single" w:sz="12" w:space="0" w:color="auto"/>
              <w:bottom w:val="nil"/>
              <w:right w:val="single" w:sz="12" w:space="0" w:color="auto"/>
            </w:tcBorders>
            <w:shd w:val="clear" w:color="000000" w:fill="FFFFFF"/>
            <w:noWrap/>
            <w:vAlign w:val="center"/>
          </w:tcPr>
          <w:p w14:paraId="03149824"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COVID Concerns</w:t>
            </w:r>
          </w:p>
        </w:tc>
        <w:tc>
          <w:tcPr>
            <w:tcW w:w="537" w:type="dxa"/>
            <w:tcBorders>
              <w:top w:val="nil"/>
              <w:left w:val="single" w:sz="12" w:space="0" w:color="auto"/>
              <w:bottom w:val="nil"/>
            </w:tcBorders>
            <w:shd w:val="clear" w:color="000000" w:fill="FFFFFF"/>
            <w:vAlign w:val="center"/>
          </w:tcPr>
          <w:p w14:paraId="481D5845"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541" w:type="dxa"/>
            <w:tcBorders>
              <w:top w:val="nil"/>
              <w:left w:val="nil"/>
              <w:bottom w:val="nil"/>
              <w:right w:val="single" w:sz="12" w:space="0" w:color="auto"/>
            </w:tcBorders>
            <w:shd w:val="clear" w:color="000000" w:fill="FFFFFF"/>
            <w:vAlign w:val="center"/>
          </w:tcPr>
          <w:p w14:paraId="28D03BF1"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39" w:type="dxa"/>
            <w:tcBorders>
              <w:top w:val="nil"/>
              <w:left w:val="single" w:sz="12" w:space="0" w:color="auto"/>
              <w:bottom w:val="nil"/>
              <w:right w:val="nil"/>
            </w:tcBorders>
            <w:shd w:val="clear" w:color="000000" w:fill="FFFFFF"/>
            <w:noWrap/>
            <w:vAlign w:val="bottom"/>
          </w:tcPr>
          <w:p w14:paraId="5798541B" w14:textId="05C1BB19"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0.17</w:t>
            </w:r>
          </w:p>
        </w:tc>
        <w:tc>
          <w:tcPr>
            <w:tcW w:w="449" w:type="dxa"/>
            <w:tcBorders>
              <w:top w:val="nil"/>
              <w:left w:val="nil"/>
              <w:bottom w:val="nil"/>
              <w:right w:val="single" w:sz="4" w:space="0" w:color="auto"/>
            </w:tcBorders>
            <w:shd w:val="clear" w:color="000000" w:fill="FFFFFF"/>
            <w:noWrap/>
            <w:vAlign w:val="bottom"/>
          </w:tcPr>
          <w:p w14:paraId="09DF7B8F" w14:textId="74335617"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1.42</w:t>
            </w:r>
          </w:p>
        </w:tc>
        <w:tc>
          <w:tcPr>
            <w:tcW w:w="540" w:type="dxa"/>
            <w:tcBorders>
              <w:top w:val="nil"/>
              <w:left w:val="nil"/>
              <w:bottom w:val="nil"/>
              <w:right w:val="nil"/>
            </w:tcBorders>
            <w:shd w:val="clear" w:color="000000" w:fill="FFFFFF"/>
            <w:noWrap/>
            <w:vAlign w:val="bottom"/>
          </w:tcPr>
          <w:p w14:paraId="5D93D811" w14:textId="707AB06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0.28</w:t>
            </w:r>
          </w:p>
        </w:tc>
        <w:tc>
          <w:tcPr>
            <w:tcW w:w="450" w:type="dxa"/>
            <w:tcBorders>
              <w:top w:val="nil"/>
              <w:left w:val="nil"/>
              <w:bottom w:val="nil"/>
              <w:right w:val="single" w:sz="4" w:space="0" w:color="auto"/>
            </w:tcBorders>
            <w:shd w:val="clear" w:color="000000" w:fill="FFFFFF"/>
            <w:noWrap/>
            <w:vAlign w:val="bottom"/>
          </w:tcPr>
          <w:p w14:paraId="0BD4EA15" w14:textId="2DCE6FF5"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2.55</w:t>
            </w:r>
          </w:p>
        </w:tc>
        <w:tc>
          <w:tcPr>
            <w:tcW w:w="540" w:type="dxa"/>
            <w:tcBorders>
              <w:top w:val="nil"/>
              <w:left w:val="nil"/>
              <w:bottom w:val="nil"/>
              <w:right w:val="nil"/>
            </w:tcBorders>
            <w:shd w:val="clear" w:color="000000" w:fill="FFFFFF"/>
            <w:noWrap/>
            <w:vAlign w:val="center"/>
          </w:tcPr>
          <w:p w14:paraId="0224DC4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5B246A6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nil"/>
              <w:right w:val="nil"/>
            </w:tcBorders>
            <w:shd w:val="clear" w:color="000000" w:fill="FFFFFF"/>
            <w:noWrap/>
            <w:vAlign w:val="center"/>
          </w:tcPr>
          <w:p w14:paraId="1F132254"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3C18B560"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1AF2FAF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7691CBEF"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center"/>
          </w:tcPr>
          <w:p w14:paraId="52498E9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nil"/>
              <w:right w:val="single" w:sz="4" w:space="0" w:color="auto"/>
            </w:tcBorders>
            <w:shd w:val="clear" w:color="000000" w:fill="FFFFFF"/>
            <w:noWrap/>
            <w:vAlign w:val="center"/>
          </w:tcPr>
          <w:p w14:paraId="6AF090A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noWrap/>
            <w:vAlign w:val="bottom"/>
          </w:tcPr>
          <w:p w14:paraId="29EAF173" w14:textId="63A9CC50" w:rsidR="005A056A" w:rsidRPr="000D3090" w:rsidRDefault="005A056A" w:rsidP="005A056A">
            <w:pPr>
              <w:spacing w:after="0" w:line="240" w:lineRule="auto"/>
              <w:jc w:val="center"/>
              <w:rPr>
                <w:color w:val="000000"/>
                <w:sz w:val="18"/>
                <w:szCs w:val="18"/>
              </w:rPr>
            </w:pPr>
            <w:r w:rsidRPr="000D3090">
              <w:rPr>
                <w:color w:val="000000"/>
                <w:sz w:val="18"/>
                <w:szCs w:val="18"/>
              </w:rPr>
              <w:t>-0.23</w:t>
            </w:r>
          </w:p>
        </w:tc>
        <w:tc>
          <w:tcPr>
            <w:tcW w:w="454" w:type="dxa"/>
            <w:tcBorders>
              <w:top w:val="nil"/>
              <w:left w:val="nil"/>
              <w:bottom w:val="nil"/>
              <w:right w:val="single" w:sz="4" w:space="0" w:color="auto"/>
            </w:tcBorders>
            <w:shd w:val="clear" w:color="000000" w:fill="FFFFFF"/>
            <w:noWrap/>
            <w:vAlign w:val="bottom"/>
          </w:tcPr>
          <w:p w14:paraId="353D9009" w14:textId="04100FC1" w:rsidR="005A056A" w:rsidRPr="000D3090" w:rsidRDefault="005A056A" w:rsidP="005A056A">
            <w:pPr>
              <w:spacing w:after="0" w:line="240" w:lineRule="auto"/>
              <w:jc w:val="center"/>
              <w:rPr>
                <w:color w:val="000000"/>
                <w:sz w:val="18"/>
                <w:szCs w:val="18"/>
              </w:rPr>
            </w:pPr>
            <w:r w:rsidRPr="000D3090">
              <w:rPr>
                <w:color w:val="000000"/>
                <w:sz w:val="18"/>
                <w:szCs w:val="18"/>
              </w:rPr>
              <w:t>-1.91</w:t>
            </w:r>
          </w:p>
        </w:tc>
        <w:tc>
          <w:tcPr>
            <w:tcW w:w="540" w:type="dxa"/>
            <w:tcBorders>
              <w:top w:val="nil"/>
              <w:left w:val="nil"/>
              <w:bottom w:val="nil"/>
              <w:right w:val="nil"/>
            </w:tcBorders>
            <w:shd w:val="clear" w:color="000000" w:fill="FFFFFF"/>
            <w:noWrap/>
            <w:vAlign w:val="center"/>
          </w:tcPr>
          <w:p w14:paraId="15CB792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456" w:type="dxa"/>
            <w:tcBorders>
              <w:top w:val="nil"/>
              <w:left w:val="nil"/>
              <w:bottom w:val="nil"/>
              <w:right w:val="single" w:sz="12" w:space="0" w:color="auto"/>
            </w:tcBorders>
            <w:shd w:val="clear" w:color="000000" w:fill="FFFFFF"/>
            <w:noWrap/>
            <w:vAlign w:val="center"/>
          </w:tcPr>
          <w:p w14:paraId="39F34C0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nil"/>
              <w:right w:val="nil"/>
            </w:tcBorders>
            <w:shd w:val="clear" w:color="000000" w:fill="FFFFFF"/>
            <w:vAlign w:val="center"/>
          </w:tcPr>
          <w:p w14:paraId="45B9266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0" w:type="dxa"/>
            <w:tcBorders>
              <w:top w:val="nil"/>
              <w:left w:val="nil"/>
              <w:bottom w:val="nil"/>
              <w:right w:val="single" w:sz="12" w:space="0" w:color="auto"/>
            </w:tcBorders>
            <w:shd w:val="clear" w:color="000000" w:fill="FFFFFF"/>
            <w:vAlign w:val="center"/>
          </w:tcPr>
          <w:p w14:paraId="6B03002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bottom w:val="nil"/>
              <w:right w:val="nil"/>
            </w:tcBorders>
            <w:shd w:val="clear" w:color="000000" w:fill="FFFFFF"/>
            <w:vAlign w:val="center"/>
          </w:tcPr>
          <w:p w14:paraId="6D2AB87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bottom w:val="nil"/>
              <w:right w:val="single" w:sz="12" w:space="0" w:color="auto"/>
            </w:tcBorders>
            <w:shd w:val="clear" w:color="000000" w:fill="FFFFFF"/>
            <w:vAlign w:val="center"/>
          </w:tcPr>
          <w:p w14:paraId="1AF42386"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3FB07DB9" w14:textId="77777777" w:rsidTr="002961DC">
        <w:trPr>
          <w:trHeight w:val="20"/>
          <w:jc w:val="center"/>
        </w:trPr>
        <w:tc>
          <w:tcPr>
            <w:tcW w:w="2411" w:type="dxa"/>
            <w:tcBorders>
              <w:top w:val="nil"/>
              <w:left w:val="single" w:sz="12" w:space="0" w:color="auto"/>
              <w:right w:val="single" w:sz="12" w:space="0" w:color="auto"/>
            </w:tcBorders>
            <w:shd w:val="clear" w:color="000000" w:fill="FFFFFF"/>
            <w:noWrap/>
            <w:vAlign w:val="center"/>
          </w:tcPr>
          <w:p w14:paraId="58826F95"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Telework</w:t>
            </w:r>
          </w:p>
        </w:tc>
        <w:tc>
          <w:tcPr>
            <w:tcW w:w="537" w:type="dxa"/>
            <w:tcBorders>
              <w:top w:val="nil"/>
              <w:left w:val="single" w:sz="12" w:space="0" w:color="auto"/>
            </w:tcBorders>
            <w:shd w:val="clear" w:color="000000" w:fill="FFFFFF"/>
            <w:vAlign w:val="bottom"/>
          </w:tcPr>
          <w:p w14:paraId="1EFF8039" w14:textId="773907CC" w:rsidR="005A056A" w:rsidRPr="000D3090" w:rsidRDefault="005A056A" w:rsidP="005A056A">
            <w:pPr>
              <w:spacing w:after="0" w:line="240" w:lineRule="auto"/>
              <w:jc w:val="center"/>
              <w:rPr>
                <w:color w:val="000000"/>
                <w:sz w:val="18"/>
                <w:szCs w:val="18"/>
              </w:rPr>
            </w:pPr>
            <w:r w:rsidRPr="000D3090">
              <w:rPr>
                <w:color w:val="000000"/>
                <w:sz w:val="18"/>
                <w:szCs w:val="18"/>
              </w:rPr>
              <w:t>0.17</w:t>
            </w:r>
          </w:p>
        </w:tc>
        <w:tc>
          <w:tcPr>
            <w:tcW w:w="541" w:type="dxa"/>
            <w:tcBorders>
              <w:top w:val="nil"/>
              <w:left w:val="nil"/>
              <w:right w:val="single" w:sz="12" w:space="0" w:color="auto"/>
            </w:tcBorders>
            <w:shd w:val="clear" w:color="000000" w:fill="FFFFFF"/>
            <w:vAlign w:val="bottom"/>
          </w:tcPr>
          <w:p w14:paraId="4AE6BD0F" w14:textId="61ED0F26" w:rsidR="005A056A" w:rsidRPr="000D3090" w:rsidRDefault="005A056A" w:rsidP="005A056A">
            <w:pPr>
              <w:spacing w:after="0" w:line="240" w:lineRule="auto"/>
              <w:jc w:val="center"/>
              <w:rPr>
                <w:color w:val="000000"/>
                <w:sz w:val="18"/>
                <w:szCs w:val="18"/>
              </w:rPr>
            </w:pPr>
            <w:r w:rsidRPr="000D3090">
              <w:rPr>
                <w:color w:val="000000"/>
                <w:sz w:val="18"/>
                <w:szCs w:val="18"/>
              </w:rPr>
              <w:t>3.59</w:t>
            </w:r>
          </w:p>
        </w:tc>
        <w:tc>
          <w:tcPr>
            <w:tcW w:w="539" w:type="dxa"/>
            <w:tcBorders>
              <w:top w:val="nil"/>
              <w:left w:val="single" w:sz="12" w:space="0" w:color="auto"/>
              <w:right w:val="nil"/>
            </w:tcBorders>
            <w:shd w:val="clear" w:color="000000" w:fill="FFFFFF"/>
            <w:noWrap/>
            <w:vAlign w:val="center"/>
          </w:tcPr>
          <w:p w14:paraId="10EFC4B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49" w:type="dxa"/>
            <w:tcBorders>
              <w:top w:val="nil"/>
              <w:left w:val="nil"/>
              <w:right w:val="single" w:sz="4" w:space="0" w:color="auto"/>
            </w:tcBorders>
            <w:shd w:val="clear" w:color="000000" w:fill="FFFFFF"/>
            <w:noWrap/>
            <w:vAlign w:val="center"/>
          </w:tcPr>
          <w:p w14:paraId="59595E6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487F77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right w:val="single" w:sz="4" w:space="0" w:color="auto"/>
            </w:tcBorders>
            <w:shd w:val="clear" w:color="000000" w:fill="FFFFFF"/>
            <w:noWrap/>
            <w:vAlign w:val="center"/>
          </w:tcPr>
          <w:p w14:paraId="7F2DDD8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1D989EE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right w:val="single" w:sz="4" w:space="0" w:color="auto"/>
            </w:tcBorders>
            <w:shd w:val="clear" w:color="000000" w:fill="FFFFFF"/>
            <w:noWrap/>
            <w:vAlign w:val="center"/>
          </w:tcPr>
          <w:p w14:paraId="0315889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right w:val="nil"/>
            </w:tcBorders>
            <w:shd w:val="clear" w:color="000000" w:fill="FFFFFF"/>
            <w:noWrap/>
            <w:vAlign w:val="center"/>
          </w:tcPr>
          <w:p w14:paraId="6C260648"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450" w:type="dxa"/>
            <w:tcBorders>
              <w:top w:val="nil"/>
              <w:left w:val="nil"/>
              <w:right w:val="single" w:sz="4" w:space="0" w:color="auto"/>
            </w:tcBorders>
            <w:shd w:val="clear" w:color="000000" w:fill="FFFFFF"/>
            <w:noWrap/>
            <w:vAlign w:val="center"/>
          </w:tcPr>
          <w:p w14:paraId="09CBFAE9"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716585B2"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right w:val="single" w:sz="4" w:space="0" w:color="auto"/>
            </w:tcBorders>
            <w:shd w:val="clear" w:color="000000" w:fill="FFFFFF"/>
            <w:noWrap/>
            <w:vAlign w:val="center"/>
          </w:tcPr>
          <w:p w14:paraId="5EC701B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139898E1"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right w:val="single" w:sz="4" w:space="0" w:color="auto"/>
            </w:tcBorders>
            <w:shd w:val="clear" w:color="000000" w:fill="FFFFFF"/>
            <w:noWrap/>
            <w:vAlign w:val="center"/>
          </w:tcPr>
          <w:p w14:paraId="602D9E5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center"/>
          </w:tcPr>
          <w:p w14:paraId="51206F0F"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0.00</w:t>
            </w:r>
          </w:p>
        </w:tc>
        <w:tc>
          <w:tcPr>
            <w:tcW w:w="454" w:type="dxa"/>
            <w:tcBorders>
              <w:top w:val="nil"/>
              <w:left w:val="nil"/>
              <w:right w:val="single" w:sz="4" w:space="0" w:color="auto"/>
            </w:tcBorders>
            <w:shd w:val="clear" w:color="000000" w:fill="FFFFFF"/>
            <w:noWrap/>
            <w:vAlign w:val="center"/>
          </w:tcPr>
          <w:p w14:paraId="64516B2A"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c>
          <w:tcPr>
            <w:tcW w:w="540" w:type="dxa"/>
            <w:tcBorders>
              <w:top w:val="nil"/>
              <w:left w:val="nil"/>
              <w:right w:val="nil"/>
            </w:tcBorders>
            <w:shd w:val="clear" w:color="000000" w:fill="FFFFFF"/>
            <w:noWrap/>
            <w:vAlign w:val="bottom"/>
          </w:tcPr>
          <w:p w14:paraId="2289067F" w14:textId="5E6B1053"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0.21</w:t>
            </w:r>
          </w:p>
        </w:tc>
        <w:tc>
          <w:tcPr>
            <w:tcW w:w="456" w:type="dxa"/>
            <w:tcBorders>
              <w:top w:val="nil"/>
              <w:left w:val="nil"/>
              <w:right w:val="single" w:sz="12" w:space="0" w:color="auto"/>
            </w:tcBorders>
            <w:shd w:val="clear" w:color="000000" w:fill="FFFFFF"/>
            <w:noWrap/>
            <w:vAlign w:val="bottom"/>
          </w:tcPr>
          <w:p w14:paraId="7DCB009D" w14:textId="4C5E3318" w:rsidR="005A056A" w:rsidRPr="000D3090" w:rsidRDefault="005A056A" w:rsidP="005A056A">
            <w:pPr>
              <w:spacing w:after="0" w:line="240" w:lineRule="auto"/>
              <w:jc w:val="center"/>
              <w:rPr>
                <w:rFonts w:eastAsia="Times New Roman"/>
                <w:color w:val="000000"/>
                <w:sz w:val="18"/>
                <w:szCs w:val="18"/>
              </w:rPr>
            </w:pPr>
            <w:r w:rsidRPr="000D3090">
              <w:rPr>
                <w:color w:val="000000"/>
                <w:sz w:val="18"/>
                <w:szCs w:val="18"/>
              </w:rPr>
              <w:t>2.51</w:t>
            </w:r>
          </w:p>
        </w:tc>
        <w:tc>
          <w:tcPr>
            <w:tcW w:w="540" w:type="dxa"/>
            <w:tcBorders>
              <w:top w:val="nil"/>
              <w:left w:val="nil"/>
              <w:right w:val="nil"/>
            </w:tcBorders>
            <w:shd w:val="clear" w:color="000000" w:fill="FFFFFF"/>
            <w:vAlign w:val="center"/>
          </w:tcPr>
          <w:p w14:paraId="6FE3760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1.00</w:t>
            </w:r>
          </w:p>
        </w:tc>
        <w:tc>
          <w:tcPr>
            <w:tcW w:w="540" w:type="dxa"/>
            <w:tcBorders>
              <w:top w:val="nil"/>
              <w:left w:val="nil"/>
              <w:right w:val="single" w:sz="12" w:space="0" w:color="auto"/>
            </w:tcBorders>
            <w:shd w:val="clear" w:color="000000" w:fill="FFFFFF"/>
            <w:vAlign w:val="center"/>
          </w:tcPr>
          <w:p w14:paraId="0432DEA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630" w:type="dxa"/>
            <w:tcBorders>
              <w:top w:val="nil"/>
              <w:left w:val="single" w:sz="12" w:space="0" w:color="auto"/>
              <w:right w:val="nil"/>
            </w:tcBorders>
            <w:shd w:val="clear" w:color="000000" w:fill="FFFFFF"/>
            <w:vAlign w:val="center"/>
          </w:tcPr>
          <w:p w14:paraId="2E9481D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w:t>
            </w:r>
          </w:p>
        </w:tc>
        <w:tc>
          <w:tcPr>
            <w:tcW w:w="542" w:type="dxa"/>
            <w:tcBorders>
              <w:top w:val="nil"/>
              <w:left w:val="nil"/>
              <w:right w:val="single" w:sz="12" w:space="0" w:color="auto"/>
            </w:tcBorders>
            <w:shd w:val="clear" w:color="000000" w:fill="FFFFFF"/>
            <w:vAlign w:val="center"/>
          </w:tcPr>
          <w:p w14:paraId="1246C2E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r>
      <w:tr w:rsidR="005A056A" w:rsidRPr="000D3090" w14:paraId="2303A0F8" w14:textId="77777777" w:rsidTr="002961DC">
        <w:trPr>
          <w:trHeight w:val="20"/>
          <w:jc w:val="center"/>
        </w:trPr>
        <w:tc>
          <w:tcPr>
            <w:tcW w:w="2411" w:type="dxa"/>
            <w:tcBorders>
              <w:top w:val="nil"/>
              <w:left w:val="single" w:sz="12" w:space="0" w:color="auto"/>
              <w:bottom w:val="single" w:sz="12" w:space="0" w:color="auto"/>
              <w:right w:val="single" w:sz="12" w:space="0" w:color="auto"/>
            </w:tcBorders>
            <w:shd w:val="clear" w:color="000000" w:fill="FFFFFF"/>
            <w:noWrap/>
            <w:vAlign w:val="center"/>
          </w:tcPr>
          <w:p w14:paraId="70D3FF91" w14:textId="77777777" w:rsidR="005A056A" w:rsidRPr="000D3090" w:rsidRDefault="005A056A" w:rsidP="005A056A">
            <w:pPr>
              <w:spacing w:after="0" w:line="240" w:lineRule="auto"/>
              <w:rPr>
                <w:rFonts w:eastAsia="Times New Roman"/>
                <w:color w:val="000000"/>
                <w:sz w:val="18"/>
                <w:szCs w:val="18"/>
              </w:rPr>
            </w:pPr>
            <w:r w:rsidRPr="000D3090">
              <w:rPr>
                <w:rFonts w:eastAsia="Times New Roman"/>
                <w:color w:val="000000"/>
                <w:sz w:val="18"/>
                <w:szCs w:val="18"/>
              </w:rPr>
              <w:t>Deliveries</w:t>
            </w:r>
          </w:p>
        </w:tc>
        <w:tc>
          <w:tcPr>
            <w:tcW w:w="537" w:type="dxa"/>
            <w:tcBorders>
              <w:top w:val="nil"/>
              <w:left w:val="single" w:sz="12" w:space="0" w:color="auto"/>
              <w:bottom w:val="single" w:sz="12" w:space="0" w:color="auto"/>
            </w:tcBorders>
            <w:shd w:val="clear" w:color="000000" w:fill="FFFFFF"/>
            <w:vAlign w:val="bottom"/>
          </w:tcPr>
          <w:p w14:paraId="100043F5" w14:textId="54DAEB9F" w:rsidR="005A056A" w:rsidRPr="000D3090" w:rsidRDefault="005A056A" w:rsidP="005A056A">
            <w:pPr>
              <w:spacing w:after="0" w:line="240" w:lineRule="auto"/>
              <w:jc w:val="center"/>
              <w:rPr>
                <w:color w:val="000000"/>
                <w:sz w:val="18"/>
                <w:szCs w:val="18"/>
              </w:rPr>
            </w:pPr>
            <w:r w:rsidRPr="000D3090">
              <w:rPr>
                <w:color w:val="000000"/>
                <w:sz w:val="18"/>
                <w:szCs w:val="18"/>
              </w:rPr>
              <w:t>0.13</w:t>
            </w:r>
          </w:p>
        </w:tc>
        <w:tc>
          <w:tcPr>
            <w:tcW w:w="541" w:type="dxa"/>
            <w:tcBorders>
              <w:top w:val="nil"/>
              <w:left w:val="nil"/>
              <w:bottom w:val="single" w:sz="12" w:space="0" w:color="auto"/>
              <w:right w:val="single" w:sz="12" w:space="0" w:color="auto"/>
            </w:tcBorders>
            <w:shd w:val="clear" w:color="000000" w:fill="FFFFFF"/>
            <w:vAlign w:val="bottom"/>
          </w:tcPr>
          <w:p w14:paraId="753BBF3B" w14:textId="6D8E0CAC" w:rsidR="005A056A" w:rsidRPr="000D3090" w:rsidRDefault="005A056A" w:rsidP="005A056A">
            <w:pPr>
              <w:spacing w:after="0" w:line="240" w:lineRule="auto"/>
              <w:jc w:val="center"/>
              <w:rPr>
                <w:color w:val="000000"/>
                <w:sz w:val="18"/>
                <w:szCs w:val="18"/>
              </w:rPr>
            </w:pPr>
            <w:r w:rsidRPr="000D3090">
              <w:rPr>
                <w:color w:val="000000"/>
                <w:sz w:val="18"/>
                <w:szCs w:val="18"/>
              </w:rPr>
              <w:t>3.73</w:t>
            </w:r>
          </w:p>
        </w:tc>
        <w:tc>
          <w:tcPr>
            <w:tcW w:w="539" w:type="dxa"/>
            <w:tcBorders>
              <w:top w:val="nil"/>
              <w:left w:val="single" w:sz="12" w:space="0" w:color="auto"/>
              <w:bottom w:val="single" w:sz="12" w:space="0" w:color="auto"/>
              <w:right w:val="nil"/>
            </w:tcBorders>
            <w:shd w:val="clear" w:color="000000" w:fill="FFFFFF"/>
            <w:noWrap/>
            <w:vAlign w:val="center"/>
          </w:tcPr>
          <w:p w14:paraId="1024213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49" w:type="dxa"/>
            <w:tcBorders>
              <w:top w:val="nil"/>
              <w:left w:val="nil"/>
              <w:bottom w:val="single" w:sz="12" w:space="0" w:color="auto"/>
              <w:right w:val="single" w:sz="4" w:space="0" w:color="auto"/>
            </w:tcBorders>
            <w:shd w:val="clear" w:color="000000" w:fill="FFFFFF"/>
            <w:noWrap/>
            <w:vAlign w:val="center"/>
          </w:tcPr>
          <w:p w14:paraId="551BDCB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28EFB4EC"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single" w:sz="12" w:space="0" w:color="auto"/>
              <w:right w:val="single" w:sz="4" w:space="0" w:color="auto"/>
            </w:tcBorders>
            <w:shd w:val="clear" w:color="000000" w:fill="FFFFFF"/>
            <w:noWrap/>
            <w:vAlign w:val="center"/>
          </w:tcPr>
          <w:p w14:paraId="0EFC840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086290B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single" w:sz="12" w:space="0" w:color="auto"/>
              <w:right w:val="single" w:sz="4" w:space="0" w:color="auto"/>
            </w:tcBorders>
            <w:shd w:val="clear" w:color="000000" w:fill="FFFFFF"/>
            <w:noWrap/>
            <w:vAlign w:val="center"/>
          </w:tcPr>
          <w:p w14:paraId="485558A0"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8" w:type="dxa"/>
            <w:tcBorders>
              <w:top w:val="nil"/>
              <w:left w:val="nil"/>
              <w:bottom w:val="single" w:sz="12" w:space="0" w:color="auto"/>
              <w:right w:val="nil"/>
            </w:tcBorders>
            <w:shd w:val="clear" w:color="000000" w:fill="FFFFFF"/>
            <w:noWrap/>
            <w:vAlign w:val="center"/>
          </w:tcPr>
          <w:p w14:paraId="0D35BDCE"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single" w:sz="12" w:space="0" w:color="auto"/>
              <w:right w:val="single" w:sz="4" w:space="0" w:color="auto"/>
            </w:tcBorders>
            <w:shd w:val="clear" w:color="000000" w:fill="FFFFFF"/>
            <w:noWrap/>
            <w:vAlign w:val="center"/>
          </w:tcPr>
          <w:p w14:paraId="61BF4CD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02F3DF7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single" w:sz="12" w:space="0" w:color="auto"/>
              <w:right w:val="single" w:sz="4" w:space="0" w:color="auto"/>
            </w:tcBorders>
            <w:shd w:val="clear" w:color="000000" w:fill="FFFFFF"/>
            <w:noWrap/>
            <w:vAlign w:val="center"/>
          </w:tcPr>
          <w:p w14:paraId="60D0F91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4BF1339D"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0" w:type="dxa"/>
            <w:tcBorders>
              <w:top w:val="nil"/>
              <w:left w:val="nil"/>
              <w:bottom w:val="single" w:sz="12" w:space="0" w:color="auto"/>
              <w:right w:val="single" w:sz="4" w:space="0" w:color="auto"/>
            </w:tcBorders>
            <w:shd w:val="clear" w:color="000000" w:fill="FFFFFF"/>
            <w:noWrap/>
            <w:vAlign w:val="center"/>
          </w:tcPr>
          <w:p w14:paraId="7F55DE5B"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1C403E79"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4" w:type="dxa"/>
            <w:tcBorders>
              <w:top w:val="nil"/>
              <w:left w:val="nil"/>
              <w:bottom w:val="single" w:sz="12" w:space="0" w:color="auto"/>
              <w:right w:val="single" w:sz="4" w:space="0" w:color="auto"/>
            </w:tcBorders>
            <w:shd w:val="clear" w:color="000000" w:fill="FFFFFF"/>
            <w:noWrap/>
            <w:vAlign w:val="center"/>
          </w:tcPr>
          <w:p w14:paraId="67A973B5"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noWrap/>
            <w:vAlign w:val="center"/>
          </w:tcPr>
          <w:p w14:paraId="6AC8D918"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0.00</w:t>
            </w:r>
          </w:p>
        </w:tc>
        <w:tc>
          <w:tcPr>
            <w:tcW w:w="456" w:type="dxa"/>
            <w:tcBorders>
              <w:top w:val="nil"/>
              <w:left w:val="nil"/>
              <w:bottom w:val="single" w:sz="12" w:space="0" w:color="auto"/>
              <w:right w:val="single" w:sz="12" w:space="0" w:color="auto"/>
            </w:tcBorders>
            <w:shd w:val="clear" w:color="000000" w:fill="FFFFFF"/>
            <w:noWrap/>
            <w:vAlign w:val="center"/>
          </w:tcPr>
          <w:p w14:paraId="363D4E9A" w14:textId="77777777" w:rsidR="005A056A" w:rsidRPr="000D3090" w:rsidRDefault="005A056A" w:rsidP="005A056A">
            <w:pPr>
              <w:spacing w:after="0" w:line="240" w:lineRule="auto"/>
              <w:jc w:val="center"/>
              <w:rPr>
                <w:rFonts w:eastAsia="Times New Roman"/>
                <w:color w:val="000000"/>
                <w:sz w:val="18"/>
                <w:szCs w:val="18"/>
              </w:rPr>
            </w:pPr>
            <w:r w:rsidRPr="000D3090">
              <w:rPr>
                <w:rFonts w:eastAsia="Times New Roman"/>
                <w:color w:val="000000"/>
                <w:sz w:val="18"/>
                <w:szCs w:val="18"/>
              </w:rPr>
              <w:t>-- </w:t>
            </w:r>
          </w:p>
        </w:tc>
        <w:tc>
          <w:tcPr>
            <w:tcW w:w="540" w:type="dxa"/>
            <w:tcBorders>
              <w:top w:val="nil"/>
              <w:left w:val="nil"/>
              <w:bottom w:val="single" w:sz="12" w:space="0" w:color="auto"/>
              <w:right w:val="nil"/>
            </w:tcBorders>
            <w:shd w:val="clear" w:color="000000" w:fill="FFFFFF"/>
            <w:vAlign w:val="bottom"/>
          </w:tcPr>
          <w:p w14:paraId="68FD3E8A" w14:textId="7D89217C" w:rsidR="005A056A" w:rsidRPr="000D3090" w:rsidRDefault="005A056A" w:rsidP="005A056A">
            <w:pPr>
              <w:spacing w:after="0" w:line="240" w:lineRule="auto"/>
              <w:jc w:val="center"/>
              <w:rPr>
                <w:color w:val="000000"/>
                <w:sz w:val="18"/>
                <w:szCs w:val="18"/>
              </w:rPr>
            </w:pPr>
            <w:r w:rsidRPr="000D3090">
              <w:rPr>
                <w:color w:val="000000"/>
                <w:sz w:val="18"/>
                <w:szCs w:val="18"/>
              </w:rPr>
              <w:t>0.18</w:t>
            </w:r>
          </w:p>
        </w:tc>
        <w:tc>
          <w:tcPr>
            <w:tcW w:w="540" w:type="dxa"/>
            <w:tcBorders>
              <w:top w:val="nil"/>
              <w:left w:val="nil"/>
              <w:bottom w:val="single" w:sz="12" w:space="0" w:color="auto"/>
              <w:right w:val="single" w:sz="12" w:space="0" w:color="auto"/>
            </w:tcBorders>
            <w:shd w:val="clear" w:color="000000" w:fill="FFFFFF"/>
            <w:vAlign w:val="bottom"/>
          </w:tcPr>
          <w:p w14:paraId="565510BE" w14:textId="10D68DC2" w:rsidR="005A056A" w:rsidRPr="000D3090" w:rsidRDefault="005A056A" w:rsidP="005A056A">
            <w:pPr>
              <w:spacing w:after="0" w:line="240" w:lineRule="auto"/>
              <w:jc w:val="center"/>
              <w:rPr>
                <w:color w:val="000000"/>
                <w:sz w:val="18"/>
                <w:szCs w:val="18"/>
              </w:rPr>
            </w:pPr>
            <w:r w:rsidRPr="000D3090">
              <w:rPr>
                <w:color w:val="000000"/>
                <w:sz w:val="18"/>
                <w:szCs w:val="18"/>
              </w:rPr>
              <w:t>3.15</w:t>
            </w:r>
          </w:p>
        </w:tc>
        <w:tc>
          <w:tcPr>
            <w:tcW w:w="630" w:type="dxa"/>
            <w:tcBorders>
              <w:top w:val="nil"/>
              <w:left w:val="single" w:sz="12" w:space="0" w:color="auto"/>
              <w:bottom w:val="single" w:sz="12" w:space="0" w:color="auto"/>
              <w:right w:val="nil"/>
            </w:tcBorders>
            <w:shd w:val="clear" w:color="000000" w:fill="FFFFFF"/>
            <w:vAlign w:val="center"/>
          </w:tcPr>
          <w:p w14:paraId="18703659"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1.00</w:t>
            </w:r>
          </w:p>
        </w:tc>
        <w:tc>
          <w:tcPr>
            <w:tcW w:w="542" w:type="dxa"/>
            <w:tcBorders>
              <w:top w:val="nil"/>
              <w:left w:val="nil"/>
              <w:bottom w:val="single" w:sz="12" w:space="0" w:color="auto"/>
              <w:right w:val="single" w:sz="12" w:space="0" w:color="auto"/>
            </w:tcBorders>
            <w:shd w:val="clear" w:color="000000" w:fill="FFFFFF"/>
            <w:vAlign w:val="center"/>
          </w:tcPr>
          <w:p w14:paraId="23E1A856" w14:textId="77777777" w:rsidR="005A056A" w:rsidRPr="000D3090" w:rsidRDefault="005A056A" w:rsidP="005A056A">
            <w:pPr>
              <w:spacing w:after="0" w:line="240" w:lineRule="auto"/>
              <w:jc w:val="center"/>
              <w:rPr>
                <w:color w:val="000000"/>
                <w:sz w:val="18"/>
                <w:szCs w:val="18"/>
              </w:rPr>
            </w:pPr>
            <w:r w:rsidRPr="000D3090">
              <w:rPr>
                <w:rFonts w:eastAsia="Times New Roman"/>
                <w:color w:val="000000"/>
                <w:sz w:val="18"/>
                <w:szCs w:val="18"/>
              </w:rPr>
              <w:t>-- </w:t>
            </w:r>
          </w:p>
        </w:tc>
      </w:tr>
    </w:tbl>
    <w:p w14:paraId="5D4306A2" w14:textId="77777777" w:rsidR="002961DC" w:rsidRPr="000D3090" w:rsidRDefault="002961DC" w:rsidP="002961DC">
      <w:pPr>
        <w:spacing w:after="0" w:line="240" w:lineRule="auto"/>
        <w:jc w:val="both"/>
        <w:rPr>
          <w:b/>
          <w:bCs/>
          <w:sz w:val="20"/>
          <w:szCs w:val="20"/>
        </w:rPr>
      </w:pPr>
    </w:p>
    <w:p w14:paraId="6F626C0F" w14:textId="77777777" w:rsidR="002961DC" w:rsidRPr="000D3090" w:rsidRDefault="002961DC" w:rsidP="002961DC">
      <w:pPr>
        <w:spacing w:after="0" w:line="240" w:lineRule="auto"/>
        <w:jc w:val="both"/>
        <w:rPr>
          <w:b/>
          <w:bCs/>
          <w:sz w:val="20"/>
          <w:szCs w:val="20"/>
        </w:rPr>
      </w:pPr>
    </w:p>
    <w:p w14:paraId="2DD87B47" w14:textId="77777777" w:rsidR="002961DC" w:rsidRPr="000D3090" w:rsidRDefault="002961DC" w:rsidP="002961DC">
      <w:pPr>
        <w:spacing w:after="0" w:line="240" w:lineRule="auto"/>
        <w:jc w:val="both"/>
        <w:rPr>
          <w:b/>
          <w:bCs/>
          <w:sz w:val="20"/>
          <w:szCs w:val="20"/>
        </w:rPr>
      </w:pPr>
    </w:p>
    <w:p w14:paraId="64FE2822" w14:textId="77777777" w:rsidR="002961DC" w:rsidRPr="000D3090" w:rsidRDefault="002961DC" w:rsidP="002961DC">
      <w:pPr>
        <w:spacing w:after="0" w:line="240" w:lineRule="auto"/>
        <w:jc w:val="both"/>
        <w:rPr>
          <w:b/>
          <w:bCs/>
          <w:sz w:val="20"/>
          <w:szCs w:val="20"/>
        </w:rPr>
        <w:sectPr w:rsidR="002961DC" w:rsidRPr="000D3090" w:rsidSect="002961DC">
          <w:footerReference w:type="default" r:id="rId102"/>
          <w:pgSz w:w="15840" w:h="12240" w:orient="landscape" w:code="1"/>
          <w:pgMar w:top="1440" w:right="1440" w:bottom="1440" w:left="1440" w:header="720" w:footer="720" w:gutter="0"/>
          <w:cols w:space="720"/>
          <w:docGrid w:linePitch="360"/>
        </w:sectPr>
      </w:pPr>
    </w:p>
    <w:p w14:paraId="016D249A" w14:textId="60E92377" w:rsidR="00FB420E" w:rsidRPr="000D3090" w:rsidRDefault="00C261E7" w:rsidP="004B5462">
      <w:pPr>
        <w:spacing w:after="120"/>
        <w:rPr>
          <w:b/>
          <w:bCs/>
        </w:rPr>
      </w:pPr>
      <w:r w:rsidRPr="000D3090">
        <w:rPr>
          <w:b/>
          <w:bCs/>
        </w:rPr>
        <w:lastRenderedPageBreak/>
        <w:t xml:space="preserve">Table </w:t>
      </w:r>
      <w:r w:rsidR="00DA3B5F" w:rsidRPr="000D3090">
        <w:rPr>
          <w:b/>
          <w:bCs/>
        </w:rPr>
        <w:t>4</w:t>
      </w:r>
      <w:r w:rsidR="009D5FFB" w:rsidRPr="000D3090">
        <w:rPr>
          <w:b/>
          <w:bCs/>
        </w:rPr>
        <w:t xml:space="preserve"> Model Fit</w:t>
      </w:r>
    </w:p>
    <w:tbl>
      <w:tblPr>
        <w:tblW w:w="9345" w:type="dxa"/>
        <w:jc w:val="center"/>
        <w:tblLook w:val="04A0" w:firstRow="1" w:lastRow="0" w:firstColumn="1" w:lastColumn="0" w:noHBand="0" w:noVBand="1"/>
      </w:tblPr>
      <w:tblGrid>
        <w:gridCol w:w="1128"/>
        <w:gridCol w:w="1061"/>
        <w:gridCol w:w="1306"/>
        <w:gridCol w:w="900"/>
        <w:gridCol w:w="900"/>
        <w:gridCol w:w="990"/>
        <w:gridCol w:w="990"/>
        <w:gridCol w:w="990"/>
        <w:gridCol w:w="1080"/>
      </w:tblGrid>
      <w:tr w:rsidR="00260D4C" w:rsidRPr="000D3090" w14:paraId="495916B7" w14:textId="77777777" w:rsidTr="004B5462">
        <w:trPr>
          <w:trHeight w:val="144"/>
          <w:jc w:val="center"/>
        </w:trPr>
        <w:tc>
          <w:tcPr>
            <w:tcW w:w="9345" w:type="dxa"/>
            <w:gridSpan w:val="9"/>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6E7CEB3B" w14:textId="77777777" w:rsidR="00260D4C" w:rsidRPr="000D3090" w:rsidRDefault="00260D4C" w:rsidP="00B425AD">
            <w:pPr>
              <w:spacing w:after="0" w:line="240" w:lineRule="auto"/>
              <w:jc w:val="center"/>
              <w:rPr>
                <w:rFonts w:eastAsia="Times New Roman"/>
                <w:b/>
                <w:bCs/>
                <w:i/>
                <w:iCs/>
                <w:color w:val="000000"/>
                <w:sz w:val="20"/>
                <w:szCs w:val="20"/>
              </w:rPr>
            </w:pPr>
            <w:r w:rsidRPr="000D3090">
              <w:rPr>
                <w:rFonts w:eastAsia="Times New Roman"/>
                <w:b/>
                <w:bCs/>
                <w:i/>
                <w:iCs/>
                <w:color w:val="000000"/>
                <w:sz w:val="20"/>
                <w:szCs w:val="20"/>
              </w:rPr>
              <w:t>Disaggregate Fit Measures</w:t>
            </w:r>
          </w:p>
        </w:tc>
      </w:tr>
      <w:tr w:rsidR="0067403B" w:rsidRPr="000D3090" w14:paraId="50AB6BC8" w14:textId="77777777" w:rsidTr="004B5462">
        <w:trPr>
          <w:trHeight w:val="144"/>
          <w:jc w:val="center"/>
        </w:trPr>
        <w:tc>
          <w:tcPr>
            <w:tcW w:w="5295" w:type="dxa"/>
            <w:gridSpan w:val="5"/>
            <w:tcBorders>
              <w:top w:val="single" w:sz="12" w:space="0" w:color="auto"/>
              <w:left w:val="single" w:sz="12" w:space="0" w:color="auto"/>
              <w:bottom w:val="single" w:sz="8" w:space="0" w:color="auto"/>
              <w:right w:val="single" w:sz="8" w:space="0" w:color="000000"/>
            </w:tcBorders>
            <w:shd w:val="clear" w:color="000000" w:fill="FFFFFF"/>
            <w:noWrap/>
            <w:vAlign w:val="bottom"/>
            <w:hideMark/>
          </w:tcPr>
          <w:p w14:paraId="79C9540D"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Metric</w:t>
            </w:r>
          </w:p>
        </w:tc>
        <w:tc>
          <w:tcPr>
            <w:tcW w:w="1980" w:type="dxa"/>
            <w:gridSpan w:val="2"/>
            <w:tcBorders>
              <w:top w:val="single" w:sz="12" w:space="0" w:color="auto"/>
              <w:left w:val="nil"/>
              <w:bottom w:val="single" w:sz="8" w:space="0" w:color="auto"/>
              <w:right w:val="nil"/>
            </w:tcBorders>
            <w:shd w:val="clear" w:color="000000" w:fill="FFFFFF"/>
            <w:noWrap/>
            <w:vAlign w:val="bottom"/>
            <w:hideMark/>
          </w:tcPr>
          <w:p w14:paraId="3BAA744E"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Proposed Model</w:t>
            </w:r>
          </w:p>
        </w:tc>
        <w:tc>
          <w:tcPr>
            <w:tcW w:w="2070" w:type="dxa"/>
            <w:gridSpan w:val="2"/>
            <w:tcBorders>
              <w:top w:val="single" w:sz="12" w:space="0" w:color="auto"/>
              <w:left w:val="nil"/>
              <w:bottom w:val="single" w:sz="8" w:space="0" w:color="auto"/>
              <w:right w:val="single" w:sz="12" w:space="0" w:color="auto"/>
            </w:tcBorders>
            <w:shd w:val="clear" w:color="000000" w:fill="FFFFFF"/>
            <w:noWrap/>
            <w:vAlign w:val="bottom"/>
            <w:hideMark/>
          </w:tcPr>
          <w:p w14:paraId="153C984D"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Independent Model</w:t>
            </w:r>
          </w:p>
        </w:tc>
      </w:tr>
      <w:tr w:rsidR="00190696" w:rsidRPr="000D3090" w14:paraId="5163EFFC" w14:textId="77777777" w:rsidTr="004B5462">
        <w:trPr>
          <w:trHeight w:val="144"/>
          <w:jc w:val="center"/>
        </w:trPr>
        <w:tc>
          <w:tcPr>
            <w:tcW w:w="5295" w:type="dxa"/>
            <w:gridSpan w:val="5"/>
            <w:tcBorders>
              <w:top w:val="nil"/>
              <w:left w:val="single" w:sz="12" w:space="0" w:color="auto"/>
              <w:bottom w:val="nil"/>
              <w:right w:val="single" w:sz="8" w:space="0" w:color="000000"/>
            </w:tcBorders>
            <w:shd w:val="clear" w:color="000000" w:fill="FFFFFF"/>
            <w:noWrap/>
            <w:vAlign w:val="bottom"/>
            <w:hideMark/>
          </w:tcPr>
          <w:p w14:paraId="5B52BF2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Log-Likelihood at Convergence</w:t>
            </w:r>
          </w:p>
        </w:tc>
        <w:tc>
          <w:tcPr>
            <w:tcW w:w="1980" w:type="dxa"/>
            <w:gridSpan w:val="2"/>
            <w:tcBorders>
              <w:top w:val="nil"/>
              <w:left w:val="nil"/>
              <w:bottom w:val="nil"/>
              <w:right w:val="nil"/>
            </w:tcBorders>
            <w:shd w:val="clear" w:color="000000" w:fill="FFFFFF"/>
            <w:noWrap/>
            <w:hideMark/>
          </w:tcPr>
          <w:p w14:paraId="107B4F46" w14:textId="1A404455" w:rsidR="00190696" w:rsidRPr="000D3090" w:rsidRDefault="00190696" w:rsidP="00190696">
            <w:pPr>
              <w:spacing w:after="0" w:line="240" w:lineRule="auto"/>
              <w:jc w:val="center"/>
              <w:rPr>
                <w:rFonts w:eastAsia="Times New Roman"/>
                <w:color w:val="000000"/>
                <w:sz w:val="20"/>
                <w:szCs w:val="20"/>
              </w:rPr>
            </w:pPr>
            <w:r w:rsidRPr="000D3090">
              <w:rPr>
                <w:sz w:val="20"/>
                <w:szCs w:val="20"/>
              </w:rPr>
              <w:t>-35898.38</w:t>
            </w:r>
          </w:p>
        </w:tc>
        <w:tc>
          <w:tcPr>
            <w:tcW w:w="2070" w:type="dxa"/>
            <w:gridSpan w:val="2"/>
            <w:tcBorders>
              <w:top w:val="nil"/>
              <w:left w:val="nil"/>
              <w:bottom w:val="nil"/>
              <w:right w:val="single" w:sz="12" w:space="0" w:color="auto"/>
            </w:tcBorders>
            <w:shd w:val="clear" w:color="000000" w:fill="FFFFFF"/>
            <w:noWrap/>
            <w:hideMark/>
          </w:tcPr>
          <w:p w14:paraId="659CF4B0" w14:textId="2E8A2BEC" w:rsidR="00190696" w:rsidRPr="000D3090" w:rsidRDefault="00190696" w:rsidP="00190696">
            <w:pPr>
              <w:spacing w:after="0" w:line="240" w:lineRule="auto"/>
              <w:jc w:val="center"/>
              <w:rPr>
                <w:rFonts w:eastAsia="Times New Roman"/>
                <w:color w:val="000000"/>
                <w:sz w:val="20"/>
                <w:szCs w:val="20"/>
              </w:rPr>
            </w:pPr>
            <w:r w:rsidRPr="000D3090">
              <w:rPr>
                <w:sz w:val="20"/>
                <w:szCs w:val="20"/>
              </w:rPr>
              <w:t>-36127.81</w:t>
            </w:r>
          </w:p>
        </w:tc>
      </w:tr>
      <w:tr w:rsidR="00190696" w:rsidRPr="000D3090" w14:paraId="5023F4D5" w14:textId="77777777" w:rsidTr="004B5462">
        <w:trPr>
          <w:trHeight w:val="144"/>
          <w:jc w:val="center"/>
        </w:trPr>
        <w:tc>
          <w:tcPr>
            <w:tcW w:w="5295" w:type="dxa"/>
            <w:gridSpan w:val="5"/>
            <w:tcBorders>
              <w:top w:val="nil"/>
              <w:left w:val="single" w:sz="12" w:space="0" w:color="auto"/>
              <w:bottom w:val="nil"/>
              <w:right w:val="single" w:sz="8" w:space="0" w:color="000000"/>
            </w:tcBorders>
            <w:shd w:val="clear" w:color="000000" w:fill="FFFFFF"/>
            <w:noWrap/>
            <w:vAlign w:val="bottom"/>
            <w:hideMark/>
          </w:tcPr>
          <w:p w14:paraId="01FA6D8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Log-Likelihood at Constants</w:t>
            </w:r>
          </w:p>
        </w:tc>
        <w:tc>
          <w:tcPr>
            <w:tcW w:w="1980" w:type="dxa"/>
            <w:gridSpan w:val="2"/>
            <w:tcBorders>
              <w:top w:val="nil"/>
              <w:left w:val="nil"/>
              <w:bottom w:val="nil"/>
              <w:right w:val="nil"/>
            </w:tcBorders>
            <w:shd w:val="clear" w:color="000000" w:fill="FFFFFF"/>
            <w:noWrap/>
            <w:hideMark/>
          </w:tcPr>
          <w:p w14:paraId="7F491C8C" w14:textId="05C3DBAC" w:rsidR="00190696" w:rsidRPr="000D3090" w:rsidRDefault="00190696" w:rsidP="00190696">
            <w:pPr>
              <w:spacing w:after="0" w:line="240" w:lineRule="auto"/>
              <w:jc w:val="center"/>
              <w:rPr>
                <w:rFonts w:eastAsia="Times New Roman"/>
                <w:color w:val="000000"/>
                <w:sz w:val="20"/>
                <w:szCs w:val="20"/>
              </w:rPr>
            </w:pPr>
            <w:r w:rsidRPr="000D3090">
              <w:rPr>
                <w:sz w:val="20"/>
                <w:szCs w:val="20"/>
              </w:rPr>
              <w:t>-39260.02</w:t>
            </w:r>
          </w:p>
        </w:tc>
        <w:tc>
          <w:tcPr>
            <w:tcW w:w="2070" w:type="dxa"/>
            <w:gridSpan w:val="2"/>
            <w:tcBorders>
              <w:top w:val="nil"/>
              <w:left w:val="nil"/>
              <w:bottom w:val="nil"/>
              <w:right w:val="single" w:sz="12" w:space="0" w:color="auto"/>
            </w:tcBorders>
            <w:shd w:val="clear" w:color="000000" w:fill="FFFFFF"/>
            <w:noWrap/>
            <w:hideMark/>
          </w:tcPr>
          <w:p w14:paraId="32D929C3" w14:textId="45CF0E48" w:rsidR="00190696" w:rsidRPr="000D3090" w:rsidRDefault="00190696" w:rsidP="00190696">
            <w:pPr>
              <w:spacing w:after="0" w:line="240" w:lineRule="auto"/>
              <w:jc w:val="center"/>
              <w:rPr>
                <w:rFonts w:eastAsia="Times New Roman"/>
                <w:color w:val="000000"/>
                <w:sz w:val="20"/>
                <w:szCs w:val="20"/>
              </w:rPr>
            </w:pPr>
            <w:r w:rsidRPr="000D3090">
              <w:rPr>
                <w:sz w:val="20"/>
                <w:szCs w:val="20"/>
              </w:rPr>
              <w:t>-39260.02</w:t>
            </w:r>
          </w:p>
        </w:tc>
      </w:tr>
      <w:tr w:rsidR="00190696" w:rsidRPr="000D3090" w14:paraId="27388DBC" w14:textId="77777777" w:rsidTr="004B5462">
        <w:trPr>
          <w:trHeight w:val="144"/>
          <w:jc w:val="center"/>
        </w:trPr>
        <w:tc>
          <w:tcPr>
            <w:tcW w:w="5295" w:type="dxa"/>
            <w:gridSpan w:val="5"/>
            <w:tcBorders>
              <w:top w:val="nil"/>
              <w:left w:val="single" w:sz="12" w:space="0" w:color="auto"/>
              <w:bottom w:val="nil"/>
              <w:right w:val="single" w:sz="8" w:space="0" w:color="000000"/>
            </w:tcBorders>
            <w:shd w:val="clear" w:color="000000" w:fill="FFFFFF"/>
            <w:noWrap/>
            <w:vAlign w:val="bottom"/>
            <w:hideMark/>
          </w:tcPr>
          <w:p w14:paraId="0E7464C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Number of Parameters</w:t>
            </w:r>
          </w:p>
        </w:tc>
        <w:tc>
          <w:tcPr>
            <w:tcW w:w="1980" w:type="dxa"/>
            <w:gridSpan w:val="2"/>
            <w:tcBorders>
              <w:top w:val="nil"/>
              <w:left w:val="nil"/>
              <w:bottom w:val="nil"/>
              <w:right w:val="nil"/>
            </w:tcBorders>
            <w:shd w:val="clear" w:color="000000" w:fill="FFFFFF"/>
            <w:noWrap/>
            <w:hideMark/>
          </w:tcPr>
          <w:p w14:paraId="224BC2A6" w14:textId="3363ADDC" w:rsidR="00190696" w:rsidRPr="000D3090" w:rsidRDefault="00190696" w:rsidP="00190696">
            <w:pPr>
              <w:spacing w:after="0" w:line="240" w:lineRule="auto"/>
              <w:jc w:val="center"/>
              <w:rPr>
                <w:rFonts w:eastAsia="Times New Roman"/>
                <w:color w:val="000000"/>
                <w:sz w:val="20"/>
                <w:szCs w:val="20"/>
              </w:rPr>
            </w:pPr>
            <w:r w:rsidRPr="000D3090">
              <w:rPr>
                <w:sz w:val="20"/>
                <w:szCs w:val="20"/>
              </w:rPr>
              <w:t>233</w:t>
            </w:r>
          </w:p>
        </w:tc>
        <w:tc>
          <w:tcPr>
            <w:tcW w:w="2070" w:type="dxa"/>
            <w:gridSpan w:val="2"/>
            <w:tcBorders>
              <w:top w:val="nil"/>
              <w:left w:val="nil"/>
              <w:bottom w:val="nil"/>
              <w:right w:val="single" w:sz="12" w:space="0" w:color="auto"/>
            </w:tcBorders>
            <w:shd w:val="clear" w:color="000000" w:fill="FFFFFF"/>
            <w:noWrap/>
            <w:hideMark/>
          </w:tcPr>
          <w:p w14:paraId="4F771A4B" w14:textId="12119243" w:rsidR="00190696" w:rsidRPr="000D3090" w:rsidRDefault="00190696" w:rsidP="00190696">
            <w:pPr>
              <w:spacing w:after="0" w:line="240" w:lineRule="auto"/>
              <w:jc w:val="center"/>
              <w:rPr>
                <w:rFonts w:eastAsia="Times New Roman"/>
                <w:color w:val="000000"/>
                <w:sz w:val="20"/>
                <w:szCs w:val="20"/>
              </w:rPr>
            </w:pPr>
            <w:r w:rsidRPr="000D3090">
              <w:rPr>
                <w:sz w:val="20"/>
                <w:szCs w:val="20"/>
              </w:rPr>
              <w:t>217</w:t>
            </w:r>
          </w:p>
        </w:tc>
      </w:tr>
      <w:tr w:rsidR="00190696" w:rsidRPr="000D3090" w14:paraId="3D583C89" w14:textId="77777777" w:rsidTr="004B5462">
        <w:trPr>
          <w:trHeight w:val="144"/>
          <w:jc w:val="center"/>
        </w:trPr>
        <w:tc>
          <w:tcPr>
            <w:tcW w:w="5295" w:type="dxa"/>
            <w:gridSpan w:val="5"/>
            <w:tcBorders>
              <w:top w:val="nil"/>
              <w:left w:val="single" w:sz="12" w:space="0" w:color="auto"/>
              <w:bottom w:val="nil"/>
              <w:right w:val="single" w:sz="8" w:space="0" w:color="000000"/>
            </w:tcBorders>
            <w:shd w:val="clear" w:color="000000" w:fill="FFFFFF"/>
            <w:noWrap/>
            <w:vAlign w:val="bottom"/>
            <w:hideMark/>
          </w:tcPr>
          <w:p w14:paraId="3FA21AA5"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Adjusted Likelihood Ratio Index</w:t>
            </w:r>
          </w:p>
        </w:tc>
        <w:tc>
          <w:tcPr>
            <w:tcW w:w="1980" w:type="dxa"/>
            <w:gridSpan w:val="2"/>
            <w:tcBorders>
              <w:top w:val="nil"/>
              <w:left w:val="nil"/>
              <w:bottom w:val="nil"/>
              <w:right w:val="nil"/>
            </w:tcBorders>
            <w:shd w:val="clear" w:color="000000" w:fill="FFFFFF"/>
            <w:noWrap/>
            <w:hideMark/>
          </w:tcPr>
          <w:p w14:paraId="48E5125E" w14:textId="4724D6CD" w:rsidR="00190696" w:rsidRPr="000D3090" w:rsidRDefault="00190696" w:rsidP="00190696">
            <w:pPr>
              <w:spacing w:after="0" w:line="240" w:lineRule="auto"/>
              <w:jc w:val="center"/>
              <w:rPr>
                <w:rFonts w:eastAsia="Times New Roman"/>
                <w:color w:val="000000"/>
                <w:sz w:val="20"/>
                <w:szCs w:val="20"/>
              </w:rPr>
            </w:pPr>
            <w:r w:rsidRPr="000D3090">
              <w:rPr>
                <w:sz w:val="20"/>
                <w:szCs w:val="20"/>
              </w:rPr>
              <w:t>0.080</w:t>
            </w:r>
          </w:p>
        </w:tc>
        <w:tc>
          <w:tcPr>
            <w:tcW w:w="2070" w:type="dxa"/>
            <w:gridSpan w:val="2"/>
            <w:tcBorders>
              <w:top w:val="nil"/>
              <w:left w:val="nil"/>
              <w:bottom w:val="nil"/>
              <w:right w:val="single" w:sz="12" w:space="0" w:color="auto"/>
            </w:tcBorders>
            <w:shd w:val="clear" w:color="000000" w:fill="FFFFFF"/>
            <w:noWrap/>
            <w:hideMark/>
          </w:tcPr>
          <w:p w14:paraId="16FE859B" w14:textId="6B5154BB" w:rsidR="00190696" w:rsidRPr="000D3090" w:rsidRDefault="00190696" w:rsidP="00190696">
            <w:pPr>
              <w:spacing w:after="0" w:line="240" w:lineRule="auto"/>
              <w:jc w:val="center"/>
              <w:rPr>
                <w:rFonts w:eastAsia="Times New Roman"/>
                <w:color w:val="000000"/>
                <w:sz w:val="20"/>
                <w:szCs w:val="20"/>
              </w:rPr>
            </w:pPr>
            <w:r w:rsidRPr="000D3090">
              <w:rPr>
                <w:sz w:val="20"/>
                <w:szCs w:val="20"/>
              </w:rPr>
              <w:t>0.075</w:t>
            </w:r>
          </w:p>
        </w:tc>
      </w:tr>
      <w:tr w:rsidR="00190696" w:rsidRPr="000D3090" w14:paraId="056C12AD" w14:textId="77777777" w:rsidTr="004B5462">
        <w:trPr>
          <w:trHeight w:val="144"/>
          <w:jc w:val="center"/>
        </w:trPr>
        <w:tc>
          <w:tcPr>
            <w:tcW w:w="5295" w:type="dxa"/>
            <w:gridSpan w:val="5"/>
            <w:tcBorders>
              <w:top w:val="nil"/>
              <w:left w:val="single" w:sz="12" w:space="0" w:color="auto"/>
              <w:bottom w:val="nil"/>
              <w:right w:val="single" w:sz="8" w:space="0" w:color="000000"/>
            </w:tcBorders>
            <w:shd w:val="clear" w:color="000000" w:fill="FFFFFF"/>
            <w:noWrap/>
            <w:vAlign w:val="bottom"/>
            <w:hideMark/>
          </w:tcPr>
          <w:p w14:paraId="7D173A9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Bayesian Information Criterion</w:t>
            </w:r>
          </w:p>
        </w:tc>
        <w:tc>
          <w:tcPr>
            <w:tcW w:w="1980" w:type="dxa"/>
            <w:gridSpan w:val="2"/>
            <w:tcBorders>
              <w:top w:val="nil"/>
              <w:left w:val="nil"/>
              <w:bottom w:val="nil"/>
              <w:right w:val="nil"/>
            </w:tcBorders>
            <w:shd w:val="clear" w:color="000000" w:fill="FFFFFF"/>
            <w:noWrap/>
            <w:hideMark/>
          </w:tcPr>
          <w:p w14:paraId="7F2ED4F8" w14:textId="2A2C771B" w:rsidR="00190696" w:rsidRPr="000D3090" w:rsidRDefault="00190696" w:rsidP="00190696">
            <w:pPr>
              <w:spacing w:after="0" w:line="240" w:lineRule="auto"/>
              <w:jc w:val="center"/>
              <w:rPr>
                <w:rFonts w:eastAsia="Times New Roman"/>
                <w:color w:val="000000"/>
                <w:sz w:val="20"/>
                <w:szCs w:val="20"/>
              </w:rPr>
            </w:pPr>
            <w:r w:rsidRPr="000D3090">
              <w:rPr>
                <w:sz w:val="20"/>
                <w:szCs w:val="20"/>
              </w:rPr>
              <w:t>36375.54</w:t>
            </w:r>
          </w:p>
        </w:tc>
        <w:tc>
          <w:tcPr>
            <w:tcW w:w="2070" w:type="dxa"/>
            <w:gridSpan w:val="2"/>
            <w:tcBorders>
              <w:top w:val="nil"/>
              <w:left w:val="nil"/>
              <w:bottom w:val="nil"/>
              <w:right w:val="single" w:sz="12" w:space="0" w:color="auto"/>
            </w:tcBorders>
            <w:shd w:val="clear" w:color="000000" w:fill="FFFFFF"/>
            <w:noWrap/>
            <w:hideMark/>
          </w:tcPr>
          <w:p w14:paraId="42AD1785" w14:textId="06E21350" w:rsidR="00190696" w:rsidRPr="000D3090" w:rsidRDefault="00190696" w:rsidP="00190696">
            <w:pPr>
              <w:spacing w:after="0" w:line="240" w:lineRule="auto"/>
              <w:jc w:val="center"/>
              <w:rPr>
                <w:rFonts w:eastAsia="Times New Roman"/>
                <w:color w:val="000000"/>
                <w:sz w:val="20"/>
                <w:szCs w:val="20"/>
              </w:rPr>
            </w:pPr>
            <w:r w:rsidRPr="000D3090">
              <w:rPr>
                <w:sz w:val="20"/>
                <w:szCs w:val="20"/>
              </w:rPr>
              <w:t>36572.20</w:t>
            </w:r>
          </w:p>
        </w:tc>
      </w:tr>
      <w:tr w:rsidR="00190696" w:rsidRPr="000D3090" w14:paraId="1689052E" w14:textId="77777777" w:rsidTr="004B5462">
        <w:trPr>
          <w:trHeight w:val="144"/>
          <w:jc w:val="center"/>
        </w:trPr>
        <w:tc>
          <w:tcPr>
            <w:tcW w:w="5295" w:type="dxa"/>
            <w:gridSpan w:val="5"/>
            <w:tcBorders>
              <w:top w:val="nil"/>
              <w:left w:val="single" w:sz="12" w:space="0" w:color="auto"/>
              <w:bottom w:val="nil"/>
              <w:right w:val="single" w:sz="8" w:space="0" w:color="000000"/>
            </w:tcBorders>
            <w:shd w:val="clear" w:color="000000" w:fill="FFFFFF"/>
            <w:noWrap/>
            <w:vAlign w:val="bottom"/>
          </w:tcPr>
          <w:p w14:paraId="1E1523A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 xml:space="preserve">Average Probability of a Correct Prediction </w:t>
            </w:r>
          </w:p>
        </w:tc>
        <w:tc>
          <w:tcPr>
            <w:tcW w:w="1980" w:type="dxa"/>
            <w:gridSpan w:val="2"/>
            <w:tcBorders>
              <w:top w:val="nil"/>
              <w:left w:val="nil"/>
              <w:bottom w:val="nil"/>
              <w:right w:val="nil"/>
            </w:tcBorders>
            <w:shd w:val="clear" w:color="000000" w:fill="FFFFFF"/>
            <w:noWrap/>
          </w:tcPr>
          <w:p w14:paraId="2C05AF56" w14:textId="2A0BA900" w:rsidR="00190696" w:rsidRPr="000D3090" w:rsidRDefault="00190696" w:rsidP="00190696">
            <w:pPr>
              <w:spacing w:after="0" w:line="240" w:lineRule="auto"/>
              <w:jc w:val="center"/>
              <w:rPr>
                <w:rFonts w:eastAsia="Times New Roman"/>
                <w:color w:val="000000"/>
                <w:sz w:val="20"/>
                <w:szCs w:val="20"/>
              </w:rPr>
            </w:pPr>
            <w:r w:rsidRPr="000D3090">
              <w:rPr>
                <w:sz w:val="20"/>
                <w:szCs w:val="20"/>
              </w:rPr>
              <w:t>0.169</w:t>
            </w:r>
          </w:p>
        </w:tc>
        <w:tc>
          <w:tcPr>
            <w:tcW w:w="2070" w:type="dxa"/>
            <w:gridSpan w:val="2"/>
            <w:tcBorders>
              <w:top w:val="nil"/>
              <w:left w:val="nil"/>
              <w:bottom w:val="nil"/>
              <w:right w:val="single" w:sz="12" w:space="0" w:color="auto"/>
            </w:tcBorders>
            <w:shd w:val="clear" w:color="000000" w:fill="FFFFFF"/>
            <w:noWrap/>
          </w:tcPr>
          <w:p w14:paraId="71243EC5" w14:textId="1C5F1CAD" w:rsidR="00190696" w:rsidRPr="000D3090" w:rsidRDefault="00190696" w:rsidP="00190696">
            <w:pPr>
              <w:spacing w:after="0" w:line="240" w:lineRule="auto"/>
              <w:jc w:val="center"/>
              <w:rPr>
                <w:rFonts w:eastAsia="Times New Roman"/>
                <w:color w:val="000000"/>
                <w:sz w:val="20"/>
                <w:szCs w:val="20"/>
              </w:rPr>
            </w:pPr>
            <w:r w:rsidRPr="000D3090">
              <w:rPr>
                <w:sz w:val="20"/>
                <w:szCs w:val="20"/>
              </w:rPr>
              <w:t>0.165</w:t>
            </w:r>
          </w:p>
        </w:tc>
      </w:tr>
      <w:tr w:rsidR="00260D4C" w:rsidRPr="000D3090" w14:paraId="13763680" w14:textId="77777777" w:rsidTr="004B5462">
        <w:trPr>
          <w:trHeight w:val="144"/>
          <w:jc w:val="center"/>
        </w:trPr>
        <w:tc>
          <w:tcPr>
            <w:tcW w:w="5295" w:type="dxa"/>
            <w:gridSpan w:val="5"/>
            <w:tcBorders>
              <w:top w:val="nil"/>
              <w:left w:val="single" w:sz="12" w:space="0" w:color="auto"/>
              <w:bottom w:val="single" w:sz="12" w:space="0" w:color="auto"/>
              <w:right w:val="single" w:sz="8" w:space="0" w:color="000000"/>
            </w:tcBorders>
            <w:shd w:val="clear" w:color="000000" w:fill="FFFFFF"/>
            <w:noWrap/>
            <w:vAlign w:val="bottom"/>
            <w:hideMark/>
          </w:tcPr>
          <w:p w14:paraId="219861B2" w14:textId="77777777" w:rsidR="00260D4C" w:rsidRPr="000D3090" w:rsidRDefault="00260D4C" w:rsidP="00B425AD">
            <w:pPr>
              <w:spacing w:after="0" w:line="240" w:lineRule="auto"/>
              <w:rPr>
                <w:rFonts w:eastAsia="Times New Roman"/>
                <w:color w:val="000000"/>
                <w:sz w:val="20"/>
                <w:szCs w:val="20"/>
              </w:rPr>
            </w:pPr>
            <w:r w:rsidRPr="000D3090">
              <w:rPr>
                <w:rFonts w:eastAsia="Times New Roman"/>
                <w:color w:val="000000"/>
                <w:sz w:val="20"/>
                <w:szCs w:val="20"/>
              </w:rPr>
              <w:t>Likelihood Ratio Test</w:t>
            </w:r>
          </w:p>
        </w:tc>
        <w:tc>
          <w:tcPr>
            <w:tcW w:w="4050" w:type="dxa"/>
            <w:gridSpan w:val="4"/>
            <w:tcBorders>
              <w:top w:val="nil"/>
              <w:left w:val="nil"/>
              <w:bottom w:val="single" w:sz="12" w:space="0" w:color="auto"/>
              <w:right w:val="single" w:sz="12" w:space="0" w:color="auto"/>
            </w:tcBorders>
            <w:shd w:val="clear" w:color="000000" w:fill="FFFFFF"/>
            <w:noWrap/>
            <w:vAlign w:val="bottom"/>
            <w:hideMark/>
          </w:tcPr>
          <w:p w14:paraId="6DE8B50A" w14:textId="07DBCAC1" w:rsidR="00260D4C" w:rsidRPr="000D3090" w:rsidRDefault="00190696" w:rsidP="00B425AD">
            <w:pPr>
              <w:spacing w:after="0" w:line="240" w:lineRule="auto"/>
              <w:jc w:val="center"/>
              <w:rPr>
                <w:rFonts w:eastAsia="Times New Roman"/>
                <w:color w:val="000000"/>
                <w:sz w:val="20"/>
                <w:szCs w:val="20"/>
              </w:rPr>
            </w:pPr>
            <w:r w:rsidRPr="000D3090">
              <w:rPr>
                <w:rFonts w:eastAsia="Times New Roman"/>
                <w:color w:val="000000"/>
                <w:sz w:val="20"/>
                <w:szCs w:val="20"/>
              </w:rPr>
              <w:t>458.86</w:t>
            </w:r>
          </w:p>
        </w:tc>
      </w:tr>
      <w:tr w:rsidR="00260D4C" w:rsidRPr="000D3090" w14:paraId="07433DDC" w14:textId="77777777" w:rsidTr="004B5462">
        <w:trPr>
          <w:trHeight w:val="144"/>
          <w:jc w:val="center"/>
        </w:trPr>
        <w:tc>
          <w:tcPr>
            <w:tcW w:w="9345" w:type="dxa"/>
            <w:gridSpan w:val="9"/>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9157556" w14:textId="77777777" w:rsidR="00260D4C" w:rsidRPr="000D3090" w:rsidRDefault="00260D4C" w:rsidP="00B425AD">
            <w:pPr>
              <w:spacing w:after="0" w:line="240" w:lineRule="auto"/>
              <w:jc w:val="center"/>
              <w:rPr>
                <w:rFonts w:eastAsia="Times New Roman"/>
                <w:b/>
                <w:bCs/>
                <w:i/>
                <w:iCs/>
                <w:sz w:val="20"/>
                <w:szCs w:val="20"/>
              </w:rPr>
            </w:pPr>
            <w:r w:rsidRPr="000D3090">
              <w:rPr>
                <w:rFonts w:eastAsia="Times New Roman"/>
                <w:b/>
                <w:bCs/>
                <w:i/>
                <w:iCs/>
                <w:sz w:val="20"/>
                <w:szCs w:val="20"/>
              </w:rPr>
              <w:t>Aggregate Fit Measures</w:t>
            </w:r>
          </w:p>
        </w:tc>
      </w:tr>
      <w:tr w:rsidR="00190696" w:rsidRPr="000D3090" w14:paraId="264711BB" w14:textId="77777777" w:rsidTr="004B5462">
        <w:trPr>
          <w:trHeight w:val="144"/>
          <w:jc w:val="center"/>
        </w:trPr>
        <w:tc>
          <w:tcPr>
            <w:tcW w:w="3495" w:type="dxa"/>
            <w:gridSpan w:val="3"/>
            <w:tcBorders>
              <w:top w:val="single" w:sz="12" w:space="0" w:color="auto"/>
              <w:left w:val="single" w:sz="12" w:space="0" w:color="auto"/>
              <w:bottom w:val="nil"/>
              <w:right w:val="single" w:sz="8" w:space="0" w:color="000000"/>
            </w:tcBorders>
            <w:shd w:val="clear" w:color="000000" w:fill="FFFFFF"/>
            <w:noWrap/>
            <w:vAlign w:val="bottom"/>
            <w:hideMark/>
          </w:tcPr>
          <w:p w14:paraId="39A8DDB0"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Outcome Combinations</w:t>
            </w:r>
          </w:p>
        </w:tc>
        <w:tc>
          <w:tcPr>
            <w:tcW w:w="1800" w:type="dxa"/>
            <w:gridSpan w:val="2"/>
            <w:tcBorders>
              <w:top w:val="single" w:sz="12" w:space="0" w:color="auto"/>
              <w:left w:val="nil"/>
              <w:bottom w:val="nil"/>
              <w:right w:val="single" w:sz="8" w:space="0" w:color="000000"/>
            </w:tcBorders>
            <w:shd w:val="clear" w:color="000000" w:fill="FFFFFF"/>
            <w:noWrap/>
            <w:vAlign w:val="bottom"/>
            <w:hideMark/>
          </w:tcPr>
          <w:p w14:paraId="1E4D8EB1"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Observed</w:t>
            </w:r>
          </w:p>
        </w:tc>
        <w:tc>
          <w:tcPr>
            <w:tcW w:w="1980" w:type="dxa"/>
            <w:gridSpan w:val="2"/>
            <w:tcBorders>
              <w:top w:val="single" w:sz="12" w:space="0" w:color="auto"/>
              <w:left w:val="nil"/>
              <w:bottom w:val="nil"/>
              <w:right w:val="single" w:sz="8" w:space="0" w:color="000000"/>
            </w:tcBorders>
            <w:shd w:val="clear" w:color="000000" w:fill="FFFFFF"/>
            <w:noWrap/>
            <w:vAlign w:val="bottom"/>
            <w:hideMark/>
          </w:tcPr>
          <w:p w14:paraId="2067E967"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Proposed Model</w:t>
            </w:r>
          </w:p>
        </w:tc>
        <w:tc>
          <w:tcPr>
            <w:tcW w:w="2070" w:type="dxa"/>
            <w:gridSpan w:val="2"/>
            <w:tcBorders>
              <w:top w:val="single" w:sz="12" w:space="0" w:color="auto"/>
              <w:left w:val="nil"/>
              <w:bottom w:val="nil"/>
              <w:right w:val="single" w:sz="12" w:space="0" w:color="auto"/>
            </w:tcBorders>
            <w:shd w:val="clear" w:color="000000" w:fill="FFFFFF"/>
            <w:noWrap/>
            <w:vAlign w:val="bottom"/>
            <w:hideMark/>
          </w:tcPr>
          <w:p w14:paraId="4D71EABC" w14:textId="77777777" w:rsidR="00260D4C" w:rsidRPr="000D3090" w:rsidRDefault="00260D4C"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Independent Model</w:t>
            </w:r>
          </w:p>
        </w:tc>
      </w:tr>
      <w:tr w:rsidR="003F77D0" w:rsidRPr="000D3090" w14:paraId="6FF35AFA" w14:textId="77777777" w:rsidTr="004B5462">
        <w:trPr>
          <w:trHeight w:val="144"/>
          <w:jc w:val="center"/>
        </w:trPr>
        <w:tc>
          <w:tcPr>
            <w:tcW w:w="1128" w:type="dxa"/>
            <w:tcBorders>
              <w:top w:val="nil"/>
              <w:left w:val="single" w:sz="12" w:space="0" w:color="auto"/>
              <w:bottom w:val="single" w:sz="8" w:space="0" w:color="auto"/>
              <w:right w:val="nil"/>
            </w:tcBorders>
            <w:shd w:val="clear" w:color="000000" w:fill="FFFFFF"/>
            <w:vAlign w:val="center"/>
            <w:hideMark/>
          </w:tcPr>
          <w:p w14:paraId="0F7FE7D6"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Suppressed Trips</w:t>
            </w:r>
          </w:p>
        </w:tc>
        <w:tc>
          <w:tcPr>
            <w:tcW w:w="1061" w:type="dxa"/>
            <w:tcBorders>
              <w:top w:val="nil"/>
              <w:left w:val="nil"/>
              <w:bottom w:val="single" w:sz="8" w:space="0" w:color="auto"/>
              <w:right w:val="nil"/>
            </w:tcBorders>
            <w:shd w:val="clear" w:color="000000" w:fill="FFFFFF"/>
            <w:vAlign w:val="center"/>
            <w:hideMark/>
          </w:tcPr>
          <w:p w14:paraId="38EDB95C"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Telework Frequency</w:t>
            </w:r>
          </w:p>
        </w:tc>
        <w:tc>
          <w:tcPr>
            <w:tcW w:w="1306" w:type="dxa"/>
            <w:tcBorders>
              <w:top w:val="nil"/>
              <w:left w:val="nil"/>
              <w:bottom w:val="single" w:sz="8" w:space="0" w:color="auto"/>
              <w:right w:val="single" w:sz="8" w:space="0" w:color="auto"/>
            </w:tcBorders>
            <w:shd w:val="clear" w:color="000000" w:fill="FFFFFF"/>
            <w:vAlign w:val="center"/>
            <w:hideMark/>
          </w:tcPr>
          <w:p w14:paraId="12ECD63E"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Delivery Frequency</w:t>
            </w:r>
          </w:p>
        </w:tc>
        <w:tc>
          <w:tcPr>
            <w:tcW w:w="900" w:type="dxa"/>
            <w:tcBorders>
              <w:top w:val="nil"/>
              <w:left w:val="nil"/>
              <w:bottom w:val="single" w:sz="8" w:space="0" w:color="auto"/>
              <w:right w:val="nil"/>
            </w:tcBorders>
            <w:shd w:val="clear" w:color="000000" w:fill="FFFFFF"/>
            <w:tcMar>
              <w:left w:w="43" w:type="dxa"/>
              <w:right w:w="43" w:type="dxa"/>
            </w:tcMar>
            <w:vAlign w:val="center"/>
            <w:hideMark/>
          </w:tcPr>
          <w:p w14:paraId="22E3B781"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Count</w:t>
            </w:r>
          </w:p>
        </w:tc>
        <w:tc>
          <w:tcPr>
            <w:tcW w:w="900" w:type="dxa"/>
            <w:tcBorders>
              <w:top w:val="nil"/>
              <w:left w:val="nil"/>
              <w:bottom w:val="single" w:sz="8" w:space="0" w:color="auto"/>
              <w:right w:val="single" w:sz="8" w:space="0" w:color="auto"/>
            </w:tcBorders>
            <w:shd w:val="clear" w:color="000000" w:fill="FFFFFF"/>
            <w:tcMar>
              <w:left w:w="43" w:type="dxa"/>
              <w:right w:w="43" w:type="dxa"/>
            </w:tcMar>
            <w:vAlign w:val="center"/>
            <w:hideMark/>
          </w:tcPr>
          <w:p w14:paraId="1503A56F"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Share (%)</w:t>
            </w:r>
          </w:p>
        </w:tc>
        <w:tc>
          <w:tcPr>
            <w:tcW w:w="990" w:type="dxa"/>
            <w:tcBorders>
              <w:top w:val="nil"/>
              <w:left w:val="nil"/>
              <w:bottom w:val="single" w:sz="8" w:space="0" w:color="auto"/>
              <w:right w:val="nil"/>
            </w:tcBorders>
            <w:shd w:val="clear" w:color="000000" w:fill="FFFFFF"/>
            <w:tcMar>
              <w:left w:w="43" w:type="dxa"/>
              <w:right w:w="43" w:type="dxa"/>
            </w:tcMar>
            <w:vAlign w:val="center"/>
            <w:hideMark/>
          </w:tcPr>
          <w:p w14:paraId="47EE576F"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Share (%)</w:t>
            </w:r>
          </w:p>
        </w:tc>
        <w:tc>
          <w:tcPr>
            <w:tcW w:w="990" w:type="dxa"/>
            <w:tcBorders>
              <w:top w:val="nil"/>
              <w:left w:val="nil"/>
              <w:bottom w:val="single" w:sz="8" w:space="0" w:color="auto"/>
              <w:right w:val="single" w:sz="8" w:space="0" w:color="auto"/>
            </w:tcBorders>
            <w:shd w:val="clear" w:color="000000" w:fill="FFFFFF"/>
            <w:tcMar>
              <w:left w:w="43" w:type="dxa"/>
              <w:right w:w="43" w:type="dxa"/>
            </w:tcMar>
            <w:vAlign w:val="center"/>
            <w:hideMark/>
          </w:tcPr>
          <w:p w14:paraId="1D9D1B70"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APE</w:t>
            </w:r>
          </w:p>
        </w:tc>
        <w:tc>
          <w:tcPr>
            <w:tcW w:w="990" w:type="dxa"/>
            <w:tcBorders>
              <w:top w:val="nil"/>
              <w:left w:val="nil"/>
              <w:bottom w:val="single" w:sz="8" w:space="0" w:color="auto"/>
              <w:right w:val="nil"/>
            </w:tcBorders>
            <w:shd w:val="clear" w:color="000000" w:fill="FFFFFF"/>
            <w:tcMar>
              <w:left w:w="43" w:type="dxa"/>
              <w:right w:w="43" w:type="dxa"/>
            </w:tcMar>
            <w:vAlign w:val="center"/>
            <w:hideMark/>
          </w:tcPr>
          <w:p w14:paraId="2F32508F"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Share (%)</w:t>
            </w:r>
          </w:p>
        </w:tc>
        <w:tc>
          <w:tcPr>
            <w:tcW w:w="1080" w:type="dxa"/>
            <w:tcBorders>
              <w:top w:val="nil"/>
              <w:left w:val="nil"/>
              <w:bottom w:val="single" w:sz="8" w:space="0" w:color="auto"/>
              <w:right w:val="single" w:sz="12" w:space="0" w:color="auto"/>
            </w:tcBorders>
            <w:shd w:val="clear" w:color="000000" w:fill="FFFFFF"/>
            <w:tcMar>
              <w:left w:w="43" w:type="dxa"/>
              <w:right w:w="43" w:type="dxa"/>
            </w:tcMar>
            <w:vAlign w:val="center"/>
            <w:hideMark/>
          </w:tcPr>
          <w:p w14:paraId="3849529E" w14:textId="77777777" w:rsidR="00260D4C" w:rsidRPr="000D3090" w:rsidRDefault="00260D4C" w:rsidP="00B425AD">
            <w:pPr>
              <w:spacing w:after="0" w:line="240" w:lineRule="auto"/>
              <w:jc w:val="center"/>
              <w:rPr>
                <w:rFonts w:eastAsia="Times New Roman"/>
                <w:color w:val="000000"/>
                <w:sz w:val="20"/>
                <w:szCs w:val="20"/>
              </w:rPr>
            </w:pPr>
            <w:r w:rsidRPr="000D3090">
              <w:rPr>
                <w:rFonts w:eastAsia="Times New Roman"/>
                <w:color w:val="000000"/>
                <w:sz w:val="20"/>
                <w:szCs w:val="20"/>
              </w:rPr>
              <w:t>APE</w:t>
            </w:r>
          </w:p>
        </w:tc>
      </w:tr>
      <w:tr w:rsidR="003F77D0" w:rsidRPr="000D3090" w14:paraId="7CD7B6A7"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5F61205"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2C1E248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1B6D3427"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47768A78" w14:textId="15FE008B"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1476</w:t>
            </w:r>
          </w:p>
        </w:tc>
        <w:tc>
          <w:tcPr>
            <w:tcW w:w="900" w:type="dxa"/>
            <w:tcBorders>
              <w:top w:val="nil"/>
              <w:left w:val="nil"/>
              <w:bottom w:val="nil"/>
              <w:right w:val="single" w:sz="8" w:space="0" w:color="auto"/>
            </w:tcBorders>
            <w:shd w:val="clear" w:color="000000" w:fill="FFFFFF"/>
            <w:noWrap/>
            <w:vAlign w:val="center"/>
            <w:hideMark/>
          </w:tcPr>
          <w:p w14:paraId="29AAF051" w14:textId="4C67915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11.84</w:t>
            </w:r>
          </w:p>
        </w:tc>
        <w:tc>
          <w:tcPr>
            <w:tcW w:w="990" w:type="dxa"/>
            <w:tcBorders>
              <w:top w:val="nil"/>
              <w:left w:val="nil"/>
              <w:bottom w:val="nil"/>
              <w:right w:val="nil"/>
            </w:tcBorders>
            <w:shd w:val="clear" w:color="000000" w:fill="FFFFFF"/>
            <w:noWrap/>
            <w:vAlign w:val="center"/>
            <w:hideMark/>
          </w:tcPr>
          <w:p w14:paraId="1DD21B49" w14:textId="3C3F7CF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11.96</w:t>
            </w:r>
          </w:p>
        </w:tc>
        <w:tc>
          <w:tcPr>
            <w:tcW w:w="990" w:type="dxa"/>
            <w:tcBorders>
              <w:top w:val="nil"/>
              <w:left w:val="nil"/>
              <w:bottom w:val="nil"/>
              <w:right w:val="single" w:sz="8" w:space="0" w:color="auto"/>
            </w:tcBorders>
            <w:shd w:val="clear" w:color="000000" w:fill="FFFFFF"/>
            <w:noWrap/>
            <w:vAlign w:val="center"/>
            <w:hideMark/>
          </w:tcPr>
          <w:p w14:paraId="206D7A6A" w14:textId="6AA9D8B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1.01</w:t>
            </w:r>
          </w:p>
        </w:tc>
        <w:tc>
          <w:tcPr>
            <w:tcW w:w="990" w:type="dxa"/>
            <w:tcBorders>
              <w:top w:val="nil"/>
              <w:left w:val="nil"/>
              <w:bottom w:val="nil"/>
              <w:right w:val="nil"/>
            </w:tcBorders>
            <w:shd w:val="clear" w:color="000000" w:fill="FFFFFF"/>
            <w:noWrap/>
            <w:vAlign w:val="center"/>
            <w:hideMark/>
          </w:tcPr>
          <w:p w14:paraId="22FE0582" w14:textId="10EB94D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11.69</w:t>
            </w:r>
          </w:p>
        </w:tc>
        <w:tc>
          <w:tcPr>
            <w:tcW w:w="1080" w:type="dxa"/>
            <w:tcBorders>
              <w:top w:val="nil"/>
              <w:left w:val="nil"/>
              <w:bottom w:val="nil"/>
              <w:right w:val="single" w:sz="12" w:space="0" w:color="auto"/>
            </w:tcBorders>
            <w:shd w:val="clear" w:color="000000" w:fill="FFFFFF"/>
            <w:noWrap/>
            <w:vAlign w:val="center"/>
            <w:hideMark/>
          </w:tcPr>
          <w:p w14:paraId="06260D45" w14:textId="38B8A91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1.23</w:t>
            </w:r>
          </w:p>
        </w:tc>
      </w:tr>
      <w:tr w:rsidR="003F77D0" w:rsidRPr="000D3090" w14:paraId="7C911B4F"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7A87136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2B008EF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4F79824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0386E05E" w14:textId="1F3C5DD5"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1788</w:t>
            </w:r>
          </w:p>
        </w:tc>
        <w:tc>
          <w:tcPr>
            <w:tcW w:w="900" w:type="dxa"/>
            <w:tcBorders>
              <w:top w:val="nil"/>
              <w:left w:val="nil"/>
              <w:bottom w:val="nil"/>
              <w:right w:val="single" w:sz="8" w:space="0" w:color="auto"/>
            </w:tcBorders>
            <w:shd w:val="clear" w:color="000000" w:fill="FFFFFF"/>
            <w:noWrap/>
            <w:vAlign w:val="center"/>
            <w:hideMark/>
          </w:tcPr>
          <w:p w14:paraId="685A2713" w14:textId="69E872D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14.34</w:t>
            </w:r>
          </w:p>
        </w:tc>
        <w:tc>
          <w:tcPr>
            <w:tcW w:w="990" w:type="dxa"/>
            <w:tcBorders>
              <w:top w:val="nil"/>
              <w:left w:val="nil"/>
              <w:bottom w:val="nil"/>
              <w:right w:val="nil"/>
            </w:tcBorders>
            <w:shd w:val="clear" w:color="000000" w:fill="FFFFFF"/>
            <w:noWrap/>
            <w:vAlign w:val="center"/>
            <w:hideMark/>
          </w:tcPr>
          <w:p w14:paraId="6599F531" w14:textId="158B9B3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14.21</w:t>
            </w:r>
          </w:p>
        </w:tc>
        <w:tc>
          <w:tcPr>
            <w:tcW w:w="990" w:type="dxa"/>
            <w:tcBorders>
              <w:top w:val="nil"/>
              <w:left w:val="nil"/>
              <w:bottom w:val="nil"/>
              <w:right w:val="single" w:sz="8" w:space="0" w:color="auto"/>
            </w:tcBorders>
            <w:shd w:val="clear" w:color="000000" w:fill="FFFFFF"/>
            <w:noWrap/>
            <w:vAlign w:val="center"/>
            <w:hideMark/>
          </w:tcPr>
          <w:p w14:paraId="5E604B37" w14:textId="27CE94C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0.89</w:t>
            </w:r>
          </w:p>
        </w:tc>
        <w:tc>
          <w:tcPr>
            <w:tcW w:w="990" w:type="dxa"/>
            <w:tcBorders>
              <w:top w:val="nil"/>
              <w:left w:val="nil"/>
              <w:bottom w:val="nil"/>
              <w:right w:val="nil"/>
            </w:tcBorders>
            <w:shd w:val="clear" w:color="000000" w:fill="FFFFFF"/>
            <w:noWrap/>
            <w:vAlign w:val="center"/>
            <w:hideMark/>
          </w:tcPr>
          <w:p w14:paraId="2F3264D5" w14:textId="3B2D68A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14.96</w:t>
            </w:r>
          </w:p>
        </w:tc>
        <w:tc>
          <w:tcPr>
            <w:tcW w:w="1080" w:type="dxa"/>
            <w:tcBorders>
              <w:top w:val="nil"/>
              <w:left w:val="nil"/>
              <w:bottom w:val="nil"/>
              <w:right w:val="single" w:sz="12" w:space="0" w:color="auto"/>
            </w:tcBorders>
            <w:shd w:val="clear" w:color="000000" w:fill="FFFFFF"/>
            <w:noWrap/>
            <w:vAlign w:val="center"/>
            <w:hideMark/>
          </w:tcPr>
          <w:p w14:paraId="3B530FC7" w14:textId="5815E0BB"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4.40</w:t>
            </w:r>
          </w:p>
        </w:tc>
      </w:tr>
      <w:tr w:rsidR="003F77D0" w:rsidRPr="000D3090" w14:paraId="48088044"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5D1939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3419003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3E2A4CC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77D0E986" w14:textId="5A5B59FF"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648</w:t>
            </w:r>
          </w:p>
        </w:tc>
        <w:tc>
          <w:tcPr>
            <w:tcW w:w="900" w:type="dxa"/>
            <w:tcBorders>
              <w:top w:val="nil"/>
              <w:left w:val="nil"/>
              <w:bottom w:val="nil"/>
              <w:right w:val="single" w:sz="8" w:space="0" w:color="auto"/>
            </w:tcBorders>
            <w:shd w:val="clear" w:color="000000" w:fill="FFFFFF"/>
            <w:noWrap/>
            <w:vAlign w:val="center"/>
            <w:hideMark/>
          </w:tcPr>
          <w:p w14:paraId="249BBB75" w14:textId="7D98735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5.20</w:t>
            </w:r>
          </w:p>
        </w:tc>
        <w:tc>
          <w:tcPr>
            <w:tcW w:w="990" w:type="dxa"/>
            <w:tcBorders>
              <w:top w:val="nil"/>
              <w:left w:val="nil"/>
              <w:bottom w:val="nil"/>
              <w:right w:val="nil"/>
            </w:tcBorders>
            <w:shd w:val="clear" w:color="000000" w:fill="FFFFFF"/>
            <w:noWrap/>
            <w:vAlign w:val="center"/>
            <w:hideMark/>
          </w:tcPr>
          <w:p w14:paraId="05734210" w14:textId="5C8D931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5.00</w:t>
            </w:r>
          </w:p>
        </w:tc>
        <w:tc>
          <w:tcPr>
            <w:tcW w:w="990" w:type="dxa"/>
            <w:tcBorders>
              <w:top w:val="nil"/>
              <w:left w:val="nil"/>
              <w:bottom w:val="nil"/>
              <w:right w:val="single" w:sz="8" w:space="0" w:color="auto"/>
            </w:tcBorders>
            <w:shd w:val="clear" w:color="000000" w:fill="FFFFFF"/>
            <w:noWrap/>
            <w:vAlign w:val="center"/>
            <w:hideMark/>
          </w:tcPr>
          <w:p w14:paraId="31BA0906" w14:textId="3E4FD18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3.75</w:t>
            </w:r>
          </w:p>
        </w:tc>
        <w:tc>
          <w:tcPr>
            <w:tcW w:w="990" w:type="dxa"/>
            <w:tcBorders>
              <w:top w:val="nil"/>
              <w:left w:val="nil"/>
              <w:bottom w:val="nil"/>
              <w:right w:val="nil"/>
            </w:tcBorders>
            <w:shd w:val="clear" w:color="000000" w:fill="FFFFFF"/>
            <w:noWrap/>
            <w:vAlign w:val="center"/>
            <w:hideMark/>
          </w:tcPr>
          <w:p w14:paraId="48F90146" w14:textId="17255C5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5.37</w:t>
            </w:r>
          </w:p>
        </w:tc>
        <w:tc>
          <w:tcPr>
            <w:tcW w:w="1080" w:type="dxa"/>
            <w:tcBorders>
              <w:top w:val="nil"/>
              <w:left w:val="nil"/>
              <w:bottom w:val="nil"/>
              <w:right w:val="single" w:sz="12" w:space="0" w:color="auto"/>
            </w:tcBorders>
            <w:shd w:val="clear" w:color="000000" w:fill="FFFFFF"/>
            <w:noWrap/>
            <w:vAlign w:val="center"/>
            <w:hideMark/>
          </w:tcPr>
          <w:p w14:paraId="13B2A8F5" w14:textId="0F554A75"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3.33</w:t>
            </w:r>
          </w:p>
        </w:tc>
      </w:tr>
      <w:tr w:rsidR="003F77D0" w:rsidRPr="000D3090" w14:paraId="7FB4F96A"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92D929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345C5A55"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5602354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2DC40E03" w14:textId="561628D8"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434</w:t>
            </w:r>
          </w:p>
        </w:tc>
        <w:tc>
          <w:tcPr>
            <w:tcW w:w="900" w:type="dxa"/>
            <w:tcBorders>
              <w:top w:val="nil"/>
              <w:left w:val="nil"/>
              <w:bottom w:val="nil"/>
              <w:right w:val="single" w:sz="8" w:space="0" w:color="auto"/>
            </w:tcBorders>
            <w:shd w:val="clear" w:color="000000" w:fill="FFFFFF"/>
            <w:noWrap/>
            <w:vAlign w:val="center"/>
            <w:hideMark/>
          </w:tcPr>
          <w:p w14:paraId="555A5BA9" w14:textId="2B29C51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3.48</w:t>
            </w:r>
          </w:p>
        </w:tc>
        <w:tc>
          <w:tcPr>
            <w:tcW w:w="990" w:type="dxa"/>
            <w:tcBorders>
              <w:top w:val="nil"/>
              <w:left w:val="nil"/>
              <w:bottom w:val="nil"/>
              <w:right w:val="nil"/>
            </w:tcBorders>
            <w:shd w:val="clear" w:color="000000" w:fill="FFFFFF"/>
            <w:noWrap/>
            <w:vAlign w:val="center"/>
            <w:hideMark/>
          </w:tcPr>
          <w:p w14:paraId="067B42AE" w14:textId="7C7B601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2.98</w:t>
            </w:r>
          </w:p>
        </w:tc>
        <w:tc>
          <w:tcPr>
            <w:tcW w:w="990" w:type="dxa"/>
            <w:tcBorders>
              <w:top w:val="nil"/>
              <w:left w:val="nil"/>
              <w:bottom w:val="nil"/>
              <w:right w:val="single" w:sz="8" w:space="0" w:color="auto"/>
            </w:tcBorders>
            <w:shd w:val="clear" w:color="000000" w:fill="FFFFFF"/>
            <w:noWrap/>
            <w:vAlign w:val="center"/>
            <w:hideMark/>
          </w:tcPr>
          <w:p w14:paraId="41B9D059" w14:textId="242256E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14.32</w:t>
            </w:r>
          </w:p>
        </w:tc>
        <w:tc>
          <w:tcPr>
            <w:tcW w:w="990" w:type="dxa"/>
            <w:tcBorders>
              <w:top w:val="nil"/>
              <w:left w:val="nil"/>
              <w:bottom w:val="nil"/>
              <w:right w:val="nil"/>
            </w:tcBorders>
            <w:shd w:val="clear" w:color="000000" w:fill="FFFFFF"/>
            <w:noWrap/>
            <w:vAlign w:val="center"/>
            <w:hideMark/>
          </w:tcPr>
          <w:p w14:paraId="107AB695" w14:textId="546CC23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3.46</w:t>
            </w:r>
          </w:p>
        </w:tc>
        <w:tc>
          <w:tcPr>
            <w:tcW w:w="1080" w:type="dxa"/>
            <w:tcBorders>
              <w:top w:val="nil"/>
              <w:left w:val="nil"/>
              <w:bottom w:val="nil"/>
              <w:right w:val="single" w:sz="12" w:space="0" w:color="auto"/>
            </w:tcBorders>
            <w:shd w:val="clear" w:color="000000" w:fill="FFFFFF"/>
            <w:noWrap/>
            <w:vAlign w:val="center"/>
            <w:hideMark/>
          </w:tcPr>
          <w:p w14:paraId="4EBB3A36" w14:textId="6B62CFAE"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0.39</w:t>
            </w:r>
          </w:p>
        </w:tc>
      </w:tr>
      <w:tr w:rsidR="003F77D0" w:rsidRPr="000D3090" w14:paraId="3BC12E01"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5CD1428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62F13763"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5AE6B9B7"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606F78C5" w14:textId="48C6260B"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783</w:t>
            </w:r>
          </w:p>
        </w:tc>
        <w:tc>
          <w:tcPr>
            <w:tcW w:w="900" w:type="dxa"/>
            <w:tcBorders>
              <w:top w:val="nil"/>
              <w:left w:val="nil"/>
              <w:bottom w:val="nil"/>
              <w:right w:val="single" w:sz="8" w:space="0" w:color="auto"/>
            </w:tcBorders>
            <w:shd w:val="clear" w:color="000000" w:fill="FFFFFF"/>
            <w:noWrap/>
            <w:vAlign w:val="center"/>
            <w:hideMark/>
          </w:tcPr>
          <w:p w14:paraId="2F790EDC" w14:textId="74AE5A1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6.28</w:t>
            </w:r>
          </w:p>
        </w:tc>
        <w:tc>
          <w:tcPr>
            <w:tcW w:w="990" w:type="dxa"/>
            <w:tcBorders>
              <w:top w:val="nil"/>
              <w:left w:val="nil"/>
              <w:bottom w:val="nil"/>
              <w:right w:val="nil"/>
            </w:tcBorders>
            <w:shd w:val="clear" w:color="000000" w:fill="FFFFFF"/>
            <w:noWrap/>
            <w:vAlign w:val="center"/>
            <w:hideMark/>
          </w:tcPr>
          <w:p w14:paraId="523BD9F9" w14:textId="5FC4473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6.62</w:t>
            </w:r>
          </w:p>
        </w:tc>
        <w:tc>
          <w:tcPr>
            <w:tcW w:w="990" w:type="dxa"/>
            <w:tcBorders>
              <w:top w:val="nil"/>
              <w:left w:val="nil"/>
              <w:bottom w:val="nil"/>
              <w:right w:val="single" w:sz="8" w:space="0" w:color="auto"/>
            </w:tcBorders>
            <w:shd w:val="clear" w:color="000000" w:fill="FFFFFF"/>
            <w:noWrap/>
            <w:vAlign w:val="center"/>
            <w:hideMark/>
          </w:tcPr>
          <w:p w14:paraId="5D260D4E" w14:textId="07EC7E1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5.45</w:t>
            </w:r>
          </w:p>
        </w:tc>
        <w:tc>
          <w:tcPr>
            <w:tcW w:w="990" w:type="dxa"/>
            <w:tcBorders>
              <w:top w:val="nil"/>
              <w:left w:val="nil"/>
              <w:bottom w:val="nil"/>
              <w:right w:val="nil"/>
            </w:tcBorders>
            <w:shd w:val="clear" w:color="000000" w:fill="FFFFFF"/>
            <w:noWrap/>
            <w:vAlign w:val="center"/>
            <w:hideMark/>
          </w:tcPr>
          <w:p w14:paraId="17D9601A" w14:textId="16AF11C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5.26</w:t>
            </w:r>
          </w:p>
        </w:tc>
        <w:tc>
          <w:tcPr>
            <w:tcW w:w="1080" w:type="dxa"/>
            <w:tcBorders>
              <w:top w:val="nil"/>
              <w:left w:val="nil"/>
              <w:bottom w:val="nil"/>
              <w:right w:val="single" w:sz="12" w:space="0" w:color="auto"/>
            </w:tcBorders>
            <w:shd w:val="clear" w:color="000000" w:fill="FFFFFF"/>
            <w:noWrap/>
            <w:vAlign w:val="center"/>
            <w:hideMark/>
          </w:tcPr>
          <w:p w14:paraId="0948751A" w14:textId="5549C0B4"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16.31</w:t>
            </w:r>
          </w:p>
        </w:tc>
      </w:tr>
      <w:tr w:rsidR="003F77D0" w:rsidRPr="000D3090" w14:paraId="1762CB35"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7D0EA1B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355FFDD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3E9B13A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5E4CC321" w14:textId="0972A930"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1405</w:t>
            </w:r>
          </w:p>
        </w:tc>
        <w:tc>
          <w:tcPr>
            <w:tcW w:w="900" w:type="dxa"/>
            <w:tcBorders>
              <w:top w:val="nil"/>
              <w:left w:val="nil"/>
              <w:bottom w:val="nil"/>
              <w:right w:val="single" w:sz="8" w:space="0" w:color="auto"/>
            </w:tcBorders>
            <w:shd w:val="clear" w:color="000000" w:fill="FFFFFF"/>
            <w:noWrap/>
            <w:vAlign w:val="center"/>
            <w:hideMark/>
          </w:tcPr>
          <w:p w14:paraId="41E6B94E" w14:textId="0ED14A3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11.27</w:t>
            </w:r>
          </w:p>
        </w:tc>
        <w:tc>
          <w:tcPr>
            <w:tcW w:w="990" w:type="dxa"/>
            <w:tcBorders>
              <w:top w:val="nil"/>
              <w:left w:val="nil"/>
              <w:bottom w:val="nil"/>
              <w:right w:val="nil"/>
            </w:tcBorders>
            <w:shd w:val="clear" w:color="000000" w:fill="FFFFFF"/>
            <w:noWrap/>
            <w:vAlign w:val="center"/>
            <w:hideMark/>
          </w:tcPr>
          <w:p w14:paraId="4B5FC9E4" w14:textId="0E18E72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11.22</w:t>
            </w:r>
          </w:p>
        </w:tc>
        <w:tc>
          <w:tcPr>
            <w:tcW w:w="990" w:type="dxa"/>
            <w:tcBorders>
              <w:top w:val="nil"/>
              <w:left w:val="nil"/>
              <w:bottom w:val="nil"/>
              <w:right w:val="single" w:sz="8" w:space="0" w:color="auto"/>
            </w:tcBorders>
            <w:shd w:val="clear" w:color="000000" w:fill="FFFFFF"/>
            <w:noWrap/>
            <w:vAlign w:val="center"/>
            <w:hideMark/>
          </w:tcPr>
          <w:p w14:paraId="34D10087" w14:textId="6C68FF2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0.43</w:t>
            </w:r>
          </w:p>
        </w:tc>
        <w:tc>
          <w:tcPr>
            <w:tcW w:w="990" w:type="dxa"/>
            <w:tcBorders>
              <w:top w:val="nil"/>
              <w:left w:val="nil"/>
              <w:bottom w:val="nil"/>
              <w:right w:val="nil"/>
            </w:tcBorders>
            <w:shd w:val="clear" w:color="000000" w:fill="FFFFFF"/>
            <w:noWrap/>
            <w:vAlign w:val="center"/>
            <w:hideMark/>
          </w:tcPr>
          <w:p w14:paraId="510E0692" w14:textId="1311BDFC"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10.42</w:t>
            </w:r>
          </w:p>
        </w:tc>
        <w:tc>
          <w:tcPr>
            <w:tcW w:w="1080" w:type="dxa"/>
            <w:tcBorders>
              <w:top w:val="nil"/>
              <w:left w:val="nil"/>
              <w:bottom w:val="nil"/>
              <w:right w:val="single" w:sz="12" w:space="0" w:color="auto"/>
            </w:tcBorders>
            <w:shd w:val="clear" w:color="000000" w:fill="FFFFFF"/>
            <w:noWrap/>
            <w:vAlign w:val="center"/>
            <w:hideMark/>
          </w:tcPr>
          <w:p w14:paraId="221EEC7A" w14:textId="2AB22A37"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7.49</w:t>
            </w:r>
          </w:p>
        </w:tc>
      </w:tr>
      <w:tr w:rsidR="003F77D0" w:rsidRPr="000D3090" w14:paraId="46AA5E19"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441A5D4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427999B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4E0B571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241954D1" w14:textId="100A4644"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602</w:t>
            </w:r>
          </w:p>
        </w:tc>
        <w:tc>
          <w:tcPr>
            <w:tcW w:w="900" w:type="dxa"/>
            <w:tcBorders>
              <w:top w:val="nil"/>
              <w:left w:val="nil"/>
              <w:bottom w:val="nil"/>
              <w:right w:val="single" w:sz="8" w:space="0" w:color="auto"/>
            </w:tcBorders>
            <w:shd w:val="clear" w:color="000000" w:fill="FFFFFF"/>
            <w:noWrap/>
            <w:vAlign w:val="center"/>
            <w:hideMark/>
          </w:tcPr>
          <w:p w14:paraId="7AD79DA1" w14:textId="753660B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4.83</w:t>
            </w:r>
          </w:p>
        </w:tc>
        <w:tc>
          <w:tcPr>
            <w:tcW w:w="990" w:type="dxa"/>
            <w:tcBorders>
              <w:top w:val="nil"/>
              <w:left w:val="nil"/>
              <w:bottom w:val="nil"/>
              <w:right w:val="nil"/>
            </w:tcBorders>
            <w:shd w:val="clear" w:color="000000" w:fill="FFFFFF"/>
            <w:noWrap/>
            <w:vAlign w:val="center"/>
            <w:hideMark/>
          </w:tcPr>
          <w:p w14:paraId="3CC7232C" w14:textId="4229274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4.84</w:t>
            </w:r>
          </w:p>
        </w:tc>
        <w:tc>
          <w:tcPr>
            <w:tcW w:w="990" w:type="dxa"/>
            <w:tcBorders>
              <w:top w:val="nil"/>
              <w:left w:val="nil"/>
              <w:bottom w:val="nil"/>
              <w:right w:val="single" w:sz="8" w:space="0" w:color="auto"/>
            </w:tcBorders>
            <w:shd w:val="clear" w:color="000000" w:fill="FFFFFF"/>
            <w:noWrap/>
            <w:vAlign w:val="center"/>
            <w:hideMark/>
          </w:tcPr>
          <w:p w14:paraId="3E9D2839" w14:textId="3FD547C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0.31</w:t>
            </w:r>
          </w:p>
        </w:tc>
        <w:tc>
          <w:tcPr>
            <w:tcW w:w="990" w:type="dxa"/>
            <w:tcBorders>
              <w:top w:val="nil"/>
              <w:left w:val="nil"/>
              <w:bottom w:val="nil"/>
              <w:right w:val="nil"/>
            </w:tcBorders>
            <w:shd w:val="clear" w:color="000000" w:fill="FFFFFF"/>
            <w:noWrap/>
            <w:vAlign w:val="center"/>
            <w:hideMark/>
          </w:tcPr>
          <w:p w14:paraId="2E1CF95C" w14:textId="742F8DD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5.07</w:t>
            </w:r>
          </w:p>
        </w:tc>
        <w:tc>
          <w:tcPr>
            <w:tcW w:w="1080" w:type="dxa"/>
            <w:tcBorders>
              <w:top w:val="nil"/>
              <w:left w:val="nil"/>
              <w:bottom w:val="nil"/>
              <w:right w:val="single" w:sz="12" w:space="0" w:color="auto"/>
            </w:tcBorders>
            <w:shd w:val="clear" w:color="000000" w:fill="FFFFFF"/>
            <w:noWrap/>
            <w:vAlign w:val="center"/>
            <w:hideMark/>
          </w:tcPr>
          <w:p w14:paraId="2897126B" w14:textId="5F611DD6"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4.96</w:t>
            </w:r>
          </w:p>
        </w:tc>
      </w:tr>
      <w:tr w:rsidR="003F77D0" w:rsidRPr="000D3090" w14:paraId="67ADD75C"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10E8CD03"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4E0D9D1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7B50739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58703C54" w14:textId="2BC28584"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438</w:t>
            </w:r>
          </w:p>
        </w:tc>
        <w:tc>
          <w:tcPr>
            <w:tcW w:w="900" w:type="dxa"/>
            <w:tcBorders>
              <w:top w:val="nil"/>
              <w:left w:val="nil"/>
              <w:bottom w:val="nil"/>
              <w:right w:val="single" w:sz="8" w:space="0" w:color="auto"/>
            </w:tcBorders>
            <w:shd w:val="clear" w:color="000000" w:fill="FFFFFF"/>
            <w:noWrap/>
            <w:vAlign w:val="center"/>
            <w:hideMark/>
          </w:tcPr>
          <w:p w14:paraId="64C74ABD" w14:textId="6088EC9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3.51</w:t>
            </w:r>
          </w:p>
        </w:tc>
        <w:tc>
          <w:tcPr>
            <w:tcW w:w="990" w:type="dxa"/>
            <w:tcBorders>
              <w:top w:val="nil"/>
              <w:left w:val="nil"/>
              <w:bottom w:val="nil"/>
              <w:right w:val="nil"/>
            </w:tcBorders>
            <w:shd w:val="clear" w:color="000000" w:fill="FFFFFF"/>
            <w:noWrap/>
            <w:vAlign w:val="center"/>
            <w:hideMark/>
          </w:tcPr>
          <w:p w14:paraId="4C8B27E6" w14:textId="7FE8922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3.39</w:t>
            </w:r>
          </w:p>
        </w:tc>
        <w:tc>
          <w:tcPr>
            <w:tcW w:w="990" w:type="dxa"/>
            <w:tcBorders>
              <w:top w:val="nil"/>
              <w:left w:val="nil"/>
              <w:bottom w:val="nil"/>
              <w:right w:val="single" w:sz="8" w:space="0" w:color="auto"/>
            </w:tcBorders>
            <w:shd w:val="clear" w:color="000000" w:fill="FFFFFF"/>
            <w:noWrap/>
            <w:vAlign w:val="center"/>
            <w:hideMark/>
          </w:tcPr>
          <w:p w14:paraId="11868A55" w14:textId="183BB85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3.54</w:t>
            </w:r>
          </w:p>
        </w:tc>
        <w:tc>
          <w:tcPr>
            <w:tcW w:w="990" w:type="dxa"/>
            <w:tcBorders>
              <w:top w:val="nil"/>
              <w:left w:val="nil"/>
              <w:bottom w:val="nil"/>
              <w:right w:val="nil"/>
            </w:tcBorders>
            <w:shd w:val="clear" w:color="000000" w:fill="FFFFFF"/>
            <w:noWrap/>
            <w:vAlign w:val="center"/>
            <w:hideMark/>
          </w:tcPr>
          <w:p w14:paraId="7175A84E" w14:textId="461B90E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4.41</w:t>
            </w:r>
          </w:p>
        </w:tc>
        <w:tc>
          <w:tcPr>
            <w:tcW w:w="1080" w:type="dxa"/>
            <w:tcBorders>
              <w:top w:val="nil"/>
              <w:left w:val="nil"/>
              <w:bottom w:val="nil"/>
              <w:right w:val="single" w:sz="12" w:space="0" w:color="auto"/>
            </w:tcBorders>
            <w:shd w:val="clear" w:color="000000" w:fill="FFFFFF"/>
            <w:noWrap/>
            <w:vAlign w:val="center"/>
            <w:hideMark/>
          </w:tcPr>
          <w:p w14:paraId="49C6B8D6" w14:textId="2A921F8B"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25.44</w:t>
            </w:r>
          </w:p>
        </w:tc>
      </w:tr>
      <w:tr w:rsidR="003F77D0" w:rsidRPr="000D3090" w14:paraId="63FABB92"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132BDAA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1470510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33E02B0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39E007C2" w14:textId="42D0F17C"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86</w:t>
            </w:r>
          </w:p>
        </w:tc>
        <w:tc>
          <w:tcPr>
            <w:tcW w:w="900" w:type="dxa"/>
            <w:tcBorders>
              <w:top w:val="nil"/>
              <w:left w:val="nil"/>
              <w:bottom w:val="nil"/>
              <w:right w:val="single" w:sz="8" w:space="0" w:color="auto"/>
            </w:tcBorders>
            <w:shd w:val="clear" w:color="000000" w:fill="FFFFFF"/>
            <w:noWrap/>
            <w:vAlign w:val="center"/>
            <w:hideMark/>
          </w:tcPr>
          <w:p w14:paraId="6296713F" w14:textId="64CD01A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0.69</w:t>
            </w:r>
          </w:p>
        </w:tc>
        <w:tc>
          <w:tcPr>
            <w:tcW w:w="990" w:type="dxa"/>
            <w:tcBorders>
              <w:top w:val="nil"/>
              <w:left w:val="nil"/>
              <w:bottom w:val="nil"/>
              <w:right w:val="nil"/>
            </w:tcBorders>
            <w:shd w:val="clear" w:color="000000" w:fill="FFFFFF"/>
            <w:noWrap/>
            <w:vAlign w:val="center"/>
            <w:hideMark/>
          </w:tcPr>
          <w:p w14:paraId="40835A93" w14:textId="27C55B2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1.05</w:t>
            </w:r>
          </w:p>
        </w:tc>
        <w:tc>
          <w:tcPr>
            <w:tcW w:w="990" w:type="dxa"/>
            <w:tcBorders>
              <w:top w:val="nil"/>
              <w:left w:val="nil"/>
              <w:bottom w:val="nil"/>
              <w:right w:val="single" w:sz="8" w:space="0" w:color="auto"/>
            </w:tcBorders>
            <w:shd w:val="clear" w:color="000000" w:fill="FFFFFF"/>
            <w:noWrap/>
            <w:vAlign w:val="center"/>
            <w:hideMark/>
          </w:tcPr>
          <w:p w14:paraId="0A368755" w14:textId="5947C2A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52.14</w:t>
            </w:r>
          </w:p>
        </w:tc>
        <w:tc>
          <w:tcPr>
            <w:tcW w:w="990" w:type="dxa"/>
            <w:tcBorders>
              <w:top w:val="nil"/>
              <w:left w:val="nil"/>
              <w:bottom w:val="nil"/>
              <w:right w:val="nil"/>
            </w:tcBorders>
            <w:shd w:val="clear" w:color="000000" w:fill="FFFFFF"/>
            <w:noWrap/>
            <w:vAlign w:val="center"/>
            <w:hideMark/>
          </w:tcPr>
          <w:p w14:paraId="68F277C2" w14:textId="31049EA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1.01</w:t>
            </w:r>
          </w:p>
        </w:tc>
        <w:tc>
          <w:tcPr>
            <w:tcW w:w="1080" w:type="dxa"/>
            <w:tcBorders>
              <w:top w:val="nil"/>
              <w:left w:val="nil"/>
              <w:bottom w:val="nil"/>
              <w:right w:val="single" w:sz="12" w:space="0" w:color="auto"/>
            </w:tcBorders>
            <w:shd w:val="clear" w:color="000000" w:fill="FFFFFF"/>
            <w:noWrap/>
            <w:vAlign w:val="center"/>
            <w:hideMark/>
          </w:tcPr>
          <w:p w14:paraId="38E929F0" w14:textId="19470F70"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46.72</w:t>
            </w:r>
          </w:p>
        </w:tc>
      </w:tr>
      <w:tr w:rsidR="003F77D0" w:rsidRPr="000D3090" w14:paraId="1593BDB8"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24FAB2A6"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40A43F47"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781C70B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761DFCB7" w14:textId="5627F9F4"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307</w:t>
            </w:r>
          </w:p>
        </w:tc>
        <w:tc>
          <w:tcPr>
            <w:tcW w:w="900" w:type="dxa"/>
            <w:tcBorders>
              <w:top w:val="nil"/>
              <w:left w:val="nil"/>
              <w:bottom w:val="nil"/>
              <w:right w:val="single" w:sz="8" w:space="0" w:color="auto"/>
            </w:tcBorders>
            <w:shd w:val="clear" w:color="000000" w:fill="FFFFFF"/>
            <w:noWrap/>
            <w:vAlign w:val="center"/>
            <w:hideMark/>
          </w:tcPr>
          <w:p w14:paraId="7774F4A2" w14:textId="56ACDD4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2.46</w:t>
            </w:r>
          </w:p>
        </w:tc>
        <w:tc>
          <w:tcPr>
            <w:tcW w:w="990" w:type="dxa"/>
            <w:tcBorders>
              <w:top w:val="nil"/>
              <w:left w:val="nil"/>
              <w:bottom w:val="nil"/>
              <w:right w:val="nil"/>
            </w:tcBorders>
            <w:shd w:val="clear" w:color="000000" w:fill="FFFFFF"/>
            <w:noWrap/>
            <w:vAlign w:val="center"/>
            <w:hideMark/>
          </w:tcPr>
          <w:p w14:paraId="5CD9EA4E" w14:textId="40B2E71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2.63</w:t>
            </w:r>
          </w:p>
        </w:tc>
        <w:tc>
          <w:tcPr>
            <w:tcW w:w="990" w:type="dxa"/>
            <w:tcBorders>
              <w:top w:val="nil"/>
              <w:left w:val="nil"/>
              <w:bottom w:val="nil"/>
              <w:right w:val="single" w:sz="8" w:space="0" w:color="auto"/>
            </w:tcBorders>
            <w:shd w:val="clear" w:color="000000" w:fill="FFFFFF"/>
            <w:noWrap/>
            <w:vAlign w:val="center"/>
            <w:hideMark/>
          </w:tcPr>
          <w:p w14:paraId="2EFE8B21" w14:textId="2A58D49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6.81</w:t>
            </w:r>
          </w:p>
        </w:tc>
        <w:tc>
          <w:tcPr>
            <w:tcW w:w="990" w:type="dxa"/>
            <w:tcBorders>
              <w:top w:val="nil"/>
              <w:left w:val="nil"/>
              <w:bottom w:val="nil"/>
              <w:right w:val="nil"/>
            </w:tcBorders>
            <w:shd w:val="clear" w:color="000000" w:fill="FFFFFF"/>
            <w:noWrap/>
            <w:vAlign w:val="center"/>
            <w:hideMark/>
          </w:tcPr>
          <w:p w14:paraId="762C2DD4" w14:textId="2CE19B2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2.42</w:t>
            </w:r>
          </w:p>
        </w:tc>
        <w:tc>
          <w:tcPr>
            <w:tcW w:w="1080" w:type="dxa"/>
            <w:tcBorders>
              <w:top w:val="nil"/>
              <w:left w:val="nil"/>
              <w:bottom w:val="nil"/>
              <w:right w:val="single" w:sz="12" w:space="0" w:color="auto"/>
            </w:tcBorders>
            <w:shd w:val="clear" w:color="000000" w:fill="FFFFFF"/>
            <w:noWrap/>
            <w:vAlign w:val="center"/>
            <w:hideMark/>
          </w:tcPr>
          <w:p w14:paraId="17E70ABD" w14:textId="6608D96A"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1.91</w:t>
            </w:r>
          </w:p>
        </w:tc>
      </w:tr>
      <w:tr w:rsidR="003F77D0" w:rsidRPr="000D3090" w14:paraId="3C271E7B"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5FE1F324"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7A3987D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0C1E16A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7958F28A" w14:textId="7C899996"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212</w:t>
            </w:r>
          </w:p>
        </w:tc>
        <w:tc>
          <w:tcPr>
            <w:tcW w:w="900" w:type="dxa"/>
            <w:tcBorders>
              <w:top w:val="nil"/>
              <w:left w:val="nil"/>
              <w:bottom w:val="nil"/>
              <w:right w:val="single" w:sz="8" w:space="0" w:color="auto"/>
            </w:tcBorders>
            <w:shd w:val="clear" w:color="000000" w:fill="FFFFFF"/>
            <w:noWrap/>
            <w:vAlign w:val="center"/>
            <w:hideMark/>
          </w:tcPr>
          <w:p w14:paraId="645D9676" w14:textId="45D606C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1.70</w:t>
            </w:r>
          </w:p>
        </w:tc>
        <w:tc>
          <w:tcPr>
            <w:tcW w:w="990" w:type="dxa"/>
            <w:tcBorders>
              <w:top w:val="nil"/>
              <w:left w:val="nil"/>
              <w:bottom w:val="nil"/>
              <w:right w:val="nil"/>
            </w:tcBorders>
            <w:shd w:val="clear" w:color="000000" w:fill="FFFFFF"/>
            <w:noWrap/>
            <w:vAlign w:val="center"/>
            <w:hideMark/>
          </w:tcPr>
          <w:p w14:paraId="7562104B" w14:textId="3ECEE0B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1.44</w:t>
            </w:r>
          </w:p>
        </w:tc>
        <w:tc>
          <w:tcPr>
            <w:tcW w:w="990" w:type="dxa"/>
            <w:tcBorders>
              <w:top w:val="nil"/>
              <w:left w:val="nil"/>
              <w:bottom w:val="nil"/>
              <w:right w:val="single" w:sz="8" w:space="0" w:color="auto"/>
            </w:tcBorders>
            <w:shd w:val="clear" w:color="000000" w:fill="FFFFFF"/>
            <w:noWrap/>
            <w:vAlign w:val="center"/>
            <w:hideMark/>
          </w:tcPr>
          <w:p w14:paraId="4E180EDF" w14:textId="219010A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15.31</w:t>
            </w:r>
          </w:p>
        </w:tc>
        <w:tc>
          <w:tcPr>
            <w:tcW w:w="990" w:type="dxa"/>
            <w:tcBorders>
              <w:top w:val="nil"/>
              <w:left w:val="nil"/>
              <w:bottom w:val="nil"/>
              <w:right w:val="nil"/>
            </w:tcBorders>
            <w:shd w:val="clear" w:color="000000" w:fill="FFFFFF"/>
            <w:noWrap/>
            <w:vAlign w:val="center"/>
            <w:hideMark/>
          </w:tcPr>
          <w:p w14:paraId="0BFF6425" w14:textId="2EDB51F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1.31</w:t>
            </w:r>
          </w:p>
        </w:tc>
        <w:tc>
          <w:tcPr>
            <w:tcW w:w="1080" w:type="dxa"/>
            <w:tcBorders>
              <w:top w:val="nil"/>
              <w:left w:val="nil"/>
              <w:bottom w:val="nil"/>
              <w:right w:val="single" w:sz="12" w:space="0" w:color="auto"/>
            </w:tcBorders>
            <w:shd w:val="clear" w:color="000000" w:fill="FFFFFF"/>
            <w:noWrap/>
            <w:vAlign w:val="center"/>
            <w:hideMark/>
          </w:tcPr>
          <w:p w14:paraId="5FB19ED4" w14:textId="2EE3A01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23.16</w:t>
            </w:r>
          </w:p>
        </w:tc>
      </w:tr>
      <w:tr w:rsidR="003F77D0" w:rsidRPr="000D3090" w14:paraId="5FE111C2"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43C92B0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1783826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2B2F913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5AE31AB0" w14:textId="6D821AED"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182</w:t>
            </w:r>
          </w:p>
        </w:tc>
        <w:tc>
          <w:tcPr>
            <w:tcW w:w="900" w:type="dxa"/>
            <w:tcBorders>
              <w:top w:val="nil"/>
              <w:left w:val="nil"/>
              <w:bottom w:val="nil"/>
              <w:right w:val="single" w:sz="8" w:space="0" w:color="auto"/>
            </w:tcBorders>
            <w:shd w:val="clear" w:color="000000" w:fill="FFFFFF"/>
            <w:noWrap/>
            <w:vAlign w:val="center"/>
            <w:hideMark/>
          </w:tcPr>
          <w:p w14:paraId="5583A9C1" w14:textId="334FDE4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1.46</w:t>
            </w:r>
          </w:p>
        </w:tc>
        <w:tc>
          <w:tcPr>
            <w:tcW w:w="990" w:type="dxa"/>
            <w:tcBorders>
              <w:top w:val="nil"/>
              <w:left w:val="nil"/>
              <w:bottom w:val="nil"/>
              <w:right w:val="nil"/>
            </w:tcBorders>
            <w:shd w:val="clear" w:color="000000" w:fill="FFFFFF"/>
            <w:noWrap/>
            <w:vAlign w:val="center"/>
            <w:hideMark/>
          </w:tcPr>
          <w:p w14:paraId="37142675" w14:textId="1A0E035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1.24</w:t>
            </w:r>
          </w:p>
        </w:tc>
        <w:tc>
          <w:tcPr>
            <w:tcW w:w="990" w:type="dxa"/>
            <w:tcBorders>
              <w:top w:val="nil"/>
              <w:left w:val="nil"/>
              <w:bottom w:val="nil"/>
              <w:right w:val="single" w:sz="8" w:space="0" w:color="auto"/>
            </w:tcBorders>
            <w:shd w:val="clear" w:color="000000" w:fill="FFFFFF"/>
            <w:noWrap/>
            <w:vAlign w:val="center"/>
            <w:hideMark/>
          </w:tcPr>
          <w:p w14:paraId="1B142C13" w14:textId="26A1C12C"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15.14</w:t>
            </w:r>
          </w:p>
        </w:tc>
        <w:tc>
          <w:tcPr>
            <w:tcW w:w="990" w:type="dxa"/>
            <w:tcBorders>
              <w:top w:val="nil"/>
              <w:left w:val="nil"/>
              <w:bottom w:val="nil"/>
              <w:right w:val="nil"/>
            </w:tcBorders>
            <w:shd w:val="clear" w:color="000000" w:fill="FFFFFF"/>
            <w:noWrap/>
            <w:vAlign w:val="center"/>
            <w:hideMark/>
          </w:tcPr>
          <w:p w14:paraId="6FEB9902" w14:textId="267C75CD"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1.24</w:t>
            </w:r>
          </w:p>
        </w:tc>
        <w:tc>
          <w:tcPr>
            <w:tcW w:w="1080" w:type="dxa"/>
            <w:tcBorders>
              <w:top w:val="nil"/>
              <w:left w:val="nil"/>
              <w:bottom w:val="nil"/>
              <w:right w:val="single" w:sz="12" w:space="0" w:color="auto"/>
            </w:tcBorders>
            <w:shd w:val="clear" w:color="000000" w:fill="FFFFFF"/>
            <w:noWrap/>
            <w:vAlign w:val="center"/>
            <w:hideMark/>
          </w:tcPr>
          <w:p w14:paraId="3C59E633" w14:textId="0FBFF186"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15.27</w:t>
            </w:r>
          </w:p>
        </w:tc>
      </w:tr>
      <w:tr w:rsidR="003F77D0" w:rsidRPr="000D3090" w14:paraId="5EEF9FD5"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58733A8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579870C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0E2C780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5B05CC02" w14:textId="51A1500F"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40</w:t>
            </w:r>
          </w:p>
        </w:tc>
        <w:tc>
          <w:tcPr>
            <w:tcW w:w="900" w:type="dxa"/>
            <w:tcBorders>
              <w:top w:val="nil"/>
              <w:left w:val="nil"/>
              <w:bottom w:val="nil"/>
              <w:right w:val="single" w:sz="8" w:space="0" w:color="auto"/>
            </w:tcBorders>
            <w:shd w:val="clear" w:color="000000" w:fill="FFFFFF"/>
            <w:noWrap/>
            <w:vAlign w:val="center"/>
            <w:hideMark/>
          </w:tcPr>
          <w:p w14:paraId="0870414C" w14:textId="34893A0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0.32</w:t>
            </w:r>
          </w:p>
        </w:tc>
        <w:tc>
          <w:tcPr>
            <w:tcW w:w="990" w:type="dxa"/>
            <w:tcBorders>
              <w:top w:val="nil"/>
              <w:left w:val="nil"/>
              <w:bottom w:val="nil"/>
              <w:right w:val="nil"/>
            </w:tcBorders>
            <w:shd w:val="clear" w:color="000000" w:fill="FFFFFF"/>
            <w:noWrap/>
            <w:vAlign w:val="center"/>
            <w:hideMark/>
          </w:tcPr>
          <w:p w14:paraId="5585A88C" w14:textId="0F82D0B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0.48</w:t>
            </w:r>
          </w:p>
        </w:tc>
        <w:tc>
          <w:tcPr>
            <w:tcW w:w="990" w:type="dxa"/>
            <w:tcBorders>
              <w:top w:val="nil"/>
              <w:left w:val="nil"/>
              <w:bottom w:val="nil"/>
              <w:right w:val="single" w:sz="8" w:space="0" w:color="auto"/>
            </w:tcBorders>
            <w:shd w:val="clear" w:color="000000" w:fill="FFFFFF"/>
            <w:noWrap/>
            <w:vAlign w:val="center"/>
            <w:hideMark/>
          </w:tcPr>
          <w:p w14:paraId="039FD596" w14:textId="288DD79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48.45</w:t>
            </w:r>
          </w:p>
        </w:tc>
        <w:tc>
          <w:tcPr>
            <w:tcW w:w="990" w:type="dxa"/>
            <w:tcBorders>
              <w:top w:val="nil"/>
              <w:left w:val="nil"/>
              <w:bottom w:val="nil"/>
              <w:right w:val="nil"/>
            </w:tcBorders>
            <w:shd w:val="clear" w:color="000000" w:fill="FFFFFF"/>
            <w:noWrap/>
            <w:vAlign w:val="center"/>
            <w:hideMark/>
          </w:tcPr>
          <w:p w14:paraId="25D17CFD" w14:textId="6494B74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0.56</w:t>
            </w:r>
          </w:p>
        </w:tc>
        <w:tc>
          <w:tcPr>
            <w:tcW w:w="1080" w:type="dxa"/>
            <w:tcBorders>
              <w:top w:val="nil"/>
              <w:left w:val="nil"/>
              <w:bottom w:val="nil"/>
              <w:right w:val="single" w:sz="12" w:space="0" w:color="auto"/>
            </w:tcBorders>
            <w:shd w:val="clear" w:color="000000" w:fill="FFFFFF"/>
            <w:noWrap/>
            <w:vAlign w:val="center"/>
            <w:hideMark/>
          </w:tcPr>
          <w:p w14:paraId="70B4B0CD" w14:textId="38476566"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74.30</w:t>
            </w:r>
          </w:p>
        </w:tc>
      </w:tr>
      <w:tr w:rsidR="003F77D0" w:rsidRPr="000D3090" w14:paraId="45599CC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29D395D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3528C67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785320F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2823A999" w14:textId="2609CEA7"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182</w:t>
            </w:r>
          </w:p>
        </w:tc>
        <w:tc>
          <w:tcPr>
            <w:tcW w:w="900" w:type="dxa"/>
            <w:tcBorders>
              <w:top w:val="nil"/>
              <w:left w:val="nil"/>
              <w:bottom w:val="nil"/>
              <w:right w:val="single" w:sz="8" w:space="0" w:color="auto"/>
            </w:tcBorders>
            <w:shd w:val="clear" w:color="000000" w:fill="FFFFFF"/>
            <w:noWrap/>
            <w:vAlign w:val="center"/>
            <w:hideMark/>
          </w:tcPr>
          <w:p w14:paraId="7B2E29B8" w14:textId="614992E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1.46</w:t>
            </w:r>
          </w:p>
        </w:tc>
        <w:tc>
          <w:tcPr>
            <w:tcW w:w="990" w:type="dxa"/>
            <w:tcBorders>
              <w:top w:val="nil"/>
              <w:left w:val="nil"/>
              <w:bottom w:val="nil"/>
              <w:right w:val="nil"/>
            </w:tcBorders>
            <w:shd w:val="clear" w:color="000000" w:fill="FFFFFF"/>
            <w:noWrap/>
            <w:vAlign w:val="center"/>
            <w:hideMark/>
          </w:tcPr>
          <w:p w14:paraId="35038190" w14:textId="5E96085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1.32</w:t>
            </w:r>
          </w:p>
        </w:tc>
        <w:tc>
          <w:tcPr>
            <w:tcW w:w="990" w:type="dxa"/>
            <w:tcBorders>
              <w:top w:val="nil"/>
              <w:left w:val="nil"/>
              <w:bottom w:val="nil"/>
              <w:right w:val="single" w:sz="8" w:space="0" w:color="auto"/>
            </w:tcBorders>
            <w:shd w:val="clear" w:color="000000" w:fill="FFFFFF"/>
            <w:noWrap/>
            <w:vAlign w:val="center"/>
            <w:hideMark/>
          </w:tcPr>
          <w:p w14:paraId="628E45C1" w14:textId="3CCA58E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9.79</w:t>
            </w:r>
          </w:p>
        </w:tc>
        <w:tc>
          <w:tcPr>
            <w:tcW w:w="990" w:type="dxa"/>
            <w:tcBorders>
              <w:top w:val="nil"/>
              <w:left w:val="nil"/>
              <w:bottom w:val="nil"/>
              <w:right w:val="nil"/>
            </w:tcBorders>
            <w:shd w:val="clear" w:color="000000" w:fill="FFFFFF"/>
            <w:noWrap/>
            <w:vAlign w:val="center"/>
            <w:hideMark/>
          </w:tcPr>
          <w:p w14:paraId="0716F228" w14:textId="39C08BD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1.39</w:t>
            </w:r>
          </w:p>
        </w:tc>
        <w:tc>
          <w:tcPr>
            <w:tcW w:w="1080" w:type="dxa"/>
            <w:tcBorders>
              <w:top w:val="nil"/>
              <w:left w:val="nil"/>
              <w:bottom w:val="nil"/>
              <w:right w:val="single" w:sz="12" w:space="0" w:color="auto"/>
            </w:tcBorders>
            <w:shd w:val="clear" w:color="000000" w:fill="FFFFFF"/>
            <w:noWrap/>
            <w:vAlign w:val="center"/>
            <w:hideMark/>
          </w:tcPr>
          <w:p w14:paraId="1654915F" w14:textId="2AC1008F"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4.43</w:t>
            </w:r>
          </w:p>
        </w:tc>
      </w:tr>
      <w:tr w:rsidR="003F77D0" w:rsidRPr="000D3090" w14:paraId="6EE5D4E2"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19DFC7F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39075AD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6A3503E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0EE4BE25" w14:textId="493F3ECC"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88</w:t>
            </w:r>
          </w:p>
        </w:tc>
        <w:tc>
          <w:tcPr>
            <w:tcW w:w="900" w:type="dxa"/>
            <w:tcBorders>
              <w:top w:val="nil"/>
              <w:left w:val="nil"/>
              <w:bottom w:val="nil"/>
              <w:right w:val="single" w:sz="8" w:space="0" w:color="auto"/>
            </w:tcBorders>
            <w:shd w:val="clear" w:color="000000" w:fill="FFFFFF"/>
            <w:noWrap/>
            <w:vAlign w:val="center"/>
            <w:hideMark/>
          </w:tcPr>
          <w:p w14:paraId="785F4E81" w14:textId="1A58F19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0.71</w:t>
            </w:r>
          </w:p>
        </w:tc>
        <w:tc>
          <w:tcPr>
            <w:tcW w:w="990" w:type="dxa"/>
            <w:tcBorders>
              <w:top w:val="nil"/>
              <w:left w:val="nil"/>
              <w:bottom w:val="nil"/>
              <w:right w:val="nil"/>
            </w:tcBorders>
            <w:shd w:val="clear" w:color="000000" w:fill="FFFFFF"/>
            <w:noWrap/>
            <w:vAlign w:val="center"/>
            <w:hideMark/>
          </w:tcPr>
          <w:p w14:paraId="7B53AC7C" w14:textId="6138699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0.77</w:t>
            </w:r>
          </w:p>
        </w:tc>
        <w:tc>
          <w:tcPr>
            <w:tcW w:w="990" w:type="dxa"/>
            <w:tcBorders>
              <w:top w:val="nil"/>
              <w:left w:val="nil"/>
              <w:bottom w:val="nil"/>
              <w:right w:val="single" w:sz="8" w:space="0" w:color="auto"/>
            </w:tcBorders>
            <w:shd w:val="clear" w:color="000000" w:fill="FFFFFF"/>
            <w:noWrap/>
            <w:vAlign w:val="center"/>
            <w:hideMark/>
          </w:tcPr>
          <w:p w14:paraId="540D1A8A" w14:textId="4C37DA3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9.14</w:t>
            </w:r>
          </w:p>
        </w:tc>
        <w:tc>
          <w:tcPr>
            <w:tcW w:w="990" w:type="dxa"/>
            <w:tcBorders>
              <w:top w:val="nil"/>
              <w:left w:val="nil"/>
              <w:bottom w:val="nil"/>
              <w:right w:val="nil"/>
            </w:tcBorders>
            <w:shd w:val="clear" w:color="000000" w:fill="FFFFFF"/>
            <w:noWrap/>
            <w:vAlign w:val="center"/>
            <w:hideMark/>
          </w:tcPr>
          <w:p w14:paraId="15C005F7" w14:textId="15BB3C5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0.77</w:t>
            </w:r>
          </w:p>
        </w:tc>
        <w:tc>
          <w:tcPr>
            <w:tcW w:w="1080" w:type="dxa"/>
            <w:tcBorders>
              <w:top w:val="nil"/>
              <w:left w:val="nil"/>
              <w:bottom w:val="nil"/>
              <w:right w:val="single" w:sz="12" w:space="0" w:color="auto"/>
            </w:tcBorders>
            <w:shd w:val="clear" w:color="000000" w:fill="FFFFFF"/>
            <w:noWrap/>
            <w:vAlign w:val="center"/>
            <w:hideMark/>
          </w:tcPr>
          <w:p w14:paraId="02B18271" w14:textId="4B06663D"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9.53</w:t>
            </w:r>
          </w:p>
        </w:tc>
      </w:tr>
      <w:tr w:rsidR="003F77D0" w:rsidRPr="000D3090" w14:paraId="459855CE"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224C5E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57C9441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5F4665B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2AB9579B" w14:textId="4F8D1870"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103</w:t>
            </w:r>
          </w:p>
        </w:tc>
        <w:tc>
          <w:tcPr>
            <w:tcW w:w="900" w:type="dxa"/>
            <w:tcBorders>
              <w:top w:val="nil"/>
              <w:left w:val="nil"/>
              <w:bottom w:val="nil"/>
              <w:right w:val="single" w:sz="8" w:space="0" w:color="auto"/>
            </w:tcBorders>
            <w:shd w:val="clear" w:color="000000" w:fill="FFFFFF"/>
            <w:noWrap/>
            <w:vAlign w:val="center"/>
            <w:hideMark/>
          </w:tcPr>
          <w:p w14:paraId="23629047" w14:textId="72EF583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0.83</w:t>
            </w:r>
          </w:p>
        </w:tc>
        <w:tc>
          <w:tcPr>
            <w:tcW w:w="990" w:type="dxa"/>
            <w:tcBorders>
              <w:top w:val="nil"/>
              <w:left w:val="nil"/>
              <w:bottom w:val="nil"/>
              <w:right w:val="nil"/>
            </w:tcBorders>
            <w:shd w:val="clear" w:color="000000" w:fill="FFFFFF"/>
            <w:noWrap/>
            <w:vAlign w:val="center"/>
            <w:hideMark/>
          </w:tcPr>
          <w:p w14:paraId="1745CBC3" w14:textId="6317A2B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0.71</w:t>
            </w:r>
          </w:p>
        </w:tc>
        <w:tc>
          <w:tcPr>
            <w:tcW w:w="990" w:type="dxa"/>
            <w:tcBorders>
              <w:top w:val="nil"/>
              <w:left w:val="nil"/>
              <w:bottom w:val="nil"/>
              <w:right w:val="single" w:sz="8" w:space="0" w:color="auto"/>
            </w:tcBorders>
            <w:shd w:val="clear" w:color="000000" w:fill="FFFFFF"/>
            <w:noWrap/>
            <w:vAlign w:val="center"/>
            <w:hideMark/>
          </w:tcPr>
          <w:p w14:paraId="6BA6B4C1" w14:textId="1CCA795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14.32</w:t>
            </w:r>
          </w:p>
        </w:tc>
        <w:tc>
          <w:tcPr>
            <w:tcW w:w="990" w:type="dxa"/>
            <w:tcBorders>
              <w:top w:val="nil"/>
              <w:left w:val="nil"/>
              <w:bottom w:val="nil"/>
              <w:right w:val="nil"/>
            </w:tcBorders>
            <w:shd w:val="clear" w:color="000000" w:fill="FFFFFF"/>
            <w:noWrap/>
            <w:vAlign w:val="center"/>
            <w:hideMark/>
          </w:tcPr>
          <w:p w14:paraId="757143CD" w14:textId="1E9DA1D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0.75</w:t>
            </w:r>
          </w:p>
        </w:tc>
        <w:tc>
          <w:tcPr>
            <w:tcW w:w="1080" w:type="dxa"/>
            <w:tcBorders>
              <w:top w:val="nil"/>
              <w:left w:val="nil"/>
              <w:bottom w:val="nil"/>
              <w:right w:val="single" w:sz="12" w:space="0" w:color="auto"/>
            </w:tcBorders>
            <w:shd w:val="clear" w:color="000000" w:fill="FFFFFF"/>
            <w:noWrap/>
            <w:vAlign w:val="center"/>
            <w:hideMark/>
          </w:tcPr>
          <w:p w14:paraId="1542FAB3" w14:textId="2055DD5E"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9.69</w:t>
            </w:r>
          </w:p>
        </w:tc>
      </w:tr>
      <w:tr w:rsidR="003F77D0" w:rsidRPr="000D3090" w14:paraId="1411A42F"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020A33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7F216317"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3EE376D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37523C1E" w14:textId="191A1E17"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139</w:t>
            </w:r>
          </w:p>
        </w:tc>
        <w:tc>
          <w:tcPr>
            <w:tcW w:w="900" w:type="dxa"/>
            <w:tcBorders>
              <w:top w:val="nil"/>
              <w:left w:val="nil"/>
              <w:bottom w:val="nil"/>
              <w:right w:val="single" w:sz="8" w:space="0" w:color="auto"/>
            </w:tcBorders>
            <w:shd w:val="clear" w:color="000000" w:fill="FFFFFF"/>
            <w:noWrap/>
            <w:vAlign w:val="center"/>
            <w:hideMark/>
          </w:tcPr>
          <w:p w14:paraId="68D91EF7" w14:textId="1A01220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1.11</w:t>
            </w:r>
          </w:p>
        </w:tc>
        <w:tc>
          <w:tcPr>
            <w:tcW w:w="990" w:type="dxa"/>
            <w:tcBorders>
              <w:top w:val="nil"/>
              <w:left w:val="nil"/>
              <w:bottom w:val="nil"/>
              <w:right w:val="nil"/>
            </w:tcBorders>
            <w:shd w:val="clear" w:color="000000" w:fill="FFFFFF"/>
            <w:noWrap/>
            <w:vAlign w:val="center"/>
            <w:hideMark/>
          </w:tcPr>
          <w:p w14:paraId="6C85E24A" w14:textId="388295C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0.98</w:t>
            </w:r>
          </w:p>
        </w:tc>
        <w:tc>
          <w:tcPr>
            <w:tcW w:w="990" w:type="dxa"/>
            <w:tcBorders>
              <w:top w:val="nil"/>
              <w:left w:val="nil"/>
              <w:bottom w:val="nil"/>
              <w:right w:val="single" w:sz="8" w:space="0" w:color="auto"/>
            </w:tcBorders>
            <w:shd w:val="clear" w:color="000000" w:fill="FFFFFF"/>
            <w:noWrap/>
            <w:vAlign w:val="center"/>
            <w:hideMark/>
          </w:tcPr>
          <w:p w14:paraId="674714AF" w14:textId="04B887C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12.18</w:t>
            </w:r>
          </w:p>
        </w:tc>
        <w:tc>
          <w:tcPr>
            <w:tcW w:w="990" w:type="dxa"/>
            <w:tcBorders>
              <w:top w:val="nil"/>
              <w:left w:val="nil"/>
              <w:bottom w:val="nil"/>
              <w:right w:val="nil"/>
            </w:tcBorders>
            <w:shd w:val="clear" w:color="000000" w:fill="FFFFFF"/>
            <w:noWrap/>
            <w:vAlign w:val="center"/>
            <w:hideMark/>
          </w:tcPr>
          <w:p w14:paraId="2CF17BAE" w14:textId="363C9AC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1.39</w:t>
            </w:r>
          </w:p>
        </w:tc>
        <w:tc>
          <w:tcPr>
            <w:tcW w:w="1080" w:type="dxa"/>
            <w:tcBorders>
              <w:top w:val="nil"/>
              <w:left w:val="nil"/>
              <w:bottom w:val="nil"/>
              <w:right w:val="single" w:sz="12" w:space="0" w:color="auto"/>
            </w:tcBorders>
            <w:shd w:val="clear" w:color="000000" w:fill="FFFFFF"/>
            <w:noWrap/>
            <w:vAlign w:val="center"/>
            <w:hideMark/>
          </w:tcPr>
          <w:p w14:paraId="47229096" w14:textId="4E0AAFD1"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24.52</w:t>
            </w:r>
          </w:p>
        </w:tc>
      </w:tr>
      <w:tr w:rsidR="003F77D0" w:rsidRPr="000D3090" w14:paraId="5DEDAEB0"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3D462D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05DF80D6"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6A5E38D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3BB7FC5B" w14:textId="0B07B182"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469</w:t>
            </w:r>
          </w:p>
        </w:tc>
        <w:tc>
          <w:tcPr>
            <w:tcW w:w="900" w:type="dxa"/>
            <w:tcBorders>
              <w:top w:val="nil"/>
              <w:left w:val="nil"/>
              <w:bottom w:val="nil"/>
              <w:right w:val="single" w:sz="8" w:space="0" w:color="auto"/>
            </w:tcBorders>
            <w:shd w:val="clear" w:color="000000" w:fill="FFFFFF"/>
            <w:noWrap/>
            <w:vAlign w:val="center"/>
            <w:hideMark/>
          </w:tcPr>
          <w:p w14:paraId="1C58FDE3" w14:textId="41316DC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3.76</w:t>
            </w:r>
          </w:p>
        </w:tc>
        <w:tc>
          <w:tcPr>
            <w:tcW w:w="990" w:type="dxa"/>
            <w:tcBorders>
              <w:top w:val="nil"/>
              <w:left w:val="nil"/>
              <w:bottom w:val="nil"/>
              <w:right w:val="nil"/>
            </w:tcBorders>
            <w:shd w:val="clear" w:color="000000" w:fill="FFFFFF"/>
            <w:noWrap/>
            <w:vAlign w:val="center"/>
            <w:hideMark/>
          </w:tcPr>
          <w:p w14:paraId="1D10A43D" w14:textId="204CD21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3.22</w:t>
            </w:r>
          </w:p>
        </w:tc>
        <w:tc>
          <w:tcPr>
            <w:tcW w:w="990" w:type="dxa"/>
            <w:tcBorders>
              <w:top w:val="nil"/>
              <w:left w:val="nil"/>
              <w:bottom w:val="nil"/>
              <w:right w:val="single" w:sz="8" w:space="0" w:color="auto"/>
            </w:tcBorders>
            <w:shd w:val="clear" w:color="000000" w:fill="FFFFFF"/>
            <w:noWrap/>
            <w:vAlign w:val="center"/>
            <w:hideMark/>
          </w:tcPr>
          <w:p w14:paraId="22798989" w14:textId="3E25A18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14.33</w:t>
            </w:r>
          </w:p>
        </w:tc>
        <w:tc>
          <w:tcPr>
            <w:tcW w:w="990" w:type="dxa"/>
            <w:tcBorders>
              <w:top w:val="nil"/>
              <w:left w:val="nil"/>
              <w:bottom w:val="nil"/>
              <w:right w:val="nil"/>
            </w:tcBorders>
            <w:shd w:val="clear" w:color="000000" w:fill="FFFFFF"/>
            <w:noWrap/>
            <w:vAlign w:val="center"/>
            <w:hideMark/>
          </w:tcPr>
          <w:p w14:paraId="2B9E0A4A" w14:textId="44B3006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3.74</w:t>
            </w:r>
          </w:p>
        </w:tc>
        <w:tc>
          <w:tcPr>
            <w:tcW w:w="1080" w:type="dxa"/>
            <w:tcBorders>
              <w:top w:val="nil"/>
              <w:left w:val="nil"/>
              <w:bottom w:val="nil"/>
              <w:right w:val="single" w:sz="12" w:space="0" w:color="auto"/>
            </w:tcBorders>
            <w:shd w:val="clear" w:color="000000" w:fill="FFFFFF"/>
            <w:noWrap/>
            <w:vAlign w:val="center"/>
            <w:hideMark/>
          </w:tcPr>
          <w:p w14:paraId="68FD713A" w14:textId="22233E05"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0.49</w:t>
            </w:r>
          </w:p>
        </w:tc>
      </w:tr>
      <w:tr w:rsidR="003F77D0" w:rsidRPr="000D3090" w14:paraId="527CE5B0"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253700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55FC9693"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562978C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100BEA1A" w14:textId="3D0F0E0C"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273</w:t>
            </w:r>
          </w:p>
        </w:tc>
        <w:tc>
          <w:tcPr>
            <w:tcW w:w="900" w:type="dxa"/>
            <w:tcBorders>
              <w:top w:val="nil"/>
              <w:left w:val="nil"/>
              <w:bottom w:val="nil"/>
              <w:right w:val="single" w:sz="8" w:space="0" w:color="auto"/>
            </w:tcBorders>
            <w:shd w:val="clear" w:color="000000" w:fill="FFFFFF"/>
            <w:noWrap/>
            <w:vAlign w:val="center"/>
            <w:hideMark/>
          </w:tcPr>
          <w:p w14:paraId="34209F91" w14:textId="059AC01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2.19</w:t>
            </w:r>
          </w:p>
        </w:tc>
        <w:tc>
          <w:tcPr>
            <w:tcW w:w="990" w:type="dxa"/>
            <w:tcBorders>
              <w:top w:val="nil"/>
              <w:left w:val="nil"/>
              <w:bottom w:val="nil"/>
              <w:right w:val="nil"/>
            </w:tcBorders>
            <w:shd w:val="clear" w:color="000000" w:fill="FFFFFF"/>
            <w:noWrap/>
            <w:vAlign w:val="center"/>
            <w:hideMark/>
          </w:tcPr>
          <w:p w14:paraId="62965963" w14:textId="1CC83B7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2.14</w:t>
            </w:r>
          </w:p>
        </w:tc>
        <w:tc>
          <w:tcPr>
            <w:tcW w:w="990" w:type="dxa"/>
            <w:tcBorders>
              <w:top w:val="nil"/>
              <w:left w:val="nil"/>
              <w:bottom w:val="nil"/>
              <w:right w:val="single" w:sz="8" w:space="0" w:color="auto"/>
            </w:tcBorders>
            <w:shd w:val="clear" w:color="000000" w:fill="FFFFFF"/>
            <w:noWrap/>
            <w:vAlign w:val="center"/>
            <w:hideMark/>
          </w:tcPr>
          <w:p w14:paraId="3CF01164" w14:textId="489E7A3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2.34</w:t>
            </w:r>
          </w:p>
        </w:tc>
        <w:tc>
          <w:tcPr>
            <w:tcW w:w="990" w:type="dxa"/>
            <w:tcBorders>
              <w:top w:val="nil"/>
              <w:left w:val="nil"/>
              <w:bottom w:val="nil"/>
              <w:right w:val="nil"/>
            </w:tcBorders>
            <w:shd w:val="clear" w:color="000000" w:fill="FFFFFF"/>
            <w:noWrap/>
            <w:vAlign w:val="center"/>
            <w:hideMark/>
          </w:tcPr>
          <w:p w14:paraId="60D80EC8" w14:textId="02C40B2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2.16</w:t>
            </w:r>
          </w:p>
        </w:tc>
        <w:tc>
          <w:tcPr>
            <w:tcW w:w="1080" w:type="dxa"/>
            <w:tcBorders>
              <w:top w:val="nil"/>
              <w:left w:val="nil"/>
              <w:bottom w:val="nil"/>
              <w:right w:val="single" w:sz="12" w:space="0" w:color="auto"/>
            </w:tcBorders>
            <w:shd w:val="clear" w:color="000000" w:fill="FFFFFF"/>
            <w:noWrap/>
            <w:vAlign w:val="center"/>
            <w:hideMark/>
          </w:tcPr>
          <w:p w14:paraId="5BBBE63F" w14:textId="35EC3886"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1.23</w:t>
            </w:r>
          </w:p>
        </w:tc>
      </w:tr>
      <w:tr w:rsidR="003F77D0" w:rsidRPr="000D3090" w14:paraId="55B3E34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1C8472D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No</w:t>
            </w:r>
          </w:p>
        </w:tc>
        <w:tc>
          <w:tcPr>
            <w:tcW w:w="1061" w:type="dxa"/>
            <w:tcBorders>
              <w:top w:val="nil"/>
              <w:left w:val="nil"/>
              <w:bottom w:val="nil"/>
              <w:right w:val="nil"/>
            </w:tcBorders>
            <w:shd w:val="clear" w:color="000000" w:fill="FFFFFF"/>
            <w:noWrap/>
            <w:vAlign w:val="center"/>
            <w:hideMark/>
          </w:tcPr>
          <w:p w14:paraId="2037980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0FCEFA5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12659F64" w14:textId="42413B5B"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261</w:t>
            </w:r>
          </w:p>
        </w:tc>
        <w:tc>
          <w:tcPr>
            <w:tcW w:w="900" w:type="dxa"/>
            <w:tcBorders>
              <w:top w:val="nil"/>
              <w:left w:val="nil"/>
              <w:bottom w:val="nil"/>
              <w:right w:val="single" w:sz="8" w:space="0" w:color="auto"/>
            </w:tcBorders>
            <w:shd w:val="clear" w:color="000000" w:fill="FFFFFF"/>
            <w:noWrap/>
            <w:vAlign w:val="center"/>
            <w:hideMark/>
          </w:tcPr>
          <w:p w14:paraId="5FA06803" w14:textId="5B8EF84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2.09</w:t>
            </w:r>
          </w:p>
        </w:tc>
        <w:tc>
          <w:tcPr>
            <w:tcW w:w="990" w:type="dxa"/>
            <w:tcBorders>
              <w:top w:val="nil"/>
              <w:left w:val="nil"/>
              <w:bottom w:val="nil"/>
              <w:right w:val="nil"/>
            </w:tcBorders>
            <w:shd w:val="clear" w:color="000000" w:fill="FFFFFF"/>
            <w:noWrap/>
            <w:vAlign w:val="center"/>
            <w:hideMark/>
          </w:tcPr>
          <w:p w14:paraId="27C32D22" w14:textId="16D6F2E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2.26</w:t>
            </w:r>
          </w:p>
        </w:tc>
        <w:tc>
          <w:tcPr>
            <w:tcW w:w="990" w:type="dxa"/>
            <w:tcBorders>
              <w:top w:val="nil"/>
              <w:left w:val="nil"/>
              <w:bottom w:val="nil"/>
              <w:right w:val="single" w:sz="8" w:space="0" w:color="auto"/>
            </w:tcBorders>
            <w:shd w:val="clear" w:color="000000" w:fill="FFFFFF"/>
            <w:noWrap/>
            <w:vAlign w:val="center"/>
            <w:hideMark/>
          </w:tcPr>
          <w:p w14:paraId="05A7365D" w14:textId="4F30D26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8.04</w:t>
            </w:r>
          </w:p>
        </w:tc>
        <w:tc>
          <w:tcPr>
            <w:tcW w:w="990" w:type="dxa"/>
            <w:tcBorders>
              <w:top w:val="nil"/>
              <w:left w:val="nil"/>
              <w:bottom w:val="nil"/>
              <w:right w:val="nil"/>
            </w:tcBorders>
            <w:shd w:val="clear" w:color="000000" w:fill="FFFFFF"/>
            <w:noWrap/>
            <w:vAlign w:val="center"/>
            <w:hideMark/>
          </w:tcPr>
          <w:p w14:paraId="7ADD4C6C" w14:textId="1F05388D"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2.16</w:t>
            </w:r>
          </w:p>
        </w:tc>
        <w:tc>
          <w:tcPr>
            <w:tcW w:w="1080" w:type="dxa"/>
            <w:tcBorders>
              <w:top w:val="nil"/>
              <w:left w:val="nil"/>
              <w:bottom w:val="nil"/>
              <w:right w:val="single" w:sz="12" w:space="0" w:color="auto"/>
            </w:tcBorders>
            <w:shd w:val="clear" w:color="000000" w:fill="FFFFFF"/>
            <w:noWrap/>
            <w:vAlign w:val="center"/>
            <w:hideMark/>
          </w:tcPr>
          <w:p w14:paraId="16C9C5BF" w14:textId="26573F5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3.15</w:t>
            </w:r>
          </w:p>
        </w:tc>
      </w:tr>
      <w:tr w:rsidR="003F77D0" w:rsidRPr="000D3090" w14:paraId="22FC0CC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712267F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4FFC4F44"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1D79D55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65FB660A" w14:textId="7C26607E"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426</w:t>
            </w:r>
          </w:p>
        </w:tc>
        <w:tc>
          <w:tcPr>
            <w:tcW w:w="900" w:type="dxa"/>
            <w:tcBorders>
              <w:top w:val="nil"/>
              <w:left w:val="nil"/>
              <w:bottom w:val="nil"/>
              <w:right w:val="single" w:sz="8" w:space="0" w:color="auto"/>
            </w:tcBorders>
            <w:shd w:val="clear" w:color="000000" w:fill="FFFFFF"/>
            <w:noWrap/>
            <w:vAlign w:val="center"/>
            <w:hideMark/>
          </w:tcPr>
          <w:p w14:paraId="7886873D" w14:textId="6750CB3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3.42</w:t>
            </w:r>
          </w:p>
        </w:tc>
        <w:tc>
          <w:tcPr>
            <w:tcW w:w="990" w:type="dxa"/>
            <w:tcBorders>
              <w:top w:val="nil"/>
              <w:left w:val="nil"/>
              <w:bottom w:val="nil"/>
              <w:right w:val="nil"/>
            </w:tcBorders>
            <w:shd w:val="clear" w:color="000000" w:fill="FFFFFF"/>
            <w:noWrap/>
            <w:vAlign w:val="center"/>
            <w:hideMark/>
          </w:tcPr>
          <w:p w14:paraId="5BFF27CB" w14:textId="218FF5BD"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3.34</w:t>
            </w:r>
          </w:p>
        </w:tc>
        <w:tc>
          <w:tcPr>
            <w:tcW w:w="990" w:type="dxa"/>
            <w:tcBorders>
              <w:top w:val="nil"/>
              <w:left w:val="nil"/>
              <w:bottom w:val="nil"/>
              <w:right w:val="single" w:sz="8" w:space="0" w:color="auto"/>
            </w:tcBorders>
            <w:shd w:val="clear" w:color="000000" w:fill="FFFFFF"/>
            <w:noWrap/>
            <w:vAlign w:val="center"/>
            <w:hideMark/>
          </w:tcPr>
          <w:p w14:paraId="66A681AB" w14:textId="2AD30C7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2.38</w:t>
            </w:r>
          </w:p>
        </w:tc>
        <w:tc>
          <w:tcPr>
            <w:tcW w:w="990" w:type="dxa"/>
            <w:tcBorders>
              <w:top w:val="nil"/>
              <w:left w:val="nil"/>
              <w:bottom w:val="nil"/>
              <w:right w:val="nil"/>
            </w:tcBorders>
            <w:shd w:val="clear" w:color="000000" w:fill="FFFFFF"/>
            <w:noWrap/>
            <w:vAlign w:val="center"/>
            <w:hideMark/>
          </w:tcPr>
          <w:p w14:paraId="1CC95EAE" w14:textId="7D91B23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3.50</w:t>
            </w:r>
          </w:p>
        </w:tc>
        <w:tc>
          <w:tcPr>
            <w:tcW w:w="1080" w:type="dxa"/>
            <w:tcBorders>
              <w:top w:val="nil"/>
              <w:left w:val="nil"/>
              <w:bottom w:val="nil"/>
              <w:right w:val="single" w:sz="12" w:space="0" w:color="auto"/>
            </w:tcBorders>
            <w:shd w:val="clear" w:color="000000" w:fill="FFFFFF"/>
            <w:noWrap/>
            <w:vAlign w:val="center"/>
            <w:hideMark/>
          </w:tcPr>
          <w:p w14:paraId="7441FFB7" w14:textId="596E5C97"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2.58</w:t>
            </w:r>
          </w:p>
        </w:tc>
      </w:tr>
      <w:tr w:rsidR="003F77D0" w:rsidRPr="000D3090" w14:paraId="6F9CA785"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3A82634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3727EE8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11F70A1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4D4BB62D" w14:textId="79E2F5AD"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561</w:t>
            </w:r>
          </w:p>
        </w:tc>
        <w:tc>
          <w:tcPr>
            <w:tcW w:w="900" w:type="dxa"/>
            <w:tcBorders>
              <w:top w:val="nil"/>
              <w:left w:val="nil"/>
              <w:bottom w:val="nil"/>
              <w:right w:val="single" w:sz="8" w:space="0" w:color="auto"/>
            </w:tcBorders>
            <w:shd w:val="clear" w:color="000000" w:fill="FFFFFF"/>
            <w:noWrap/>
            <w:vAlign w:val="center"/>
            <w:hideMark/>
          </w:tcPr>
          <w:p w14:paraId="6C98CCAA" w14:textId="12F7F27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4.50</w:t>
            </w:r>
          </w:p>
        </w:tc>
        <w:tc>
          <w:tcPr>
            <w:tcW w:w="990" w:type="dxa"/>
            <w:tcBorders>
              <w:top w:val="nil"/>
              <w:left w:val="nil"/>
              <w:bottom w:val="nil"/>
              <w:right w:val="nil"/>
            </w:tcBorders>
            <w:shd w:val="clear" w:color="000000" w:fill="FFFFFF"/>
            <w:noWrap/>
            <w:vAlign w:val="center"/>
            <w:hideMark/>
          </w:tcPr>
          <w:p w14:paraId="3CF07A50" w14:textId="4D1DD2E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4.89</w:t>
            </w:r>
          </w:p>
        </w:tc>
        <w:tc>
          <w:tcPr>
            <w:tcW w:w="990" w:type="dxa"/>
            <w:tcBorders>
              <w:top w:val="nil"/>
              <w:left w:val="nil"/>
              <w:bottom w:val="nil"/>
              <w:right w:val="single" w:sz="8" w:space="0" w:color="auto"/>
            </w:tcBorders>
            <w:shd w:val="clear" w:color="000000" w:fill="FFFFFF"/>
            <w:noWrap/>
            <w:vAlign w:val="center"/>
            <w:hideMark/>
          </w:tcPr>
          <w:p w14:paraId="70911FE8" w14:textId="0C31356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8.76</w:t>
            </w:r>
          </w:p>
        </w:tc>
        <w:tc>
          <w:tcPr>
            <w:tcW w:w="990" w:type="dxa"/>
            <w:tcBorders>
              <w:top w:val="nil"/>
              <w:left w:val="nil"/>
              <w:bottom w:val="nil"/>
              <w:right w:val="nil"/>
            </w:tcBorders>
            <w:shd w:val="clear" w:color="000000" w:fill="FFFFFF"/>
            <w:noWrap/>
            <w:vAlign w:val="center"/>
            <w:hideMark/>
          </w:tcPr>
          <w:p w14:paraId="0A82071D" w14:textId="56D9599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4.29</w:t>
            </w:r>
          </w:p>
        </w:tc>
        <w:tc>
          <w:tcPr>
            <w:tcW w:w="1080" w:type="dxa"/>
            <w:tcBorders>
              <w:top w:val="nil"/>
              <w:left w:val="nil"/>
              <w:bottom w:val="nil"/>
              <w:right w:val="single" w:sz="12" w:space="0" w:color="auto"/>
            </w:tcBorders>
            <w:shd w:val="clear" w:color="000000" w:fill="FFFFFF"/>
            <w:noWrap/>
            <w:vAlign w:val="center"/>
            <w:hideMark/>
          </w:tcPr>
          <w:p w14:paraId="39579284" w14:textId="6B4F257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4.70</w:t>
            </w:r>
          </w:p>
        </w:tc>
      </w:tr>
      <w:tr w:rsidR="003F77D0" w:rsidRPr="000D3090" w14:paraId="5B71A2F6"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7D383C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3873BA9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4AC932E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23B1B24A" w14:textId="565DFD42"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225</w:t>
            </w:r>
          </w:p>
        </w:tc>
        <w:tc>
          <w:tcPr>
            <w:tcW w:w="900" w:type="dxa"/>
            <w:tcBorders>
              <w:top w:val="nil"/>
              <w:left w:val="nil"/>
              <w:bottom w:val="nil"/>
              <w:right w:val="single" w:sz="8" w:space="0" w:color="auto"/>
            </w:tcBorders>
            <w:shd w:val="clear" w:color="000000" w:fill="FFFFFF"/>
            <w:noWrap/>
            <w:vAlign w:val="center"/>
            <w:hideMark/>
          </w:tcPr>
          <w:p w14:paraId="73117E79" w14:textId="6EC9A68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1.80</w:t>
            </w:r>
          </w:p>
        </w:tc>
        <w:tc>
          <w:tcPr>
            <w:tcW w:w="990" w:type="dxa"/>
            <w:tcBorders>
              <w:top w:val="nil"/>
              <w:left w:val="nil"/>
              <w:bottom w:val="nil"/>
              <w:right w:val="nil"/>
            </w:tcBorders>
            <w:shd w:val="clear" w:color="000000" w:fill="FFFFFF"/>
            <w:noWrap/>
            <w:vAlign w:val="center"/>
            <w:hideMark/>
          </w:tcPr>
          <w:p w14:paraId="012DCDA4" w14:textId="4905F21D"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1.96</w:t>
            </w:r>
          </w:p>
        </w:tc>
        <w:tc>
          <w:tcPr>
            <w:tcW w:w="990" w:type="dxa"/>
            <w:tcBorders>
              <w:top w:val="nil"/>
              <w:left w:val="nil"/>
              <w:bottom w:val="nil"/>
              <w:right w:val="single" w:sz="8" w:space="0" w:color="auto"/>
            </w:tcBorders>
            <w:shd w:val="clear" w:color="000000" w:fill="FFFFFF"/>
            <w:noWrap/>
            <w:vAlign w:val="center"/>
            <w:hideMark/>
          </w:tcPr>
          <w:p w14:paraId="5536AC6C" w14:textId="04262C9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8.63</w:t>
            </w:r>
          </w:p>
        </w:tc>
        <w:tc>
          <w:tcPr>
            <w:tcW w:w="990" w:type="dxa"/>
            <w:tcBorders>
              <w:top w:val="nil"/>
              <w:left w:val="nil"/>
              <w:bottom w:val="nil"/>
              <w:right w:val="nil"/>
            </w:tcBorders>
            <w:shd w:val="clear" w:color="000000" w:fill="FFFFFF"/>
            <w:noWrap/>
            <w:vAlign w:val="center"/>
            <w:hideMark/>
          </w:tcPr>
          <w:p w14:paraId="2D818CA5" w14:textId="4788449D"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1.47</w:t>
            </w:r>
          </w:p>
        </w:tc>
        <w:tc>
          <w:tcPr>
            <w:tcW w:w="1080" w:type="dxa"/>
            <w:tcBorders>
              <w:top w:val="nil"/>
              <w:left w:val="nil"/>
              <w:bottom w:val="nil"/>
              <w:right w:val="single" w:sz="12" w:space="0" w:color="auto"/>
            </w:tcBorders>
            <w:shd w:val="clear" w:color="000000" w:fill="FFFFFF"/>
            <w:noWrap/>
            <w:vAlign w:val="center"/>
            <w:hideMark/>
          </w:tcPr>
          <w:p w14:paraId="5DFD59FA" w14:textId="51BD0CA2"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18.72</w:t>
            </w:r>
          </w:p>
        </w:tc>
      </w:tr>
      <w:tr w:rsidR="003F77D0" w:rsidRPr="000D3090" w14:paraId="73E0D2AB"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31859AB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6D8D7F8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N/A</w:t>
            </w:r>
          </w:p>
        </w:tc>
        <w:tc>
          <w:tcPr>
            <w:tcW w:w="1306" w:type="dxa"/>
            <w:tcBorders>
              <w:top w:val="nil"/>
              <w:left w:val="nil"/>
              <w:bottom w:val="nil"/>
              <w:right w:val="single" w:sz="8" w:space="0" w:color="auto"/>
            </w:tcBorders>
            <w:shd w:val="clear" w:color="000000" w:fill="FFFFFF"/>
            <w:noWrap/>
            <w:vAlign w:val="center"/>
            <w:hideMark/>
          </w:tcPr>
          <w:p w14:paraId="68613899"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74C54362" w14:textId="5C9A7545"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135</w:t>
            </w:r>
          </w:p>
        </w:tc>
        <w:tc>
          <w:tcPr>
            <w:tcW w:w="900" w:type="dxa"/>
            <w:tcBorders>
              <w:top w:val="nil"/>
              <w:left w:val="nil"/>
              <w:bottom w:val="nil"/>
              <w:right w:val="single" w:sz="8" w:space="0" w:color="auto"/>
            </w:tcBorders>
            <w:shd w:val="clear" w:color="000000" w:fill="FFFFFF"/>
            <w:noWrap/>
            <w:vAlign w:val="center"/>
            <w:hideMark/>
          </w:tcPr>
          <w:p w14:paraId="4EB705D4" w14:textId="2C91D0C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1.08</w:t>
            </w:r>
          </w:p>
        </w:tc>
        <w:tc>
          <w:tcPr>
            <w:tcW w:w="990" w:type="dxa"/>
            <w:tcBorders>
              <w:top w:val="nil"/>
              <w:left w:val="nil"/>
              <w:bottom w:val="nil"/>
              <w:right w:val="nil"/>
            </w:tcBorders>
            <w:shd w:val="clear" w:color="000000" w:fill="FFFFFF"/>
            <w:noWrap/>
            <w:vAlign w:val="center"/>
            <w:hideMark/>
          </w:tcPr>
          <w:p w14:paraId="5E678056" w14:textId="71032DA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1.32</w:t>
            </w:r>
          </w:p>
        </w:tc>
        <w:tc>
          <w:tcPr>
            <w:tcW w:w="990" w:type="dxa"/>
            <w:tcBorders>
              <w:top w:val="nil"/>
              <w:left w:val="nil"/>
              <w:bottom w:val="nil"/>
              <w:right w:val="single" w:sz="8" w:space="0" w:color="auto"/>
            </w:tcBorders>
            <w:shd w:val="clear" w:color="000000" w:fill="FFFFFF"/>
            <w:noWrap/>
            <w:vAlign w:val="center"/>
            <w:hideMark/>
          </w:tcPr>
          <w:p w14:paraId="43B359C7" w14:textId="21FBEEFC"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21.51</w:t>
            </w:r>
          </w:p>
        </w:tc>
        <w:tc>
          <w:tcPr>
            <w:tcW w:w="990" w:type="dxa"/>
            <w:tcBorders>
              <w:top w:val="nil"/>
              <w:left w:val="nil"/>
              <w:bottom w:val="nil"/>
              <w:right w:val="nil"/>
            </w:tcBorders>
            <w:shd w:val="clear" w:color="000000" w:fill="FFFFFF"/>
            <w:noWrap/>
            <w:vAlign w:val="center"/>
            <w:hideMark/>
          </w:tcPr>
          <w:p w14:paraId="52880EC5" w14:textId="590C08B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0.90</w:t>
            </w:r>
          </w:p>
        </w:tc>
        <w:tc>
          <w:tcPr>
            <w:tcW w:w="1080" w:type="dxa"/>
            <w:tcBorders>
              <w:top w:val="nil"/>
              <w:left w:val="nil"/>
              <w:bottom w:val="nil"/>
              <w:right w:val="single" w:sz="12" w:space="0" w:color="auto"/>
            </w:tcBorders>
            <w:shd w:val="clear" w:color="000000" w:fill="FFFFFF"/>
            <w:noWrap/>
            <w:vAlign w:val="center"/>
            <w:hideMark/>
          </w:tcPr>
          <w:p w14:paraId="48AB6F7C" w14:textId="3DB86100"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16.90</w:t>
            </w:r>
          </w:p>
        </w:tc>
      </w:tr>
      <w:tr w:rsidR="003F77D0" w:rsidRPr="000D3090" w14:paraId="0EDFB10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12FED62C"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556B06C3"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05EF4A33"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47FE3475" w14:textId="656E2021"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127</w:t>
            </w:r>
          </w:p>
        </w:tc>
        <w:tc>
          <w:tcPr>
            <w:tcW w:w="900" w:type="dxa"/>
            <w:tcBorders>
              <w:top w:val="nil"/>
              <w:left w:val="nil"/>
              <w:bottom w:val="nil"/>
              <w:right w:val="single" w:sz="8" w:space="0" w:color="auto"/>
            </w:tcBorders>
            <w:shd w:val="clear" w:color="000000" w:fill="FFFFFF"/>
            <w:noWrap/>
            <w:vAlign w:val="center"/>
            <w:hideMark/>
          </w:tcPr>
          <w:p w14:paraId="7E2F539A" w14:textId="4CD377B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1.02</w:t>
            </w:r>
          </w:p>
        </w:tc>
        <w:tc>
          <w:tcPr>
            <w:tcW w:w="990" w:type="dxa"/>
            <w:tcBorders>
              <w:top w:val="nil"/>
              <w:left w:val="nil"/>
              <w:bottom w:val="nil"/>
              <w:right w:val="nil"/>
            </w:tcBorders>
            <w:shd w:val="clear" w:color="000000" w:fill="FFFFFF"/>
            <w:noWrap/>
            <w:vAlign w:val="center"/>
            <w:hideMark/>
          </w:tcPr>
          <w:p w14:paraId="78A738BF" w14:textId="67A5811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1.06</w:t>
            </w:r>
          </w:p>
        </w:tc>
        <w:tc>
          <w:tcPr>
            <w:tcW w:w="990" w:type="dxa"/>
            <w:tcBorders>
              <w:top w:val="nil"/>
              <w:left w:val="nil"/>
              <w:bottom w:val="nil"/>
              <w:right w:val="single" w:sz="8" w:space="0" w:color="auto"/>
            </w:tcBorders>
            <w:shd w:val="clear" w:color="000000" w:fill="FFFFFF"/>
            <w:noWrap/>
            <w:vAlign w:val="center"/>
            <w:hideMark/>
          </w:tcPr>
          <w:p w14:paraId="4238F6B1" w14:textId="53577EF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4.35</w:t>
            </w:r>
          </w:p>
        </w:tc>
        <w:tc>
          <w:tcPr>
            <w:tcW w:w="990" w:type="dxa"/>
            <w:tcBorders>
              <w:top w:val="nil"/>
              <w:left w:val="nil"/>
              <w:bottom w:val="nil"/>
              <w:right w:val="nil"/>
            </w:tcBorders>
            <w:shd w:val="clear" w:color="000000" w:fill="FFFFFF"/>
            <w:noWrap/>
            <w:vAlign w:val="center"/>
            <w:hideMark/>
          </w:tcPr>
          <w:p w14:paraId="1E5CAF28" w14:textId="5EADC6F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1.27</w:t>
            </w:r>
          </w:p>
        </w:tc>
        <w:tc>
          <w:tcPr>
            <w:tcW w:w="1080" w:type="dxa"/>
            <w:tcBorders>
              <w:top w:val="nil"/>
              <w:left w:val="nil"/>
              <w:bottom w:val="nil"/>
              <w:right w:val="single" w:sz="12" w:space="0" w:color="auto"/>
            </w:tcBorders>
            <w:shd w:val="clear" w:color="000000" w:fill="FFFFFF"/>
            <w:noWrap/>
            <w:vAlign w:val="center"/>
            <w:hideMark/>
          </w:tcPr>
          <w:p w14:paraId="64B8569D" w14:textId="4BB76672"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24.67</w:t>
            </w:r>
          </w:p>
        </w:tc>
      </w:tr>
      <w:tr w:rsidR="003F77D0" w:rsidRPr="000D3090" w14:paraId="3DB4383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369669C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4363C44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656E270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4DDCBADF" w14:textId="55E20665"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261</w:t>
            </w:r>
          </w:p>
        </w:tc>
        <w:tc>
          <w:tcPr>
            <w:tcW w:w="900" w:type="dxa"/>
            <w:tcBorders>
              <w:top w:val="nil"/>
              <w:left w:val="nil"/>
              <w:bottom w:val="nil"/>
              <w:right w:val="single" w:sz="8" w:space="0" w:color="auto"/>
            </w:tcBorders>
            <w:shd w:val="clear" w:color="000000" w:fill="FFFFFF"/>
            <w:noWrap/>
            <w:vAlign w:val="center"/>
            <w:hideMark/>
          </w:tcPr>
          <w:p w14:paraId="27F9C9BD" w14:textId="5B1C288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2.09</w:t>
            </w:r>
          </w:p>
        </w:tc>
        <w:tc>
          <w:tcPr>
            <w:tcW w:w="990" w:type="dxa"/>
            <w:tcBorders>
              <w:top w:val="nil"/>
              <w:left w:val="nil"/>
              <w:bottom w:val="nil"/>
              <w:right w:val="nil"/>
            </w:tcBorders>
            <w:shd w:val="clear" w:color="000000" w:fill="FFFFFF"/>
            <w:noWrap/>
            <w:vAlign w:val="center"/>
            <w:hideMark/>
          </w:tcPr>
          <w:p w14:paraId="34BD3180" w14:textId="624AD89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2.10</w:t>
            </w:r>
          </w:p>
        </w:tc>
        <w:tc>
          <w:tcPr>
            <w:tcW w:w="990" w:type="dxa"/>
            <w:tcBorders>
              <w:top w:val="nil"/>
              <w:left w:val="nil"/>
              <w:bottom w:val="nil"/>
              <w:right w:val="single" w:sz="8" w:space="0" w:color="auto"/>
            </w:tcBorders>
            <w:shd w:val="clear" w:color="000000" w:fill="FFFFFF"/>
            <w:noWrap/>
            <w:vAlign w:val="center"/>
            <w:hideMark/>
          </w:tcPr>
          <w:p w14:paraId="5920CD2C" w14:textId="6C632E9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0.33</w:t>
            </w:r>
          </w:p>
        </w:tc>
        <w:tc>
          <w:tcPr>
            <w:tcW w:w="990" w:type="dxa"/>
            <w:tcBorders>
              <w:top w:val="nil"/>
              <w:left w:val="nil"/>
              <w:bottom w:val="nil"/>
              <w:right w:val="nil"/>
            </w:tcBorders>
            <w:shd w:val="clear" w:color="000000" w:fill="FFFFFF"/>
            <w:noWrap/>
            <w:vAlign w:val="center"/>
            <w:hideMark/>
          </w:tcPr>
          <w:p w14:paraId="5A6BEA5F" w14:textId="33FFDAC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2.44</w:t>
            </w:r>
          </w:p>
        </w:tc>
        <w:tc>
          <w:tcPr>
            <w:tcW w:w="1080" w:type="dxa"/>
            <w:tcBorders>
              <w:top w:val="nil"/>
              <w:left w:val="nil"/>
              <w:bottom w:val="nil"/>
              <w:right w:val="single" w:sz="12" w:space="0" w:color="auto"/>
            </w:tcBorders>
            <w:shd w:val="clear" w:color="000000" w:fill="FFFFFF"/>
            <w:noWrap/>
            <w:vAlign w:val="center"/>
            <w:hideMark/>
          </w:tcPr>
          <w:p w14:paraId="790B3319" w14:textId="797908D7"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16.37</w:t>
            </w:r>
          </w:p>
        </w:tc>
      </w:tr>
      <w:tr w:rsidR="003F77D0" w:rsidRPr="000D3090" w14:paraId="156AB078"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45DCC894"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4207BD9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3E0226CC"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73973620" w14:textId="3355064F"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119</w:t>
            </w:r>
          </w:p>
        </w:tc>
        <w:tc>
          <w:tcPr>
            <w:tcW w:w="900" w:type="dxa"/>
            <w:tcBorders>
              <w:top w:val="nil"/>
              <w:left w:val="nil"/>
              <w:bottom w:val="nil"/>
              <w:right w:val="single" w:sz="8" w:space="0" w:color="auto"/>
            </w:tcBorders>
            <w:shd w:val="clear" w:color="000000" w:fill="FFFFFF"/>
            <w:noWrap/>
            <w:vAlign w:val="center"/>
            <w:hideMark/>
          </w:tcPr>
          <w:p w14:paraId="0B04578C" w14:textId="5FDFD53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0.95</w:t>
            </w:r>
          </w:p>
        </w:tc>
        <w:tc>
          <w:tcPr>
            <w:tcW w:w="990" w:type="dxa"/>
            <w:tcBorders>
              <w:top w:val="nil"/>
              <w:left w:val="nil"/>
              <w:bottom w:val="nil"/>
              <w:right w:val="nil"/>
            </w:tcBorders>
            <w:shd w:val="clear" w:color="000000" w:fill="FFFFFF"/>
            <w:noWrap/>
            <w:vAlign w:val="center"/>
            <w:hideMark/>
          </w:tcPr>
          <w:p w14:paraId="409F5B51" w14:textId="2904B5D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1.01</w:t>
            </w:r>
          </w:p>
        </w:tc>
        <w:tc>
          <w:tcPr>
            <w:tcW w:w="990" w:type="dxa"/>
            <w:tcBorders>
              <w:top w:val="nil"/>
              <w:left w:val="nil"/>
              <w:bottom w:val="nil"/>
              <w:right w:val="single" w:sz="8" w:space="0" w:color="auto"/>
            </w:tcBorders>
            <w:shd w:val="clear" w:color="000000" w:fill="FFFFFF"/>
            <w:noWrap/>
            <w:vAlign w:val="center"/>
            <w:hideMark/>
          </w:tcPr>
          <w:p w14:paraId="3C7F1AE0" w14:textId="34C0DEC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6.11</w:t>
            </w:r>
          </w:p>
        </w:tc>
        <w:tc>
          <w:tcPr>
            <w:tcW w:w="990" w:type="dxa"/>
            <w:tcBorders>
              <w:top w:val="nil"/>
              <w:left w:val="nil"/>
              <w:bottom w:val="nil"/>
              <w:right w:val="nil"/>
            </w:tcBorders>
            <w:shd w:val="clear" w:color="000000" w:fill="FFFFFF"/>
            <w:noWrap/>
            <w:vAlign w:val="center"/>
            <w:hideMark/>
          </w:tcPr>
          <w:p w14:paraId="7336E527" w14:textId="662F8B2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1.16</w:t>
            </w:r>
          </w:p>
        </w:tc>
        <w:tc>
          <w:tcPr>
            <w:tcW w:w="1080" w:type="dxa"/>
            <w:tcBorders>
              <w:top w:val="nil"/>
              <w:left w:val="nil"/>
              <w:bottom w:val="nil"/>
              <w:right w:val="single" w:sz="12" w:space="0" w:color="auto"/>
            </w:tcBorders>
            <w:shd w:val="clear" w:color="000000" w:fill="FFFFFF"/>
            <w:noWrap/>
            <w:vAlign w:val="center"/>
            <w:hideMark/>
          </w:tcPr>
          <w:p w14:paraId="1C020AF2" w14:textId="48FA319B"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21.39</w:t>
            </w:r>
          </w:p>
        </w:tc>
      </w:tr>
      <w:tr w:rsidR="003F77D0" w:rsidRPr="000D3090" w14:paraId="0E1D36BF"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3900BB2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6C1936B6"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 days</w:t>
            </w:r>
          </w:p>
        </w:tc>
        <w:tc>
          <w:tcPr>
            <w:tcW w:w="1306" w:type="dxa"/>
            <w:tcBorders>
              <w:top w:val="nil"/>
              <w:left w:val="nil"/>
              <w:bottom w:val="nil"/>
              <w:right w:val="single" w:sz="8" w:space="0" w:color="auto"/>
            </w:tcBorders>
            <w:shd w:val="clear" w:color="000000" w:fill="FFFFFF"/>
            <w:noWrap/>
            <w:vAlign w:val="center"/>
            <w:hideMark/>
          </w:tcPr>
          <w:p w14:paraId="1E54D90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3815E2FD" w14:textId="414DEA5D"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86</w:t>
            </w:r>
          </w:p>
        </w:tc>
        <w:tc>
          <w:tcPr>
            <w:tcW w:w="900" w:type="dxa"/>
            <w:tcBorders>
              <w:top w:val="nil"/>
              <w:left w:val="nil"/>
              <w:bottom w:val="nil"/>
              <w:right w:val="single" w:sz="8" w:space="0" w:color="auto"/>
            </w:tcBorders>
            <w:shd w:val="clear" w:color="000000" w:fill="FFFFFF"/>
            <w:noWrap/>
            <w:vAlign w:val="center"/>
            <w:hideMark/>
          </w:tcPr>
          <w:p w14:paraId="3AB1E5C4" w14:textId="6524D09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0.69</w:t>
            </w:r>
          </w:p>
        </w:tc>
        <w:tc>
          <w:tcPr>
            <w:tcW w:w="990" w:type="dxa"/>
            <w:tcBorders>
              <w:top w:val="nil"/>
              <w:left w:val="nil"/>
              <w:bottom w:val="nil"/>
              <w:right w:val="nil"/>
            </w:tcBorders>
            <w:shd w:val="clear" w:color="000000" w:fill="FFFFFF"/>
            <w:noWrap/>
            <w:vAlign w:val="center"/>
            <w:hideMark/>
          </w:tcPr>
          <w:p w14:paraId="55C87295" w14:textId="5062424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0.79</w:t>
            </w:r>
          </w:p>
        </w:tc>
        <w:tc>
          <w:tcPr>
            <w:tcW w:w="990" w:type="dxa"/>
            <w:tcBorders>
              <w:top w:val="nil"/>
              <w:left w:val="nil"/>
              <w:bottom w:val="nil"/>
              <w:right w:val="single" w:sz="8" w:space="0" w:color="auto"/>
            </w:tcBorders>
            <w:shd w:val="clear" w:color="000000" w:fill="FFFFFF"/>
            <w:noWrap/>
            <w:vAlign w:val="center"/>
            <w:hideMark/>
          </w:tcPr>
          <w:p w14:paraId="05E0AAEE" w14:textId="6494DA4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15.09</w:t>
            </w:r>
          </w:p>
        </w:tc>
        <w:tc>
          <w:tcPr>
            <w:tcW w:w="990" w:type="dxa"/>
            <w:tcBorders>
              <w:top w:val="nil"/>
              <w:left w:val="nil"/>
              <w:bottom w:val="nil"/>
              <w:right w:val="nil"/>
            </w:tcBorders>
            <w:shd w:val="clear" w:color="000000" w:fill="FFFFFF"/>
            <w:noWrap/>
            <w:vAlign w:val="center"/>
            <w:hideMark/>
          </w:tcPr>
          <w:p w14:paraId="170A160D" w14:textId="3D86E31C"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0.99</w:t>
            </w:r>
          </w:p>
        </w:tc>
        <w:tc>
          <w:tcPr>
            <w:tcW w:w="1080" w:type="dxa"/>
            <w:tcBorders>
              <w:top w:val="nil"/>
              <w:left w:val="nil"/>
              <w:bottom w:val="nil"/>
              <w:right w:val="single" w:sz="12" w:space="0" w:color="auto"/>
            </w:tcBorders>
            <w:shd w:val="clear" w:color="000000" w:fill="FFFFFF"/>
            <w:noWrap/>
            <w:vAlign w:val="center"/>
            <w:hideMark/>
          </w:tcPr>
          <w:p w14:paraId="78FC9CED" w14:textId="7AC372A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42.84</w:t>
            </w:r>
          </w:p>
        </w:tc>
      </w:tr>
      <w:tr w:rsidR="003F77D0" w:rsidRPr="000D3090" w14:paraId="6348E46C"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11CA009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0D85C4C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5FDBB06E"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0A0C6280" w14:textId="371337F5"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16</w:t>
            </w:r>
          </w:p>
        </w:tc>
        <w:tc>
          <w:tcPr>
            <w:tcW w:w="900" w:type="dxa"/>
            <w:tcBorders>
              <w:top w:val="nil"/>
              <w:left w:val="nil"/>
              <w:bottom w:val="nil"/>
              <w:right w:val="single" w:sz="8" w:space="0" w:color="auto"/>
            </w:tcBorders>
            <w:shd w:val="clear" w:color="000000" w:fill="FFFFFF"/>
            <w:noWrap/>
            <w:vAlign w:val="center"/>
            <w:hideMark/>
          </w:tcPr>
          <w:p w14:paraId="182B899E" w14:textId="7756751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0.13</w:t>
            </w:r>
          </w:p>
        </w:tc>
        <w:tc>
          <w:tcPr>
            <w:tcW w:w="990" w:type="dxa"/>
            <w:tcBorders>
              <w:top w:val="nil"/>
              <w:left w:val="nil"/>
              <w:bottom w:val="nil"/>
              <w:right w:val="nil"/>
            </w:tcBorders>
            <w:shd w:val="clear" w:color="000000" w:fill="FFFFFF"/>
            <w:noWrap/>
            <w:vAlign w:val="center"/>
            <w:hideMark/>
          </w:tcPr>
          <w:p w14:paraId="594B1FF4" w14:textId="4AD5D67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0.22</w:t>
            </w:r>
          </w:p>
        </w:tc>
        <w:tc>
          <w:tcPr>
            <w:tcW w:w="990" w:type="dxa"/>
            <w:tcBorders>
              <w:top w:val="nil"/>
              <w:left w:val="nil"/>
              <w:bottom w:val="nil"/>
              <w:right w:val="single" w:sz="8" w:space="0" w:color="auto"/>
            </w:tcBorders>
            <w:shd w:val="clear" w:color="000000" w:fill="FFFFFF"/>
            <w:noWrap/>
            <w:vAlign w:val="center"/>
            <w:hideMark/>
          </w:tcPr>
          <w:p w14:paraId="3215BE44" w14:textId="089112DC"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73.19</w:t>
            </w:r>
          </w:p>
        </w:tc>
        <w:tc>
          <w:tcPr>
            <w:tcW w:w="990" w:type="dxa"/>
            <w:tcBorders>
              <w:top w:val="nil"/>
              <w:left w:val="nil"/>
              <w:bottom w:val="nil"/>
              <w:right w:val="nil"/>
            </w:tcBorders>
            <w:shd w:val="clear" w:color="000000" w:fill="FFFFFF"/>
            <w:noWrap/>
            <w:vAlign w:val="center"/>
            <w:hideMark/>
          </w:tcPr>
          <w:p w14:paraId="0730FC64" w14:textId="408D38E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0.25</w:t>
            </w:r>
          </w:p>
        </w:tc>
        <w:tc>
          <w:tcPr>
            <w:tcW w:w="1080" w:type="dxa"/>
            <w:tcBorders>
              <w:top w:val="nil"/>
              <w:left w:val="nil"/>
              <w:bottom w:val="nil"/>
              <w:right w:val="single" w:sz="12" w:space="0" w:color="auto"/>
            </w:tcBorders>
            <w:shd w:val="clear" w:color="000000" w:fill="FFFFFF"/>
            <w:noWrap/>
            <w:vAlign w:val="center"/>
            <w:hideMark/>
          </w:tcPr>
          <w:p w14:paraId="7D4F38F4" w14:textId="04CD75A7"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96.50</w:t>
            </w:r>
          </w:p>
        </w:tc>
      </w:tr>
      <w:tr w:rsidR="003F77D0" w:rsidRPr="000D3090" w14:paraId="0019A9FE"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7E6FDFC4"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24E86EEC"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03F40C0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447D6C03" w14:textId="592738D2"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83</w:t>
            </w:r>
          </w:p>
        </w:tc>
        <w:tc>
          <w:tcPr>
            <w:tcW w:w="900" w:type="dxa"/>
            <w:tcBorders>
              <w:top w:val="nil"/>
              <w:left w:val="nil"/>
              <w:bottom w:val="nil"/>
              <w:right w:val="single" w:sz="8" w:space="0" w:color="auto"/>
            </w:tcBorders>
            <w:shd w:val="clear" w:color="000000" w:fill="FFFFFF"/>
            <w:noWrap/>
            <w:vAlign w:val="center"/>
            <w:hideMark/>
          </w:tcPr>
          <w:p w14:paraId="1AA58D47" w14:textId="50BBB01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0.67</w:t>
            </w:r>
          </w:p>
        </w:tc>
        <w:tc>
          <w:tcPr>
            <w:tcW w:w="990" w:type="dxa"/>
            <w:tcBorders>
              <w:top w:val="nil"/>
              <w:left w:val="nil"/>
              <w:bottom w:val="nil"/>
              <w:right w:val="nil"/>
            </w:tcBorders>
            <w:shd w:val="clear" w:color="000000" w:fill="FFFFFF"/>
            <w:noWrap/>
            <w:vAlign w:val="center"/>
            <w:hideMark/>
          </w:tcPr>
          <w:p w14:paraId="5C299CA1" w14:textId="4B607B5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0.61</w:t>
            </w:r>
          </w:p>
        </w:tc>
        <w:tc>
          <w:tcPr>
            <w:tcW w:w="990" w:type="dxa"/>
            <w:tcBorders>
              <w:top w:val="nil"/>
              <w:left w:val="nil"/>
              <w:bottom w:val="nil"/>
              <w:right w:val="single" w:sz="8" w:space="0" w:color="auto"/>
            </w:tcBorders>
            <w:shd w:val="clear" w:color="000000" w:fill="FFFFFF"/>
            <w:noWrap/>
            <w:vAlign w:val="center"/>
            <w:hideMark/>
          </w:tcPr>
          <w:p w14:paraId="436AC366" w14:textId="4F67950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7.77</w:t>
            </w:r>
          </w:p>
        </w:tc>
        <w:tc>
          <w:tcPr>
            <w:tcW w:w="990" w:type="dxa"/>
            <w:tcBorders>
              <w:top w:val="nil"/>
              <w:left w:val="nil"/>
              <w:bottom w:val="nil"/>
              <w:right w:val="nil"/>
            </w:tcBorders>
            <w:shd w:val="clear" w:color="000000" w:fill="FFFFFF"/>
            <w:noWrap/>
            <w:vAlign w:val="center"/>
            <w:hideMark/>
          </w:tcPr>
          <w:p w14:paraId="71D70402" w14:textId="53CD667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0.57</w:t>
            </w:r>
          </w:p>
        </w:tc>
        <w:tc>
          <w:tcPr>
            <w:tcW w:w="1080" w:type="dxa"/>
            <w:tcBorders>
              <w:top w:val="nil"/>
              <w:left w:val="nil"/>
              <w:bottom w:val="nil"/>
              <w:right w:val="single" w:sz="12" w:space="0" w:color="auto"/>
            </w:tcBorders>
            <w:shd w:val="clear" w:color="000000" w:fill="FFFFFF"/>
            <w:noWrap/>
            <w:vAlign w:val="center"/>
            <w:hideMark/>
          </w:tcPr>
          <w:p w14:paraId="60C1A667" w14:textId="09E0C82A"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14.01</w:t>
            </w:r>
          </w:p>
        </w:tc>
      </w:tr>
      <w:tr w:rsidR="003F77D0" w:rsidRPr="000D3090" w14:paraId="1F3F835F"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739B305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2399725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50C5204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3574B42A" w14:textId="0F6B9A13"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40</w:t>
            </w:r>
          </w:p>
        </w:tc>
        <w:tc>
          <w:tcPr>
            <w:tcW w:w="900" w:type="dxa"/>
            <w:tcBorders>
              <w:top w:val="nil"/>
              <w:left w:val="nil"/>
              <w:bottom w:val="nil"/>
              <w:right w:val="single" w:sz="8" w:space="0" w:color="auto"/>
            </w:tcBorders>
            <w:shd w:val="clear" w:color="000000" w:fill="FFFFFF"/>
            <w:noWrap/>
            <w:vAlign w:val="center"/>
            <w:hideMark/>
          </w:tcPr>
          <w:p w14:paraId="59307DB5" w14:textId="2E0281D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0.32</w:t>
            </w:r>
          </w:p>
        </w:tc>
        <w:tc>
          <w:tcPr>
            <w:tcW w:w="990" w:type="dxa"/>
            <w:tcBorders>
              <w:top w:val="nil"/>
              <w:left w:val="nil"/>
              <w:bottom w:val="nil"/>
              <w:right w:val="nil"/>
            </w:tcBorders>
            <w:shd w:val="clear" w:color="000000" w:fill="FFFFFF"/>
            <w:noWrap/>
            <w:vAlign w:val="center"/>
            <w:hideMark/>
          </w:tcPr>
          <w:p w14:paraId="3453696A" w14:textId="313B5AF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0.37</w:t>
            </w:r>
          </w:p>
        </w:tc>
        <w:tc>
          <w:tcPr>
            <w:tcW w:w="990" w:type="dxa"/>
            <w:tcBorders>
              <w:top w:val="nil"/>
              <w:left w:val="nil"/>
              <w:bottom w:val="nil"/>
              <w:right w:val="single" w:sz="8" w:space="0" w:color="auto"/>
            </w:tcBorders>
            <w:shd w:val="clear" w:color="000000" w:fill="FFFFFF"/>
            <w:noWrap/>
            <w:vAlign w:val="center"/>
            <w:hideMark/>
          </w:tcPr>
          <w:p w14:paraId="7EFFC71E" w14:textId="4D1D6B0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14.21</w:t>
            </w:r>
          </w:p>
        </w:tc>
        <w:tc>
          <w:tcPr>
            <w:tcW w:w="990" w:type="dxa"/>
            <w:tcBorders>
              <w:top w:val="nil"/>
              <w:left w:val="nil"/>
              <w:bottom w:val="nil"/>
              <w:right w:val="nil"/>
            </w:tcBorders>
            <w:shd w:val="clear" w:color="000000" w:fill="FFFFFF"/>
            <w:noWrap/>
            <w:vAlign w:val="center"/>
            <w:hideMark/>
          </w:tcPr>
          <w:p w14:paraId="3586D245" w14:textId="7C9EE4D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0.30</w:t>
            </w:r>
          </w:p>
        </w:tc>
        <w:tc>
          <w:tcPr>
            <w:tcW w:w="1080" w:type="dxa"/>
            <w:tcBorders>
              <w:top w:val="nil"/>
              <w:left w:val="nil"/>
              <w:bottom w:val="nil"/>
              <w:right w:val="single" w:sz="12" w:space="0" w:color="auto"/>
            </w:tcBorders>
            <w:shd w:val="clear" w:color="000000" w:fill="FFFFFF"/>
            <w:noWrap/>
            <w:vAlign w:val="center"/>
            <w:hideMark/>
          </w:tcPr>
          <w:p w14:paraId="103D6B06" w14:textId="76BD35D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6.39</w:t>
            </w:r>
          </w:p>
        </w:tc>
      </w:tr>
      <w:tr w:rsidR="003F77D0" w:rsidRPr="000D3090" w14:paraId="4D12F40E"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29FA435"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216B7726"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1-2 days</w:t>
            </w:r>
          </w:p>
        </w:tc>
        <w:tc>
          <w:tcPr>
            <w:tcW w:w="1306" w:type="dxa"/>
            <w:tcBorders>
              <w:top w:val="nil"/>
              <w:left w:val="nil"/>
              <w:bottom w:val="nil"/>
              <w:right w:val="single" w:sz="8" w:space="0" w:color="auto"/>
            </w:tcBorders>
            <w:shd w:val="clear" w:color="000000" w:fill="FFFFFF"/>
            <w:noWrap/>
            <w:vAlign w:val="center"/>
            <w:hideMark/>
          </w:tcPr>
          <w:p w14:paraId="32C6A3E1"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0989B5A0" w14:textId="53C83693"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35</w:t>
            </w:r>
          </w:p>
        </w:tc>
        <w:tc>
          <w:tcPr>
            <w:tcW w:w="900" w:type="dxa"/>
            <w:tcBorders>
              <w:top w:val="nil"/>
              <w:left w:val="nil"/>
              <w:bottom w:val="nil"/>
              <w:right w:val="single" w:sz="8" w:space="0" w:color="auto"/>
            </w:tcBorders>
            <w:shd w:val="clear" w:color="000000" w:fill="FFFFFF"/>
            <w:noWrap/>
            <w:vAlign w:val="center"/>
            <w:hideMark/>
          </w:tcPr>
          <w:p w14:paraId="03096829" w14:textId="42E296C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0.28</w:t>
            </w:r>
          </w:p>
        </w:tc>
        <w:tc>
          <w:tcPr>
            <w:tcW w:w="990" w:type="dxa"/>
            <w:tcBorders>
              <w:top w:val="nil"/>
              <w:left w:val="nil"/>
              <w:bottom w:val="nil"/>
              <w:right w:val="nil"/>
            </w:tcBorders>
            <w:shd w:val="clear" w:color="000000" w:fill="FFFFFF"/>
            <w:noWrap/>
            <w:vAlign w:val="center"/>
            <w:hideMark/>
          </w:tcPr>
          <w:p w14:paraId="1AEDA6BE" w14:textId="09BED69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0.35</w:t>
            </w:r>
          </w:p>
        </w:tc>
        <w:tc>
          <w:tcPr>
            <w:tcW w:w="990" w:type="dxa"/>
            <w:tcBorders>
              <w:top w:val="nil"/>
              <w:left w:val="nil"/>
              <w:bottom w:val="nil"/>
              <w:right w:val="single" w:sz="8" w:space="0" w:color="auto"/>
            </w:tcBorders>
            <w:shd w:val="clear" w:color="000000" w:fill="FFFFFF"/>
            <w:noWrap/>
            <w:vAlign w:val="center"/>
            <w:hideMark/>
          </w:tcPr>
          <w:p w14:paraId="2A228332" w14:textId="793B1C3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24.53</w:t>
            </w:r>
          </w:p>
        </w:tc>
        <w:tc>
          <w:tcPr>
            <w:tcW w:w="990" w:type="dxa"/>
            <w:tcBorders>
              <w:top w:val="nil"/>
              <w:left w:val="nil"/>
              <w:bottom w:val="nil"/>
              <w:right w:val="nil"/>
            </w:tcBorders>
            <w:shd w:val="clear" w:color="000000" w:fill="FFFFFF"/>
            <w:noWrap/>
            <w:vAlign w:val="center"/>
            <w:hideMark/>
          </w:tcPr>
          <w:p w14:paraId="090FDA2D" w14:textId="6BB6877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0.28</w:t>
            </w:r>
          </w:p>
        </w:tc>
        <w:tc>
          <w:tcPr>
            <w:tcW w:w="1080" w:type="dxa"/>
            <w:tcBorders>
              <w:top w:val="nil"/>
              <w:left w:val="nil"/>
              <w:bottom w:val="nil"/>
              <w:right w:val="single" w:sz="12" w:space="0" w:color="auto"/>
            </w:tcBorders>
            <w:shd w:val="clear" w:color="000000" w:fill="FFFFFF"/>
            <w:noWrap/>
            <w:vAlign w:val="center"/>
            <w:hideMark/>
          </w:tcPr>
          <w:p w14:paraId="4031AEFD" w14:textId="54784C54"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1.51</w:t>
            </w:r>
          </w:p>
        </w:tc>
      </w:tr>
      <w:tr w:rsidR="003F77D0" w:rsidRPr="000D3090" w14:paraId="2E4E3B0B"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B29964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3575F4E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09424D05"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4F916446" w14:textId="261519D8"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6</w:t>
            </w:r>
          </w:p>
        </w:tc>
        <w:tc>
          <w:tcPr>
            <w:tcW w:w="900" w:type="dxa"/>
            <w:tcBorders>
              <w:top w:val="nil"/>
              <w:left w:val="nil"/>
              <w:bottom w:val="nil"/>
              <w:right w:val="single" w:sz="8" w:space="0" w:color="auto"/>
            </w:tcBorders>
            <w:shd w:val="clear" w:color="000000" w:fill="FFFFFF"/>
            <w:noWrap/>
            <w:vAlign w:val="center"/>
            <w:hideMark/>
          </w:tcPr>
          <w:p w14:paraId="17C0B8C2" w14:textId="128D397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0.05</w:t>
            </w:r>
          </w:p>
        </w:tc>
        <w:tc>
          <w:tcPr>
            <w:tcW w:w="990" w:type="dxa"/>
            <w:tcBorders>
              <w:top w:val="nil"/>
              <w:left w:val="nil"/>
              <w:bottom w:val="nil"/>
              <w:right w:val="nil"/>
            </w:tcBorders>
            <w:shd w:val="clear" w:color="000000" w:fill="FFFFFF"/>
            <w:noWrap/>
            <w:vAlign w:val="center"/>
            <w:hideMark/>
          </w:tcPr>
          <w:p w14:paraId="577CB075" w14:textId="4EE1E3A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0.11</w:t>
            </w:r>
          </w:p>
        </w:tc>
        <w:tc>
          <w:tcPr>
            <w:tcW w:w="990" w:type="dxa"/>
            <w:tcBorders>
              <w:top w:val="nil"/>
              <w:left w:val="nil"/>
              <w:bottom w:val="nil"/>
              <w:right w:val="single" w:sz="8" w:space="0" w:color="auto"/>
            </w:tcBorders>
            <w:shd w:val="clear" w:color="000000" w:fill="FFFFFF"/>
            <w:noWrap/>
            <w:vAlign w:val="center"/>
            <w:hideMark/>
          </w:tcPr>
          <w:p w14:paraId="658A6B5E" w14:textId="4AE6F5E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124.28</w:t>
            </w:r>
          </w:p>
        </w:tc>
        <w:tc>
          <w:tcPr>
            <w:tcW w:w="990" w:type="dxa"/>
            <w:tcBorders>
              <w:top w:val="nil"/>
              <w:left w:val="nil"/>
              <w:bottom w:val="nil"/>
              <w:right w:val="nil"/>
            </w:tcBorders>
            <w:shd w:val="clear" w:color="000000" w:fill="FFFFFF"/>
            <w:noWrap/>
            <w:vAlign w:val="center"/>
            <w:hideMark/>
          </w:tcPr>
          <w:p w14:paraId="0A45E073" w14:textId="1973706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0.14</w:t>
            </w:r>
          </w:p>
        </w:tc>
        <w:tc>
          <w:tcPr>
            <w:tcW w:w="1080" w:type="dxa"/>
            <w:tcBorders>
              <w:top w:val="nil"/>
              <w:left w:val="nil"/>
              <w:bottom w:val="nil"/>
              <w:right w:val="single" w:sz="12" w:space="0" w:color="auto"/>
            </w:tcBorders>
            <w:shd w:val="clear" w:color="000000" w:fill="FFFFFF"/>
            <w:noWrap/>
            <w:vAlign w:val="center"/>
            <w:hideMark/>
          </w:tcPr>
          <w:p w14:paraId="35C05373" w14:textId="07FB59D5"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190.91</w:t>
            </w:r>
          </w:p>
        </w:tc>
      </w:tr>
      <w:tr w:rsidR="003F77D0" w:rsidRPr="000D3090" w14:paraId="67AA5A5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A3BEDC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381E1B3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7607466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1025B2F2" w14:textId="77C948EE"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54</w:t>
            </w:r>
          </w:p>
        </w:tc>
        <w:tc>
          <w:tcPr>
            <w:tcW w:w="900" w:type="dxa"/>
            <w:tcBorders>
              <w:top w:val="nil"/>
              <w:left w:val="nil"/>
              <w:bottom w:val="nil"/>
              <w:right w:val="single" w:sz="8" w:space="0" w:color="auto"/>
            </w:tcBorders>
            <w:shd w:val="clear" w:color="000000" w:fill="FFFFFF"/>
            <w:noWrap/>
            <w:vAlign w:val="center"/>
            <w:hideMark/>
          </w:tcPr>
          <w:p w14:paraId="114E9E65" w14:textId="7FFFDC1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0.43</w:t>
            </w:r>
          </w:p>
        </w:tc>
        <w:tc>
          <w:tcPr>
            <w:tcW w:w="990" w:type="dxa"/>
            <w:tcBorders>
              <w:top w:val="nil"/>
              <w:left w:val="nil"/>
              <w:bottom w:val="nil"/>
              <w:right w:val="nil"/>
            </w:tcBorders>
            <w:shd w:val="clear" w:color="000000" w:fill="FFFFFF"/>
            <w:noWrap/>
            <w:vAlign w:val="center"/>
            <w:hideMark/>
          </w:tcPr>
          <w:p w14:paraId="101F502D" w14:textId="15ABC53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0.33</w:t>
            </w:r>
          </w:p>
        </w:tc>
        <w:tc>
          <w:tcPr>
            <w:tcW w:w="990" w:type="dxa"/>
            <w:tcBorders>
              <w:top w:val="nil"/>
              <w:left w:val="nil"/>
              <w:bottom w:val="nil"/>
              <w:right w:val="single" w:sz="8" w:space="0" w:color="auto"/>
            </w:tcBorders>
            <w:shd w:val="clear" w:color="000000" w:fill="FFFFFF"/>
            <w:noWrap/>
            <w:vAlign w:val="center"/>
            <w:hideMark/>
          </w:tcPr>
          <w:p w14:paraId="1C538CC4" w14:textId="79B9748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24.20</w:t>
            </w:r>
          </w:p>
        </w:tc>
        <w:tc>
          <w:tcPr>
            <w:tcW w:w="990" w:type="dxa"/>
            <w:tcBorders>
              <w:top w:val="nil"/>
              <w:left w:val="nil"/>
              <w:bottom w:val="nil"/>
              <w:right w:val="nil"/>
            </w:tcBorders>
            <w:shd w:val="clear" w:color="000000" w:fill="FFFFFF"/>
            <w:noWrap/>
            <w:vAlign w:val="center"/>
            <w:hideMark/>
          </w:tcPr>
          <w:p w14:paraId="4C4BFA71" w14:textId="5AB7EC3B"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0.33</w:t>
            </w:r>
          </w:p>
        </w:tc>
        <w:tc>
          <w:tcPr>
            <w:tcW w:w="1080" w:type="dxa"/>
            <w:tcBorders>
              <w:top w:val="nil"/>
              <w:left w:val="nil"/>
              <w:bottom w:val="nil"/>
              <w:right w:val="single" w:sz="12" w:space="0" w:color="auto"/>
            </w:tcBorders>
            <w:shd w:val="clear" w:color="000000" w:fill="FFFFFF"/>
            <w:noWrap/>
            <w:vAlign w:val="center"/>
            <w:hideMark/>
          </w:tcPr>
          <w:p w14:paraId="19D3A695" w14:textId="5CEE6C13"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23.53</w:t>
            </w:r>
          </w:p>
        </w:tc>
      </w:tr>
      <w:tr w:rsidR="003F77D0" w:rsidRPr="000D3090" w14:paraId="5E0E472A"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D5804D6"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04BE41B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11EABC6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754A8F7C" w14:textId="41B4EA2C"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37</w:t>
            </w:r>
          </w:p>
        </w:tc>
        <w:tc>
          <w:tcPr>
            <w:tcW w:w="900" w:type="dxa"/>
            <w:tcBorders>
              <w:top w:val="nil"/>
              <w:left w:val="nil"/>
              <w:bottom w:val="nil"/>
              <w:right w:val="single" w:sz="8" w:space="0" w:color="auto"/>
            </w:tcBorders>
            <w:shd w:val="clear" w:color="000000" w:fill="FFFFFF"/>
            <w:noWrap/>
            <w:vAlign w:val="center"/>
            <w:hideMark/>
          </w:tcPr>
          <w:p w14:paraId="486F809B" w14:textId="54886895"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0.30</w:t>
            </w:r>
          </w:p>
        </w:tc>
        <w:tc>
          <w:tcPr>
            <w:tcW w:w="990" w:type="dxa"/>
            <w:tcBorders>
              <w:top w:val="nil"/>
              <w:left w:val="nil"/>
              <w:bottom w:val="nil"/>
              <w:right w:val="nil"/>
            </w:tcBorders>
            <w:shd w:val="clear" w:color="000000" w:fill="FFFFFF"/>
            <w:noWrap/>
            <w:vAlign w:val="center"/>
            <w:hideMark/>
          </w:tcPr>
          <w:p w14:paraId="78A59E2F" w14:textId="10210ABA"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0.21</w:t>
            </w:r>
          </w:p>
        </w:tc>
        <w:tc>
          <w:tcPr>
            <w:tcW w:w="990" w:type="dxa"/>
            <w:tcBorders>
              <w:top w:val="nil"/>
              <w:left w:val="nil"/>
              <w:bottom w:val="nil"/>
              <w:right w:val="single" w:sz="8" w:space="0" w:color="auto"/>
            </w:tcBorders>
            <w:shd w:val="clear" w:color="000000" w:fill="FFFFFF"/>
            <w:noWrap/>
            <w:vAlign w:val="center"/>
            <w:hideMark/>
          </w:tcPr>
          <w:p w14:paraId="04B27627" w14:textId="5EA538F1"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29.49</w:t>
            </w:r>
          </w:p>
        </w:tc>
        <w:tc>
          <w:tcPr>
            <w:tcW w:w="990" w:type="dxa"/>
            <w:tcBorders>
              <w:top w:val="nil"/>
              <w:left w:val="nil"/>
              <w:bottom w:val="nil"/>
              <w:right w:val="nil"/>
            </w:tcBorders>
            <w:shd w:val="clear" w:color="000000" w:fill="FFFFFF"/>
            <w:noWrap/>
            <w:vAlign w:val="center"/>
            <w:hideMark/>
          </w:tcPr>
          <w:p w14:paraId="4D6B5A0F" w14:textId="0386584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0.18</w:t>
            </w:r>
          </w:p>
        </w:tc>
        <w:tc>
          <w:tcPr>
            <w:tcW w:w="1080" w:type="dxa"/>
            <w:tcBorders>
              <w:top w:val="nil"/>
              <w:left w:val="nil"/>
              <w:bottom w:val="nil"/>
              <w:right w:val="single" w:sz="12" w:space="0" w:color="auto"/>
            </w:tcBorders>
            <w:shd w:val="clear" w:color="000000" w:fill="FFFFFF"/>
            <w:noWrap/>
            <w:vAlign w:val="center"/>
            <w:hideMark/>
          </w:tcPr>
          <w:p w14:paraId="2A6ACB84" w14:textId="53F6919C"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40.08</w:t>
            </w:r>
          </w:p>
        </w:tc>
      </w:tr>
      <w:tr w:rsidR="003F77D0" w:rsidRPr="000D3090" w14:paraId="4D58C6FF"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4CD09A5"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28F7F4A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3-4 days</w:t>
            </w:r>
          </w:p>
        </w:tc>
        <w:tc>
          <w:tcPr>
            <w:tcW w:w="1306" w:type="dxa"/>
            <w:tcBorders>
              <w:top w:val="nil"/>
              <w:left w:val="nil"/>
              <w:bottom w:val="nil"/>
              <w:right w:val="single" w:sz="8" w:space="0" w:color="auto"/>
            </w:tcBorders>
            <w:shd w:val="clear" w:color="000000" w:fill="FFFFFF"/>
            <w:noWrap/>
            <w:vAlign w:val="center"/>
            <w:hideMark/>
          </w:tcPr>
          <w:p w14:paraId="4B71923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5F03493B" w14:textId="353CEF61"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26</w:t>
            </w:r>
          </w:p>
        </w:tc>
        <w:tc>
          <w:tcPr>
            <w:tcW w:w="900" w:type="dxa"/>
            <w:tcBorders>
              <w:top w:val="nil"/>
              <w:left w:val="nil"/>
              <w:bottom w:val="nil"/>
              <w:right w:val="single" w:sz="8" w:space="0" w:color="auto"/>
            </w:tcBorders>
            <w:shd w:val="clear" w:color="000000" w:fill="FFFFFF"/>
            <w:noWrap/>
            <w:vAlign w:val="center"/>
            <w:hideMark/>
          </w:tcPr>
          <w:p w14:paraId="1C1D42F0" w14:textId="7DB830A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0.21</w:t>
            </w:r>
          </w:p>
        </w:tc>
        <w:tc>
          <w:tcPr>
            <w:tcW w:w="990" w:type="dxa"/>
            <w:tcBorders>
              <w:top w:val="nil"/>
              <w:left w:val="nil"/>
              <w:bottom w:val="nil"/>
              <w:right w:val="nil"/>
            </w:tcBorders>
            <w:shd w:val="clear" w:color="000000" w:fill="FFFFFF"/>
            <w:noWrap/>
            <w:vAlign w:val="center"/>
            <w:hideMark/>
          </w:tcPr>
          <w:p w14:paraId="299DB73F" w14:textId="1E30784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0.21</w:t>
            </w:r>
          </w:p>
        </w:tc>
        <w:tc>
          <w:tcPr>
            <w:tcW w:w="990" w:type="dxa"/>
            <w:tcBorders>
              <w:top w:val="nil"/>
              <w:left w:val="nil"/>
              <w:bottom w:val="nil"/>
              <w:right w:val="single" w:sz="8" w:space="0" w:color="auto"/>
            </w:tcBorders>
            <w:shd w:val="clear" w:color="000000" w:fill="FFFFFF"/>
            <w:noWrap/>
            <w:vAlign w:val="center"/>
            <w:hideMark/>
          </w:tcPr>
          <w:p w14:paraId="228BBF5C" w14:textId="4481FE9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2.49</w:t>
            </w:r>
          </w:p>
        </w:tc>
        <w:tc>
          <w:tcPr>
            <w:tcW w:w="990" w:type="dxa"/>
            <w:tcBorders>
              <w:top w:val="nil"/>
              <w:left w:val="nil"/>
              <w:bottom w:val="nil"/>
              <w:right w:val="nil"/>
            </w:tcBorders>
            <w:shd w:val="clear" w:color="000000" w:fill="FFFFFF"/>
            <w:noWrap/>
            <w:vAlign w:val="center"/>
            <w:hideMark/>
          </w:tcPr>
          <w:p w14:paraId="6638ED3C" w14:textId="4A111B2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0.17</w:t>
            </w:r>
          </w:p>
        </w:tc>
        <w:tc>
          <w:tcPr>
            <w:tcW w:w="1080" w:type="dxa"/>
            <w:tcBorders>
              <w:top w:val="nil"/>
              <w:left w:val="nil"/>
              <w:bottom w:val="nil"/>
              <w:right w:val="single" w:sz="12" w:space="0" w:color="auto"/>
            </w:tcBorders>
            <w:shd w:val="clear" w:color="000000" w:fill="FFFFFF"/>
            <w:noWrap/>
            <w:vAlign w:val="center"/>
            <w:hideMark/>
          </w:tcPr>
          <w:p w14:paraId="30F1F535" w14:textId="0D4AC23E"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20.02</w:t>
            </w:r>
          </w:p>
        </w:tc>
      </w:tr>
      <w:tr w:rsidR="003F77D0" w:rsidRPr="000D3090" w14:paraId="4C662443"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61D70F2F"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126E632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2FDEAA4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0</w:t>
            </w:r>
          </w:p>
        </w:tc>
        <w:tc>
          <w:tcPr>
            <w:tcW w:w="900" w:type="dxa"/>
            <w:tcBorders>
              <w:top w:val="nil"/>
              <w:left w:val="nil"/>
              <w:bottom w:val="nil"/>
              <w:right w:val="nil"/>
            </w:tcBorders>
            <w:shd w:val="clear" w:color="000000" w:fill="FFFFFF"/>
            <w:noWrap/>
            <w:vAlign w:val="center"/>
            <w:hideMark/>
          </w:tcPr>
          <w:p w14:paraId="0C376134" w14:textId="080A84AA"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26</w:t>
            </w:r>
          </w:p>
        </w:tc>
        <w:tc>
          <w:tcPr>
            <w:tcW w:w="900" w:type="dxa"/>
            <w:tcBorders>
              <w:top w:val="nil"/>
              <w:left w:val="nil"/>
              <w:bottom w:val="nil"/>
              <w:right w:val="single" w:sz="8" w:space="0" w:color="auto"/>
            </w:tcBorders>
            <w:shd w:val="clear" w:color="000000" w:fill="FFFFFF"/>
            <w:noWrap/>
            <w:vAlign w:val="center"/>
            <w:hideMark/>
          </w:tcPr>
          <w:p w14:paraId="4398C196" w14:textId="169033D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0.21</w:t>
            </w:r>
          </w:p>
        </w:tc>
        <w:tc>
          <w:tcPr>
            <w:tcW w:w="990" w:type="dxa"/>
            <w:tcBorders>
              <w:top w:val="nil"/>
              <w:left w:val="nil"/>
              <w:bottom w:val="nil"/>
              <w:right w:val="nil"/>
            </w:tcBorders>
            <w:shd w:val="clear" w:color="000000" w:fill="FFFFFF"/>
            <w:noWrap/>
            <w:vAlign w:val="center"/>
            <w:hideMark/>
          </w:tcPr>
          <w:p w14:paraId="56476C16" w14:textId="3520AC6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0.25</w:t>
            </w:r>
          </w:p>
        </w:tc>
        <w:tc>
          <w:tcPr>
            <w:tcW w:w="990" w:type="dxa"/>
            <w:tcBorders>
              <w:top w:val="nil"/>
              <w:left w:val="nil"/>
              <w:bottom w:val="nil"/>
              <w:right w:val="single" w:sz="8" w:space="0" w:color="auto"/>
            </w:tcBorders>
            <w:shd w:val="clear" w:color="000000" w:fill="FFFFFF"/>
            <w:noWrap/>
            <w:vAlign w:val="center"/>
            <w:hideMark/>
          </w:tcPr>
          <w:p w14:paraId="0D0A649B" w14:textId="418285D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21.07</w:t>
            </w:r>
          </w:p>
        </w:tc>
        <w:tc>
          <w:tcPr>
            <w:tcW w:w="990" w:type="dxa"/>
            <w:tcBorders>
              <w:top w:val="nil"/>
              <w:left w:val="nil"/>
              <w:bottom w:val="nil"/>
              <w:right w:val="nil"/>
            </w:tcBorders>
            <w:shd w:val="clear" w:color="000000" w:fill="FFFFFF"/>
            <w:noWrap/>
            <w:vAlign w:val="center"/>
            <w:hideMark/>
          </w:tcPr>
          <w:p w14:paraId="62C25544" w14:textId="4756740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0.35</w:t>
            </w:r>
          </w:p>
        </w:tc>
        <w:tc>
          <w:tcPr>
            <w:tcW w:w="1080" w:type="dxa"/>
            <w:tcBorders>
              <w:top w:val="nil"/>
              <w:left w:val="nil"/>
              <w:bottom w:val="nil"/>
              <w:right w:val="single" w:sz="12" w:space="0" w:color="auto"/>
            </w:tcBorders>
            <w:shd w:val="clear" w:color="000000" w:fill="FFFFFF"/>
            <w:noWrap/>
            <w:vAlign w:val="center"/>
            <w:hideMark/>
          </w:tcPr>
          <w:p w14:paraId="544DEC11" w14:textId="5AAF3831"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68.04</w:t>
            </w:r>
          </w:p>
        </w:tc>
      </w:tr>
      <w:tr w:rsidR="003F77D0" w:rsidRPr="000D3090" w14:paraId="43D167AF"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058A0140"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1A5E9EBD"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3AFC6BC3"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1-5</w:t>
            </w:r>
          </w:p>
        </w:tc>
        <w:tc>
          <w:tcPr>
            <w:tcW w:w="900" w:type="dxa"/>
            <w:tcBorders>
              <w:top w:val="nil"/>
              <w:left w:val="nil"/>
              <w:bottom w:val="nil"/>
              <w:right w:val="nil"/>
            </w:tcBorders>
            <w:shd w:val="clear" w:color="000000" w:fill="FFFFFF"/>
            <w:noWrap/>
            <w:vAlign w:val="center"/>
            <w:hideMark/>
          </w:tcPr>
          <w:p w14:paraId="00BEED0A" w14:textId="0F0B9A5A"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135</w:t>
            </w:r>
          </w:p>
        </w:tc>
        <w:tc>
          <w:tcPr>
            <w:tcW w:w="900" w:type="dxa"/>
            <w:tcBorders>
              <w:top w:val="nil"/>
              <w:left w:val="nil"/>
              <w:bottom w:val="nil"/>
              <w:right w:val="single" w:sz="8" w:space="0" w:color="auto"/>
            </w:tcBorders>
            <w:shd w:val="clear" w:color="000000" w:fill="FFFFFF"/>
            <w:noWrap/>
            <w:vAlign w:val="center"/>
            <w:hideMark/>
          </w:tcPr>
          <w:p w14:paraId="379839E7" w14:textId="4B2D2D69"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1.08</w:t>
            </w:r>
          </w:p>
        </w:tc>
        <w:tc>
          <w:tcPr>
            <w:tcW w:w="990" w:type="dxa"/>
            <w:tcBorders>
              <w:top w:val="nil"/>
              <w:left w:val="nil"/>
              <w:bottom w:val="nil"/>
              <w:right w:val="nil"/>
            </w:tcBorders>
            <w:shd w:val="clear" w:color="000000" w:fill="FFFFFF"/>
            <w:noWrap/>
            <w:vAlign w:val="center"/>
            <w:hideMark/>
          </w:tcPr>
          <w:p w14:paraId="65F21F45" w14:textId="1F33F042"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0.92</w:t>
            </w:r>
          </w:p>
        </w:tc>
        <w:tc>
          <w:tcPr>
            <w:tcW w:w="990" w:type="dxa"/>
            <w:tcBorders>
              <w:top w:val="nil"/>
              <w:left w:val="nil"/>
              <w:bottom w:val="nil"/>
              <w:right w:val="single" w:sz="8" w:space="0" w:color="auto"/>
            </w:tcBorders>
            <w:shd w:val="clear" w:color="000000" w:fill="FFFFFF"/>
            <w:noWrap/>
            <w:vAlign w:val="center"/>
            <w:hideMark/>
          </w:tcPr>
          <w:p w14:paraId="14A682E5" w14:textId="2694E906"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14.57</w:t>
            </w:r>
          </w:p>
        </w:tc>
        <w:tc>
          <w:tcPr>
            <w:tcW w:w="990" w:type="dxa"/>
            <w:tcBorders>
              <w:top w:val="nil"/>
              <w:left w:val="nil"/>
              <w:bottom w:val="nil"/>
              <w:right w:val="nil"/>
            </w:tcBorders>
            <w:shd w:val="clear" w:color="000000" w:fill="FFFFFF"/>
            <w:noWrap/>
            <w:vAlign w:val="center"/>
            <w:hideMark/>
          </w:tcPr>
          <w:p w14:paraId="52F84316" w14:textId="39BC44E0"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0.89</w:t>
            </w:r>
          </w:p>
        </w:tc>
        <w:tc>
          <w:tcPr>
            <w:tcW w:w="1080" w:type="dxa"/>
            <w:tcBorders>
              <w:top w:val="nil"/>
              <w:left w:val="nil"/>
              <w:bottom w:val="nil"/>
              <w:right w:val="single" w:sz="12" w:space="0" w:color="auto"/>
            </w:tcBorders>
            <w:shd w:val="clear" w:color="000000" w:fill="FFFFFF"/>
            <w:noWrap/>
            <w:vAlign w:val="center"/>
            <w:hideMark/>
          </w:tcPr>
          <w:p w14:paraId="1932902A" w14:textId="06AB19F9"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17.52</w:t>
            </w:r>
          </w:p>
        </w:tc>
      </w:tr>
      <w:tr w:rsidR="003F77D0" w:rsidRPr="000D3090" w14:paraId="77B89124"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538388E7"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7827E812"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2DFEF8CB"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6-10</w:t>
            </w:r>
          </w:p>
        </w:tc>
        <w:tc>
          <w:tcPr>
            <w:tcW w:w="900" w:type="dxa"/>
            <w:tcBorders>
              <w:top w:val="nil"/>
              <w:left w:val="nil"/>
              <w:bottom w:val="nil"/>
              <w:right w:val="nil"/>
            </w:tcBorders>
            <w:shd w:val="clear" w:color="000000" w:fill="FFFFFF"/>
            <w:noWrap/>
            <w:vAlign w:val="center"/>
            <w:hideMark/>
          </w:tcPr>
          <w:p w14:paraId="299B6022" w14:textId="6D101BB4"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79</w:t>
            </w:r>
          </w:p>
        </w:tc>
        <w:tc>
          <w:tcPr>
            <w:tcW w:w="900" w:type="dxa"/>
            <w:tcBorders>
              <w:top w:val="nil"/>
              <w:left w:val="nil"/>
              <w:bottom w:val="nil"/>
              <w:right w:val="single" w:sz="8" w:space="0" w:color="auto"/>
            </w:tcBorders>
            <w:shd w:val="clear" w:color="000000" w:fill="FFFFFF"/>
            <w:noWrap/>
            <w:vAlign w:val="center"/>
            <w:hideMark/>
          </w:tcPr>
          <w:p w14:paraId="48C3D0C4" w14:textId="1E03B5B7"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0.63</w:t>
            </w:r>
          </w:p>
        </w:tc>
        <w:tc>
          <w:tcPr>
            <w:tcW w:w="990" w:type="dxa"/>
            <w:tcBorders>
              <w:top w:val="nil"/>
              <w:left w:val="nil"/>
              <w:bottom w:val="nil"/>
              <w:right w:val="nil"/>
            </w:tcBorders>
            <w:shd w:val="clear" w:color="000000" w:fill="FFFFFF"/>
            <w:noWrap/>
            <w:vAlign w:val="center"/>
            <w:hideMark/>
          </w:tcPr>
          <w:p w14:paraId="1B2CD5EF" w14:textId="0F5EE18F"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0.68</w:t>
            </w:r>
          </w:p>
        </w:tc>
        <w:tc>
          <w:tcPr>
            <w:tcW w:w="990" w:type="dxa"/>
            <w:tcBorders>
              <w:top w:val="nil"/>
              <w:left w:val="nil"/>
              <w:bottom w:val="nil"/>
              <w:right w:val="single" w:sz="8" w:space="0" w:color="auto"/>
            </w:tcBorders>
            <w:shd w:val="clear" w:color="000000" w:fill="FFFFFF"/>
            <w:noWrap/>
            <w:vAlign w:val="center"/>
            <w:hideMark/>
          </w:tcPr>
          <w:p w14:paraId="2217E66D" w14:textId="45FFE7A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6.58</w:t>
            </w:r>
          </w:p>
        </w:tc>
        <w:tc>
          <w:tcPr>
            <w:tcW w:w="990" w:type="dxa"/>
            <w:tcBorders>
              <w:top w:val="nil"/>
              <w:left w:val="nil"/>
              <w:bottom w:val="nil"/>
              <w:right w:val="nil"/>
            </w:tcBorders>
            <w:shd w:val="clear" w:color="000000" w:fill="FFFFFF"/>
            <w:noWrap/>
            <w:vAlign w:val="center"/>
            <w:hideMark/>
          </w:tcPr>
          <w:p w14:paraId="09EFAAB5" w14:textId="05665D5E"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0.50</w:t>
            </w:r>
          </w:p>
        </w:tc>
        <w:tc>
          <w:tcPr>
            <w:tcW w:w="1080" w:type="dxa"/>
            <w:tcBorders>
              <w:top w:val="nil"/>
              <w:left w:val="nil"/>
              <w:bottom w:val="nil"/>
              <w:right w:val="single" w:sz="12" w:space="0" w:color="auto"/>
            </w:tcBorders>
            <w:shd w:val="clear" w:color="000000" w:fill="FFFFFF"/>
            <w:noWrap/>
            <w:vAlign w:val="center"/>
            <w:hideMark/>
          </w:tcPr>
          <w:p w14:paraId="4A74A3B1" w14:textId="43188A02"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21.16</w:t>
            </w:r>
          </w:p>
        </w:tc>
      </w:tr>
      <w:tr w:rsidR="003F77D0" w:rsidRPr="000D3090" w14:paraId="63EE1CA1" w14:textId="77777777" w:rsidTr="004B5462">
        <w:trPr>
          <w:trHeight w:val="144"/>
          <w:jc w:val="center"/>
        </w:trPr>
        <w:tc>
          <w:tcPr>
            <w:tcW w:w="1128" w:type="dxa"/>
            <w:tcBorders>
              <w:top w:val="nil"/>
              <w:left w:val="single" w:sz="12" w:space="0" w:color="auto"/>
              <w:bottom w:val="nil"/>
              <w:right w:val="nil"/>
            </w:tcBorders>
            <w:shd w:val="clear" w:color="000000" w:fill="FFFFFF"/>
            <w:noWrap/>
            <w:vAlign w:val="center"/>
            <w:hideMark/>
          </w:tcPr>
          <w:p w14:paraId="7EA51C18"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Yes</w:t>
            </w:r>
          </w:p>
        </w:tc>
        <w:tc>
          <w:tcPr>
            <w:tcW w:w="1061" w:type="dxa"/>
            <w:tcBorders>
              <w:top w:val="nil"/>
              <w:left w:val="nil"/>
              <w:bottom w:val="nil"/>
              <w:right w:val="nil"/>
            </w:tcBorders>
            <w:shd w:val="clear" w:color="000000" w:fill="FFFFFF"/>
            <w:noWrap/>
            <w:vAlign w:val="center"/>
            <w:hideMark/>
          </w:tcPr>
          <w:p w14:paraId="1F33B50A"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5+ days</w:t>
            </w:r>
          </w:p>
        </w:tc>
        <w:tc>
          <w:tcPr>
            <w:tcW w:w="1306" w:type="dxa"/>
            <w:tcBorders>
              <w:top w:val="nil"/>
              <w:left w:val="nil"/>
              <w:bottom w:val="nil"/>
              <w:right w:val="single" w:sz="8" w:space="0" w:color="auto"/>
            </w:tcBorders>
            <w:shd w:val="clear" w:color="000000" w:fill="FFFFFF"/>
            <w:noWrap/>
            <w:vAlign w:val="center"/>
            <w:hideMark/>
          </w:tcPr>
          <w:p w14:paraId="1DB4FEE7" w14:textId="77777777" w:rsidR="00190696" w:rsidRPr="000D3090" w:rsidRDefault="00190696" w:rsidP="00190696">
            <w:pPr>
              <w:spacing w:after="0" w:line="240" w:lineRule="auto"/>
              <w:rPr>
                <w:rFonts w:eastAsia="Times New Roman"/>
                <w:color w:val="000000"/>
                <w:sz w:val="20"/>
                <w:szCs w:val="20"/>
              </w:rPr>
            </w:pPr>
            <w:r w:rsidRPr="000D3090">
              <w:rPr>
                <w:rFonts w:eastAsia="Times New Roman"/>
                <w:color w:val="000000"/>
                <w:sz w:val="20"/>
                <w:szCs w:val="20"/>
              </w:rPr>
              <w:t>More than 10</w:t>
            </w:r>
          </w:p>
        </w:tc>
        <w:tc>
          <w:tcPr>
            <w:tcW w:w="900" w:type="dxa"/>
            <w:tcBorders>
              <w:top w:val="nil"/>
              <w:left w:val="nil"/>
              <w:bottom w:val="nil"/>
              <w:right w:val="nil"/>
            </w:tcBorders>
            <w:shd w:val="clear" w:color="000000" w:fill="FFFFFF"/>
            <w:noWrap/>
            <w:vAlign w:val="center"/>
            <w:hideMark/>
          </w:tcPr>
          <w:p w14:paraId="43A39539" w14:textId="1F7344AC" w:rsidR="00190696" w:rsidRPr="000D3090" w:rsidRDefault="00190696" w:rsidP="004B5462">
            <w:pPr>
              <w:tabs>
                <w:tab w:val="decimal" w:pos="386"/>
              </w:tabs>
              <w:spacing w:after="0" w:line="240" w:lineRule="auto"/>
              <w:jc w:val="center"/>
              <w:rPr>
                <w:rFonts w:eastAsia="Times New Roman"/>
                <w:color w:val="000000"/>
                <w:sz w:val="20"/>
                <w:szCs w:val="20"/>
              </w:rPr>
            </w:pPr>
            <w:r w:rsidRPr="000D3090">
              <w:rPr>
                <w:sz w:val="20"/>
                <w:szCs w:val="20"/>
              </w:rPr>
              <w:t>76</w:t>
            </w:r>
          </w:p>
        </w:tc>
        <w:tc>
          <w:tcPr>
            <w:tcW w:w="900" w:type="dxa"/>
            <w:tcBorders>
              <w:top w:val="nil"/>
              <w:left w:val="nil"/>
              <w:bottom w:val="nil"/>
              <w:right w:val="single" w:sz="8" w:space="0" w:color="auto"/>
            </w:tcBorders>
            <w:shd w:val="clear" w:color="000000" w:fill="FFFFFF"/>
            <w:noWrap/>
            <w:vAlign w:val="center"/>
            <w:hideMark/>
          </w:tcPr>
          <w:p w14:paraId="75A0731C" w14:textId="241E3B1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0.61</w:t>
            </w:r>
          </w:p>
        </w:tc>
        <w:tc>
          <w:tcPr>
            <w:tcW w:w="990" w:type="dxa"/>
            <w:tcBorders>
              <w:top w:val="nil"/>
              <w:left w:val="nil"/>
              <w:bottom w:val="nil"/>
              <w:right w:val="nil"/>
            </w:tcBorders>
            <w:shd w:val="clear" w:color="000000" w:fill="FFFFFF"/>
            <w:noWrap/>
            <w:vAlign w:val="center"/>
            <w:hideMark/>
          </w:tcPr>
          <w:p w14:paraId="276CFD59" w14:textId="36CD1168"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0.81</w:t>
            </w:r>
          </w:p>
        </w:tc>
        <w:tc>
          <w:tcPr>
            <w:tcW w:w="990" w:type="dxa"/>
            <w:tcBorders>
              <w:top w:val="nil"/>
              <w:left w:val="nil"/>
              <w:bottom w:val="nil"/>
              <w:right w:val="single" w:sz="8" w:space="0" w:color="auto"/>
            </w:tcBorders>
            <w:shd w:val="clear" w:color="000000" w:fill="FFFFFF"/>
            <w:noWrap/>
            <w:vAlign w:val="center"/>
            <w:hideMark/>
          </w:tcPr>
          <w:p w14:paraId="1B4002B2" w14:textId="7421A3E3"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32.58</w:t>
            </w:r>
          </w:p>
        </w:tc>
        <w:tc>
          <w:tcPr>
            <w:tcW w:w="990" w:type="dxa"/>
            <w:tcBorders>
              <w:top w:val="nil"/>
              <w:left w:val="nil"/>
              <w:bottom w:val="nil"/>
              <w:right w:val="nil"/>
            </w:tcBorders>
            <w:shd w:val="clear" w:color="000000" w:fill="FFFFFF"/>
            <w:noWrap/>
            <w:vAlign w:val="center"/>
            <w:hideMark/>
          </w:tcPr>
          <w:p w14:paraId="01B42575" w14:textId="499924E4" w:rsidR="00190696" w:rsidRPr="000D3090" w:rsidRDefault="00190696" w:rsidP="004B5462">
            <w:pPr>
              <w:tabs>
                <w:tab w:val="decimal" w:pos="201"/>
              </w:tabs>
              <w:spacing w:after="0" w:line="240" w:lineRule="auto"/>
              <w:jc w:val="center"/>
              <w:rPr>
                <w:rFonts w:eastAsia="Times New Roman"/>
                <w:color w:val="000000"/>
                <w:sz w:val="20"/>
                <w:szCs w:val="20"/>
              </w:rPr>
            </w:pPr>
            <w:r w:rsidRPr="000D3090">
              <w:rPr>
                <w:sz w:val="20"/>
                <w:szCs w:val="20"/>
              </w:rPr>
              <w:t>0.48</w:t>
            </w:r>
          </w:p>
        </w:tc>
        <w:tc>
          <w:tcPr>
            <w:tcW w:w="1080" w:type="dxa"/>
            <w:tcBorders>
              <w:top w:val="nil"/>
              <w:left w:val="nil"/>
              <w:bottom w:val="nil"/>
              <w:right w:val="single" w:sz="12" w:space="0" w:color="auto"/>
            </w:tcBorders>
            <w:shd w:val="clear" w:color="000000" w:fill="FFFFFF"/>
            <w:noWrap/>
            <w:vAlign w:val="center"/>
            <w:hideMark/>
          </w:tcPr>
          <w:p w14:paraId="770DB538" w14:textId="13290830" w:rsidR="00190696" w:rsidRPr="000D3090" w:rsidRDefault="00190696" w:rsidP="004B5462">
            <w:pPr>
              <w:tabs>
                <w:tab w:val="decimal" w:pos="159"/>
              </w:tabs>
              <w:spacing w:after="0" w:line="240" w:lineRule="auto"/>
              <w:jc w:val="center"/>
              <w:rPr>
                <w:rFonts w:eastAsia="Times New Roman"/>
                <w:color w:val="000000"/>
                <w:sz w:val="20"/>
                <w:szCs w:val="20"/>
              </w:rPr>
            </w:pPr>
            <w:r w:rsidRPr="000D3090">
              <w:rPr>
                <w:sz w:val="20"/>
                <w:szCs w:val="20"/>
              </w:rPr>
              <w:t>20.43</w:t>
            </w:r>
          </w:p>
        </w:tc>
      </w:tr>
      <w:tr w:rsidR="0067403B" w:rsidRPr="000D3090" w14:paraId="0168AB8A" w14:textId="77777777" w:rsidTr="004B5462">
        <w:trPr>
          <w:trHeight w:val="144"/>
          <w:jc w:val="center"/>
        </w:trPr>
        <w:tc>
          <w:tcPr>
            <w:tcW w:w="5295" w:type="dxa"/>
            <w:gridSpan w:val="5"/>
            <w:tcBorders>
              <w:top w:val="single" w:sz="8" w:space="0" w:color="auto"/>
              <w:left w:val="single" w:sz="12" w:space="0" w:color="auto"/>
              <w:bottom w:val="single" w:sz="12" w:space="0" w:color="auto"/>
              <w:right w:val="single" w:sz="8" w:space="0" w:color="000000"/>
            </w:tcBorders>
            <w:shd w:val="clear" w:color="000000" w:fill="FFFFFF"/>
            <w:noWrap/>
            <w:vAlign w:val="center"/>
            <w:hideMark/>
          </w:tcPr>
          <w:p w14:paraId="40CD4400" w14:textId="77777777" w:rsidR="00260D4C" w:rsidRPr="000D3090" w:rsidRDefault="00260D4C" w:rsidP="00B425AD">
            <w:pPr>
              <w:spacing w:after="0" w:line="240" w:lineRule="auto"/>
              <w:rPr>
                <w:rFonts w:eastAsia="Times New Roman"/>
                <w:b/>
                <w:bCs/>
                <w:color w:val="000000"/>
                <w:sz w:val="20"/>
                <w:szCs w:val="20"/>
              </w:rPr>
            </w:pPr>
            <w:r w:rsidRPr="000D3090">
              <w:rPr>
                <w:rFonts w:eastAsia="Times New Roman"/>
                <w:b/>
                <w:bCs/>
                <w:color w:val="000000"/>
                <w:sz w:val="20"/>
                <w:szCs w:val="20"/>
              </w:rPr>
              <w:t>Weighted Average Percent Error (WAPE)</w:t>
            </w:r>
          </w:p>
        </w:tc>
        <w:tc>
          <w:tcPr>
            <w:tcW w:w="1980" w:type="dxa"/>
            <w:gridSpan w:val="2"/>
            <w:tcBorders>
              <w:top w:val="single" w:sz="8" w:space="0" w:color="auto"/>
              <w:left w:val="nil"/>
              <w:bottom w:val="single" w:sz="12" w:space="0" w:color="auto"/>
              <w:right w:val="single" w:sz="8" w:space="0" w:color="000000"/>
            </w:tcBorders>
            <w:shd w:val="clear" w:color="000000" w:fill="FFFFFF"/>
            <w:noWrap/>
            <w:vAlign w:val="bottom"/>
            <w:hideMark/>
          </w:tcPr>
          <w:p w14:paraId="1DB682FA" w14:textId="282BC63F" w:rsidR="00260D4C" w:rsidRPr="000D3090" w:rsidRDefault="00190696" w:rsidP="00B425AD">
            <w:pPr>
              <w:spacing w:after="0" w:line="240" w:lineRule="auto"/>
              <w:jc w:val="center"/>
              <w:rPr>
                <w:rFonts w:eastAsia="Times New Roman"/>
                <w:b/>
                <w:bCs/>
                <w:color w:val="000000"/>
                <w:sz w:val="20"/>
                <w:szCs w:val="20"/>
              </w:rPr>
            </w:pPr>
            <w:r w:rsidRPr="000D3090">
              <w:rPr>
                <w:b/>
                <w:bCs/>
                <w:color w:val="000000"/>
                <w:sz w:val="20"/>
                <w:szCs w:val="20"/>
              </w:rPr>
              <w:t>5.89</w:t>
            </w:r>
          </w:p>
        </w:tc>
        <w:tc>
          <w:tcPr>
            <w:tcW w:w="2070"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DCB7587" w14:textId="32612A31" w:rsidR="00260D4C" w:rsidRPr="000D3090" w:rsidRDefault="00190696" w:rsidP="00B425AD">
            <w:pPr>
              <w:spacing w:after="0" w:line="240" w:lineRule="auto"/>
              <w:jc w:val="center"/>
              <w:rPr>
                <w:rFonts w:eastAsia="Times New Roman"/>
                <w:b/>
                <w:bCs/>
                <w:color w:val="000000"/>
                <w:sz w:val="20"/>
                <w:szCs w:val="20"/>
              </w:rPr>
            </w:pPr>
            <w:r w:rsidRPr="000D3090">
              <w:rPr>
                <w:rFonts w:eastAsia="Times New Roman"/>
                <w:b/>
                <w:bCs/>
                <w:color w:val="000000"/>
                <w:sz w:val="20"/>
                <w:szCs w:val="20"/>
              </w:rPr>
              <w:t>8.89</w:t>
            </w:r>
          </w:p>
        </w:tc>
      </w:tr>
    </w:tbl>
    <w:p w14:paraId="7445B708" w14:textId="77777777" w:rsidR="0077130C" w:rsidRPr="000D3090" w:rsidRDefault="0077130C">
      <w:pPr>
        <w:rPr>
          <w:b/>
          <w:bCs/>
        </w:rPr>
        <w:sectPr w:rsidR="0077130C" w:rsidRPr="000D3090" w:rsidSect="00176D54">
          <w:footerReference w:type="default" r:id="rId103"/>
          <w:pgSz w:w="12240" w:h="15840"/>
          <w:pgMar w:top="1296" w:right="1440" w:bottom="1296" w:left="1440" w:header="720" w:footer="720" w:gutter="0"/>
          <w:cols w:space="720"/>
          <w:docGrid w:linePitch="360"/>
        </w:sectPr>
      </w:pPr>
    </w:p>
    <w:p w14:paraId="220F2193" w14:textId="269A4088" w:rsidR="003C2D26" w:rsidRPr="000D3090" w:rsidRDefault="003C2D26" w:rsidP="009A0812">
      <w:pPr>
        <w:spacing w:after="0" w:line="240" w:lineRule="auto"/>
        <w:rPr>
          <w:b/>
          <w:bCs/>
        </w:rPr>
      </w:pPr>
      <w:r w:rsidRPr="000D3090">
        <w:rPr>
          <w:b/>
          <w:bCs/>
        </w:rPr>
        <w:lastRenderedPageBreak/>
        <w:t>Table 5 Average Treatment Effects (ATEs)</w:t>
      </w:r>
    </w:p>
    <w:p w14:paraId="06AA6DC3" w14:textId="77777777" w:rsidR="009A0812" w:rsidRPr="000D3090" w:rsidRDefault="009A0812" w:rsidP="009A0812">
      <w:pPr>
        <w:spacing w:after="0" w:line="240" w:lineRule="auto"/>
        <w:rPr>
          <w:sz w:val="20"/>
          <w:szCs w:val="20"/>
        </w:rPr>
      </w:pPr>
    </w:p>
    <w:tbl>
      <w:tblPr>
        <w:tblW w:w="13575" w:type="dxa"/>
        <w:jc w:val="center"/>
        <w:tblLayout w:type="fixed"/>
        <w:tblCellMar>
          <w:left w:w="58" w:type="dxa"/>
          <w:right w:w="58" w:type="dxa"/>
        </w:tblCellMar>
        <w:tblLook w:val="04A0" w:firstRow="1" w:lastRow="0" w:firstColumn="1" w:lastColumn="0" w:noHBand="0" w:noVBand="1"/>
      </w:tblPr>
      <w:tblGrid>
        <w:gridCol w:w="2235"/>
        <w:gridCol w:w="2430"/>
        <w:gridCol w:w="2430"/>
        <w:gridCol w:w="990"/>
        <w:gridCol w:w="990"/>
        <w:gridCol w:w="1170"/>
        <w:gridCol w:w="1440"/>
        <w:gridCol w:w="1170"/>
        <w:gridCol w:w="720"/>
      </w:tblGrid>
      <w:tr w:rsidR="00B826B9" w:rsidRPr="000D3090" w14:paraId="6021DE45" w14:textId="77777777" w:rsidTr="009A0812">
        <w:trPr>
          <w:trHeight w:val="259"/>
          <w:jc w:val="center"/>
        </w:trPr>
        <w:tc>
          <w:tcPr>
            <w:tcW w:w="2235" w:type="dxa"/>
            <w:vMerge w:val="restart"/>
            <w:tcBorders>
              <w:top w:val="single" w:sz="12" w:space="0" w:color="auto"/>
              <w:left w:val="single" w:sz="12" w:space="0" w:color="auto"/>
              <w:bottom w:val="single" w:sz="12" w:space="0" w:color="auto"/>
              <w:right w:val="single" w:sz="12" w:space="0" w:color="auto"/>
            </w:tcBorders>
            <w:noWrap/>
            <w:vAlign w:val="center"/>
            <w:hideMark/>
          </w:tcPr>
          <w:p w14:paraId="2E3632C5" w14:textId="77777777" w:rsidR="00DC5538" w:rsidRPr="000D3090" w:rsidRDefault="00DC5538" w:rsidP="00B826B9">
            <w:pPr>
              <w:spacing w:after="0" w:line="240" w:lineRule="auto"/>
              <w:jc w:val="center"/>
              <w:rPr>
                <w:b/>
                <w:bCs/>
                <w:color w:val="000000"/>
                <w:sz w:val="20"/>
                <w:szCs w:val="20"/>
              </w:rPr>
            </w:pPr>
            <w:bookmarkStart w:id="19" w:name="_Hlk169788459"/>
            <w:r w:rsidRPr="000D3090">
              <w:rPr>
                <w:b/>
                <w:bCs/>
                <w:color w:val="000000"/>
                <w:sz w:val="20"/>
                <w:szCs w:val="20"/>
              </w:rPr>
              <w:t>Variable</w:t>
            </w:r>
          </w:p>
        </w:tc>
        <w:tc>
          <w:tcPr>
            <w:tcW w:w="2430" w:type="dxa"/>
            <w:vMerge w:val="restart"/>
            <w:tcBorders>
              <w:top w:val="single" w:sz="12" w:space="0" w:color="auto"/>
              <w:left w:val="single" w:sz="12" w:space="0" w:color="auto"/>
              <w:bottom w:val="single" w:sz="12" w:space="0" w:color="auto"/>
              <w:right w:val="nil"/>
            </w:tcBorders>
            <w:noWrap/>
            <w:vAlign w:val="center"/>
            <w:hideMark/>
          </w:tcPr>
          <w:p w14:paraId="704670C0" w14:textId="77777777" w:rsidR="00DC5538" w:rsidRPr="000D3090" w:rsidRDefault="00DC5538" w:rsidP="00B826B9">
            <w:pPr>
              <w:spacing w:after="0" w:line="240" w:lineRule="auto"/>
              <w:jc w:val="center"/>
              <w:rPr>
                <w:b/>
                <w:bCs/>
                <w:color w:val="000000"/>
                <w:sz w:val="20"/>
                <w:szCs w:val="20"/>
              </w:rPr>
            </w:pPr>
            <w:r w:rsidRPr="000D3090">
              <w:rPr>
                <w:b/>
                <w:bCs/>
                <w:color w:val="000000"/>
                <w:sz w:val="20"/>
                <w:szCs w:val="20"/>
              </w:rPr>
              <w:t>Base Level</w:t>
            </w:r>
          </w:p>
        </w:tc>
        <w:tc>
          <w:tcPr>
            <w:tcW w:w="2430" w:type="dxa"/>
            <w:vMerge w:val="restart"/>
            <w:tcBorders>
              <w:top w:val="single" w:sz="12" w:space="0" w:color="auto"/>
              <w:left w:val="nil"/>
              <w:bottom w:val="single" w:sz="12" w:space="0" w:color="auto"/>
              <w:right w:val="single" w:sz="12" w:space="0" w:color="auto"/>
            </w:tcBorders>
            <w:noWrap/>
            <w:vAlign w:val="center"/>
            <w:hideMark/>
          </w:tcPr>
          <w:p w14:paraId="59607700" w14:textId="77777777" w:rsidR="00DC5538" w:rsidRPr="000D3090" w:rsidRDefault="00DC5538" w:rsidP="00B826B9">
            <w:pPr>
              <w:spacing w:after="0" w:line="240" w:lineRule="auto"/>
              <w:jc w:val="center"/>
              <w:rPr>
                <w:b/>
                <w:bCs/>
                <w:color w:val="000000"/>
                <w:sz w:val="20"/>
                <w:szCs w:val="20"/>
              </w:rPr>
            </w:pPr>
            <w:r w:rsidRPr="000D3090">
              <w:rPr>
                <w:b/>
                <w:bCs/>
                <w:color w:val="000000"/>
                <w:sz w:val="20"/>
                <w:szCs w:val="20"/>
              </w:rPr>
              <w:t>Treatment Level</w:t>
            </w:r>
          </w:p>
        </w:tc>
        <w:tc>
          <w:tcPr>
            <w:tcW w:w="990" w:type="dxa"/>
            <w:vMerge w:val="restart"/>
            <w:tcBorders>
              <w:top w:val="single" w:sz="12" w:space="0" w:color="auto"/>
              <w:left w:val="single" w:sz="12" w:space="0" w:color="auto"/>
              <w:bottom w:val="single" w:sz="12" w:space="0" w:color="auto"/>
              <w:right w:val="single" w:sz="12" w:space="0" w:color="auto"/>
            </w:tcBorders>
            <w:vAlign w:val="center"/>
            <w:hideMark/>
          </w:tcPr>
          <w:p w14:paraId="64C22193" w14:textId="77777777" w:rsidR="00DC5538" w:rsidRPr="000D3090" w:rsidRDefault="00DC5538" w:rsidP="00B826B9">
            <w:pPr>
              <w:spacing w:after="0" w:line="240" w:lineRule="auto"/>
              <w:jc w:val="center"/>
              <w:rPr>
                <w:b/>
                <w:bCs/>
                <w:color w:val="000000"/>
                <w:sz w:val="20"/>
                <w:szCs w:val="20"/>
              </w:rPr>
            </w:pPr>
            <w:r w:rsidRPr="000D3090">
              <w:rPr>
                <w:b/>
                <w:bCs/>
                <w:color w:val="000000"/>
                <w:sz w:val="20"/>
                <w:szCs w:val="20"/>
              </w:rPr>
              <w:t>Telework ATE</w:t>
            </w:r>
          </w:p>
        </w:tc>
        <w:tc>
          <w:tcPr>
            <w:tcW w:w="990" w:type="dxa"/>
            <w:vMerge w:val="restart"/>
            <w:tcBorders>
              <w:top w:val="single" w:sz="12" w:space="0" w:color="auto"/>
              <w:left w:val="single" w:sz="12" w:space="0" w:color="auto"/>
              <w:bottom w:val="single" w:sz="12" w:space="0" w:color="auto"/>
              <w:right w:val="single" w:sz="12" w:space="0" w:color="auto"/>
            </w:tcBorders>
            <w:vAlign w:val="center"/>
            <w:hideMark/>
          </w:tcPr>
          <w:p w14:paraId="068EF7CC" w14:textId="4E9897B1" w:rsidR="00DC5538" w:rsidRPr="000D3090" w:rsidRDefault="00B826B9" w:rsidP="00B826B9">
            <w:pPr>
              <w:spacing w:after="0" w:line="240" w:lineRule="auto"/>
              <w:jc w:val="center"/>
              <w:rPr>
                <w:b/>
                <w:bCs/>
                <w:color w:val="000000"/>
                <w:sz w:val="20"/>
                <w:szCs w:val="20"/>
              </w:rPr>
            </w:pPr>
            <w:r w:rsidRPr="000D3090">
              <w:rPr>
                <w:b/>
                <w:bCs/>
                <w:color w:val="000000"/>
                <w:sz w:val="20"/>
                <w:szCs w:val="20"/>
              </w:rPr>
              <w:t xml:space="preserve">Monthly </w:t>
            </w:r>
            <w:r w:rsidR="00DC5538" w:rsidRPr="000D3090">
              <w:rPr>
                <w:b/>
                <w:bCs/>
                <w:color w:val="000000"/>
                <w:sz w:val="20"/>
                <w:szCs w:val="20"/>
              </w:rPr>
              <w:t>Deliveries ATE</w:t>
            </w:r>
          </w:p>
        </w:tc>
        <w:tc>
          <w:tcPr>
            <w:tcW w:w="4500" w:type="dxa"/>
            <w:gridSpan w:val="4"/>
            <w:tcBorders>
              <w:top w:val="single" w:sz="12" w:space="0" w:color="auto"/>
              <w:left w:val="single" w:sz="12" w:space="0" w:color="auto"/>
              <w:bottom w:val="single" w:sz="12" w:space="0" w:color="auto"/>
              <w:right w:val="single" w:sz="12" w:space="0" w:color="auto"/>
            </w:tcBorders>
            <w:noWrap/>
            <w:vAlign w:val="center"/>
            <w:hideMark/>
          </w:tcPr>
          <w:p w14:paraId="35C4F619" w14:textId="77777777" w:rsidR="00DC5538" w:rsidRPr="000D3090" w:rsidRDefault="00DC5538" w:rsidP="00B826B9">
            <w:pPr>
              <w:spacing w:after="0" w:line="240" w:lineRule="auto"/>
              <w:jc w:val="center"/>
              <w:rPr>
                <w:b/>
                <w:bCs/>
                <w:color w:val="000000"/>
                <w:sz w:val="20"/>
                <w:szCs w:val="20"/>
              </w:rPr>
            </w:pPr>
            <w:r w:rsidRPr="000D3090">
              <w:rPr>
                <w:b/>
                <w:bCs/>
                <w:color w:val="000000"/>
                <w:sz w:val="20"/>
                <w:szCs w:val="20"/>
              </w:rPr>
              <w:t>PPD ATE</w:t>
            </w:r>
          </w:p>
        </w:tc>
      </w:tr>
      <w:tr w:rsidR="00B826B9" w:rsidRPr="000D3090" w14:paraId="09DC6902" w14:textId="77777777" w:rsidTr="009A0812">
        <w:trPr>
          <w:trHeight w:val="259"/>
          <w:jc w:val="center"/>
        </w:trPr>
        <w:tc>
          <w:tcPr>
            <w:tcW w:w="2235" w:type="dxa"/>
            <w:vMerge/>
            <w:tcBorders>
              <w:top w:val="single" w:sz="8" w:space="0" w:color="auto"/>
              <w:left w:val="single" w:sz="12" w:space="0" w:color="auto"/>
              <w:bottom w:val="single" w:sz="12" w:space="0" w:color="auto"/>
              <w:right w:val="single" w:sz="12" w:space="0" w:color="auto"/>
            </w:tcBorders>
            <w:vAlign w:val="center"/>
            <w:hideMark/>
          </w:tcPr>
          <w:p w14:paraId="0E58D7F5" w14:textId="77777777" w:rsidR="00DC5538" w:rsidRPr="000D3090" w:rsidRDefault="00DC5538" w:rsidP="00B826B9">
            <w:pPr>
              <w:spacing w:after="0" w:line="240" w:lineRule="auto"/>
              <w:jc w:val="center"/>
              <w:rPr>
                <w:color w:val="000000"/>
                <w:sz w:val="20"/>
                <w:szCs w:val="20"/>
              </w:rPr>
            </w:pPr>
          </w:p>
        </w:tc>
        <w:tc>
          <w:tcPr>
            <w:tcW w:w="2430" w:type="dxa"/>
            <w:vMerge/>
            <w:tcBorders>
              <w:top w:val="single" w:sz="8" w:space="0" w:color="auto"/>
              <w:left w:val="single" w:sz="12" w:space="0" w:color="auto"/>
              <w:bottom w:val="single" w:sz="12" w:space="0" w:color="auto"/>
              <w:right w:val="nil"/>
            </w:tcBorders>
            <w:vAlign w:val="center"/>
            <w:hideMark/>
          </w:tcPr>
          <w:p w14:paraId="01619226" w14:textId="77777777" w:rsidR="00DC5538" w:rsidRPr="000D3090" w:rsidRDefault="00DC5538" w:rsidP="00B826B9">
            <w:pPr>
              <w:spacing w:after="0" w:line="240" w:lineRule="auto"/>
              <w:jc w:val="center"/>
              <w:rPr>
                <w:color w:val="000000"/>
                <w:sz w:val="20"/>
                <w:szCs w:val="20"/>
              </w:rPr>
            </w:pPr>
          </w:p>
        </w:tc>
        <w:tc>
          <w:tcPr>
            <w:tcW w:w="2430" w:type="dxa"/>
            <w:vMerge/>
            <w:tcBorders>
              <w:top w:val="single" w:sz="8" w:space="0" w:color="auto"/>
              <w:left w:val="nil"/>
              <w:bottom w:val="single" w:sz="12" w:space="0" w:color="auto"/>
              <w:right w:val="single" w:sz="12" w:space="0" w:color="auto"/>
            </w:tcBorders>
            <w:vAlign w:val="center"/>
            <w:hideMark/>
          </w:tcPr>
          <w:p w14:paraId="17305B81" w14:textId="77777777" w:rsidR="00DC5538" w:rsidRPr="000D3090" w:rsidRDefault="00DC5538" w:rsidP="00B826B9">
            <w:pPr>
              <w:spacing w:after="0" w:line="240" w:lineRule="auto"/>
              <w:jc w:val="center"/>
              <w:rPr>
                <w:color w:val="000000"/>
                <w:sz w:val="20"/>
                <w:szCs w:val="20"/>
              </w:rPr>
            </w:pPr>
          </w:p>
        </w:tc>
        <w:tc>
          <w:tcPr>
            <w:tcW w:w="990" w:type="dxa"/>
            <w:vMerge/>
            <w:tcBorders>
              <w:top w:val="single" w:sz="8" w:space="0" w:color="auto"/>
              <w:left w:val="single" w:sz="12" w:space="0" w:color="auto"/>
              <w:bottom w:val="single" w:sz="12" w:space="0" w:color="auto"/>
              <w:right w:val="single" w:sz="12" w:space="0" w:color="auto"/>
            </w:tcBorders>
            <w:vAlign w:val="center"/>
            <w:hideMark/>
          </w:tcPr>
          <w:p w14:paraId="353310F9" w14:textId="77777777" w:rsidR="00DC5538" w:rsidRPr="000D3090" w:rsidRDefault="00DC5538" w:rsidP="00B826B9">
            <w:pPr>
              <w:spacing w:after="0" w:line="240" w:lineRule="auto"/>
              <w:jc w:val="center"/>
              <w:rPr>
                <w:color w:val="000000"/>
                <w:sz w:val="20"/>
                <w:szCs w:val="20"/>
              </w:rPr>
            </w:pPr>
          </w:p>
        </w:tc>
        <w:tc>
          <w:tcPr>
            <w:tcW w:w="990" w:type="dxa"/>
            <w:vMerge/>
            <w:tcBorders>
              <w:top w:val="single" w:sz="8" w:space="0" w:color="auto"/>
              <w:left w:val="single" w:sz="12" w:space="0" w:color="auto"/>
              <w:bottom w:val="single" w:sz="12" w:space="0" w:color="auto"/>
              <w:right w:val="single" w:sz="12" w:space="0" w:color="auto"/>
            </w:tcBorders>
            <w:vAlign w:val="center"/>
            <w:hideMark/>
          </w:tcPr>
          <w:p w14:paraId="031EECC7" w14:textId="77777777" w:rsidR="00DC5538" w:rsidRPr="000D3090" w:rsidRDefault="00DC5538" w:rsidP="00B826B9">
            <w:pPr>
              <w:spacing w:after="0" w:line="240" w:lineRule="auto"/>
              <w:jc w:val="center"/>
              <w:rPr>
                <w:color w:val="000000"/>
                <w:sz w:val="20"/>
                <w:szCs w:val="20"/>
              </w:rPr>
            </w:pPr>
          </w:p>
        </w:tc>
        <w:tc>
          <w:tcPr>
            <w:tcW w:w="2610" w:type="dxa"/>
            <w:gridSpan w:val="2"/>
            <w:tcBorders>
              <w:top w:val="single" w:sz="12" w:space="0" w:color="auto"/>
              <w:left w:val="single" w:sz="12" w:space="0" w:color="auto"/>
              <w:bottom w:val="single" w:sz="4" w:space="0" w:color="auto"/>
              <w:right w:val="nil"/>
            </w:tcBorders>
            <w:noWrap/>
            <w:vAlign w:val="center"/>
            <w:hideMark/>
          </w:tcPr>
          <w:p w14:paraId="546E2EA0" w14:textId="77777777" w:rsidR="00DC5538" w:rsidRPr="000D3090" w:rsidRDefault="00DC5538" w:rsidP="00B826B9">
            <w:pPr>
              <w:spacing w:after="0" w:line="240" w:lineRule="auto"/>
              <w:jc w:val="center"/>
              <w:rPr>
                <w:color w:val="000000"/>
                <w:sz w:val="20"/>
                <w:szCs w:val="20"/>
              </w:rPr>
            </w:pPr>
            <w:r w:rsidRPr="000D3090">
              <w:rPr>
                <w:color w:val="000000"/>
                <w:sz w:val="20"/>
                <w:szCs w:val="20"/>
              </w:rPr>
              <w:t>Percent Contribution Through</w:t>
            </w:r>
          </w:p>
        </w:tc>
        <w:tc>
          <w:tcPr>
            <w:tcW w:w="1170" w:type="dxa"/>
            <w:vMerge w:val="restart"/>
            <w:tcBorders>
              <w:top w:val="single" w:sz="12" w:space="0" w:color="auto"/>
              <w:left w:val="nil"/>
              <w:bottom w:val="single" w:sz="8" w:space="0" w:color="000000"/>
              <w:right w:val="single" w:sz="4" w:space="0" w:color="auto"/>
            </w:tcBorders>
            <w:vAlign w:val="center"/>
            <w:hideMark/>
          </w:tcPr>
          <w:p w14:paraId="21FF8549" w14:textId="77777777" w:rsidR="00DC5538" w:rsidRPr="000D3090" w:rsidRDefault="00DC5538" w:rsidP="00B826B9">
            <w:pPr>
              <w:spacing w:after="0" w:line="240" w:lineRule="auto"/>
              <w:jc w:val="center"/>
              <w:rPr>
                <w:color w:val="000000"/>
                <w:sz w:val="20"/>
                <w:szCs w:val="20"/>
              </w:rPr>
            </w:pPr>
            <w:r w:rsidRPr="000D3090">
              <w:rPr>
                <w:color w:val="000000"/>
                <w:sz w:val="20"/>
                <w:szCs w:val="20"/>
              </w:rPr>
              <w:t>Percent Direct Effect</w:t>
            </w:r>
          </w:p>
        </w:tc>
        <w:tc>
          <w:tcPr>
            <w:tcW w:w="720" w:type="dxa"/>
            <w:vMerge w:val="restart"/>
            <w:tcBorders>
              <w:top w:val="single" w:sz="12" w:space="0" w:color="auto"/>
              <w:left w:val="single" w:sz="4" w:space="0" w:color="auto"/>
              <w:bottom w:val="single" w:sz="8" w:space="0" w:color="000000"/>
              <w:right w:val="single" w:sz="12" w:space="0" w:color="auto"/>
            </w:tcBorders>
            <w:noWrap/>
            <w:vAlign w:val="center"/>
            <w:hideMark/>
          </w:tcPr>
          <w:p w14:paraId="62A90973" w14:textId="35653E03" w:rsidR="00DC5538" w:rsidRPr="000D3090" w:rsidRDefault="00B23176" w:rsidP="00B826B9">
            <w:pPr>
              <w:spacing w:after="0" w:line="240" w:lineRule="auto"/>
              <w:jc w:val="center"/>
              <w:rPr>
                <w:color w:val="000000"/>
                <w:sz w:val="20"/>
                <w:szCs w:val="20"/>
              </w:rPr>
            </w:pPr>
            <w:r w:rsidRPr="000D3090">
              <w:rPr>
                <w:color w:val="000000"/>
                <w:sz w:val="20"/>
                <w:szCs w:val="20"/>
              </w:rPr>
              <w:t xml:space="preserve">Total </w:t>
            </w:r>
            <w:r w:rsidR="00DC5538" w:rsidRPr="000D3090">
              <w:rPr>
                <w:color w:val="000000"/>
                <w:sz w:val="20"/>
                <w:szCs w:val="20"/>
              </w:rPr>
              <w:t>ATE</w:t>
            </w:r>
          </w:p>
        </w:tc>
      </w:tr>
      <w:tr w:rsidR="00B826B9" w:rsidRPr="000D3090" w14:paraId="385B30F9" w14:textId="77777777" w:rsidTr="009A0812">
        <w:trPr>
          <w:trHeight w:val="259"/>
          <w:jc w:val="center"/>
        </w:trPr>
        <w:tc>
          <w:tcPr>
            <w:tcW w:w="2235" w:type="dxa"/>
            <w:vMerge/>
            <w:tcBorders>
              <w:top w:val="single" w:sz="8" w:space="0" w:color="auto"/>
              <w:left w:val="single" w:sz="12" w:space="0" w:color="auto"/>
              <w:bottom w:val="single" w:sz="12" w:space="0" w:color="auto"/>
              <w:right w:val="single" w:sz="12" w:space="0" w:color="auto"/>
            </w:tcBorders>
            <w:vAlign w:val="center"/>
            <w:hideMark/>
          </w:tcPr>
          <w:p w14:paraId="67B5183D" w14:textId="77777777" w:rsidR="00DC5538" w:rsidRPr="000D3090" w:rsidRDefault="00DC5538" w:rsidP="00B826B9">
            <w:pPr>
              <w:spacing w:after="0" w:line="240" w:lineRule="auto"/>
              <w:jc w:val="center"/>
              <w:rPr>
                <w:color w:val="000000"/>
                <w:sz w:val="20"/>
                <w:szCs w:val="20"/>
              </w:rPr>
            </w:pPr>
          </w:p>
        </w:tc>
        <w:tc>
          <w:tcPr>
            <w:tcW w:w="2430" w:type="dxa"/>
            <w:vMerge/>
            <w:tcBorders>
              <w:top w:val="single" w:sz="8" w:space="0" w:color="auto"/>
              <w:left w:val="single" w:sz="12" w:space="0" w:color="auto"/>
              <w:bottom w:val="single" w:sz="12" w:space="0" w:color="auto"/>
              <w:right w:val="nil"/>
            </w:tcBorders>
            <w:vAlign w:val="center"/>
            <w:hideMark/>
          </w:tcPr>
          <w:p w14:paraId="296FC3F0" w14:textId="77777777" w:rsidR="00DC5538" w:rsidRPr="000D3090" w:rsidRDefault="00DC5538" w:rsidP="00B826B9">
            <w:pPr>
              <w:spacing w:after="0" w:line="240" w:lineRule="auto"/>
              <w:jc w:val="center"/>
              <w:rPr>
                <w:color w:val="000000"/>
                <w:sz w:val="20"/>
                <w:szCs w:val="20"/>
              </w:rPr>
            </w:pPr>
          </w:p>
        </w:tc>
        <w:tc>
          <w:tcPr>
            <w:tcW w:w="2430" w:type="dxa"/>
            <w:vMerge/>
            <w:tcBorders>
              <w:top w:val="single" w:sz="8" w:space="0" w:color="auto"/>
              <w:left w:val="nil"/>
              <w:bottom w:val="single" w:sz="12" w:space="0" w:color="auto"/>
              <w:right w:val="single" w:sz="12" w:space="0" w:color="auto"/>
            </w:tcBorders>
            <w:vAlign w:val="center"/>
            <w:hideMark/>
          </w:tcPr>
          <w:p w14:paraId="3FBC979E" w14:textId="77777777" w:rsidR="00DC5538" w:rsidRPr="000D3090" w:rsidRDefault="00DC5538" w:rsidP="00B826B9">
            <w:pPr>
              <w:spacing w:after="0" w:line="240" w:lineRule="auto"/>
              <w:jc w:val="center"/>
              <w:rPr>
                <w:color w:val="000000"/>
                <w:sz w:val="20"/>
                <w:szCs w:val="20"/>
              </w:rPr>
            </w:pPr>
          </w:p>
        </w:tc>
        <w:tc>
          <w:tcPr>
            <w:tcW w:w="990" w:type="dxa"/>
            <w:vMerge/>
            <w:tcBorders>
              <w:top w:val="single" w:sz="8" w:space="0" w:color="auto"/>
              <w:left w:val="single" w:sz="12" w:space="0" w:color="auto"/>
              <w:bottom w:val="single" w:sz="12" w:space="0" w:color="auto"/>
              <w:right w:val="single" w:sz="12" w:space="0" w:color="auto"/>
            </w:tcBorders>
            <w:vAlign w:val="center"/>
            <w:hideMark/>
          </w:tcPr>
          <w:p w14:paraId="4111628A" w14:textId="77777777" w:rsidR="00DC5538" w:rsidRPr="000D3090" w:rsidRDefault="00DC5538" w:rsidP="00B826B9">
            <w:pPr>
              <w:spacing w:after="0" w:line="240" w:lineRule="auto"/>
              <w:jc w:val="center"/>
              <w:rPr>
                <w:color w:val="000000"/>
                <w:sz w:val="20"/>
                <w:szCs w:val="20"/>
              </w:rPr>
            </w:pPr>
          </w:p>
        </w:tc>
        <w:tc>
          <w:tcPr>
            <w:tcW w:w="990" w:type="dxa"/>
            <w:vMerge/>
            <w:tcBorders>
              <w:top w:val="single" w:sz="8" w:space="0" w:color="auto"/>
              <w:left w:val="single" w:sz="12" w:space="0" w:color="auto"/>
              <w:bottom w:val="single" w:sz="12" w:space="0" w:color="auto"/>
              <w:right w:val="single" w:sz="12" w:space="0" w:color="auto"/>
            </w:tcBorders>
            <w:vAlign w:val="center"/>
            <w:hideMark/>
          </w:tcPr>
          <w:p w14:paraId="52FE0F50" w14:textId="77777777" w:rsidR="00DC5538" w:rsidRPr="000D3090" w:rsidRDefault="00DC5538" w:rsidP="00B826B9">
            <w:pPr>
              <w:spacing w:after="0" w:line="240" w:lineRule="auto"/>
              <w:jc w:val="center"/>
              <w:rPr>
                <w:color w:val="000000"/>
                <w:sz w:val="20"/>
                <w:szCs w:val="20"/>
              </w:rPr>
            </w:pPr>
          </w:p>
        </w:tc>
        <w:tc>
          <w:tcPr>
            <w:tcW w:w="1170" w:type="dxa"/>
            <w:tcBorders>
              <w:top w:val="nil"/>
              <w:left w:val="single" w:sz="12" w:space="0" w:color="auto"/>
              <w:bottom w:val="single" w:sz="12" w:space="0" w:color="auto"/>
              <w:right w:val="nil"/>
            </w:tcBorders>
            <w:noWrap/>
            <w:vAlign w:val="center"/>
            <w:hideMark/>
          </w:tcPr>
          <w:p w14:paraId="779E5F54" w14:textId="77777777" w:rsidR="00DC5538" w:rsidRPr="000D3090" w:rsidRDefault="00DC5538" w:rsidP="00B826B9">
            <w:pPr>
              <w:spacing w:after="0" w:line="240" w:lineRule="auto"/>
              <w:jc w:val="center"/>
              <w:rPr>
                <w:color w:val="000000"/>
                <w:sz w:val="20"/>
                <w:szCs w:val="20"/>
              </w:rPr>
            </w:pPr>
            <w:r w:rsidRPr="000D3090">
              <w:rPr>
                <w:color w:val="000000"/>
                <w:sz w:val="20"/>
                <w:szCs w:val="20"/>
              </w:rPr>
              <w:t>Telework</w:t>
            </w:r>
          </w:p>
        </w:tc>
        <w:tc>
          <w:tcPr>
            <w:tcW w:w="1440" w:type="dxa"/>
            <w:tcBorders>
              <w:top w:val="nil"/>
              <w:left w:val="nil"/>
              <w:bottom w:val="single" w:sz="12" w:space="0" w:color="auto"/>
              <w:right w:val="nil"/>
            </w:tcBorders>
            <w:noWrap/>
            <w:vAlign w:val="center"/>
            <w:hideMark/>
          </w:tcPr>
          <w:p w14:paraId="11BC0F9B" w14:textId="77777777" w:rsidR="00DC5538" w:rsidRPr="000D3090" w:rsidRDefault="00DC5538" w:rsidP="00B826B9">
            <w:pPr>
              <w:spacing w:after="0" w:line="240" w:lineRule="auto"/>
              <w:jc w:val="center"/>
              <w:rPr>
                <w:color w:val="000000"/>
                <w:sz w:val="20"/>
                <w:szCs w:val="20"/>
              </w:rPr>
            </w:pPr>
            <w:r w:rsidRPr="000D3090">
              <w:rPr>
                <w:color w:val="000000"/>
                <w:sz w:val="20"/>
                <w:szCs w:val="20"/>
              </w:rPr>
              <w:t>Deliveries</w:t>
            </w:r>
          </w:p>
        </w:tc>
        <w:tc>
          <w:tcPr>
            <w:tcW w:w="1170" w:type="dxa"/>
            <w:vMerge/>
            <w:tcBorders>
              <w:top w:val="nil"/>
              <w:left w:val="nil"/>
              <w:bottom w:val="single" w:sz="12" w:space="0" w:color="auto"/>
              <w:right w:val="single" w:sz="4" w:space="0" w:color="auto"/>
            </w:tcBorders>
            <w:vAlign w:val="center"/>
            <w:hideMark/>
          </w:tcPr>
          <w:p w14:paraId="76AF6AF9" w14:textId="77777777" w:rsidR="00DC5538" w:rsidRPr="000D3090" w:rsidRDefault="00DC5538" w:rsidP="00B826B9">
            <w:pPr>
              <w:spacing w:after="0" w:line="240" w:lineRule="auto"/>
              <w:jc w:val="center"/>
              <w:rPr>
                <w:color w:val="000000"/>
                <w:sz w:val="20"/>
                <w:szCs w:val="20"/>
              </w:rPr>
            </w:pPr>
          </w:p>
        </w:tc>
        <w:tc>
          <w:tcPr>
            <w:tcW w:w="720" w:type="dxa"/>
            <w:vMerge/>
            <w:tcBorders>
              <w:top w:val="nil"/>
              <w:left w:val="single" w:sz="4" w:space="0" w:color="auto"/>
              <w:bottom w:val="single" w:sz="12" w:space="0" w:color="auto"/>
              <w:right w:val="single" w:sz="12" w:space="0" w:color="auto"/>
            </w:tcBorders>
            <w:vAlign w:val="center"/>
            <w:hideMark/>
          </w:tcPr>
          <w:p w14:paraId="42A7BF1A" w14:textId="77777777" w:rsidR="00DC5538" w:rsidRPr="000D3090" w:rsidRDefault="00DC5538" w:rsidP="00B826B9">
            <w:pPr>
              <w:spacing w:after="0" w:line="240" w:lineRule="auto"/>
              <w:jc w:val="center"/>
              <w:rPr>
                <w:color w:val="000000"/>
                <w:sz w:val="20"/>
                <w:szCs w:val="20"/>
              </w:rPr>
            </w:pPr>
          </w:p>
        </w:tc>
      </w:tr>
      <w:tr w:rsidR="003553BE" w:rsidRPr="000D3090" w14:paraId="68E77F90" w14:textId="77777777" w:rsidTr="009A0812">
        <w:trPr>
          <w:trHeight w:val="259"/>
          <w:jc w:val="center"/>
        </w:trPr>
        <w:tc>
          <w:tcPr>
            <w:tcW w:w="13575" w:type="dxa"/>
            <w:gridSpan w:val="9"/>
            <w:tcBorders>
              <w:top w:val="single" w:sz="12" w:space="0" w:color="auto"/>
              <w:left w:val="single" w:sz="12" w:space="0" w:color="auto"/>
              <w:bottom w:val="single" w:sz="6" w:space="0" w:color="auto"/>
              <w:right w:val="single" w:sz="12" w:space="0" w:color="auto"/>
            </w:tcBorders>
            <w:noWrap/>
            <w:vAlign w:val="center"/>
          </w:tcPr>
          <w:p w14:paraId="5E687899" w14:textId="549C6255" w:rsidR="003553BE" w:rsidRPr="000D3090" w:rsidRDefault="00BB42F5" w:rsidP="006F4E14">
            <w:pPr>
              <w:spacing w:after="0" w:line="240" w:lineRule="auto"/>
              <w:rPr>
                <w:b/>
                <w:bCs/>
                <w:color w:val="000000"/>
                <w:sz w:val="20"/>
                <w:szCs w:val="20"/>
              </w:rPr>
            </w:pPr>
            <w:r w:rsidRPr="000D3090">
              <w:rPr>
                <w:b/>
                <w:bCs/>
                <w:color w:val="000000"/>
                <w:sz w:val="20"/>
                <w:szCs w:val="20"/>
              </w:rPr>
              <w:t>Household Location</w:t>
            </w:r>
          </w:p>
        </w:tc>
      </w:tr>
      <w:tr w:rsidR="00BB42F5" w:rsidRPr="000D3090" w14:paraId="0937CAFC" w14:textId="77777777" w:rsidTr="009A0812">
        <w:trPr>
          <w:trHeight w:val="259"/>
          <w:jc w:val="center"/>
        </w:trPr>
        <w:tc>
          <w:tcPr>
            <w:tcW w:w="2235" w:type="dxa"/>
            <w:tcBorders>
              <w:top w:val="single" w:sz="6" w:space="0" w:color="auto"/>
              <w:left w:val="single" w:sz="12" w:space="0" w:color="auto"/>
              <w:right w:val="single" w:sz="12" w:space="0" w:color="auto"/>
            </w:tcBorders>
            <w:noWrap/>
            <w:vAlign w:val="center"/>
          </w:tcPr>
          <w:p w14:paraId="1D7282D9" w14:textId="0E752A21" w:rsidR="00BB42F5" w:rsidRPr="000D3090" w:rsidRDefault="00BB42F5" w:rsidP="002517BE">
            <w:pPr>
              <w:spacing w:after="0" w:line="240" w:lineRule="auto"/>
              <w:rPr>
                <w:color w:val="000000"/>
                <w:sz w:val="20"/>
                <w:szCs w:val="20"/>
              </w:rPr>
            </w:pPr>
            <w:r w:rsidRPr="000D3090">
              <w:rPr>
                <w:color w:val="000000"/>
                <w:sz w:val="20"/>
                <w:szCs w:val="20"/>
              </w:rPr>
              <w:t>Household Location Type</w:t>
            </w:r>
          </w:p>
        </w:tc>
        <w:tc>
          <w:tcPr>
            <w:tcW w:w="2430" w:type="dxa"/>
            <w:tcBorders>
              <w:top w:val="single" w:sz="6" w:space="0" w:color="auto"/>
              <w:left w:val="single" w:sz="12" w:space="0" w:color="auto"/>
              <w:right w:val="nil"/>
            </w:tcBorders>
            <w:noWrap/>
            <w:vAlign w:val="center"/>
          </w:tcPr>
          <w:p w14:paraId="4D126FC2" w14:textId="3FDDDFE6" w:rsidR="00BB42F5" w:rsidRPr="000D3090" w:rsidRDefault="00BB42F5" w:rsidP="002517BE">
            <w:pPr>
              <w:spacing w:after="0" w:line="240" w:lineRule="auto"/>
              <w:rPr>
                <w:color w:val="000000"/>
                <w:sz w:val="20"/>
                <w:szCs w:val="20"/>
              </w:rPr>
            </w:pPr>
            <w:r w:rsidRPr="000D3090">
              <w:rPr>
                <w:color w:val="000000"/>
                <w:sz w:val="20"/>
                <w:szCs w:val="20"/>
              </w:rPr>
              <w:t>Urban</w:t>
            </w:r>
          </w:p>
        </w:tc>
        <w:tc>
          <w:tcPr>
            <w:tcW w:w="2430" w:type="dxa"/>
            <w:tcBorders>
              <w:top w:val="single" w:sz="6" w:space="0" w:color="auto"/>
              <w:left w:val="nil"/>
              <w:right w:val="single" w:sz="12" w:space="0" w:color="auto"/>
            </w:tcBorders>
            <w:noWrap/>
            <w:vAlign w:val="center"/>
          </w:tcPr>
          <w:p w14:paraId="575656C4" w14:textId="3DE33EF7" w:rsidR="00BB42F5" w:rsidRPr="000D3090" w:rsidRDefault="00BB42F5" w:rsidP="002517BE">
            <w:pPr>
              <w:spacing w:after="0" w:line="240" w:lineRule="auto"/>
              <w:rPr>
                <w:color w:val="000000"/>
                <w:sz w:val="20"/>
                <w:szCs w:val="20"/>
              </w:rPr>
            </w:pPr>
            <w:r w:rsidRPr="000D3090">
              <w:rPr>
                <w:color w:val="000000"/>
                <w:sz w:val="20"/>
                <w:szCs w:val="20"/>
              </w:rPr>
              <w:t>Rural</w:t>
            </w:r>
          </w:p>
        </w:tc>
        <w:tc>
          <w:tcPr>
            <w:tcW w:w="990" w:type="dxa"/>
            <w:tcBorders>
              <w:top w:val="single" w:sz="6" w:space="0" w:color="auto"/>
              <w:left w:val="single" w:sz="12" w:space="0" w:color="auto"/>
              <w:right w:val="single" w:sz="12" w:space="0" w:color="auto"/>
            </w:tcBorders>
            <w:noWrap/>
            <w:vAlign w:val="center"/>
          </w:tcPr>
          <w:p w14:paraId="264B8F9F" w14:textId="51F35D5A" w:rsidR="00BB42F5" w:rsidRPr="000D3090" w:rsidRDefault="00BB42F5" w:rsidP="002517BE">
            <w:pPr>
              <w:tabs>
                <w:tab w:val="decimal" w:pos="211"/>
              </w:tabs>
              <w:spacing w:after="0" w:line="240" w:lineRule="auto"/>
              <w:jc w:val="center"/>
              <w:rPr>
                <w:color w:val="000000"/>
                <w:sz w:val="20"/>
                <w:szCs w:val="20"/>
              </w:rPr>
            </w:pPr>
            <w:r w:rsidRPr="000D3090">
              <w:rPr>
                <w:color w:val="000000"/>
                <w:sz w:val="20"/>
                <w:szCs w:val="20"/>
              </w:rPr>
              <w:t>-0.3</w:t>
            </w:r>
            <w:r w:rsidR="001C6215" w:rsidRPr="000D3090">
              <w:rPr>
                <w:color w:val="000000"/>
                <w:sz w:val="20"/>
                <w:szCs w:val="20"/>
              </w:rPr>
              <w:t>1</w:t>
            </w:r>
          </w:p>
        </w:tc>
        <w:tc>
          <w:tcPr>
            <w:tcW w:w="990" w:type="dxa"/>
            <w:tcBorders>
              <w:top w:val="single" w:sz="6" w:space="0" w:color="auto"/>
              <w:left w:val="single" w:sz="12" w:space="0" w:color="auto"/>
              <w:right w:val="single" w:sz="12" w:space="0" w:color="auto"/>
            </w:tcBorders>
            <w:noWrap/>
            <w:vAlign w:val="center"/>
          </w:tcPr>
          <w:p w14:paraId="3BD18840" w14:textId="00511473" w:rsidR="00BB42F5" w:rsidRPr="000D3090" w:rsidRDefault="00BB42F5" w:rsidP="00BB42F5">
            <w:pPr>
              <w:tabs>
                <w:tab w:val="decimal" w:pos="211"/>
              </w:tabs>
              <w:spacing w:after="0" w:line="240" w:lineRule="auto"/>
              <w:jc w:val="center"/>
              <w:rPr>
                <w:color w:val="000000"/>
                <w:sz w:val="20"/>
                <w:szCs w:val="20"/>
              </w:rPr>
            </w:pPr>
            <w:r w:rsidRPr="000D3090">
              <w:rPr>
                <w:color w:val="000000"/>
                <w:sz w:val="20"/>
                <w:szCs w:val="20"/>
              </w:rPr>
              <w:t>-0.2</w:t>
            </w:r>
            <w:r w:rsidR="001C6215" w:rsidRPr="000D3090">
              <w:rPr>
                <w:color w:val="000000"/>
                <w:sz w:val="20"/>
                <w:szCs w:val="20"/>
              </w:rPr>
              <w:t>8</w:t>
            </w:r>
          </w:p>
        </w:tc>
        <w:tc>
          <w:tcPr>
            <w:tcW w:w="1170" w:type="dxa"/>
            <w:tcBorders>
              <w:top w:val="single" w:sz="6" w:space="0" w:color="auto"/>
              <w:left w:val="single" w:sz="12" w:space="0" w:color="auto"/>
              <w:right w:val="nil"/>
            </w:tcBorders>
            <w:noWrap/>
            <w:vAlign w:val="center"/>
          </w:tcPr>
          <w:p w14:paraId="7064CFA5" w14:textId="418A2F95" w:rsidR="00BB42F5" w:rsidRPr="000D3090" w:rsidRDefault="001C6215" w:rsidP="00BB42F5">
            <w:pPr>
              <w:tabs>
                <w:tab w:val="decimal" w:pos="211"/>
              </w:tabs>
              <w:spacing w:after="0" w:line="240" w:lineRule="auto"/>
              <w:jc w:val="center"/>
              <w:rPr>
                <w:color w:val="000000"/>
                <w:sz w:val="20"/>
                <w:szCs w:val="20"/>
              </w:rPr>
            </w:pPr>
            <w:r w:rsidRPr="000D3090">
              <w:rPr>
                <w:color w:val="000000"/>
                <w:sz w:val="20"/>
                <w:szCs w:val="20"/>
              </w:rPr>
              <w:t>14</w:t>
            </w:r>
          </w:p>
        </w:tc>
        <w:tc>
          <w:tcPr>
            <w:tcW w:w="1440" w:type="dxa"/>
            <w:tcBorders>
              <w:top w:val="single" w:sz="6" w:space="0" w:color="auto"/>
              <w:left w:val="nil"/>
              <w:right w:val="nil"/>
            </w:tcBorders>
            <w:noWrap/>
            <w:vAlign w:val="center"/>
          </w:tcPr>
          <w:p w14:paraId="667EE952" w14:textId="6D503C9F" w:rsidR="00BB42F5" w:rsidRPr="000D3090" w:rsidRDefault="001C6215" w:rsidP="00BB42F5">
            <w:pPr>
              <w:tabs>
                <w:tab w:val="decimal" w:pos="211"/>
              </w:tabs>
              <w:spacing w:after="0" w:line="240" w:lineRule="auto"/>
              <w:jc w:val="center"/>
              <w:rPr>
                <w:color w:val="000000"/>
                <w:sz w:val="20"/>
                <w:szCs w:val="20"/>
              </w:rPr>
            </w:pPr>
            <w:r w:rsidRPr="000D3090">
              <w:rPr>
                <w:color w:val="000000"/>
                <w:sz w:val="20"/>
                <w:szCs w:val="20"/>
              </w:rPr>
              <w:t>12</w:t>
            </w:r>
          </w:p>
        </w:tc>
        <w:tc>
          <w:tcPr>
            <w:tcW w:w="1170" w:type="dxa"/>
            <w:tcBorders>
              <w:top w:val="single" w:sz="6" w:space="0" w:color="auto"/>
              <w:left w:val="nil"/>
              <w:right w:val="single" w:sz="4" w:space="0" w:color="auto"/>
            </w:tcBorders>
            <w:noWrap/>
            <w:vAlign w:val="center"/>
          </w:tcPr>
          <w:p w14:paraId="2DC9DCB6" w14:textId="3A3291A7" w:rsidR="00BB42F5" w:rsidRPr="000D3090" w:rsidRDefault="001C6215" w:rsidP="00BB42F5">
            <w:pPr>
              <w:tabs>
                <w:tab w:val="decimal" w:pos="211"/>
              </w:tabs>
              <w:spacing w:after="0" w:line="240" w:lineRule="auto"/>
              <w:jc w:val="center"/>
              <w:rPr>
                <w:color w:val="000000"/>
                <w:sz w:val="20"/>
                <w:szCs w:val="20"/>
              </w:rPr>
            </w:pPr>
            <w:r w:rsidRPr="000D3090">
              <w:rPr>
                <w:color w:val="000000"/>
                <w:sz w:val="20"/>
                <w:szCs w:val="20"/>
              </w:rPr>
              <w:t>74</w:t>
            </w:r>
          </w:p>
        </w:tc>
        <w:tc>
          <w:tcPr>
            <w:tcW w:w="720" w:type="dxa"/>
            <w:tcBorders>
              <w:top w:val="single" w:sz="6" w:space="0" w:color="auto"/>
              <w:left w:val="single" w:sz="4" w:space="0" w:color="auto"/>
              <w:right w:val="single" w:sz="12" w:space="0" w:color="auto"/>
            </w:tcBorders>
            <w:noWrap/>
            <w:vAlign w:val="center"/>
          </w:tcPr>
          <w:p w14:paraId="3424F780" w14:textId="410A911B" w:rsidR="00BB42F5" w:rsidRPr="000D3090" w:rsidRDefault="00BB42F5" w:rsidP="00BB42F5">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1.98</w:t>
            </w:r>
          </w:p>
        </w:tc>
      </w:tr>
      <w:tr w:rsidR="00F82AFE" w:rsidRPr="000D3090" w14:paraId="1038B752" w14:textId="77777777" w:rsidTr="009A0812">
        <w:trPr>
          <w:trHeight w:val="259"/>
          <w:jc w:val="center"/>
        </w:trPr>
        <w:tc>
          <w:tcPr>
            <w:tcW w:w="2235" w:type="dxa"/>
            <w:tcBorders>
              <w:left w:val="single" w:sz="12" w:space="0" w:color="auto"/>
              <w:bottom w:val="nil"/>
              <w:right w:val="single" w:sz="12" w:space="0" w:color="auto"/>
            </w:tcBorders>
            <w:noWrap/>
            <w:vAlign w:val="center"/>
          </w:tcPr>
          <w:p w14:paraId="7C926B50" w14:textId="3149B43E" w:rsidR="004905AA" w:rsidRPr="000D3090" w:rsidRDefault="004905AA" w:rsidP="002517BE">
            <w:pPr>
              <w:spacing w:after="0" w:line="240" w:lineRule="auto"/>
              <w:rPr>
                <w:color w:val="000000"/>
                <w:sz w:val="20"/>
                <w:szCs w:val="20"/>
              </w:rPr>
            </w:pPr>
            <w:r w:rsidRPr="000D3090">
              <w:rPr>
                <w:color w:val="000000"/>
                <w:sz w:val="20"/>
                <w:szCs w:val="20"/>
              </w:rPr>
              <w:t>Road Network Density</w:t>
            </w:r>
          </w:p>
        </w:tc>
        <w:tc>
          <w:tcPr>
            <w:tcW w:w="2430" w:type="dxa"/>
            <w:tcBorders>
              <w:left w:val="single" w:sz="12" w:space="0" w:color="auto"/>
              <w:bottom w:val="nil"/>
              <w:right w:val="nil"/>
            </w:tcBorders>
            <w:noWrap/>
            <w:vAlign w:val="center"/>
          </w:tcPr>
          <w:p w14:paraId="182BE9E8" w14:textId="70656552" w:rsidR="004905AA" w:rsidRPr="000D3090" w:rsidRDefault="004905AA" w:rsidP="002517BE">
            <w:pPr>
              <w:spacing w:after="0" w:line="240" w:lineRule="auto"/>
              <w:rPr>
                <w:color w:val="000000"/>
                <w:sz w:val="20"/>
                <w:szCs w:val="20"/>
              </w:rPr>
            </w:pPr>
            <w:r w:rsidRPr="000D3090">
              <w:rPr>
                <w:color w:val="000000"/>
                <w:sz w:val="20"/>
                <w:szCs w:val="20"/>
              </w:rPr>
              <w:t xml:space="preserve">0 – 9 </w:t>
            </w:r>
          </w:p>
        </w:tc>
        <w:tc>
          <w:tcPr>
            <w:tcW w:w="2430" w:type="dxa"/>
            <w:tcBorders>
              <w:left w:val="nil"/>
              <w:bottom w:val="nil"/>
              <w:right w:val="single" w:sz="12" w:space="0" w:color="auto"/>
            </w:tcBorders>
            <w:noWrap/>
            <w:vAlign w:val="center"/>
          </w:tcPr>
          <w:p w14:paraId="67B916E9" w14:textId="3984DA7F" w:rsidR="004905AA" w:rsidRPr="000D3090" w:rsidRDefault="004905AA" w:rsidP="002517BE">
            <w:pPr>
              <w:spacing w:after="0" w:line="240" w:lineRule="auto"/>
              <w:rPr>
                <w:color w:val="000000"/>
                <w:sz w:val="20"/>
                <w:szCs w:val="20"/>
              </w:rPr>
            </w:pPr>
            <w:r w:rsidRPr="000D3090">
              <w:rPr>
                <w:color w:val="000000"/>
                <w:sz w:val="20"/>
                <w:szCs w:val="20"/>
              </w:rPr>
              <w:t>20 or more</w:t>
            </w:r>
          </w:p>
        </w:tc>
        <w:tc>
          <w:tcPr>
            <w:tcW w:w="990" w:type="dxa"/>
            <w:tcBorders>
              <w:left w:val="single" w:sz="12" w:space="0" w:color="auto"/>
              <w:bottom w:val="nil"/>
              <w:right w:val="single" w:sz="12" w:space="0" w:color="auto"/>
            </w:tcBorders>
            <w:noWrap/>
            <w:vAlign w:val="center"/>
          </w:tcPr>
          <w:p w14:paraId="42B0DA3C" w14:textId="43CC9A42" w:rsidR="004905AA" w:rsidRPr="000D3090" w:rsidRDefault="004905AA" w:rsidP="002517BE">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left w:val="single" w:sz="12" w:space="0" w:color="auto"/>
              <w:bottom w:val="nil"/>
              <w:right w:val="single" w:sz="12" w:space="0" w:color="auto"/>
            </w:tcBorders>
            <w:noWrap/>
            <w:vAlign w:val="center"/>
          </w:tcPr>
          <w:p w14:paraId="15B117BA" w14:textId="79076D0D" w:rsidR="004905AA" w:rsidRPr="000D3090" w:rsidRDefault="004905AA" w:rsidP="004905AA">
            <w:pPr>
              <w:tabs>
                <w:tab w:val="decimal" w:pos="211"/>
              </w:tabs>
              <w:spacing w:after="0" w:line="240" w:lineRule="auto"/>
              <w:jc w:val="center"/>
              <w:rPr>
                <w:color w:val="000000"/>
                <w:sz w:val="20"/>
                <w:szCs w:val="20"/>
              </w:rPr>
            </w:pPr>
            <w:r w:rsidRPr="000D3090">
              <w:rPr>
                <w:color w:val="000000"/>
                <w:sz w:val="20"/>
                <w:szCs w:val="20"/>
              </w:rPr>
              <w:t>-0.39</w:t>
            </w:r>
          </w:p>
        </w:tc>
        <w:tc>
          <w:tcPr>
            <w:tcW w:w="1170" w:type="dxa"/>
            <w:tcBorders>
              <w:left w:val="single" w:sz="12" w:space="0" w:color="auto"/>
              <w:bottom w:val="nil"/>
              <w:right w:val="nil"/>
            </w:tcBorders>
            <w:noWrap/>
            <w:vAlign w:val="center"/>
          </w:tcPr>
          <w:p w14:paraId="45E7EB93" w14:textId="73C51DE5" w:rsidR="004905AA" w:rsidRPr="000D3090" w:rsidRDefault="004905AA" w:rsidP="004905AA">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left w:val="nil"/>
              <w:bottom w:val="nil"/>
              <w:right w:val="nil"/>
            </w:tcBorders>
            <w:noWrap/>
            <w:vAlign w:val="center"/>
          </w:tcPr>
          <w:p w14:paraId="6D45384C" w14:textId="22BF8CE9" w:rsidR="004905AA" w:rsidRPr="000D3090" w:rsidRDefault="004905AA" w:rsidP="004905AA">
            <w:pPr>
              <w:tabs>
                <w:tab w:val="decimal" w:pos="211"/>
              </w:tabs>
              <w:spacing w:after="0" w:line="240" w:lineRule="auto"/>
              <w:jc w:val="center"/>
              <w:rPr>
                <w:color w:val="000000"/>
                <w:sz w:val="20"/>
                <w:szCs w:val="20"/>
              </w:rPr>
            </w:pPr>
            <w:r w:rsidRPr="000D3090">
              <w:rPr>
                <w:color w:val="000000"/>
                <w:sz w:val="20"/>
                <w:szCs w:val="20"/>
              </w:rPr>
              <w:t>100</w:t>
            </w:r>
          </w:p>
        </w:tc>
        <w:tc>
          <w:tcPr>
            <w:tcW w:w="1170" w:type="dxa"/>
            <w:tcBorders>
              <w:left w:val="nil"/>
              <w:bottom w:val="nil"/>
              <w:right w:val="single" w:sz="4" w:space="0" w:color="auto"/>
            </w:tcBorders>
            <w:noWrap/>
            <w:vAlign w:val="center"/>
          </w:tcPr>
          <w:p w14:paraId="138DA9E8" w14:textId="271A40F2" w:rsidR="004905AA" w:rsidRPr="000D3090" w:rsidRDefault="004905AA" w:rsidP="004905AA">
            <w:pPr>
              <w:tabs>
                <w:tab w:val="decimal" w:pos="211"/>
              </w:tabs>
              <w:spacing w:after="0" w:line="240" w:lineRule="auto"/>
              <w:jc w:val="center"/>
              <w:rPr>
                <w:color w:val="000000"/>
                <w:sz w:val="20"/>
                <w:szCs w:val="20"/>
              </w:rPr>
            </w:pPr>
            <w:r w:rsidRPr="000D3090">
              <w:rPr>
                <w:color w:val="000000"/>
                <w:sz w:val="20"/>
                <w:szCs w:val="20"/>
              </w:rPr>
              <w:t>0</w:t>
            </w:r>
          </w:p>
        </w:tc>
        <w:tc>
          <w:tcPr>
            <w:tcW w:w="720" w:type="dxa"/>
            <w:tcBorders>
              <w:left w:val="single" w:sz="4" w:space="0" w:color="auto"/>
              <w:bottom w:val="nil"/>
              <w:right w:val="single" w:sz="12" w:space="0" w:color="auto"/>
            </w:tcBorders>
            <w:noWrap/>
            <w:vAlign w:val="center"/>
          </w:tcPr>
          <w:p w14:paraId="3CBBEB25" w14:textId="5BAF4740" w:rsidR="004905AA" w:rsidRPr="000D3090" w:rsidRDefault="004905AA" w:rsidP="004905AA">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0.34</w:t>
            </w:r>
          </w:p>
        </w:tc>
      </w:tr>
      <w:tr w:rsidR="004905AA" w:rsidRPr="000D3090" w14:paraId="16A2C4BD" w14:textId="77777777" w:rsidTr="009A0812">
        <w:trPr>
          <w:trHeight w:val="259"/>
          <w:jc w:val="center"/>
        </w:trPr>
        <w:tc>
          <w:tcPr>
            <w:tcW w:w="2235" w:type="dxa"/>
            <w:tcBorders>
              <w:left w:val="single" w:sz="12" w:space="0" w:color="auto"/>
              <w:right w:val="single" w:sz="12" w:space="0" w:color="auto"/>
            </w:tcBorders>
            <w:noWrap/>
            <w:vAlign w:val="center"/>
          </w:tcPr>
          <w:p w14:paraId="19F8F1A0" w14:textId="6E4E4D89" w:rsidR="004905AA" w:rsidRPr="000D3090" w:rsidDel="00BB42F5" w:rsidRDefault="004905AA" w:rsidP="002517BE">
            <w:pPr>
              <w:spacing w:after="0" w:line="240" w:lineRule="auto"/>
              <w:rPr>
                <w:color w:val="000000"/>
                <w:sz w:val="20"/>
                <w:szCs w:val="20"/>
              </w:rPr>
            </w:pPr>
            <w:r w:rsidRPr="000D3090">
              <w:rPr>
                <w:color w:val="000000"/>
                <w:sz w:val="20"/>
                <w:szCs w:val="20"/>
              </w:rPr>
              <w:t>Employment Density</w:t>
            </w:r>
          </w:p>
        </w:tc>
        <w:tc>
          <w:tcPr>
            <w:tcW w:w="2430" w:type="dxa"/>
            <w:tcBorders>
              <w:left w:val="single" w:sz="12" w:space="0" w:color="auto"/>
              <w:right w:val="nil"/>
            </w:tcBorders>
            <w:noWrap/>
            <w:vAlign w:val="center"/>
          </w:tcPr>
          <w:p w14:paraId="7E5A52A6" w14:textId="6E07EE30" w:rsidR="004905AA" w:rsidRPr="000D3090" w:rsidDel="00BB42F5" w:rsidRDefault="0067403B" w:rsidP="002517BE">
            <w:pPr>
              <w:spacing w:after="0" w:line="240" w:lineRule="auto"/>
              <w:rPr>
                <w:color w:val="000000"/>
                <w:sz w:val="20"/>
                <w:szCs w:val="20"/>
              </w:rPr>
            </w:pPr>
            <w:r w:rsidRPr="000D3090">
              <w:rPr>
                <w:color w:val="000000"/>
                <w:sz w:val="20"/>
                <w:szCs w:val="20"/>
              </w:rPr>
              <w:t>2,000 or more</w:t>
            </w:r>
          </w:p>
        </w:tc>
        <w:tc>
          <w:tcPr>
            <w:tcW w:w="2430" w:type="dxa"/>
            <w:tcBorders>
              <w:left w:val="nil"/>
              <w:right w:val="single" w:sz="12" w:space="0" w:color="auto"/>
            </w:tcBorders>
            <w:noWrap/>
            <w:vAlign w:val="center"/>
          </w:tcPr>
          <w:p w14:paraId="6A21AE1A" w14:textId="27973B46" w:rsidR="004905AA" w:rsidRPr="000D3090" w:rsidDel="00BB42F5" w:rsidRDefault="0067403B" w:rsidP="002517BE">
            <w:pPr>
              <w:spacing w:after="0" w:line="240" w:lineRule="auto"/>
              <w:rPr>
                <w:color w:val="000000"/>
                <w:sz w:val="20"/>
                <w:szCs w:val="20"/>
              </w:rPr>
            </w:pPr>
            <w:r w:rsidRPr="000D3090">
              <w:rPr>
                <w:color w:val="000000"/>
                <w:sz w:val="20"/>
                <w:szCs w:val="20"/>
              </w:rPr>
              <w:t xml:space="preserve">0 – 999 </w:t>
            </w:r>
          </w:p>
        </w:tc>
        <w:tc>
          <w:tcPr>
            <w:tcW w:w="990" w:type="dxa"/>
            <w:tcBorders>
              <w:left w:val="single" w:sz="12" w:space="0" w:color="auto"/>
              <w:right w:val="single" w:sz="12" w:space="0" w:color="auto"/>
            </w:tcBorders>
            <w:noWrap/>
            <w:vAlign w:val="center"/>
          </w:tcPr>
          <w:p w14:paraId="292108C4" w14:textId="7F35F4BA" w:rsidR="004905AA" w:rsidRPr="000D3090" w:rsidDel="00BB42F5" w:rsidRDefault="004905AA" w:rsidP="002517BE">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left w:val="single" w:sz="12" w:space="0" w:color="auto"/>
              <w:right w:val="single" w:sz="12" w:space="0" w:color="auto"/>
            </w:tcBorders>
            <w:noWrap/>
            <w:vAlign w:val="center"/>
          </w:tcPr>
          <w:p w14:paraId="735A2190" w14:textId="45DA7D9B" w:rsidR="004905AA" w:rsidRPr="000D3090" w:rsidDel="00BB42F5" w:rsidRDefault="0067403B" w:rsidP="004905AA">
            <w:pPr>
              <w:tabs>
                <w:tab w:val="decimal" w:pos="211"/>
              </w:tabs>
              <w:spacing w:after="0" w:line="240" w:lineRule="auto"/>
              <w:jc w:val="center"/>
              <w:rPr>
                <w:color w:val="000000"/>
                <w:sz w:val="20"/>
                <w:szCs w:val="20"/>
              </w:rPr>
            </w:pPr>
            <w:r w:rsidRPr="000D3090">
              <w:rPr>
                <w:color w:val="000000"/>
                <w:sz w:val="20"/>
                <w:szCs w:val="20"/>
              </w:rPr>
              <w:t>-</w:t>
            </w:r>
            <w:r w:rsidR="004905AA" w:rsidRPr="000D3090">
              <w:rPr>
                <w:color w:val="000000"/>
                <w:sz w:val="20"/>
                <w:szCs w:val="20"/>
              </w:rPr>
              <w:t>0.39</w:t>
            </w:r>
          </w:p>
        </w:tc>
        <w:tc>
          <w:tcPr>
            <w:tcW w:w="1170" w:type="dxa"/>
            <w:tcBorders>
              <w:left w:val="single" w:sz="12" w:space="0" w:color="auto"/>
              <w:right w:val="nil"/>
            </w:tcBorders>
            <w:noWrap/>
            <w:vAlign w:val="center"/>
          </w:tcPr>
          <w:p w14:paraId="63C693C3" w14:textId="13261633"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left w:val="nil"/>
              <w:right w:val="nil"/>
            </w:tcBorders>
            <w:noWrap/>
            <w:vAlign w:val="center"/>
          </w:tcPr>
          <w:p w14:paraId="541F82D2" w14:textId="0A999CA2"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100</w:t>
            </w:r>
          </w:p>
        </w:tc>
        <w:tc>
          <w:tcPr>
            <w:tcW w:w="1170" w:type="dxa"/>
            <w:tcBorders>
              <w:left w:val="nil"/>
              <w:right w:val="single" w:sz="4" w:space="0" w:color="auto"/>
            </w:tcBorders>
            <w:noWrap/>
            <w:vAlign w:val="center"/>
          </w:tcPr>
          <w:p w14:paraId="57EA8A1B" w14:textId="14B53188"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0</w:t>
            </w:r>
          </w:p>
        </w:tc>
        <w:tc>
          <w:tcPr>
            <w:tcW w:w="720" w:type="dxa"/>
            <w:tcBorders>
              <w:left w:val="single" w:sz="4" w:space="0" w:color="auto"/>
              <w:right w:val="single" w:sz="12" w:space="0" w:color="auto"/>
            </w:tcBorders>
            <w:noWrap/>
            <w:vAlign w:val="center"/>
          </w:tcPr>
          <w:p w14:paraId="5BC10327" w14:textId="53085FB5" w:rsidR="004905AA" w:rsidRPr="000D3090" w:rsidDel="00BB42F5" w:rsidRDefault="004905AA" w:rsidP="004905AA">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0.33</w:t>
            </w:r>
          </w:p>
        </w:tc>
      </w:tr>
      <w:tr w:rsidR="00F82AFE" w:rsidRPr="000D3090" w14:paraId="442D3E83" w14:textId="77777777" w:rsidTr="009A0812">
        <w:trPr>
          <w:trHeight w:val="259"/>
          <w:jc w:val="center"/>
        </w:trPr>
        <w:tc>
          <w:tcPr>
            <w:tcW w:w="2235" w:type="dxa"/>
            <w:tcBorders>
              <w:left w:val="single" w:sz="12" w:space="0" w:color="auto"/>
              <w:bottom w:val="nil"/>
              <w:right w:val="single" w:sz="12" w:space="0" w:color="auto"/>
            </w:tcBorders>
            <w:noWrap/>
            <w:vAlign w:val="center"/>
          </w:tcPr>
          <w:p w14:paraId="1D463A14" w14:textId="56354BE8" w:rsidR="004905AA" w:rsidRPr="000D3090" w:rsidDel="00BB42F5" w:rsidRDefault="004905AA" w:rsidP="002517BE">
            <w:pPr>
              <w:spacing w:after="0" w:line="240" w:lineRule="auto"/>
              <w:rPr>
                <w:color w:val="000000"/>
                <w:sz w:val="20"/>
                <w:szCs w:val="20"/>
              </w:rPr>
            </w:pPr>
            <w:r w:rsidRPr="000D3090">
              <w:rPr>
                <w:color w:val="000000"/>
                <w:sz w:val="20"/>
                <w:szCs w:val="20"/>
              </w:rPr>
              <w:t>Walkability</w:t>
            </w:r>
          </w:p>
        </w:tc>
        <w:tc>
          <w:tcPr>
            <w:tcW w:w="2430" w:type="dxa"/>
            <w:tcBorders>
              <w:left w:val="single" w:sz="12" w:space="0" w:color="auto"/>
              <w:bottom w:val="nil"/>
              <w:right w:val="nil"/>
            </w:tcBorders>
            <w:noWrap/>
            <w:vAlign w:val="center"/>
          </w:tcPr>
          <w:p w14:paraId="2A2ED41A" w14:textId="78A9D84F" w:rsidR="004905AA" w:rsidRPr="000D3090" w:rsidDel="00BB42F5" w:rsidRDefault="0067403B" w:rsidP="002517BE">
            <w:pPr>
              <w:spacing w:after="0" w:line="240" w:lineRule="auto"/>
              <w:rPr>
                <w:color w:val="000000"/>
                <w:sz w:val="20"/>
                <w:szCs w:val="20"/>
              </w:rPr>
            </w:pPr>
            <w:r w:rsidRPr="000D3090">
              <w:rPr>
                <w:color w:val="000000"/>
                <w:sz w:val="20"/>
                <w:szCs w:val="20"/>
              </w:rPr>
              <w:t>High</w:t>
            </w:r>
          </w:p>
        </w:tc>
        <w:tc>
          <w:tcPr>
            <w:tcW w:w="2430" w:type="dxa"/>
            <w:tcBorders>
              <w:left w:val="nil"/>
              <w:bottom w:val="nil"/>
              <w:right w:val="single" w:sz="12" w:space="0" w:color="auto"/>
            </w:tcBorders>
            <w:noWrap/>
            <w:vAlign w:val="center"/>
          </w:tcPr>
          <w:p w14:paraId="618BC42F" w14:textId="67C3732A" w:rsidR="004905AA" w:rsidRPr="000D3090" w:rsidDel="00BB42F5" w:rsidRDefault="0067403B" w:rsidP="002517BE">
            <w:pPr>
              <w:spacing w:after="0" w:line="240" w:lineRule="auto"/>
              <w:rPr>
                <w:color w:val="000000"/>
                <w:sz w:val="20"/>
                <w:szCs w:val="20"/>
              </w:rPr>
            </w:pPr>
            <w:r w:rsidRPr="000D3090">
              <w:rPr>
                <w:color w:val="000000"/>
                <w:sz w:val="20"/>
                <w:szCs w:val="20"/>
              </w:rPr>
              <w:t>Low</w:t>
            </w:r>
          </w:p>
        </w:tc>
        <w:tc>
          <w:tcPr>
            <w:tcW w:w="990" w:type="dxa"/>
            <w:tcBorders>
              <w:left w:val="single" w:sz="12" w:space="0" w:color="auto"/>
              <w:bottom w:val="nil"/>
              <w:right w:val="single" w:sz="12" w:space="0" w:color="auto"/>
            </w:tcBorders>
            <w:noWrap/>
            <w:vAlign w:val="center"/>
          </w:tcPr>
          <w:p w14:paraId="49F217A4" w14:textId="4CB7F370" w:rsidR="004905AA" w:rsidRPr="000D3090" w:rsidDel="00BB42F5" w:rsidRDefault="004905AA" w:rsidP="002517BE">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left w:val="single" w:sz="12" w:space="0" w:color="auto"/>
              <w:bottom w:val="nil"/>
              <w:right w:val="single" w:sz="12" w:space="0" w:color="auto"/>
            </w:tcBorders>
            <w:noWrap/>
            <w:vAlign w:val="center"/>
          </w:tcPr>
          <w:p w14:paraId="6781BCE0" w14:textId="1F33510D"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0.27</w:t>
            </w:r>
          </w:p>
        </w:tc>
        <w:tc>
          <w:tcPr>
            <w:tcW w:w="1170" w:type="dxa"/>
            <w:tcBorders>
              <w:left w:val="single" w:sz="12" w:space="0" w:color="auto"/>
              <w:bottom w:val="nil"/>
              <w:right w:val="nil"/>
            </w:tcBorders>
            <w:noWrap/>
            <w:vAlign w:val="center"/>
          </w:tcPr>
          <w:p w14:paraId="7737D675" w14:textId="17B63769"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left w:val="nil"/>
              <w:bottom w:val="nil"/>
              <w:right w:val="nil"/>
            </w:tcBorders>
            <w:noWrap/>
            <w:vAlign w:val="center"/>
          </w:tcPr>
          <w:p w14:paraId="342B34B9" w14:textId="0756B84D" w:rsidR="004905AA" w:rsidRPr="000D3090" w:rsidDel="00BB42F5" w:rsidRDefault="0067403B" w:rsidP="004905AA">
            <w:pPr>
              <w:tabs>
                <w:tab w:val="decimal" w:pos="211"/>
              </w:tabs>
              <w:spacing w:after="0" w:line="240" w:lineRule="auto"/>
              <w:jc w:val="center"/>
              <w:rPr>
                <w:color w:val="000000"/>
                <w:sz w:val="20"/>
                <w:szCs w:val="20"/>
              </w:rPr>
            </w:pPr>
            <w:r w:rsidRPr="000D3090">
              <w:rPr>
                <w:color w:val="000000"/>
                <w:sz w:val="20"/>
                <w:szCs w:val="20"/>
              </w:rPr>
              <w:t>-</w:t>
            </w:r>
            <w:r w:rsidR="004905AA" w:rsidRPr="000D3090">
              <w:rPr>
                <w:color w:val="000000"/>
                <w:sz w:val="20"/>
                <w:szCs w:val="20"/>
              </w:rPr>
              <w:t>9</w:t>
            </w:r>
          </w:p>
        </w:tc>
        <w:tc>
          <w:tcPr>
            <w:tcW w:w="1170" w:type="dxa"/>
            <w:tcBorders>
              <w:left w:val="nil"/>
              <w:bottom w:val="nil"/>
              <w:right w:val="single" w:sz="4" w:space="0" w:color="auto"/>
            </w:tcBorders>
            <w:noWrap/>
            <w:vAlign w:val="center"/>
          </w:tcPr>
          <w:p w14:paraId="78927E89" w14:textId="3F99450E"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91</w:t>
            </w:r>
          </w:p>
        </w:tc>
        <w:tc>
          <w:tcPr>
            <w:tcW w:w="720" w:type="dxa"/>
            <w:tcBorders>
              <w:left w:val="single" w:sz="4" w:space="0" w:color="auto"/>
              <w:bottom w:val="nil"/>
              <w:right w:val="single" w:sz="12" w:space="0" w:color="auto"/>
            </w:tcBorders>
            <w:noWrap/>
            <w:vAlign w:val="center"/>
          </w:tcPr>
          <w:p w14:paraId="270D4C1A" w14:textId="1D36B1BA" w:rsidR="004905AA" w:rsidRPr="000D3090" w:rsidDel="00BB42F5" w:rsidRDefault="004905AA" w:rsidP="004905AA">
            <w:pPr>
              <w:spacing w:after="0" w:line="240" w:lineRule="auto"/>
              <w:jc w:val="center"/>
              <w:rPr>
                <w:color w:val="000000"/>
                <w:sz w:val="20"/>
                <w:szCs w:val="20"/>
              </w:rPr>
            </w:pPr>
            <w:r w:rsidRPr="000D3090">
              <w:rPr>
                <w:color w:val="000000"/>
                <w:sz w:val="20"/>
                <w:szCs w:val="20"/>
              </w:rPr>
              <w:t xml:space="preserve">  2.</w:t>
            </w:r>
            <w:r w:rsidR="0067403B" w:rsidRPr="000D3090">
              <w:rPr>
                <w:color w:val="000000"/>
                <w:sz w:val="20"/>
                <w:szCs w:val="20"/>
              </w:rPr>
              <w:t>01</w:t>
            </w:r>
          </w:p>
        </w:tc>
      </w:tr>
      <w:tr w:rsidR="00F82AFE" w:rsidRPr="000D3090" w14:paraId="6FFD5533" w14:textId="77777777" w:rsidTr="009A0812">
        <w:trPr>
          <w:trHeight w:val="259"/>
          <w:jc w:val="center"/>
        </w:trPr>
        <w:tc>
          <w:tcPr>
            <w:tcW w:w="2235" w:type="dxa"/>
            <w:tcBorders>
              <w:left w:val="single" w:sz="12" w:space="0" w:color="auto"/>
              <w:bottom w:val="nil"/>
              <w:right w:val="single" w:sz="12" w:space="0" w:color="auto"/>
            </w:tcBorders>
            <w:noWrap/>
            <w:vAlign w:val="center"/>
          </w:tcPr>
          <w:p w14:paraId="48DCAB24" w14:textId="02BF0261" w:rsidR="004905AA" w:rsidRPr="000D3090" w:rsidDel="00BB42F5" w:rsidRDefault="004905AA" w:rsidP="002517BE">
            <w:pPr>
              <w:spacing w:after="0" w:line="240" w:lineRule="auto"/>
              <w:rPr>
                <w:color w:val="000000"/>
                <w:sz w:val="20"/>
                <w:szCs w:val="20"/>
              </w:rPr>
            </w:pPr>
            <w:r w:rsidRPr="000D3090">
              <w:rPr>
                <w:color w:val="000000"/>
                <w:sz w:val="20"/>
                <w:szCs w:val="20"/>
              </w:rPr>
              <w:t>Transit Accessibility</w:t>
            </w:r>
          </w:p>
        </w:tc>
        <w:tc>
          <w:tcPr>
            <w:tcW w:w="2430" w:type="dxa"/>
            <w:tcBorders>
              <w:left w:val="single" w:sz="12" w:space="0" w:color="auto"/>
              <w:bottom w:val="nil"/>
              <w:right w:val="nil"/>
            </w:tcBorders>
            <w:noWrap/>
            <w:vAlign w:val="center"/>
          </w:tcPr>
          <w:p w14:paraId="549E5094" w14:textId="4765F88E" w:rsidR="004905AA" w:rsidRPr="000D3090" w:rsidDel="00BB42F5" w:rsidRDefault="004905AA" w:rsidP="002517BE">
            <w:pPr>
              <w:spacing w:after="0" w:line="240" w:lineRule="auto"/>
              <w:rPr>
                <w:color w:val="000000"/>
                <w:sz w:val="20"/>
                <w:szCs w:val="20"/>
              </w:rPr>
            </w:pPr>
            <w:r w:rsidRPr="000D3090">
              <w:rPr>
                <w:color w:val="000000"/>
                <w:sz w:val="20"/>
                <w:szCs w:val="20"/>
              </w:rPr>
              <w:t>Low</w:t>
            </w:r>
          </w:p>
        </w:tc>
        <w:tc>
          <w:tcPr>
            <w:tcW w:w="2430" w:type="dxa"/>
            <w:tcBorders>
              <w:left w:val="nil"/>
              <w:bottom w:val="nil"/>
              <w:right w:val="single" w:sz="12" w:space="0" w:color="auto"/>
            </w:tcBorders>
            <w:noWrap/>
            <w:vAlign w:val="center"/>
          </w:tcPr>
          <w:p w14:paraId="58862910" w14:textId="5047DE45" w:rsidR="004905AA" w:rsidRPr="000D3090" w:rsidDel="00BB42F5" w:rsidRDefault="004905AA" w:rsidP="002517BE">
            <w:pPr>
              <w:spacing w:after="0" w:line="240" w:lineRule="auto"/>
              <w:rPr>
                <w:color w:val="000000"/>
                <w:sz w:val="20"/>
                <w:szCs w:val="20"/>
              </w:rPr>
            </w:pPr>
            <w:r w:rsidRPr="000D3090">
              <w:rPr>
                <w:color w:val="000000"/>
                <w:sz w:val="20"/>
                <w:szCs w:val="20"/>
              </w:rPr>
              <w:t>High</w:t>
            </w:r>
          </w:p>
        </w:tc>
        <w:tc>
          <w:tcPr>
            <w:tcW w:w="990" w:type="dxa"/>
            <w:tcBorders>
              <w:left w:val="single" w:sz="12" w:space="0" w:color="auto"/>
              <w:bottom w:val="nil"/>
              <w:right w:val="single" w:sz="12" w:space="0" w:color="auto"/>
            </w:tcBorders>
            <w:noWrap/>
            <w:vAlign w:val="center"/>
          </w:tcPr>
          <w:p w14:paraId="2DE228D9" w14:textId="32E5504B" w:rsidR="004905AA" w:rsidRPr="000D3090" w:rsidDel="00BB42F5" w:rsidRDefault="004905AA" w:rsidP="002517BE">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left w:val="single" w:sz="12" w:space="0" w:color="auto"/>
              <w:bottom w:val="nil"/>
              <w:right w:val="single" w:sz="12" w:space="0" w:color="auto"/>
            </w:tcBorders>
            <w:noWrap/>
            <w:vAlign w:val="center"/>
          </w:tcPr>
          <w:p w14:paraId="5845E519" w14:textId="0EB919B8" w:rsidR="004905AA" w:rsidRPr="000D3090" w:rsidDel="00BB42F5" w:rsidRDefault="00E70DDA" w:rsidP="004905AA">
            <w:pPr>
              <w:tabs>
                <w:tab w:val="decimal" w:pos="211"/>
              </w:tabs>
              <w:spacing w:after="0" w:line="240" w:lineRule="auto"/>
              <w:jc w:val="center"/>
              <w:rPr>
                <w:color w:val="000000"/>
                <w:sz w:val="20"/>
                <w:szCs w:val="20"/>
              </w:rPr>
            </w:pPr>
            <w:r w:rsidRPr="000D3090">
              <w:rPr>
                <w:color w:val="000000"/>
                <w:sz w:val="20"/>
                <w:szCs w:val="20"/>
              </w:rPr>
              <w:t>-</w:t>
            </w:r>
            <w:r w:rsidR="004905AA" w:rsidRPr="000D3090">
              <w:rPr>
                <w:color w:val="000000"/>
                <w:sz w:val="20"/>
                <w:szCs w:val="20"/>
              </w:rPr>
              <w:t>0.23</w:t>
            </w:r>
          </w:p>
        </w:tc>
        <w:tc>
          <w:tcPr>
            <w:tcW w:w="1170" w:type="dxa"/>
            <w:tcBorders>
              <w:left w:val="single" w:sz="12" w:space="0" w:color="auto"/>
              <w:bottom w:val="nil"/>
              <w:right w:val="nil"/>
            </w:tcBorders>
            <w:noWrap/>
            <w:vAlign w:val="center"/>
          </w:tcPr>
          <w:p w14:paraId="0C72C8E0" w14:textId="330BA04D"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left w:val="nil"/>
              <w:bottom w:val="nil"/>
              <w:right w:val="nil"/>
            </w:tcBorders>
            <w:noWrap/>
            <w:vAlign w:val="center"/>
          </w:tcPr>
          <w:p w14:paraId="2A90F638" w14:textId="7891E298"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8</w:t>
            </w:r>
          </w:p>
        </w:tc>
        <w:tc>
          <w:tcPr>
            <w:tcW w:w="1170" w:type="dxa"/>
            <w:tcBorders>
              <w:left w:val="nil"/>
              <w:bottom w:val="nil"/>
              <w:right w:val="single" w:sz="4" w:space="0" w:color="auto"/>
            </w:tcBorders>
            <w:noWrap/>
            <w:vAlign w:val="center"/>
          </w:tcPr>
          <w:p w14:paraId="164288B4" w14:textId="73B098E5" w:rsidR="004905AA" w:rsidRPr="000D3090" w:rsidDel="00BB42F5" w:rsidRDefault="004905AA" w:rsidP="004905AA">
            <w:pPr>
              <w:tabs>
                <w:tab w:val="decimal" w:pos="211"/>
              </w:tabs>
              <w:spacing w:after="0" w:line="240" w:lineRule="auto"/>
              <w:jc w:val="center"/>
              <w:rPr>
                <w:color w:val="000000"/>
                <w:sz w:val="20"/>
                <w:szCs w:val="20"/>
              </w:rPr>
            </w:pPr>
            <w:r w:rsidRPr="000D3090">
              <w:rPr>
                <w:color w:val="000000"/>
                <w:sz w:val="20"/>
                <w:szCs w:val="20"/>
              </w:rPr>
              <w:t>92</w:t>
            </w:r>
          </w:p>
        </w:tc>
        <w:tc>
          <w:tcPr>
            <w:tcW w:w="720" w:type="dxa"/>
            <w:tcBorders>
              <w:left w:val="single" w:sz="4" w:space="0" w:color="auto"/>
              <w:bottom w:val="nil"/>
              <w:right w:val="single" w:sz="12" w:space="0" w:color="auto"/>
            </w:tcBorders>
            <w:noWrap/>
            <w:vAlign w:val="center"/>
          </w:tcPr>
          <w:p w14:paraId="11832A60" w14:textId="0D924514" w:rsidR="004905AA" w:rsidRPr="000D3090" w:rsidDel="00BB42F5" w:rsidRDefault="004905AA" w:rsidP="004905AA">
            <w:pPr>
              <w:spacing w:after="0" w:line="240" w:lineRule="auto"/>
              <w:jc w:val="center"/>
              <w:rPr>
                <w:color w:val="000000"/>
                <w:sz w:val="20"/>
                <w:szCs w:val="20"/>
              </w:rPr>
            </w:pPr>
            <w:r w:rsidRPr="000D3090">
              <w:rPr>
                <w:color w:val="000000"/>
                <w:sz w:val="20"/>
                <w:szCs w:val="20"/>
              </w:rPr>
              <w:t xml:space="preserve">  2.</w:t>
            </w:r>
            <w:r w:rsidR="0067403B" w:rsidRPr="000D3090">
              <w:rPr>
                <w:color w:val="000000"/>
                <w:sz w:val="20"/>
                <w:szCs w:val="20"/>
              </w:rPr>
              <w:t>35</w:t>
            </w:r>
          </w:p>
        </w:tc>
      </w:tr>
      <w:tr w:rsidR="00215C0F" w:rsidRPr="000D3090" w14:paraId="7B9D8516" w14:textId="77777777" w:rsidTr="009A0812">
        <w:trPr>
          <w:trHeight w:val="259"/>
          <w:jc w:val="center"/>
        </w:trPr>
        <w:tc>
          <w:tcPr>
            <w:tcW w:w="13575" w:type="dxa"/>
            <w:gridSpan w:val="9"/>
            <w:tcBorders>
              <w:top w:val="single" w:sz="6" w:space="0" w:color="auto"/>
              <w:left w:val="single" w:sz="12" w:space="0" w:color="auto"/>
              <w:bottom w:val="nil"/>
              <w:right w:val="single" w:sz="12" w:space="0" w:color="auto"/>
            </w:tcBorders>
            <w:noWrap/>
            <w:vAlign w:val="center"/>
          </w:tcPr>
          <w:p w14:paraId="15B27E21" w14:textId="23E174E4" w:rsidR="00215C0F" w:rsidRPr="000D3090" w:rsidRDefault="00215C0F" w:rsidP="002517BE">
            <w:pPr>
              <w:spacing w:after="0" w:line="240" w:lineRule="auto"/>
              <w:rPr>
                <w:color w:val="000000"/>
                <w:sz w:val="20"/>
                <w:szCs w:val="20"/>
              </w:rPr>
            </w:pPr>
            <w:r w:rsidRPr="000D3090">
              <w:rPr>
                <w:b/>
                <w:bCs/>
                <w:color w:val="000000"/>
                <w:sz w:val="20"/>
                <w:szCs w:val="20"/>
              </w:rPr>
              <w:t>Household Demographics</w:t>
            </w:r>
          </w:p>
        </w:tc>
      </w:tr>
      <w:tr w:rsidR="00215C0F" w:rsidRPr="000D3090" w14:paraId="61C283BA" w14:textId="77777777" w:rsidTr="009A0812">
        <w:trPr>
          <w:trHeight w:val="259"/>
          <w:jc w:val="center"/>
        </w:trPr>
        <w:tc>
          <w:tcPr>
            <w:tcW w:w="2235" w:type="dxa"/>
            <w:tcBorders>
              <w:top w:val="single" w:sz="6" w:space="0" w:color="auto"/>
              <w:left w:val="single" w:sz="12" w:space="0" w:color="auto"/>
              <w:bottom w:val="nil"/>
              <w:right w:val="single" w:sz="12" w:space="0" w:color="auto"/>
            </w:tcBorders>
            <w:noWrap/>
            <w:vAlign w:val="center"/>
          </w:tcPr>
          <w:p w14:paraId="7470192C" w14:textId="2DAF6DBE" w:rsidR="00215C0F" w:rsidRPr="000D3090" w:rsidRDefault="00215C0F" w:rsidP="00215C0F">
            <w:pPr>
              <w:spacing w:after="0" w:line="240" w:lineRule="auto"/>
              <w:rPr>
                <w:color w:val="000000"/>
                <w:sz w:val="20"/>
                <w:szCs w:val="20"/>
              </w:rPr>
            </w:pPr>
            <w:r w:rsidRPr="000D3090">
              <w:rPr>
                <w:color w:val="000000"/>
                <w:sz w:val="20"/>
                <w:szCs w:val="20"/>
              </w:rPr>
              <w:t>Number of Adults</w:t>
            </w:r>
          </w:p>
        </w:tc>
        <w:tc>
          <w:tcPr>
            <w:tcW w:w="2430" w:type="dxa"/>
            <w:tcBorders>
              <w:top w:val="single" w:sz="6" w:space="0" w:color="auto"/>
              <w:left w:val="single" w:sz="12" w:space="0" w:color="auto"/>
              <w:bottom w:val="nil"/>
              <w:right w:val="nil"/>
            </w:tcBorders>
            <w:noWrap/>
            <w:vAlign w:val="center"/>
          </w:tcPr>
          <w:p w14:paraId="0B82B32F" w14:textId="3E11E93E" w:rsidR="00215C0F" w:rsidRPr="000D3090" w:rsidRDefault="00215C0F" w:rsidP="00215C0F">
            <w:pPr>
              <w:spacing w:after="0" w:line="240" w:lineRule="auto"/>
              <w:rPr>
                <w:color w:val="000000"/>
                <w:sz w:val="20"/>
                <w:szCs w:val="20"/>
              </w:rPr>
            </w:pPr>
            <w:r w:rsidRPr="000D3090">
              <w:rPr>
                <w:color w:val="000000"/>
                <w:sz w:val="20"/>
                <w:szCs w:val="20"/>
              </w:rPr>
              <w:t>Two or More</w:t>
            </w:r>
          </w:p>
        </w:tc>
        <w:tc>
          <w:tcPr>
            <w:tcW w:w="2430" w:type="dxa"/>
            <w:tcBorders>
              <w:top w:val="single" w:sz="6" w:space="0" w:color="auto"/>
              <w:left w:val="nil"/>
              <w:bottom w:val="nil"/>
              <w:right w:val="single" w:sz="12" w:space="0" w:color="auto"/>
            </w:tcBorders>
            <w:noWrap/>
            <w:vAlign w:val="center"/>
          </w:tcPr>
          <w:p w14:paraId="3020D1D7" w14:textId="502DB37C" w:rsidR="00215C0F" w:rsidRPr="000D3090" w:rsidRDefault="00215C0F" w:rsidP="00215C0F">
            <w:pPr>
              <w:spacing w:after="0" w:line="240" w:lineRule="auto"/>
              <w:rPr>
                <w:color w:val="000000"/>
                <w:sz w:val="20"/>
                <w:szCs w:val="20"/>
              </w:rPr>
            </w:pPr>
            <w:r w:rsidRPr="000D3090">
              <w:rPr>
                <w:color w:val="000000"/>
                <w:sz w:val="20"/>
                <w:szCs w:val="20"/>
              </w:rPr>
              <w:t>Single Adult</w:t>
            </w:r>
          </w:p>
        </w:tc>
        <w:tc>
          <w:tcPr>
            <w:tcW w:w="990" w:type="dxa"/>
            <w:tcBorders>
              <w:top w:val="single" w:sz="6" w:space="0" w:color="auto"/>
              <w:left w:val="single" w:sz="12" w:space="0" w:color="auto"/>
              <w:bottom w:val="nil"/>
              <w:right w:val="single" w:sz="12" w:space="0" w:color="auto"/>
            </w:tcBorders>
            <w:noWrap/>
            <w:vAlign w:val="center"/>
          </w:tcPr>
          <w:p w14:paraId="761EEEAF" w14:textId="359CA908"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17</w:t>
            </w:r>
          </w:p>
        </w:tc>
        <w:tc>
          <w:tcPr>
            <w:tcW w:w="990" w:type="dxa"/>
            <w:tcBorders>
              <w:top w:val="single" w:sz="6" w:space="0" w:color="auto"/>
              <w:left w:val="single" w:sz="12" w:space="0" w:color="auto"/>
              <w:bottom w:val="nil"/>
              <w:right w:val="single" w:sz="12" w:space="0" w:color="auto"/>
            </w:tcBorders>
            <w:noWrap/>
            <w:vAlign w:val="center"/>
          </w:tcPr>
          <w:p w14:paraId="1BB797A7" w14:textId="5C8387D1"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1170" w:type="dxa"/>
            <w:tcBorders>
              <w:top w:val="single" w:sz="6" w:space="0" w:color="auto"/>
              <w:left w:val="single" w:sz="12" w:space="0" w:color="auto"/>
              <w:bottom w:val="nil"/>
              <w:right w:val="nil"/>
            </w:tcBorders>
            <w:noWrap/>
            <w:vAlign w:val="center"/>
          </w:tcPr>
          <w:p w14:paraId="6D41A0AE" w14:textId="1BE4CE52"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4</w:t>
            </w:r>
          </w:p>
        </w:tc>
        <w:tc>
          <w:tcPr>
            <w:tcW w:w="1440" w:type="dxa"/>
            <w:tcBorders>
              <w:top w:val="single" w:sz="6" w:space="0" w:color="auto"/>
              <w:left w:val="nil"/>
              <w:bottom w:val="nil"/>
              <w:right w:val="nil"/>
            </w:tcBorders>
            <w:noWrap/>
            <w:vAlign w:val="center"/>
          </w:tcPr>
          <w:p w14:paraId="09BE2A33" w14:textId="046476E1"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170" w:type="dxa"/>
            <w:tcBorders>
              <w:top w:val="single" w:sz="6" w:space="0" w:color="auto"/>
              <w:left w:val="nil"/>
              <w:bottom w:val="nil"/>
              <w:right w:val="single" w:sz="4" w:space="0" w:color="auto"/>
            </w:tcBorders>
            <w:noWrap/>
            <w:vAlign w:val="center"/>
          </w:tcPr>
          <w:p w14:paraId="5F65AB16" w14:textId="02AEE046"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9</w:t>
            </w:r>
            <w:r w:rsidR="001C6215" w:rsidRPr="000D3090">
              <w:rPr>
                <w:color w:val="000000"/>
                <w:sz w:val="20"/>
                <w:szCs w:val="20"/>
              </w:rPr>
              <w:t>6</w:t>
            </w:r>
          </w:p>
        </w:tc>
        <w:tc>
          <w:tcPr>
            <w:tcW w:w="720" w:type="dxa"/>
            <w:tcBorders>
              <w:top w:val="single" w:sz="6" w:space="0" w:color="auto"/>
              <w:left w:val="single" w:sz="4" w:space="0" w:color="auto"/>
              <w:bottom w:val="nil"/>
              <w:right w:val="single" w:sz="12" w:space="0" w:color="auto"/>
            </w:tcBorders>
            <w:noWrap/>
            <w:vAlign w:val="center"/>
          </w:tcPr>
          <w:p w14:paraId="5A614C8C" w14:textId="7B0FBADA" w:rsidR="00215C0F" w:rsidRPr="000D3090" w:rsidRDefault="00215C0F" w:rsidP="00215C0F">
            <w:pPr>
              <w:spacing w:after="0" w:line="240" w:lineRule="auto"/>
              <w:jc w:val="center"/>
              <w:rPr>
                <w:color w:val="000000"/>
                <w:sz w:val="20"/>
                <w:szCs w:val="20"/>
              </w:rPr>
            </w:pPr>
            <w:r w:rsidRPr="000D3090">
              <w:rPr>
                <w:color w:val="000000"/>
                <w:sz w:val="20"/>
                <w:szCs w:val="20"/>
              </w:rPr>
              <w:t xml:space="preserve">  </w:t>
            </w:r>
            <w:r w:rsidR="004905AA" w:rsidRPr="000D3090">
              <w:rPr>
                <w:color w:val="000000"/>
                <w:sz w:val="20"/>
                <w:szCs w:val="20"/>
              </w:rPr>
              <w:t>3.04</w:t>
            </w:r>
          </w:p>
        </w:tc>
      </w:tr>
      <w:tr w:rsidR="00215C0F" w:rsidRPr="000D3090" w14:paraId="2D128F6C"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3C72E516" w14:textId="77777777" w:rsidR="00215C0F" w:rsidRPr="000D3090" w:rsidRDefault="00215C0F" w:rsidP="00215C0F">
            <w:pPr>
              <w:spacing w:after="0" w:line="240" w:lineRule="auto"/>
              <w:rPr>
                <w:color w:val="000000"/>
                <w:sz w:val="20"/>
                <w:szCs w:val="20"/>
              </w:rPr>
            </w:pPr>
            <w:r w:rsidRPr="000D3090">
              <w:rPr>
                <w:color w:val="000000"/>
                <w:sz w:val="20"/>
                <w:szCs w:val="20"/>
              </w:rPr>
              <w:t>Presence of Children</w:t>
            </w:r>
          </w:p>
        </w:tc>
        <w:tc>
          <w:tcPr>
            <w:tcW w:w="2430" w:type="dxa"/>
            <w:tcBorders>
              <w:top w:val="nil"/>
              <w:left w:val="single" w:sz="12" w:space="0" w:color="auto"/>
              <w:bottom w:val="nil"/>
              <w:right w:val="nil"/>
            </w:tcBorders>
            <w:noWrap/>
            <w:vAlign w:val="center"/>
            <w:hideMark/>
          </w:tcPr>
          <w:p w14:paraId="1ECB5808" w14:textId="77777777" w:rsidR="00215C0F" w:rsidRPr="000D3090" w:rsidRDefault="00215C0F" w:rsidP="00215C0F">
            <w:pPr>
              <w:spacing w:after="0" w:line="240" w:lineRule="auto"/>
              <w:rPr>
                <w:color w:val="000000"/>
                <w:sz w:val="20"/>
                <w:szCs w:val="20"/>
              </w:rPr>
            </w:pPr>
            <w:r w:rsidRPr="000D3090">
              <w:rPr>
                <w:color w:val="000000"/>
                <w:sz w:val="20"/>
                <w:szCs w:val="20"/>
              </w:rPr>
              <w:t>No Children</w:t>
            </w:r>
          </w:p>
        </w:tc>
        <w:tc>
          <w:tcPr>
            <w:tcW w:w="2430" w:type="dxa"/>
            <w:tcBorders>
              <w:top w:val="nil"/>
              <w:left w:val="nil"/>
              <w:bottom w:val="nil"/>
              <w:right w:val="single" w:sz="12" w:space="0" w:color="auto"/>
            </w:tcBorders>
            <w:noWrap/>
            <w:vAlign w:val="center"/>
            <w:hideMark/>
          </w:tcPr>
          <w:p w14:paraId="79FCF8FA" w14:textId="77777777" w:rsidR="00215C0F" w:rsidRPr="000D3090" w:rsidRDefault="00215C0F" w:rsidP="00215C0F">
            <w:pPr>
              <w:spacing w:after="0" w:line="240" w:lineRule="auto"/>
              <w:rPr>
                <w:color w:val="000000"/>
                <w:sz w:val="20"/>
                <w:szCs w:val="20"/>
              </w:rPr>
            </w:pPr>
            <w:r w:rsidRPr="000D3090">
              <w:rPr>
                <w:color w:val="000000"/>
                <w:sz w:val="20"/>
                <w:szCs w:val="20"/>
              </w:rPr>
              <w:t>Children</w:t>
            </w:r>
          </w:p>
        </w:tc>
        <w:tc>
          <w:tcPr>
            <w:tcW w:w="990" w:type="dxa"/>
            <w:tcBorders>
              <w:top w:val="nil"/>
              <w:left w:val="single" w:sz="12" w:space="0" w:color="auto"/>
              <w:bottom w:val="nil"/>
              <w:right w:val="single" w:sz="12" w:space="0" w:color="auto"/>
            </w:tcBorders>
            <w:noWrap/>
            <w:vAlign w:val="center"/>
            <w:hideMark/>
          </w:tcPr>
          <w:p w14:paraId="78E8995C" w14:textId="4D6D7FB1"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17</w:t>
            </w:r>
          </w:p>
        </w:tc>
        <w:tc>
          <w:tcPr>
            <w:tcW w:w="990" w:type="dxa"/>
            <w:tcBorders>
              <w:top w:val="nil"/>
              <w:left w:val="single" w:sz="12" w:space="0" w:color="auto"/>
              <w:bottom w:val="nil"/>
              <w:right w:val="single" w:sz="12" w:space="0" w:color="auto"/>
            </w:tcBorders>
            <w:noWrap/>
            <w:vAlign w:val="center"/>
            <w:hideMark/>
          </w:tcPr>
          <w:p w14:paraId="0E505915" w14:textId="7CC87CB1"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0.2</w:t>
            </w:r>
            <w:r w:rsidR="001C6215" w:rsidRPr="000D3090">
              <w:rPr>
                <w:color w:val="000000"/>
                <w:sz w:val="20"/>
                <w:szCs w:val="20"/>
              </w:rPr>
              <w:t>3</w:t>
            </w:r>
          </w:p>
        </w:tc>
        <w:tc>
          <w:tcPr>
            <w:tcW w:w="1170" w:type="dxa"/>
            <w:tcBorders>
              <w:top w:val="nil"/>
              <w:left w:val="single" w:sz="12" w:space="0" w:color="auto"/>
              <w:bottom w:val="nil"/>
              <w:right w:val="nil"/>
            </w:tcBorders>
            <w:noWrap/>
            <w:vAlign w:val="center"/>
            <w:hideMark/>
          </w:tcPr>
          <w:p w14:paraId="3B763B71" w14:textId="326498E0" w:rsidR="00215C0F" w:rsidRPr="000D3090" w:rsidRDefault="0067403B" w:rsidP="00215C0F">
            <w:pPr>
              <w:tabs>
                <w:tab w:val="decimal" w:pos="211"/>
              </w:tabs>
              <w:spacing w:after="0" w:line="240" w:lineRule="auto"/>
              <w:jc w:val="center"/>
              <w:rPr>
                <w:color w:val="000000"/>
                <w:sz w:val="20"/>
                <w:szCs w:val="20"/>
              </w:rPr>
            </w:pPr>
            <w:r w:rsidRPr="000D3090">
              <w:rPr>
                <w:color w:val="000000"/>
                <w:sz w:val="20"/>
                <w:szCs w:val="20"/>
              </w:rPr>
              <w:t>57</w:t>
            </w:r>
          </w:p>
        </w:tc>
        <w:tc>
          <w:tcPr>
            <w:tcW w:w="1440" w:type="dxa"/>
            <w:tcBorders>
              <w:top w:val="nil"/>
              <w:left w:val="nil"/>
              <w:bottom w:val="nil"/>
              <w:right w:val="nil"/>
            </w:tcBorders>
            <w:noWrap/>
            <w:vAlign w:val="center"/>
            <w:hideMark/>
          </w:tcPr>
          <w:p w14:paraId="41D33C76" w14:textId="5849858B"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67403B" w:rsidRPr="000D3090">
              <w:rPr>
                <w:color w:val="000000"/>
                <w:sz w:val="20"/>
                <w:szCs w:val="20"/>
              </w:rPr>
              <w:t>43</w:t>
            </w:r>
          </w:p>
        </w:tc>
        <w:tc>
          <w:tcPr>
            <w:tcW w:w="1170" w:type="dxa"/>
            <w:tcBorders>
              <w:top w:val="nil"/>
              <w:left w:val="nil"/>
              <w:bottom w:val="nil"/>
              <w:right w:val="single" w:sz="4" w:space="0" w:color="auto"/>
            </w:tcBorders>
            <w:noWrap/>
            <w:vAlign w:val="center"/>
            <w:hideMark/>
          </w:tcPr>
          <w:p w14:paraId="5FC34F9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720" w:type="dxa"/>
            <w:tcBorders>
              <w:top w:val="nil"/>
              <w:left w:val="single" w:sz="4" w:space="0" w:color="auto"/>
              <w:bottom w:val="nil"/>
              <w:right w:val="single" w:sz="12" w:space="0" w:color="auto"/>
            </w:tcBorders>
            <w:noWrap/>
            <w:vAlign w:val="center"/>
            <w:hideMark/>
          </w:tcPr>
          <w:p w14:paraId="62D1FE38" w14:textId="1794F9DE" w:rsidR="00215C0F" w:rsidRPr="000D3090" w:rsidRDefault="00215C0F" w:rsidP="00215C0F">
            <w:pPr>
              <w:spacing w:after="0" w:line="240" w:lineRule="auto"/>
              <w:jc w:val="center"/>
              <w:rPr>
                <w:color w:val="000000"/>
                <w:sz w:val="20"/>
                <w:szCs w:val="20"/>
              </w:rPr>
            </w:pPr>
            <w:r w:rsidRPr="000D3090">
              <w:rPr>
                <w:color w:val="000000"/>
                <w:sz w:val="20"/>
                <w:szCs w:val="20"/>
              </w:rPr>
              <w:t xml:space="preserve">  0.</w:t>
            </w:r>
            <w:r w:rsidR="0067403B" w:rsidRPr="000D3090">
              <w:rPr>
                <w:color w:val="000000"/>
                <w:sz w:val="20"/>
                <w:szCs w:val="20"/>
              </w:rPr>
              <w:t>05</w:t>
            </w:r>
          </w:p>
        </w:tc>
      </w:tr>
      <w:tr w:rsidR="00215C0F" w:rsidRPr="000D3090" w14:paraId="79B24608"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3C14FD59" w14:textId="77777777" w:rsidR="00215C0F" w:rsidRPr="000D3090" w:rsidRDefault="00215C0F" w:rsidP="00215C0F">
            <w:pPr>
              <w:spacing w:after="0" w:line="240" w:lineRule="auto"/>
              <w:rPr>
                <w:color w:val="000000"/>
                <w:sz w:val="20"/>
                <w:szCs w:val="20"/>
              </w:rPr>
            </w:pPr>
            <w:r w:rsidRPr="000D3090">
              <w:rPr>
                <w:color w:val="000000"/>
                <w:sz w:val="20"/>
                <w:szCs w:val="20"/>
              </w:rPr>
              <w:t>Number of Workers</w:t>
            </w:r>
          </w:p>
        </w:tc>
        <w:tc>
          <w:tcPr>
            <w:tcW w:w="2430" w:type="dxa"/>
            <w:tcBorders>
              <w:top w:val="nil"/>
              <w:left w:val="single" w:sz="12" w:space="0" w:color="auto"/>
              <w:bottom w:val="nil"/>
              <w:right w:val="nil"/>
            </w:tcBorders>
            <w:noWrap/>
            <w:vAlign w:val="center"/>
            <w:hideMark/>
          </w:tcPr>
          <w:p w14:paraId="0C481461" w14:textId="77777777" w:rsidR="00215C0F" w:rsidRPr="000D3090" w:rsidRDefault="00215C0F" w:rsidP="00215C0F">
            <w:pPr>
              <w:spacing w:after="0" w:line="240" w:lineRule="auto"/>
              <w:rPr>
                <w:color w:val="000000"/>
                <w:sz w:val="20"/>
                <w:szCs w:val="20"/>
              </w:rPr>
            </w:pPr>
            <w:r w:rsidRPr="000D3090">
              <w:rPr>
                <w:color w:val="000000"/>
                <w:sz w:val="20"/>
                <w:szCs w:val="20"/>
              </w:rPr>
              <w:t>No Workers</w:t>
            </w:r>
          </w:p>
        </w:tc>
        <w:tc>
          <w:tcPr>
            <w:tcW w:w="2430" w:type="dxa"/>
            <w:tcBorders>
              <w:top w:val="nil"/>
              <w:left w:val="nil"/>
              <w:bottom w:val="nil"/>
              <w:right w:val="single" w:sz="12" w:space="0" w:color="auto"/>
            </w:tcBorders>
            <w:noWrap/>
            <w:vAlign w:val="center"/>
            <w:hideMark/>
          </w:tcPr>
          <w:p w14:paraId="444286EF" w14:textId="77777777" w:rsidR="00215C0F" w:rsidRPr="000D3090" w:rsidRDefault="00215C0F" w:rsidP="00215C0F">
            <w:pPr>
              <w:spacing w:after="0" w:line="240" w:lineRule="auto"/>
              <w:rPr>
                <w:color w:val="000000"/>
                <w:sz w:val="20"/>
                <w:szCs w:val="20"/>
              </w:rPr>
            </w:pPr>
            <w:r w:rsidRPr="000D3090">
              <w:rPr>
                <w:color w:val="000000"/>
                <w:sz w:val="20"/>
                <w:szCs w:val="20"/>
              </w:rPr>
              <w:t>3+ Workers</w:t>
            </w:r>
          </w:p>
        </w:tc>
        <w:tc>
          <w:tcPr>
            <w:tcW w:w="990" w:type="dxa"/>
            <w:tcBorders>
              <w:top w:val="nil"/>
              <w:left w:val="single" w:sz="12" w:space="0" w:color="auto"/>
              <w:bottom w:val="nil"/>
              <w:right w:val="single" w:sz="12" w:space="0" w:color="auto"/>
            </w:tcBorders>
            <w:noWrap/>
            <w:vAlign w:val="center"/>
            <w:hideMark/>
          </w:tcPr>
          <w:p w14:paraId="473F536B"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bottom w:val="nil"/>
              <w:right w:val="single" w:sz="12" w:space="0" w:color="auto"/>
            </w:tcBorders>
            <w:noWrap/>
            <w:vAlign w:val="center"/>
            <w:hideMark/>
          </w:tcPr>
          <w:p w14:paraId="63700C7B" w14:textId="4942815B"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w:t>
            </w:r>
            <w:r w:rsidR="001C6215" w:rsidRPr="000D3090">
              <w:rPr>
                <w:color w:val="000000"/>
                <w:sz w:val="20"/>
                <w:szCs w:val="20"/>
              </w:rPr>
              <w:t>44</w:t>
            </w:r>
          </w:p>
        </w:tc>
        <w:tc>
          <w:tcPr>
            <w:tcW w:w="1170" w:type="dxa"/>
            <w:tcBorders>
              <w:top w:val="nil"/>
              <w:left w:val="single" w:sz="12" w:space="0" w:color="auto"/>
              <w:bottom w:val="nil"/>
              <w:right w:val="nil"/>
            </w:tcBorders>
            <w:noWrap/>
            <w:vAlign w:val="center"/>
            <w:hideMark/>
          </w:tcPr>
          <w:p w14:paraId="5C9BB801"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bottom w:val="nil"/>
              <w:right w:val="nil"/>
            </w:tcBorders>
            <w:noWrap/>
            <w:vAlign w:val="center"/>
            <w:hideMark/>
          </w:tcPr>
          <w:p w14:paraId="5CEED8BA"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1170" w:type="dxa"/>
            <w:tcBorders>
              <w:top w:val="nil"/>
              <w:left w:val="nil"/>
              <w:bottom w:val="nil"/>
              <w:right w:val="single" w:sz="4" w:space="0" w:color="auto"/>
            </w:tcBorders>
            <w:noWrap/>
            <w:vAlign w:val="center"/>
            <w:hideMark/>
          </w:tcPr>
          <w:p w14:paraId="51FD33A8"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720" w:type="dxa"/>
            <w:tcBorders>
              <w:top w:val="nil"/>
              <w:left w:val="single" w:sz="4" w:space="0" w:color="auto"/>
              <w:bottom w:val="nil"/>
              <w:right w:val="single" w:sz="12" w:space="0" w:color="auto"/>
            </w:tcBorders>
            <w:noWrap/>
            <w:vAlign w:val="center"/>
            <w:hideMark/>
          </w:tcPr>
          <w:p w14:paraId="79B396EF" w14:textId="17695362" w:rsidR="00215C0F" w:rsidRPr="000D3090" w:rsidRDefault="00215C0F" w:rsidP="00215C0F">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1.21</w:t>
            </w:r>
          </w:p>
        </w:tc>
      </w:tr>
      <w:tr w:rsidR="00215C0F" w:rsidRPr="000D3090" w14:paraId="4741D38D"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4735A0CF" w14:textId="33A902CE" w:rsidR="00215C0F" w:rsidRPr="000D3090" w:rsidRDefault="00215C0F" w:rsidP="00215C0F">
            <w:pPr>
              <w:spacing w:after="0" w:line="240" w:lineRule="auto"/>
              <w:rPr>
                <w:color w:val="000000"/>
                <w:sz w:val="20"/>
                <w:szCs w:val="20"/>
              </w:rPr>
            </w:pPr>
            <w:r w:rsidRPr="000D3090">
              <w:rPr>
                <w:color w:val="000000"/>
                <w:sz w:val="20"/>
                <w:szCs w:val="20"/>
              </w:rPr>
              <w:t>Vehicle Ownership</w:t>
            </w:r>
          </w:p>
        </w:tc>
        <w:tc>
          <w:tcPr>
            <w:tcW w:w="2430" w:type="dxa"/>
            <w:tcBorders>
              <w:top w:val="nil"/>
              <w:left w:val="single" w:sz="12" w:space="0" w:color="auto"/>
              <w:bottom w:val="nil"/>
              <w:right w:val="nil"/>
            </w:tcBorders>
            <w:noWrap/>
            <w:vAlign w:val="center"/>
            <w:hideMark/>
          </w:tcPr>
          <w:p w14:paraId="6F67016F" w14:textId="77777777" w:rsidR="00215C0F" w:rsidRPr="000D3090" w:rsidRDefault="00215C0F" w:rsidP="00215C0F">
            <w:pPr>
              <w:spacing w:after="0" w:line="240" w:lineRule="auto"/>
              <w:rPr>
                <w:color w:val="000000"/>
                <w:sz w:val="20"/>
                <w:szCs w:val="20"/>
              </w:rPr>
            </w:pPr>
            <w:r w:rsidRPr="000D3090">
              <w:rPr>
                <w:color w:val="000000"/>
                <w:sz w:val="20"/>
                <w:szCs w:val="20"/>
              </w:rPr>
              <w:t>More Vehicles than Drivers</w:t>
            </w:r>
          </w:p>
        </w:tc>
        <w:tc>
          <w:tcPr>
            <w:tcW w:w="2430" w:type="dxa"/>
            <w:tcBorders>
              <w:top w:val="nil"/>
              <w:left w:val="nil"/>
              <w:bottom w:val="nil"/>
              <w:right w:val="single" w:sz="12" w:space="0" w:color="auto"/>
            </w:tcBorders>
            <w:noWrap/>
            <w:vAlign w:val="center"/>
            <w:hideMark/>
          </w:tcPr>
          <w:p w14:paraId="5DAEF02A" w14:textId="77777777" w:rsidR="00215C0F" w:rsidRPr="000D3090" w:rsidRDefault="00215C0F" w:rsidP="00215C0F">
            <w:pPr>
              <w:spacing w:after="0" w:line="240" w:lineRule="auto"/>
              <w:rPr>
                <w:color w:val="000000"/>
                <w:sz w:val="20"/>
                <w:szCs w:val="20"/>
              </w:rPr>
            </w:pPr>
            <w:r w:rsidRPr="000D3090">
              <w:rPr>
                <w:color w:val="000000"/>
                <w:sz w:val="20"/>
                <w:szCs w:val="20"/>
              </w:rPr>
              <w:t>Fewer Vehicles than Drivers</w:t>
            </w:r>
          </w:p>
        </w:tc>
        <w:tc>
          <w:tcPr>
            <w:tcW w:w="990" w:type="dxa"/>
            <w:tcBorders>
              <w:top w:val="nil"/>
              <w:left w:val="single" w:sz="12" w:space="0" w:color="auto"/>
              <w:bottom w:val="nil"/>
              <w:right w:val="single" w:sz="12" w:space="0" w:color="auto"/>
            </w:tcBorders>
            <w:noWrap/>
            <w:vAlign w:val="center"/>
            <w:hideMark/>
          </w:tcPr>
          <w:p w14:paraId="1B406A61" w14:textId="3EB0897A"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88</w:t>
            </w:r>
          </w:p>
        </w:tc>
        <w:tc>
          <w:tcPr>
            <w:tcW w:w="990" w:type="dxa"/>
            <w:tcBorders>
              <w:top w:val="nil"/>
              <w:left w:val="single" w:sz="12" w:space="0" w:color="auto"/>
              <w:bottom w:val="nil"/>
              <w:right w:val="single" w:sz="12" w:space="0" w:color="auto"/>
            </w:tcBorders>
            <w:noWrap/>
            <w:vAlign w:val="center"/>
            <w:hideMark/>
          </w:tcPr>
          <w:p w14:paraId="113DCD07" w14:textId="1596F3FA"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60</w:t>
            </w:r>
          </w:p>
        </w:tc>
        <w:tc>
          <w:tcPr>
            <w:tcW w:w="1170" w:type="dxa"/>
            <w:tcBorders>
              <w:top w:val="nil"/>
              <w:left w:val="single" w:sz="12" w:space="0" w:color="auto"/>
              <w:bottom w:val="nil"/>
              <w:right w:val="nil"/>
            </w:tcBorders>
            <w:noWrap/>
            <w:vAlign w:val="center"/>
            <w:hideMark/>
          </w:tcPr>
          <w:p w14:paraId="0AEF4B74" w14:textId="5B1A6B73"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19</w:t>
            </w:r>
          </w:p>
        </w:tc>
        <w:tc>
          <w:tcPr>
            <w:tcW w:w="1440" w:type="dxa"/>
            <w:tcBorders>
              <w:top w:val="nil"/>
              <w:left w:val="nil"/>
              <w:bottom w:val="nil"/>
              <w:right w:val="nil"/>
            </w:tcBorders>
            <w:noWrap/>
            <w:vAlign w:val="center"/>
            <w:hideMark/>
          </w:tcPr>
          <w:p w14:paraId="192E66AD" w14:textId="1F990C5F"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13</w:t>
            </w:r>
          </w:p>
        </w:tc>
        <w:tc>
          <w:tcPr>
            <w:tcW w:w="1170" w:type="dxa"/>
            <w:tcBorders>
              <w:top w:val="nil"/>
              <w:left w:val="nil"/>
              <w:bottom w:val="nil"/>
              <w:right w:val="single" w:sz="4" w:space="0" w:color="auto"/>
            </w:tcBorders>
            <w:noWrap/>
            <w:vAlign w:val="center"/>
            <w:hideMark/>
          </w:tcPr>
          <w:p w14:paraId="2425C3E8" w14:textId="4D7C5A13"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6</w:t>
            </w:r>
            <w:r w:rsidR="00A64794" w:rsidRPr="000D3090">
              <w:rPr>
                <w:color w:val="000000"/>
                <w:sz w:val="20"/>
                <w:szCs w:val="20"/>
              </w:rPr>
              <w:t>8</w:t>
            </w:r>
          </w:p>
        </w:tc>
        <w:tc>
          <w:tcPr>
            <w:tcW w:w="720" w:type="dxa"/>
            <w:tcBorders>
              <w:top w:val="nil"/>
              <w:left w:val="single" w:sz="4" w:space="0" w:color="auto"/>
              <w:bottom w:val="nil"/>
              <w:right w:val="single" w:sz="12" w:space="0" w:color="auto"/>
            </w:tcBorders>
            <w:noWrap/>
            <w:vAlign w:val="center"/>
            <w:hideMark/>
          </w:tcPr>
          <w:p w14:paraId="57D95294" w14:textId="36986245" w:rsidR="00215C0F" w:rsidRPr="000D3090" w:rsidRDefault="00215C0F" w:rsidP="00215C0F">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2.53</w:t>
            </w:r>
          </w:p>
        </w:tc>
      </w:tr>
      <w:tr w:rsidR="00215C0F" w:rsidRPr="000D3090" w14:paraId="3C840C88"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435DB59E" w14:textId="77777777" w:rsidR="00215C0F" w:rsidRPr="000D3090" w:rsidRDefault="00215C0F" w:rsidP="00215C0F">
            <w:pPr>
              <w:spacing w:after="0" w:line="240" w:lineRule="auto"/>
              <w:rPr>
                <w:color w:val="000000"/>
                <w:sz w:val="20"/>
                <w:szCs w:val="20"/>
              </w:rPr>
            </w:pPr>
            <w:r w:rsidRPr="000D3090">
              <w:rPr>
                <w:color w:val="000000"/>
                <w:sz w:val="20"/>
                <w:szCs w:val="20"/>
              </w:rPr>
              <w:t>Income</w:t>
            </w:r>
          </w:p>
        </w:tc>
        <w:tc>
          <w:tcPr>
            <w:tcW w:w="2430" w:type="dxa"/>
            <w:tcBorders>
              <w:top w:val="nil"/>
              <w:left w:val="single" w:sz="12" w:space="0" w:color="auto"/>
              <w:bottom w:val="nil"/>
              <w:right w:val="nil"/>
            </w:tcBorders>
            <w:noWrap/>
            <w:vAlign w:val="center"/>
            <w:hideMark/>
          </w:tcPr>
          <w:p w14:paraId="7D0D4FBA" w14:textId="77777777" w:rsidR="00215C0F" w:rsidRPr="000D3090" w:rsidRDefault="00215C0F" w:rsidP="00215C0F">
            <w:pPr>
              <w:spacing w:after="0" w:line="240" w:lineRule="auto"/>
              <w:rPr>
                <w:color w:val="000000"/>
                <w:sz w:val="20"/>
                <w:szCs w:val="20"/>
              </w:rPr>
            </w:pPr>
            <w:r w:rsidRPr="000D3090">
              <w:rPr>
                <w:color w:val="000000"/>
                <w:sz w:val="20"/>
                <w:szCs w:val="20"/>
              </w:rPr>
              <w:t>$200,000+</w:t>
            </w:r>
          </w:p>
        </w:tc>
        <w:tc>
          <w:tcPr>
            <w:tcW w:w="2430" w:type="dxa"/>
            <w:tcBorders>
              <w:top w:val="nil"/>
              <w:left w:val="nil"/>
              <w:bottom w:val="nil"/>
              <w:right w:val="single" w:sz="12" w:space="0" w:color="auto"/>
            </w:tcBorders>
            <w:noWrap/>
            <w:vAlign w:val="center"/>
            <w:hideMark/>
          </w:tcPr>
          <w:p w14:paraId="02B890E7" w14:textId="77777777" w:rsidR="00215C0F" w:rsidRPr="000D3090" w:rsidRDefault="00215C0F" w:rsidP="00215C0F">
            <w:pPr>
              <w:spacing w:after="0" w:line="240" w:lineRule="auto"/>
              <w:rPr>
                <w:color w:val="000000"/>
                <w:sz w:val="20"/>
                <w:szCs w:val="20"/>
              </w:rPr>
            </w:pPr>
            <w:r w:rsidRPr="000D3090">
              <w:rPr>
                <w:color w:val="000000"/>
                <w:sz w:val="20"/>
                <w:szCs w:val="20"/>
              </w:rPr>
              <w:t>&lt; $50,000</w:t>
            </w:r>
          </w:p>
        </w:tc>
        <w:tc>
          <w:tcPr>
            <w:tcW w:w="990" w:type="dxa"/>
            <w:tcBorders>
              <w:top w:val="nil"/>
              <w:left w:val="single" w:sz="12" w:space="0" w:color="auto"/>
              <w:bottom w:val="nil"/>
              <w:right w:val="single" w:sz="12" w:space="0" w:color="auto"/>
            </w:tcBorders>
            <w:noWrap/>
            <w:vAlign w:val="center"/>
            <w:hideMark/>
          </w:tcPr>
          <w:p w14:paraId="7D9BAAFB" w14:textId="0EFEC2F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0.92</w:t>
            </w:r>
          </w:p>
        </w:tc>
        <w:tc>
          <w:tcPr>
            <w:tcW w:w="990" w:type="dxa"/>
            <w:tcBorders>
              <w:top w:val="nil"/>
              <w:left w:val="single" w:sz="12" w:space="0" w:color="auto"/>
              <w:bottom w:val="nil"/>
              <w:right w:val="single" w:sz="12" w:space="0" w:color="auto"/>
            </w:tcBorders>
            <w:noWrap/>
            <w:vAlign w:val="center"/>
            <w:hideMark/>
          </w:tcPr>
          <w:p w14:paraId="57FB60D0" w14:textId="5E8A45A9"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w:t>
            </w:r>
            <w:r w:rsidR="001C6215" w:rsidRPr="000D3090">
              <w:rPr>
                <w:color w:val="000000"/>
                <w:sz w:val="20"/>
                <w:szCs w:val="20"/>
              </w:rPr>
              <w:t>7</w:t>
            </w:r>
            <w:r w:rsidRPr="000D3090">
              <w:rPr>
                <w:color w:val="000000"/>
                <w:sz w:val="20"/>
                <w:szCs w:val="20"/>
              </w:rPr>
              <w:t>5</w:t>
            </w:r>
          </w:p>
        </w:tc>
        <w:tc>
          <w:tcPr>
            <w:tcW w:w="1170" w:type="dxa"/>
            <w:tcBorders>
              <w:top w:val="nil"/>
              <w:left w:val="single" w:sz="12" w:space="0" w:color="auto"/>
              <w:bottom w:val="nil"/>
              <w:right w:val="nil"/>
            </w:tcBorders>
            <w:noWrap/>
            <w:vAlign w:val="center"/>
            <w:hideMark/>
          </w:tcPr>
          <w:p w14:paraId="61BDDF41" w14:textId="799F4C9E"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6</w:t>
            </w:r>
          </w:p>
        </w:tc>
        <w:tc>
          <w:tcPr>
            <w:tcW w:w="1440" w:type="dxa"/>
            <w:tcBorders>
              <w:top w:val="nil"/>
              <w:left w:val="nil"/>
              <w:bottom w:val="nil"/>
              <w:right w:val="nil"/>
            </w:tcBorders>
            <w:noWrap/>
            <w:vAlign w:val="center"/>
            <w:hideMark/>
          </w:tcPr>
          <w:p w14:paraId="4C2ABCB2" w14:textId="6F4B3CA3"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11</w:t>
            </w:r>
          </w:p>
        </w:tc>
        <w:tc>
          <w:tcPr>
            <w:tcW w:w="1170" w:type="dxa"/>
            <w:tcBorders>
              <w:top w:val="nil"/>
              <w:left w:val="nil"/>
              <w:bottom w:val="nil"/>
              <w:right w:val="single" w:sz="4" w:space="0" w:color="auto"/>
            </w:tcBorders>
            <w:noWrap/>
            <w:vAlign w:val="center"/>
            <w:hideMark/>
          </w:tcPr>
          <w:p w14:paraId="1E95CAB7"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83</w:t>
            </w:r>
          </w:p>
        </w:tc>
        <w:tc>
          <w:tcPr>
            <w:tcW w:w="720" w:type="dxa"/>
            <w:tcBorders>
              <w:top w:val="nil"/>
              <w:left w:val="single" w:sz="4" w:space="0" w:color="auto"/>
              <w:bottom w:val="nil"/>
              <w:right w:val="single" w:sz="12" w:space="0" w:color="auto"/>
            </w:tcBorders>
            <w:noWrap/>
            <w:vAlign w:val="center"/>
            <w:hideMark/>
          </w:tcPr>
          <w:p w14:paraId="738E7DFB" w14:textId="34622124" w:rsidR="00215C0F" w:rsidRPr="000D3090" w:rsidRDefault="00215C0F" w:rsidP="00215C0F">
            <w:pPr>
              <w:spacing w:after="0" w:line="240" w:lineRule="auto"/>
              <w:jc w:val="center"/>
              <w:rPr>
                <w:color w:val="000000"/>
                <w:sz w:val="20"/>
                <w:szCs w:val="20"/>
              </w:rPr>
            </w:pPr>
            <w:r w:rsidRPr="000D3090">
              <w:rPr>
                <w:color w:val="000000"/>
                <w:sz w:val="20"/>
                <w:szCs w:val="20"/>
              </w:rPr>
              <w:t>13.</w:t>
            </w:r>
            <w:r w:rsidR="0067403B" w:rsidRPr="000D3090">
              <w:rPr>
                <w:color w:val="000000"/>
                <w:sz w:val="20"/>
                <w:szCs w:val="20"/>
              </w:rPr>
              <w:t>14</w:t>
            </w:r>
          </w:p>
        </w:tc>
      </w:tr>
      <w:tr w:rsidR="00215C0F" w:rsidRPr="000D3090" w14:paraId="42F0316C" w14:textId="77777777" w:rsidTr="009A0812">
        <w:trPr>
          <w:trHeight w:val="259"/>
          <w:jc w:val="center"/>
        </w:trPr>
        <w:tc>
          <w:tcPr>
            <w:tcW w:w="2235" w:type="dxa"/>
            <w:tcBorders>
              <w:top w:val="nil"/>
              <w:left w:val="single" w:sz="12" w:space="0" w:color="auto"/>
              <w:right w:val="single" w:sz="12" w:space="0" w:color="auto"/>
            </w:tcBorders>
            <w:noWrap/>
            <w:vAlign w:val="center"/>
            <w:hideMark/>
          </w:tcPr>
          <w:p w14:paraId="30E18B1C" w14:textId="77777777" w:rsidR="00215C0F" w:rsidRPr="000D3090" w:rsidRDefault="00215C0F" w:rsidP="00215C0F">
            <w:pPr>
              <w:spacing w:after="0" w:line="240" w:lineRule="auto"/>
              <w:rPr>
                <w:color w:val="000000"/>
                <w:sz w:val="20"/>
                <w:szCs w:val="20"/>
              </w:rPr>
            </w:pPr>
            <w:r w:rsidRPr="000D3090">
              <w:rPr>
                <w:color w:val="000000"/>
                <w:sz w:val="20"/>
                <w:szCs w:val="20"/>
              </w:rPr>
              <w:t>Home Ownership</w:t>
            </w:r>
          </w:p>
        </w:tc>
        <w:tc>
          <w:tcPr>
            <w:tcW w:w="2430" w:type="dxa"/>
            <w:tcBorders>
              <w:top w:val="nil"/>
              <w:left w:val="single" w:sz="12" w:space="0" w:color="auto"/>
              <w:right w:val="nil"/>
            </w:tcBorders>
            <w:noWrap/>
            <w:vAlign w:val="center"/>
            <w:hideMark/>
          </w:tcPr>
          <w:p w14:paraId="57A27282" w14:textId="77777777" w:rsidR="00215C0F" w:rsidRPr="000D3090" w:rsidRDefault="00215C0F" w:rsidP="00215C0F">
            <w:pPr>
              <w:spacing w:after="0" w:line="240" w:lineRule="auto"/>
              <w:rPr>
                <w:color w:val="000000"/>
                <w:sz w:val="20"/>
                <w:szCs w:val="20"/>
              </w:rPr>
            </w:pPr>
            <w:r w:rsidRPr="000D3090">
              <w:rPr>
                <w:color w:val="000000"/>
                <w:sz w:val="20"/>
                <w:szCs w:val="20"/>
              </w:rPr>
              <w:t>Owner</w:t>
            </w:r>
          </w:p>
        </w:tc>
        <w:tc>
          <w:tcPr>
            <w:tcW w:w="2430" w:type="dxa"/>
            <w:tcBorders>
              <w:top w:val="nil"/>
              <w:left w:val="nil"/>
              <w:right w:val="single" w:sz="12" w:space="0" w:color="auto"/>
            </w:tcBorders>
            <w:noWrap/>
            <w:vAlign w:val="center"/>
            <w:hideMark/>
          </w:tcPr>
          <w:p w14:paraId="0E0FCE0E" w14:textId="77777777" w:rsidR="00215C0F" w:rsidRPr="000D3090" w:rsidRDefault="00215C0F" w:rsidP="00215C0F">
            <w:pPr>
              <w:spacing w:after="0" w:line="240" w:lineRule="auto"/>
              <w:rPr>
                <w:color w:val="000000"/>
                <w:sz w:val="20"/>
                <w:szCs w:val="20"/>
              </w:rPr>
            </w:pPr>
            <w:r w:rsidRPr="000D3090">
              <w:rPr>
                <w:color w:val="000000"/>
                <w:sz w:val="20"/>
                <w:szCs w:val="20"/>
              </w:rPr>
              <w:t>Renter</w:t>
            </w:r>
          </w:p>
        </w:tc>
        <w:tc>
          <w:tcPr>
            <w:tcW w:w="990" w:type="dxa"/>
            <w:tcBorders>
              <w:top w:val="nil"/>
              <w:left w:val="single" w:sz="12" w:space="0" w:color="auto"/>
              <w:right w:val="single" w:sz="12" w:space="0" w:color="auto"/>
            </w:tcBorders>
            <w:noWrap/>
            <w:vAlign w:val="center"/>
            <w:hideMark/>
          </w:tcPr>
          <w:p w14:paraId="0F60A6F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right w:val="single" w:sz="12" w:space="0" w:color="auto"/>
            </w:tcBorders>
            <w:noWrap/>
            <w:vAlign w:val="center"/>
            <w:hideMark/>
          </w:tcPr>
          <w:p w14:paraId="09F2D85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1170" w:type="dxa"/>
            <w:tcBorders>
              <w:top w:val="nil"/>
              <w:left w:val="single" w:sz="12" w:space="0" w:color="auto"/>
              <w:right w:val="nil"/>
            </w:tcBorders>
            <w:noWrap/>
            <w:vAlign w:val="center"/>
            <w:hideMark/>
          </w:tcPr>
          <w:p w14:paraId="4462E77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right w:val="nil"/>
            </w:tcBorders>
            <w:noWrap/>
            <w:vAlign w:val="center"/>
            <w:hideMark/>
          </w:tcPr>
          <w:p w14:paraId="21576461"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170" w:type="dxa"/>
            <w:tcBorders>
              <w:top w:val="nil"/>
              <w:left w:val="nil"/>
              <w:right w:val="single" w:sz="4" w:space="0" w:color="auto"/>
            </w:tcBorders>
            <w:noWrap/>
            <w:vAlign w:val="center"/>
            <w:hideMark/>
          </w:tcPr>
          <w:p w14:paraId="30B29908"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720" w:type="dxa"/>
            <w:tcBorders>
              <w:top w:val="nil"/>
              <w:left w:val="single" w:sz="4" w:space="0" w:color="auto"/>
              <w:right w:val="single" w:sz="12" w:space="0" w:color="auto"/>
            </w:tcBorders>
            <w:noWrap/>
            <w:vAlign w:val="center"/>
            <w:hideMark/>
          </w:tcPr>
          <w:p w14:paraId="4EA59FCC" w14:textId="339E3985" w:rsidR="00215C0F" w:rsidRPr="000D3090" w:rsidRDefault="00215C0F" w:rsidP="00215C0F">
            <w:pPr>
              <w:spacing w:after="0" w:line="240" w:lineRule="auto"/>
              <w:jc w:val="center"/>
              <w:rPr>
                <w:color w:val="000000"/>
                <w:sz w:val="20"/>
                <w:szCs w:val="20"/>
              </w:rPr>
            </w:pPr>
            <w:r w:rsidRPr="000D3090">
              <w:rPr>
                <w:color w:val="000000"/>
                <w:sz w:val="20"/>
                <w:szCs w:val="20"/>
              </w:rPr>
              <w:t xml:space="preserve">  2.</w:t>
            </w:r>
            <w:r w:rsidR="0067403B" w:rsidRPr="000D3090">
              <w:rPr>
                <w:color w:val="000000"/>
                <w:sz w:val="20"/>
                <w:szCs w:val="20"/>
              </w:rPr>
              <w:t>49</w:t>
            </w:r>
          </w:p>
        </w:tc>
      </w:tr>
      <w:tr w:rsidR="00215C0F" w:rsidRPr="000D3090" w14:paraId="3A79791F" w14:textId="77777777" w:rsidTr="009A0812">
        <w:trPr>
          <w:trHeight w:val="259"/>
          <w:jc w:val="center"/>
        </w:trPr>
        <w:tc>
          <w:tcPr>
            <w:tcW w:w="13575" w:type="dxa"/>
            <w:gridSpan w:val="9"/>
            <w:tcBorders>
              <w:top w:val="single" w:sz="6" w:space="0" w:color="auto"/>
              <w:left w:val="single" w:sz="12" w:space="0" w:color="auto"/>
              <w:bottom w:val="single" w:sz="6" w:space="0" w:color="auto"/>
              <w:right w:val="single" w:sz="12" w:space="0" w:color="auto"/>
            </w:tcBorders>
            <w:noWrap/>
            <w:vAlign w:val="center"/>
          </w:tcPr>
          <w:p w14:paraId="7C4D3F11" w14:textId="6E06CB1E" w:rsidR="00215C0F" w:rsidRPr="000D3090" w:rsidRDefault="00215C0F" w:rsidP="00215C0F">
            <w:pPr>
              <w:spacing w:after="0" w:line="240" w:lineRule="auto"/>
              <w:rPr>
                <w:b/>
                <w:bCs/>
                <w:color w:val="000000"/>
                <w:sz w:val="20"/>
                <w:szCs w:val="20"/>
              </w:rPr>
            </w:pPr>
            <w:r w:rsidRPr="000D3090">
              <w:rPr>
                <w:b/>
                <w:bCs/>
                <w:color w:val="000000"/>
                <w:sz w:val="20"/>
                <w:szCs w:val="20"/>
              </w:rPr>
              <w:t>Individual Characteristics</w:t>
            </w:r>
          </w:p>
        </w:tc>
      </w:tr>
      <w:tr w:rsidR="00215C0F" w:rsidRPr="000D3090" w14:paraId="4DD21DDD" w14:textId="77777777" w:rsidTr="009A0812">
        <w:trPr>
          <w:trHeight w:val="259"/>
          <w:jc w:val="center"/>
        </w:trPr>
        <w:tc>
          <w:tcPr>
            <w:tcW w:w="2235" w:type="dxa"/>
            <w:tcBorders>
              <w:top w:val="single" w:sz="6" w:space="0" w:color="auto"/>
              <w:left w:val="single" w:sz="12" w:space="0" w:color="auto"/>
              <w:bottom w:val="nil"/>
              <w:right w:val="single" w:sz="12" w:space="0" w:color="auto"/>
            </w:tcBorders>
            <w:noWrap/>
            <w:vAlign w:val="center"/>
            <w:hideMark/>
          </w:tcPr>
          <w:p w14:paraId="6C443117" w14:textId="77777777" w:rsidR="00215C0F" w:rsidRPr="000D3090" w:rsidRDefault="00215C0F" w:rsidP="00215C0F">
            <w:pPr>
              <w:spacing w:after="0" w:line="240" w:lineRule="auto"/>
              <w:rPr>
                <w:color w:val="000000"/>
                <w:sz w:val="20"/>
                <w:szCs w:val="20"/>
              </w:rPr>
            </w:pPr>
            <w:r w:rsidRPr="000D3090">
              <w:rPr>
                <w:color w:val="000000"/>
                <w:sz w:val="20"/>
                <w:szCs w:val="20"/>
              </w:rPr>
              <w:t>Gender</w:t>
            </w:r>
          </w:p>
        </w:tc>
        <w:tc>
          <w:tcPr>
            <w:tcW w:w="2430" w:type="dxa"/>
            <w:tcBorders>
              <w:top w:val="single" w:sz="6" w:space="0" w:color="auto"/>
              <w:left w:val="single" w:sz="12" w:space="0" w:color="auto"/>
              <w:bottom w:val="nil"/>
              <w:right w:val="nil"/>
            </w:tcBorders>
            <w:noWrap/>
            <w:vAlign w:val="center"/>
            <w:hideMark/>
          </w:tcPr>
          <w:p w14:paraId="0F1C2962" w14:textId="77777777" w:rsidR="00215C0F" w:rsidRPr="000D3090" w:rsidRDefault="00215C0F" w:rsidP="00215C0F">
            <w:pPr>
              <w:spacing w:after="0" w:line="240" w:lineRule="auto"/>
              <w:rPr>
                <w:color w:val="000000"/>
                <w:sz w:val="20"/>
                <w:szCs w:val="20"/>
              </w:rPr>
            </w:pPr>
            <w:r w:rsidRPr="000D3090">
              <w:rPr>
                <w:color w:val="000000"/>
                <w:sz w:val="20"/>
                <w:szCs w:val="20"/>
              </w:rPr>
              <w:t>Male</w:t>
            </w:r>
          </w:p>
        </w:tc>
        <w:tc>
          <w:tcPr>
            <w:tcW w:w="2430" w:type="dxa"/>
            <w:tcBorders>
              <w:top w:val="single" w:sz="6" w:space="0" w:color="auto"/>
              <w:left w:val="nil"/>
              <w:bottom w:val="nil"/>
              <w:right w:val="single" w:sz="12" w:space="0" w:color="auto"/>
            </w:tcBorders>
            <w:noWrap/>
            <w:vAlign w:val="center"/>
            <w:hideMark/>
          </w:tcPr>
          <w:p w14:paraId="466C48FA" w14:textId="77777777" w:rsidR="00215C0F" w:rsidRPr="000D3090" w:rsidRDefault="00215C0F" w:rsidP="00215C0F">
            <w:pPr>
              <w:spacing w:after="0" w:line="240" w:lineRule="auto"/>
              <w:rPr>
                <w:color w:val="000000"/>
                <w:sz w:val="20"/>
                <w:szCs w:val="20"/>
              </w:rPr>
            </w:pPr>
            <w:r w:rsidRPr="000D3090">
              <w:rPr>
                <w:color w:val="000000"/>
                <w:sz w:val="20"/>
                <w:szCs w:val="20"/>
              </w:rPr>
              <w:t>Female</w:t>
            </w:r>
          </w:p>
        </w:tc>
        <w:tc>
          <w:tcPr>
            <w:tcW w:w="990" w:type="dxa"/>
            <w:tcBorders>
              <w:top w:val="single" w:sz="6" w:space="0" w:color="auto"/>
              <w:left w:val="single" w:sz="12" w:space="0" w:color="auto"/>
              <w:bottom w:val="nil"/>
              <w:right w:val="single" w:sz="12" w:space="0" w:color="auto"/>
            </w:tcBorders>
            <w:noWrap/>
            <w:vAlign w:val="center"/>
            <w:hideMark/>
          </w:tcPr>
          <w:p w14:paraId="43387763"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single" w:sz="6" w:space="0" w:color="auto"/>
              <w:left w:val="single" w:sz="12" w:space="0" w:color="auto"/>
              <w:bottom w:val="nil"/>
              <w:right w:val="single" w:sz="12" w:space="0" w:color="auto"/>
            </w:tcBorders>
            <w:noWrap/>
            <w:vAlign w:val="center"/>
            <w:hideMark/>
          </w:tcPr>
          <w:p w14:paraId="6848DF43" w14:textId="58117C2E"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86</w:t>
            </w:r>
          </w:p>
        </w:tc>
        <w:tc>
          <w:tcPr>
            <w:tcW w:w="1170" w:type="dxa"/>
            <w:tcBorders>
              <w:top w:val="single" w:sz="6" w:space="0" w:color="auto"/>
              <w:left w:val="single" w:sz="12" w:space="0" w:color="auto"/>
              <w:bottom w:val="nil"/>
              <w:right w:val="nil"/>
            </w:tcBorders>
            <w:noWrap/>
            <w:vAlign w:val="center"/>
            <w:hideMark/>
          </w:tcPr>
          <w:p w14:paraId="4EAA066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single" w:sz="6" w:space="0" w:color="auto"/>
              <w:left w:val="nil"/>
              <w:bottom w:val="nil"/>
              <w:right w:val="nil"/>
            </w:tcBorders>
            <w:noWrap/>
            <w:vAlign w:val="center"/>
            <w:hideMark/>
          </w:tcPr>
          <w:p w14:paraId="6BC54B74" w14:textId="31D5DAE3"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2</w:t>
            </w:r>
            <w:r w:rsidRPr="000D3090">
              <w:rPr>
                <w:color w:val="000000"/>
                <w:sz w:val="20"/>
                <w:szCs w:val="20"/>
              </w:rPr>
              <w:t>1</w:t>
            </w:r>
          </w:p>
        </w:tc>
        <w:tc>
          <w:tcPr>
            <w:tcW w:w="1170" w:type="dxa"/>
            <w:tcBorders>
              <w:top w:val="single" w:sz="6" w:space="0" w:color="auto"/>
              <w:left w:val="nil"/>
              <w:bottom w:val="nil"/>
              <w:right w:val="single" w:sz="4" w:space="0" w:color="auto"/>
            </w:tcBorders>
            <w:noWrap/>
            <w:vAlign w:val="center"/>
            <w:hideMark/>
          </w:tcPr>
          <w:p w14:paraId="0AEC8267" w14:textId="743AF8B3"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79</w:t>
            </w:r>
          </w:p>
        </w:tc>
        <w:tc>
          <w:tcPr>
            <w:tcW w:w="720" w:type="dxa"/>
            <w:tcBorders>
              <w:top w:val="single" w:sz="6" w:space="0" w:color="auto"/>
              <w:left w:val="single" w:sz="4" w:space="0" w:color="auto"/>
              <w:bottom w:val="nil"/>
              <w:right w:val="single" w:sz="12" w:space="0" w:color="auto"/>
            </w:tcBorders>
            <w:noWrap/>
            <w:vAlign w:val="center"/>
            <w:hideMark/>
          </w:tcPr>
          <w:p w14:paraId="2E535434" w14:textId="1563DAC0" w:rsidR="00215C0F" w:rsidRPr="000D3090" w:rsidRDefault="00215C0F" w:rsidP="00215C0F">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1.97</w:t>
            </w:r>
          </w:p>
        </w:tc>
      </w:tr>
      <w:tr w:rsidR="00215C0F" w:rsidRPr="000D3090" w14:paraId="3BE130DC"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10D0925C" w14:textId="77777777" w:rsidR="00215C0F" w:rsidRPr="000D3090" w:rsidRDefault="00215C0F" w:rsidP="00215C0F">
            <w:pPr>
              <w:spacing w:after="0" w:line="240" w:lineRule="auto"/>
              <w:rPr>
                <w:color w:val="000000"/>
                <w:sz w:val="20"/>
                <w:szCs w:val="20"/>
              </w:rPr>
            </w:pPr>
            <w:r w:rsidRPr="000D3090">
              <w:rPr>
                <w:color w:val="000000"/>
                <w:sz w:val="20"/>
                <w:szCs w:val="20"/>
              </w:rPr>
              <w:t>Age</w:t>
            </w:r>
          </w:p>
        </w:tc>
        <w:tc>
          <w:tcPr>
            <w:tcW w:w="2430" w:type="dxa"/>
            <w:tcBorders>
              <w:top w:val="nil"/>
              <w:left w:val="single" w:sz="12" w:space="0" w:color="auto"/>
              <w:bottom w:val="nil"/>
              <w:right w:val="nil"/>
            </w:tcBorders>
            <w:noWrap/>
            <w:vAlign w:val="center"/>
            <w:hideMark/>
          </w:tcPr>
          <w:p w14:paraId="2C8B9C8E" w14:textId="77777777" w:rsidR="00215C0F" w:rsidRPr="000D3090" w:rsidRDefault="00215C0F" w:rsidP="00215C0F">
            <w:pPr>
              <w:spacing w:after="0" w:line="240" w:lineRule="auto"/>
              <w:rPr>
                <w:color w:val="000000"/>
                <w:sz w:val="20"/>
                <w:szCs w:val="20"/>
              </w:rPr>
            </w:pPr>
            <w:r w:rsidRPr="000D3090">
              <w:rPr>
                <w:color w:val="000000"/>
                <w:sz w:val="20"/>
                <w:szCs w:val="20"/>
              </w:rPr>
              <w:t>18-24</w:t>
            </w:r>
          </w:p>
        </w:tc>
        <w:tc>
          <w:tcPr>
            <w:tcW w:w="2430" w:type="dxa"/>
            <w:tcBorders>
              <w:top w:val="nil"/>
              <w:left w:val="nil"/>
              <w:bottom w:val="nil"/>
              <w:right w:val="single" w:sz="12" w:space="0" w:color="auto"/>
            </w:tcBorders>
            <w:noWrap/>
            <w:vAlign w:val="center"/>
            <w:hideMark/>
          </w:tcPr>
          <w:p w14:paraId="0301B1DB" w14:textId="77777777" w:rsidR="00215C0F" w:rsidRPr="000D3090" w:rsidRDefault="00215C0F" w:rsidP="00215C0F">
            <w:pPr>
              <w:spacing w:after="0" w:line="240" w:lineRule="auto"/>
              <w:rPr>
                <w:color w:val="000000"/>
                <w:sz w:val="20"/>
                <w:szCs w:val="20"/>
              </w:rPr>
            </w:pPr>
            <w:r w:rsidRPr="000D3090">
              <w:rPr>
                <w:color w:val="000000"/>
                <w:sz w:val="20"/>
                <w:szCs w:val="20"/>
              </w:rPr>
              <w:t>65 or Older</w:t>
            </w:r>
          </w:p>
        </w:tc>
        <w:tc>
          <w:tcPr>
            <w:tcW w:w="990" w:type="dxa"/>
            <w:tcBorders>
              <w:top w:val="nil"/>
              <w:left w:val="single" w:sz="12" w:space="0" w:color="auto"/>
              <w:bottom w:val="nil"/>
              <w:right w:val="single" w:sz="12" w:space="0" w:color="auto"/>
            </w:tcBorders>
            <w:noWrap/>
            <w:vAlign w:val="center"/>
            <w:hideMark/>
          </w:tcPr>
          <w:p w14:paraId="7310CFDC" w14:textId="32CBA4A2"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0.93</w:t>
            </w:r>
          </w:p>
        </w:tc>
        <w:tc>
          <w:tcPr>
            <w:tcW w:w="990" w:type="dxa"/>
            <w:tcBorders>
              <w:top w:val="nil"/>
              <w:left w:val="single" w:sz="12" w:space="0" w:color="auto"/>
              <w:bottom w:val="nil"/>
              <w:right w:val="single" w:sz="12" w:space="0" w:color="auto"/>
            </w:tcBorders>
            <w:noWrap/>
            <w:vAlign w:val="center"/>
            <w:hideMark/>
          </w:tcPr>
          <w:p w14:paraId="670318B1" w14:textId="4977AD1F"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7</w:t>
            </w:r>
            <w:r w:rsidRPr="000D3090">
              <w:rPr>
                <w:color w:val="000000"/>
                <w:sz w:val="20"/>
                <w:szCs w:val="20"/>
              </w:rPr>
              <w:t>4</w:t>
            </w:r>
          </w:p>
        </w:tc>
        <w:tc>
          <w:tcPr>
            <w:tcW w:w="1170" w:type="dxa"/>
            <w:tcBorders>
              <w:top w:val="nil"/>
              <w:left w:val="single" w:sz="12" w:space="0" w:color="auto"/>
              <w:bottom w:val="nil"/>
              <w:right w:val="nil"/>
            </w:tcBorders>
            <w:noWrap/>
            <w:vAlign w:val="center"/>
            <w:hideMark/>
          </w:tcPr>
          <w:p w14:paraId="7CD7331C" w14:textId="0F39690A"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12</w:t>
            </w:r>
          </w:p>
        </w:tc>
        <w:tc>
          <w:tcPr>
            <w:tcW w:w="1440" w:type="dxa"/>
            <w:tcBorders>
              <w:top w:val="nil"/>
              <w:left w:val="nil"/>
              <w:bottom w:val="nil"/>
              <w:right w:val="nil"/>
            </w:tcBorders>
            <w:noWrap/>
            <w:vAlign w:val="center"/>
            <w:hideMark/>
          </w:tcPr>
          <w:p w14:paraId="66D0C031" w14:textId="287F51E4"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9</w:t>
            </w:r>
          </w:p>
        </w:tc>
        <w:tc>
          <w:tcPr>
            <w:tcW w:w="1170" w:type="dxa"/>
            <w:tcBorders>
              <w:top w:val="nil"/>
              <w:left w:val="nil"/>
              <w:bottom w:val="nil"/>
              <w:right w:val="single" w:sz="4" w:space="0" w:color="auto"/>
            </w:tcBorders>
            <w:noWrap/>
            <w:vAlign w:val="center"/>
            <w:hideMark/>
          </w:tcPr>
          <w:p w14:paraId="7169FDED" w14:textId="37756694" w:rsidR="00215C0F" w:rsidRPr="000D3090" w:rsidRDefault="00A64794" w:rsidP="00215C0F">
            <w:pPr>
              <w:tabs>
                <w:tab w:val="decimal" w:pos="211"/>
              </w:tabs>
              <w:spacing w:after="0" w:line="240" w:lineRule="auto"/>
              <w:jc w:val="center"/>
              <w:rPr>
                <w:color w:val="000000"/>
                <w:sz w:val="20"/>
                <w:szCs w:val="20"/>
              </w:rPr>
            </w:pPr>
            <w:r w:rsidRPr="000D3090">
              <w:rPr>
                <w:color w:val="000000"/>
                <w:sz w:val="20"/>
                <w:szCs w:val="20"/>
              </w:rPr>
              <w:t>79</w:t>
            </w:r>
          </w:p>
        </w:tc>
        <w:tc>
          <w:tcPr>
            <w:tcW w:w="720" w:type="dxa"/>
            <w:tcBorders>
              <w:top w:val="nil"/>
              <w:left w:val="single" w:sz="4" w:space="0" w:color="auto"/>
              <w:bottom w:val="nil"/>
              <w:right w:val="single" w:sz="12" w:space="0" w:color="auto"/>
            </w:tcBorders>
            <w:noWrap/>
            <w:vAlign w:val="center"/>
            <w:hideMark/>
          </w:tcPr>
          <w:p w14:paraId="0A3F5D0B" w14:textId="2DED11EF" w:rsidR="00215C0F" w:rsidRPr="000D3090" w:rsidRDefault="00215C0F" w:rsidP="00215C0F">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5.57</w:t>
            </w:r>
          </w:p>
        </w:tc>
      </w:tr>
      <w:tr w:rsidR="00215C0F" w:rsidRPr="000D3090" w14:paraId="4C1524EB"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491C34CC" w14:textId="77777777" w:rsidR="00215C0F" w:rsidRPr="000D3090" w:rsidRDefault="00215C0F" w:rsidP="00215C0F">
            <w:pPr>
              <w:spacing w:after="0" w:line="240" w:lineRule="auto"/>
              <w:rPr>
                <w:color w:val="000000"/>
                <w:sz w:val="20"/>
                <w:szCs w:val="20"/>
              </w:rPr>
            </w:pPr>
            <w:r w:rsidRPr="000D3090">
              <w:rPr>
                <w:color w:val="000000"/>
                <w:sz w:val="20"/>
                <w:szCs w:val="20"/>
              </w:rPr>
              <w:t>Employment</w:t>
            </w:r>
          </w:p>
        </w:tc>
        <w:tc>
          <w:tcPr>
            <w:tcW w:w="2430" w:type="dxa"/>
            <w:tcBorders>
              <w:top w:val="nil"/>
              <w:left w:val="single" w:sz="12" w:space="0" w:color="auto"/>
              <w:bottom w:val="nil"/>
              <w:right w:val="nil"/>
            </w:tcBorders>
            <w:noWrap/>
            <w:vAlign w:val="center"/>
            <w:hideMark/>
          </w:tcPr>
          <w:p w14:paraId="5A225DE2" w14:textId="77777777" w:rsidR="00215C0F" w:rsidRPr="000D3090" w:rsidRDefault="00215C0F" w:rsidP="00215C0F">
            <w:pPr>
              <w:spacing w:after="0" w:line="240" w:lineRule="auto"/>
              <w:rPr>
                <w:color w:val="000000"/>
                <w:sz w:val="20"/>
                <w:szCs w:val="20"/>
              </w:rPr>
            </w:pPr>
            <w:r w:rsidRPr="000D3090">
              <w:rPr>
                <w:color w:val="000000"/>
                <w:sz w:val="20"/>
                <w:szCs w:val="20"/>
              </w:rPr>
              <w:t>Employed</w:t>
            </w:r>
          </w:p>
        </w:tc>
        <w:tc>
          <w:tcPr>
            <w:tcW w:w="2430" w:type="dxa"/>
            <w:tcBorders>
              <w:top w:val="nil"/>
              <w:left w:val="nil"/>
              <w:bottom w:val="nil"/>
              <w:right w:val="single" w:sz="12" w:space="0" w:color="auto"/>
            </w:tcBorders>
            <w:noWrap/>
            <w:vAlign w:val="center"/>
            <w:hideMark/>
          </w:tcPr>
          <w:p w14:paraId="737896E4" w14:textId="77777777" w:rsidR="00215C0F" w:rsidRPr="000D3090" w:rsidRDefault="00215C0F" w:rsidP="00215C0F">
            <w:pPr>
              <w:spacing w:after="0" w:line="240" w:lineRule="auto"/>
              <w:rPr>
                <w:color w:val="000000"/>
                <w:sz w:val="20"/>
                <w:szCs w:val="20"/>
              </w:rPr>
            </w:pPr>
            <w:r w:rsidRPr="000D3090">
              <w:rPr>
                <w:color w:val="000000"/>
                <w:sz w:val="20"/>
                <w:szCs w:val="20"/>
              </w:rPr>
              <w:t>Retired</w:t>
            </w:r>
          </w:p>
        </w:tc>
        <w:tc>
          <w:tcPr>
            <w:tcW w:w="990" w:type="dxa"/>
            <w:tcBorders>
              <w:top w:val="nil"/>
              <w:left w:val="single" w:sz="12" w:space="0" w:color="auto"/>
              <w:bottom w:val="nil"/>
              <w:right w:val="single" w:sz="12" w:space="0" w:color="auto"/>
            </w:tcBorders>
            <w:noWrap/>
            <w:vAlign w:val="center"/>
            <w:hideMark/>
          </w:tcPr>
          <w:p w14:paraId="7441A954"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bottom w:val="nil"/>
              <w:right w:val="single" w:sz="12" w:space="0" w:color="auto"/>
            </w:tcBorders>
            <w:noWrap/>
            <w:vAlign w:val="center"/>
            <w:hideMark/>
          </w:tcPr>
          <w:p w14:paraId="1609E923" w14:textId="7818ADED"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1</w:t>
            </w:r>
            <w:r w:rsidRPr="000D3090">
              <w:rPr>
                <w:color w:val="000000"/>
                <w:sz w:val="20"/>
                <w:szCs w:val="20"/>
              </w:rPr>
              <w:t>.</w:t>
            </w:r>
            <w:r w:rsidR="001C6215" w:rsidRPr="000D3090">
              <w:rPr>
                <w:color w:val="000000"/>
                <w:sz w:val="20"/>
                <w:szCs w:val="20"/>
              </w:rPr>
              <w:t>02</w:t>
            </w:r>
          </w:p>
        </w:tc>
        <w:tc>
          <w:tcPr>
            <w:tcW w:w="1170" w:type="dxa"/>
            <w:tcBorders>
              <w:top w:val="nil"/>
              <w:left w:val="single" w:sz="12" w:space="0" w:color="auto"/>
              <w:bottom w:val="nil"/>
              <w:right w:val="nil"/>
            </w:tcBorders>
            <w:noWrap/>
            <w:vAlign w:val="center"/>
            <w:hideMark/>
          </w:tcPr>
          <w:p w14:paraId="1541B3AB"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bottom w:val="nil"/>
              <w:right w:val="nil"/>
            </w:tcBorders>
            <w:noWrap/>
            <w:vAlign w:val="center"/>
            <w:hideMark/>
          </w:tcPr>
          <w:p w14:paraId="14965355"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1170" w:type="dxa"/>
            <w:tcBorders>
              <w:top w:val="nil"/>
              <w:left w:val="nil"/>
              <w:bottom w:val="nil"/>
              <w:right w:val="single" w:sz="4" w:space="0" w:color="auto"/>
            </w:tcBorders>
            <w:noWrap/>
            <w:vAlign w:val="center"/>
            <w:hideMark/>
          </w:tcPr>
          <w:p w14:paraId="66079DC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720" w:type="dxa"/>
            <w:tcBorders>
              <w:top w:val="nil"/>
              <w:left w:val="single" w:sz="4" w:space="0" w:color="auto"/>
              <w:bottom w:val="nil"/>
              <w:right w:val="single" w:sz="12" w:space="0" w:color="auto"/>
            </w:tcBorders>
            <w:noWrap/>
            <w:vAlign w:val="center"/>
            <w:hideMark/>
          </w:tcPr>
          <w:p w14:paraId="4D3D849C" w14:textId="65D565B1" w:rsidR="00215C0F" w:rsidRPr="000D3090" w:rsidRDefault="00215C0F" w:rsidP="00215C0F">
            <w:pPr>
              <w:spacing w:after="0" w:line="240" w:lineRule="auto"/>
              <w:jc w:val="center"/>
              <w:rPr>
                <w:color w:val="000000"/>
                <w:sz w:val="20"/>
                <w:szCs w:val="20"/>
              </w:rPr>
            </w:pPr>
            <w:r w:rsidRPr="000D3090">
              <w:rPr>
                <w:color w:val="000000"/>
                <w:sz w:val="20"/>
                <w:szCs w:val="20"/>
              </w:rPr>
              <w:t xml:space="preserve">  0.</w:t>
            </w:r>
            <w:r w:rsidR="0067403B" w:rsidRPr="000D3090">
              <w:rPr>
                <w:color w:val="000000"/>
                <w:sz w:val="20"/>
                <w:szCs w:val="20"/>
              </w:rPr>
              <w:t>88</w:t>
            </w:r>
          </w:p>
        </w:tc>
      </w:tr>
      <w:tr w:rsidR="00215C0F" w:rsidRPr="000D3090" w14:paraId="559536C8"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623639D0" w14:textId="77777777" w:rsidR="00215C0F" w:rsidRPr="000D3090" w:rsidRDefault="00215C0F" w:rsidP="00215C0F">
            <w:pPr>
              <w:spacing w:after="0" w:line="240" w:lineRule="auto"/>
              <w:rPr>
                <w:color w:val="000000"/>
                <w:sz w:val="20"/>
                <w:szCs w:val="20"/>
              </w:rPr>
            </w:pPr>
            <w:r w:rsidRPr="000D3090">
              <w:rPr>
                <w:color w:val="000000"/>
                <w:sz w:val="20"/>
                <w:szCs w:val="20"/>
              </w:rPr>
              <w:t>Employment</w:t>
            </w:r>
          </w:p>
        </w:tc>
        <w:tc>
          <w:tcPr>
            <w:tcW w:w="2430" w:type="dxa"/>
            <w:tcBorders>
              <w:top w:val="nil"/>
              <w:left w:val="single" w:sz="12" w:space="0" w:color="auto"/>
              <w:bottom w:val="nil"/>
              <w:right w:val="nil"/>
            </w:tcBorders>
            <w:noWrap/>
            <w:vAlign w:val="center"/>
            <w:hideMark/>
          </w:tcPr>
          <w:p w14:paraId="5554D6B9" w14:textId="77777777" w:rsidR="00215C0F" w:rsidRPr="000D3090" w:rsidRDefault="00215C0F" w:rsidP="00215C0F">
            <w:pPr>
              <w:spacing w:after="0" w:line="240" w:lineRule="auto"/>
              <w:rPr>
                <w:color w:val="000000"/>
                <w:sz w:val="20"/>
                <w:szCs w:val="20"/>
              </w:rPr>
            </w:pPr>
            <w:r w:rsidRPr="000D3090">
              <w:rPr>
                <w:color w:val="000000"/>
                <w:sz w:val="20"/>
                <w:szCs w:val="20"/>
              </w:rPr>
              <w:t>Employed</w:t>
            </w:r>
          </w:p>
        </w:tc>
        <w:tc>
          <w:tcPr>
            <w:tcW w:w="2430" w:type="dxa"/>
            <w:tcBorders>
              <w:top w:val="nil"/>
              <w:left w:val="nil"/>
              <w:bottom w:val="nil"/>
              <w:right w:val="single" w:sz="12" w:space="0" w:color="auto"/>
            </w:tcBorders>
            <w:noWrap/>
            <w:vAlign w:val="center"/>
            <w:hideMark/>
          </w:tcPr>
          <w:p w14:paraId="32BE6235" w14:textId="77777777" w:rsidR="00215C0F" w:rsidRPr="000D3090" w:rsidRDefault="00215C0F" w:rsidP="00215C0F">
            <w:pPr>
              <w:spacing w:after="0" w:line="240" w:lineRule="auto"/>
              <w:rPr>
                <w:color w:val="000000"/>
                <w:sz w:val="20"/>
                <w:szCs w:val="20"/>
              </w:rPr>
            </w:pPr>
            <w:r w:rsidRPr="000D3090">
              <w:rPr>
                <w:color w:val="000000"/>
                <w:sz w:val="20"/>
                <w:szCs w:val="20"/>
              </w:rPr>
              <w:t>Unemployed</w:t>
            </w:r>
          </w:p>
        </w:tc>
        <w:tc>
          <w:tcPr>
            <w:tcW w:w="990" w:type="dxa"/>
            <w:tcBorders>
              <w:top w:val="nil"/>
              <w:left w:val="single" w:sz="12" w:space="0" w:color="auto"/>
              <w:bottom w:val="nil"/>
              <w:right w:val="single" w:sz="12" w:space="0" w:color="auto"/>
            </w:tcBorders>
            <w:noWrap/>
            <w:vAlign w:val="center"/>
            <w:hideMark/>
          </w:tcPr>
          <w:p w14:paraId="4CCA4D6A"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bottom w:val="nil"/>
              <w:right w:val="single" w:sz="12" w:space="0" w:color="auto"/>
            </w:tcBorders>
            <w:noWrap/>
            <w:vAlign w:val="center"/>
            <w:hideMark/>
          </w:tcPr>
          <w:p w14:paraId="0808C443" w14:textId="46AB163C"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w:t>
            </w:r>
            <w:r w:rsidR="001C6215" w:rsidRPr="000D3090">
              <w:rPr>
                <w:color w:val="000000"/>
                <w:sz w:val="20"/>
                <w:szCs w:val="20"/>
              </w:rPr>
              <w:t>48</w:t>
            </w:r>
          </w:p>
        </w:tc>
        <w:tc>
          <w:tcPr>
            <w:tcW w:w="1170" w:type="dxa"/>
            <w:tcBorders>
              <w:top w:val="nil"/>
              <w:left w:val="single" w:sz="12" w:space="0" w:color="auto"/>
              <w:bottom w:val="nil"/>
              <w:right w:val="nil"/>
            </w:tcBorders>
            <w:noWrap/>
            <w:vAlign w:val="center"/>
            <w:hideMark/>
          </w:tcPr>
          <w:p w14:paraId="535DEF44"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bottom w:val="nil"/>
              <w:right w:val="nil"/>
            </w:tcBorders>
            <w:noWrap/>
            <w:vAlign w:val="center"/>
            <w:hideMark/>
          </w:tcPr>
          <w:p w14:paraId="55B0F4FE"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1170" w:type="dxa"/>
            <w:tcBorders>
              <w:top w:val="nil"/>
              <w:left w:val="nil"/>
              <w:bottom w:val="nil"/>
              <w:right w:val="single" w:sz="4" w:space="0" w:color="auto"/>
            </w:tcBorders>
            <w:noWrap/>
            <w:vAlign w:val="center"/>
            <w:hideMark/>
          </w:tcPr>
          <w:p w14:paraId="00B3A6B1"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720" w:type="dxa"/>
            <w:tcBorders>
              <w:top w:val="nil"/>
              <w:left w:val="single" w:sz="4" w:space="0" w:color="auto"/>
              <w:bottom w:val="nil"/>
              <w:right w:val="single" w:sz="12" w:space="0" w:color="auto"/>
            </w:tcBorders>
            <w:noWrap/>
            <w:vAlign w:val="center"/>
            <w:hideMark/>
          </w:tcPr>
          <w:p w14:paraId="070E95CB" w14:textId="2C80DAF5" w:rsidR="00215C0F" w:rsidRPr="000D3090" w:rsidRDefault="00215C0F" w:rsidP="00215C0F">
            <w:pPr>
              <w:spacing w:after="0" w:line="240" w:lineRule="auto"/>
              <w:jc w:val="center"/>
              <w:rPr>
                <w:color w:val="000000"/>
                <w:sz w:val="20"/>
                <w:szCs w:val="20"/>
              </w:rPr>
            </w:pPr>
            <w:r w:rsidRPr="000D3090">
              <w:rPr>
                <w:color w:val="000000"/>
                <w:sz w:val="20"/>
                <w:szCs w:val="20"/>
              </w:rPr>
              <w:t xml:space="preserve">  </w:t>
            </w:r>
            <w:r w:rsidR="0067403B" w:rsidRPr="000D3090">
              <w:rPr>
                <w:color w:val="000000"/>
                <w:sz w:val="20"/>
                <w:szCs w:val="20"/>
              </w:rPr>
              <w:t>1.25</w:t>
            </w:r>
          </w:p>
        </w:tc>
      </w:tr>
      <w:tr w:rsidR="00215C0F" w:rsidRPr="000D3090" w14:paraId="679456AC"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5863782D" w14:textId="77777777" w:rsidR="00215C0F" w:rsidRPr="000D3090" w:rsidRDefault="00215C0F" w:rsidP="00215C0F">
            <w:pPr>
              <w:spacing w:after="0" w:line="240" w:lineRule="auto"/>
              <w:rPr>
                <w:color w:val="000000"/>
                <w:sz w:val="20"/>
                <w:szCs w:val="20"/>
              </w:rPr>
            </w:pPr>
            <w:r w:rsidRPr="000D3090">
              <w:rPr>
                <w:color w:val="000000"/>
                <w:sz w:val="20"/>
                <w:szCs w:val="20"/>
              </w:rPr>
              <w:t>Race</w:t>
            </w:r>
          </w:p>
        </w:tc>
        <w:tc>
          <w:tcPr>
            <w:tcW w:w="2430" w:type="dxa"/>
            <w:tcBorders>
              <w:top w:val="nil"/>
              <w:left w:val="single" w:sz="12" w:space="0" w:color="auto"/>
              <w:bottom w:val="nil"/>
              <w:right w:val="nil"/>
            </w:tcBorders>
            <w:noWrap/>
            <w:vAlign w:val="center"/>
            <w:hideMark/>
          </w:tcPr>
          <w:p w14:paraId="7B062C83" w14:textId="77777777" w:rsidR="00215C0F" w:rsidRPr="000D3090" w:rsidRDefault="00215C0F" w:rsidP="00215C0F">
            <w:pPr>
              <w:spacing w:after="0" w:line="240" w:lineRule="auto"/>
              <w:rPr>
                <w:color w:val="000000"/>
                <w:sz w:val="20"/>
                <w:szCs w:val="20"/>
              </w:rPr>
            </w:pPr>
            <w:r w:rsidRPr="000D3090">
              <w:rPr>
                <w:color w:val="000000"/>
                <w:sz w:val="20"/>
                <w:szCs w:val="20"/>
              </w:rPr>
              <w:t>White</w:t>
            </w:r>
          </w:p>
        </w:tc>
        <w:tc>
          <w:tcPr>
            <w:tcW w:w="2430" w:type="dxa"/>
            <w:tcBorders>
              <w:top w:val="nil"/>
              <w:left w:val="nil"/>
              <w:bottom w:val="nil"/>
              <w:right w:val="single" w:sz="12" w:space="0" w:color="auto"/>
            </w:tcBorders>
            <w:noWrap/>
            <w:vAlign w:val="center"/>
            <w:hideMark/>
          </w:tcPr>
          <w:p w14:paraId="36E69972" w14:textId="77777777" w:rsidR="00215C0F" w:rsidRPr="000D3090" w:rsidRDefault="00215C0F" w:rsidP="00215C0F">
            <w:pPr>
              <w:spacing w:after="0" w:line="240" w:lineRule="auto"/>
              <w:rPr>
                <w:color w:val="000000"/>
                <w:sz w:val="20"/>
                <w:szCs w:val="20"/>
              </w:rPr>
            </w:pPr>
            <w:r w:rsidRPr="000D3090">
              <w:rPr>
                <w:color w:val="000000"/>
                <w:sz w:val="20"/>
                <w:szCs w:val="20"/>
              </w:rPr>
              <w:t>Black</w:t>
            </w:r>
          </w:p>
        </w:tc>
        <w:tc>
          <w:tcPr>
            <w:tcW w:w="990" w:type="dxa"/>
            <w:tcBorders>
              <w:top w:val="nil"/>
              <w:left w:val="single" w:sz="12" w:space="0" w:color="auto"/>
              <w:bottom w:val="nil"/>
              <w:right w:val="single" w:sz="12" w:space="0" w:color="auto"/>
            </w:tcBorders>
            <w:noWrap/>
            <w:vAlign w:val="center"/>
            <w:hideMark/>
          </w:tcPr>
          <w:p w14:paraId="47998DFE"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bottom w:val="nil"/>
              <w:right w:val="single" w:sz="12" w:space="0" w:color="auto"/>
            </w:tcBorders>
            <w:noWrap/>
            <w:vAlign w:val="center"/>
            <w:hideMark/>
          </w:tcPr>
          <w:p w14:paraId="68E93278" w14:textId="665CB6B4"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-0.4</w:t>
            </w:r>
            <w:r w:rsidR="001C6215" w:rsidRPr="000D3090">
              <w:rPr>
                <w:color w:val="000000"/>
                <w:sz w:val="20"/>
                <w:szCs w:val="20"/>
              </w:rPr>
              <w:t>7</w:t>
            </w:r>
          </w:p>
        </w:tc>
        <w:tc>
          <w:tcPr>
            <w:tcW w:w="1170" w:type="dxa"/>
            <w:tcBorders>
              <w:top w:val="nil"/>
              <w:left w:val="single" w:sz="12" w:space="0" w:color="auto"/>
              <w:bottom w:val="nil"/>
              <w:right w:val="nil"/>
            </w:tcBorders>
            <w:noWrap/>
            <w:vAlign w:val="center"/>
            <w:hideMark/>
          </w:tcPr>
          <w:p w14:paraId="554226B2"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bottom w:val="nil"/>
              <w:right w:val="nil"/>
            </w:tcBorders>
            <w:noWrap/>
            <w:vAlign w:val="center"/>
            <w:hideMark/>
          </w:tcPr>
          <w:p w14:paraId="65D3533A" w14:textId="0DD9FF18"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5</w:t>
            </w:r>
          </w:p>
        </w:tc>
        <w:tc>
          <w:tcPr>
            <w:tcW w:w="1170" w:type="dxa"/>
            <w:tcBorders>
              <w:top w:val="nil"/>
              <w:left w:val="nil"/>
              <w:bottom w:val="nil"/>
              <w:right w:val="single" w:sz="4" w:space="0" w:color="auto"/>
            </w:tcBorders>
            <w:noWrap/>
            <w:vAlign w:val="center"/>
            <w:hideMark/>
          </w:tcPr>
          <w:p w14:paraId="772CCCBB" w14:textId="7F1BFE2D"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9</w:t>
            </w:r>
            <w:r w:rsidR="001C6215" w:rsidRPr="000D3090">
              <w:rPr>
                <w:color w:val="000000"/>
                <w:sz w:val="20"/>
                <w:szCs w:val="20"/>
              </w:rPr>
              <w:t>5</w:t>
            </w:r>
          </w:p>
        </w:tc>
        <w:tc>
          <w:tcPr>
            <w:tcW w:w="720" w:type="dxa"/>
            <w:tcBorders>
              <w:top w:val="nil"/>
              <w:left w:val="single" w:sz="4" w:space="0" w:color="auto"/>
              <w:bottom w:val="nil"/>
              <w:right w:val="single" w:sz="12" w:space="0" w:color="auto"/>
            </w:tcBorders>
            <w:noWrap/>
            <w:vAlign w:val="center"/>
            <w:hideMark/>
          </w:tcPr>
          <w:p w14:paraId="0CB71B05" w14:textId="6FF308F8" w:rsidR="00215C0F" w:rsidRPr="000D3090" w:rsidRDefault="00215C0F" w:rsidP="00215C0F">
            <w:pPr>
              <w:spacing w:after="0" w:line="240" w:lineRule="auto"/>
              <w:jc w:val="center"/>
              <w:rPr>
                <w:color w:val="000000"/>
                <w:sz w:val="20"/>
                <w:szCs w:val="20"/>
              </w:rPr>
            </w:pPr>
            <w:r w:rsidRPr="000D3090">
              <w:rPr>
                <w:color w:val="000000"/>
                <w:sz w:val="20"/>
                <w:szCs w:val="20"/>
              </w:rPr>
              <w:t xml:space="preserve">  7.</w:t>
            </w:r>
            <w:r w:rsidR="0067403B" w:rsidRPr="000D3090">
              <w:rPr>
                <w:color w:val="000000"/>
                <w:sz w:val="20"/>
                <w:szCs w:val="20"/>
              </w:rPr>
              <w:t>87</w:t>
            </w:r>
          </w:p>
        </w:tc>
      </w:tr>
      <w:tr w:rsidR="00215C0F" w:rsidRPr="000D3090" w14:paraId="33765546"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40CDE5BE" w14:textId="77777777" w:rsidR="00215C0F" w:rsidRPr="000D3090" w:rsidRDefault="00215C0F" w:rsidP="00215C0F">
            <w:pPr>
              <w:spacing w:after="0" w:line="240" w:lineRule="auto"/>
              <w:rPr>
                <w:color w:val="000000"/>
                <w:sz w:val="20"/>
                <w:szCs w:val="20"/>
              </w:rPr>
            </w:pPr>
            <w:r w:rsidRPr="000D3090">
              <w:rPr>
                <w:color w:val="000000"/>
                <w:sz w:val="20"/>
                <w:szCs w:val="20"/>
              </w:rPr>
              <w:t>Race</w:t>
            </w:r>
          </w:p>
        </w:tc>
        <w:tc>
          <w:tcPr>
            <w:tcW w:w="2430" w:type="dxa"/>
            <w:tcBorders>
              <w:top w:val="nil"/>
              <w:left w:val="single" w:sz="12" w:space="0" w:color="auto"/>
              <w:bottom w:val="nil"/>
              <w:right w:val="nil"/>
            </w:tcBorders>
            <w:noWrap/>
            <w:vAlign w:val="center"/>
            <w:hideMark/>
          </w:tcPr>
          <w:p w14:paraId="35F37B06" w14:textId="77777777" w:rsidR="00215C0F" w:rsidRPr="000D3090" w:rsidRDefault="00215C0F" w:rsidP="00215C0F">
            <w:pPr>
              <w:spacing w:after="0" w:line="240" w:lineRule="auto"/>
              <w:rPr>
                <w:color w:val="000000"/>
                <w:sz w:val="20"/>
                <w:szCs w:val="20"/>
              </w:rPr>
            </w:pPr>
            <w:r w:rsidRPr="000D3090">
              <w:rPr>
                <w:color w:val="000000"/>
                <w:sz w:val="20"/>
                <w:szCs w:val="20"/>
              </w:rPr>
              <w:t>White</w:t>
            </w:r>
          </w:p>
        </w:tc>
        <w:tc>
          <w:tcPr>
            <w:tcW w:w="2430" w:type="dxa"/>
            <w:tcBorders>
              <w:top w:val="nil"/>
              <w:left w:val="nil"/>
              <w:bottom w:val="nil"/>
              <w:right w:val="single" w:sz="12" w:space="0" w:color="auto"/>
            </w:tcBorders>
            <w:noWrap/>
            <w:vAlign w:val="center"/>
            <w:hideMark/>
          </w:tcPr>
          <w:p w14:paraId="58C35637" w14:textId="77777777" w:rsidR="00215C0F" w:rsidRPr="000D3090" w:rsidRDefault="00215C0F" w:rsidP="00215C0F">
            <w:pPr>
              <w:spacing w:after="0" w:line="240" w:lineRule="auto"/>
              <w:rPr>
                <w:color w:val="000000"/>
                <w:sz w:val="20"/>
                <w:szCs w:val="20"/>
              </w:rPr>
            </w:pPr>
            <w:r w:rsidRPr="000D3090">
              <w:rPr>
                <w:color w:val="000000"/>
                <w:sz w:val="20"/>
                <w:szCs w:val="20"/>
              </w:rPr>
              <w:t>Asian</w:t>
            </w:r>
          </w:p>
        </w:tc>
        <w:tc>
          <w:tcPr>
            <w:tcW w:w="990" w:type="dxa"/>
            <w:tcBorders>
              <w:top w:val="nil"/>
              <w:left w:val="single" w:sz="12" w:space="0" w:color="auto"/>
              <w:bottom w:val="nil"/>
              <w:right w:val="single" w:sz="12" w:space="0" w:color="auto"/>
            </w:tcBorders>
            <w:noWrap/>
            <w:vAlign w:val="center"/>
            <w:hideMark/>
          </w:tcPr>
          <w:p w14:paraId="58CF6F4B"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bottom w:val="nil"/>
              <w:right w:val="single" w:sz="12" w:space="0" w:color="auto"/>
            </w:tcBorders>
            <w:noWrap/>
            <w:vAlign w:val="center"/>
            <w:hideMark/>
          </w:tcPr>
          <w:p w14:paraId="28ED7EFE" w14:textId="59ABFF6A"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80</w:t>
            </w:r>
          </w:p>
        </w:tc>
        <w:tc>
          <w:tcPr>
            <w:tcW w:w="1170" w:type="dxa"/>
            <w:tcBorders>
              <w:top w:val="nil"/>
              <w:left w:val="single" w:sz="12" w:space="0" w:color="auto"/>
              <w:bottom w:val="nil"/>
              <w:right w:val="nil"/>
            </w:tcBorders>
            <w:noWrap/>
            <w:vAlign w:val="center"/>
            <w:hideMark/>
          </w:tcPr>
          <w:p w14:paraId="3A2D9B95"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bottom w:val="nil"/>
              <w:right w:val="nil"/>
            </w:tcBorders>
            <w:noWrap/>
            <w:vAlign w:val="center"/>
            <w:hideMark/>
          </w:tcPr>
          <w:p w14:paraId="02B67DA5" w14:textId="36725FF2"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11</w:t>
            </w:r>
          </w:p>
        </w:tc>
        <w:tc>
          <w:tcPr>
            <w:tcW w:w="1170" w:type="dxa"/>
            <w:tcBorders>
              <w:top w:val="nil"/>
              <w:left w:val="nil"/>
              <w:bottom w:val="nil"/>
              <w:right w:val="single" w:sz="4" w:space="0" w:color="auto"/>
            </w:tcBorders>
            <w:noWrap/>
            <w:vAlign w:val="center"/>
            <w:hideMark/>
          </w:tcPr>
          <w:p w14:paraId="2DFEE69A" w14:textId="5CD7A9F8"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89</w:t>
            </w:r>
          </w:p>
        </w:tc>
        <w:tc>
          <w:tcPr>
            <w:tcW w:w="720" w:type="dxa"/>
            <w:tcBorders>
              <w:top w:val="nil"/>
              <w:left w:val="single" w:sz="4" w:space="0" w:color="auto"/>
              <w:bottom w:val="nil"/>
              <w:right w:val="single" w:sz="12" w:space="0" w:color="auto"/>
            </w:tcBorders>
            <w:noWrap/>
            <w:vAlign w:val="center"/>
            <w:hideMark/>
          </w:tcPr>
          <w:p w14:paraId="26E17C9D" w14:textId="58A06DE0" w:rsidR="00215C0F" w:rsidRPr="000D3090" w:rsidRDefault="00215C0F" w:rsidP="00215C0F">
            <w:pPr>
              <w:spacing w:after="0" w:line="240" w:lineRule="auto"/>
              <w:jc w:val="center"/>
              <w:rPr>
                <w:color w:val="000000"/>
                <w:sz w:val="20"/>
                <w:szCs w:val="20"/>
              </w:rPr>
            </w:pPr>
            <w:r w:rsidRPr="000D3090">
              <w:rPr>
                <w:color w:val="000000"/>
                <w:sz w:val="20"/>
                <w:szCs w:val="20"/>
              </w:rPr>
              <w:t xml:space="preserve">  6.</w:t>
            </w:r>
            <w:r w:rsidR="0067403B" w:rsidRPr="000D3090">
              <w:rPr>
                <w:color w:val="000000"/>
                <w:sz w:val="20"/>
                <w:szCs w:val="20"/>
              </w:rPr>
              <w:t>35</w:t>
            </w:r>
          </w:p>
        </w:tc>
      </w:tr>
      <w:tr w:rsidR="00215C0F" w:rsidRPr="000D3090" w14:paraId="6A600DC6"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5DB227C8" w14:textId="77777777" w:rsidR="00215C0F" w:rsidRPr="000D3090" w:rsidRDefault="00215C0F" w:rsidP="00215C0F">
            <w:pPr>
              <w:spacing w:after="0" w:line="240" w:lineRule="auto"/>
              <w:rPr>
                <w:color w:val="000000"/>
                <w:sz w:val="20"/>
                <w:szCs w:val="20"/>
              </w:rPr>
            </w:pPr>
            <w:r w:rsidRPr="000D3090">
              <w:rPr>
                <w:color w:val="000000"/>
                <w:sz w:val="20"/>
                <w:szCs w:val="20"/>
              </w:rPr>
              <w:t>Race</w:t>
            </w:r>
          </w:p>
        </w:tc>
        <w:tc>
          <w:tcPr>
            <w:tcW w:w="2430" w:type="dxa"/>
            <w:tcBorders>
              <w:top w:val="nil"/>
              <w:left w:val="single" w:sz="12" w:space="0" w:color="auto"/>
              <w:bottom w:val="nil"/>
              <w:right w:val="nil"/>
            </w:tcBorders>
            <w:noWrap/>
            <w:vAlign w:val="center"/>
            <w:hideMark/>
          </w:tcPr>
          <w:p w14:paraId="16AD1D31" w14:textId="77777777" w:rsidR="00215C0F" w:rsidRPr="000D3090" w:rsidRDefault="00215C0F" w:rsidP="00215C0F">
            <w:pPr>
              <w:spacing w:after="0" w:line="240" w:lineRule="auto"/>
              <w:rPr>
                <w:color w:val="000000"/>
                <w:sz w:val="20"/>
                <w:szCs w:val="20"/>
              </w:rPr>
            </w:pPr>
            <w:r w:rsidRPr="000D3090">
              <w:rPr>
                <w:color w:val="000000"/>
                <w:sz w:val="20"/>
                <w:szCs w:val="20"/>
              </w:rPr>
              <w:t>White</w:t>
            </w:r>
          </w:p>
        </w:tc>
        <w:tc>
          <w:tcPr>
            <w:tcW w:w="2430" w:type="dxa"/>
            <w:tcBorders>
              <w:top w:val="nil"/>
              <w:left w:val="nil"/>
              <w:bottom w:val="nil"/>
              <w:right w:val="single" w:sz="12" w:space="0" w:color="auto"/>
            </w:tcBorders>
            <w:noWrap/>
            <w:vAlign w:val="center"/>
            <w:hideMark/>
          </w:tcPr>
          <w:p w14:paraId="0A45AC1B" w14:textId="77777777" w:rsidR="00215C0F" w:rsidRPr="000D3090" w:rsidRDefault="00215C0F" w:rsidP="00215C0F">
            <w:pPr>
              <w:spacing w:after="0" w:line="240" w:lineRule="auto"/>
              <w:rPr>
                <w:color w:val="000000"/>
                <w:sz w:val="20"/>
                <w:szCs w:val="20"/>
              </w:rPr>
            </w:pPr>
            <w:r w:rsidRPr="000D3090">
              <w:rPr>
                <w:color w:val="000000"/>
                <w:sz w:val="20"/>
                <w:szCs w:val="20"/>
              </w:rPr>
              <w:t>Other</w:t>
            </w:r>
          </w:p>
        </w:tc>
        <w:tc>
          <w:tcPr>
            <w:tcW w:w="990" w:type="dxa"/>
            <w:tcBorders>
              <w:top w:val="nil"/>
              <w:left w:val="single" w:sz="12" w:space="0" w:color="auto"/>
              <w:bottom w:val="nil"/>
              <w:right w:val="single" w:sz="12" w:space="0" w:color="auto"/>
            </w:tcBorders>
            <w:noWrap/>
            <w:vAlign w:val="center"/>
            <w:hideMark/>
          </w:tcPr>
          <w:p w14:paraId="2DE85057"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bottom w:val="nil"/>
              <w:right w:val="single" w:sz="12" w:space="0" w:color="auto"/>
            </w:tcBorders>
            <w:noWrap/>
            <w:vAlign w:val="center"/>
            <w:hideMark/>
          </w:tcPr>
          <w:p w14:paraId="445EECDA" w14:textId="1DA421F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73</w:t>
            </w:r>
          </w:p>
        </w:tc>
        <w:tc>
          <w:tcPr>
            <w:tcW w:w="1170" w:type="dxa"/>
            <w:tcBorders>
              <w:top w:val="nil"/>
              <w:left w:val="single" w:sz="12" w:space="0" w:color="auto"/>
              <w:bottom w:val="nil"/>
              <w:right w:val="nil"/>
            </w:tcBorders>
            <w:noWrap/>
            <w:vAlign w:val="center"/>
            <w:hideMark/>
          </w:tcPr>
          <w:p w14:paraId="08B13978"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bottom w:val="nil"/>
              <w:right w:val="nil"/>
            </w:tcBorders>
            <w:noWrap/>
            <w:vAlign w:val="center"/>
            <w:hideMark/>
          </w:tcPr>
          <w:p w14:paraId="11F67502" w14:textId="3CB7B04F"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13</w:t>
            </w:r>
          </w:p>
        </w:tc>
        <w:tc>
          <w:tcPr>
            <w:tcW w:w="1170" w:type="dxa"/>
            <w:tcBorders>
              <w:top w:val="nil"/>
              <w:left w:val="nil"/>
              <w:bottom w:val="nil"/>
              <w:right w:val="single" w:sz="4" w:space="0" w:color="auto"/>
            </w:tcBorders>
            <w:noWrap/>
            <w:vAlign w:val="center"/>
            <w:hideMark/>
          </w:tcPr>
          <w:p w14:paraId="36F37AFC" w14:textId="6DF3ADA6"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87</w:t>
            </w:r>
          </w:p>
        </w:tc>
        <w:tc>
          <w:tcPr>
            <w:tcW w:w="720" w:type="dxa"/>
            <w:tcBorders>
              <w:top w:val="nil"/>
              <w:left w:val="single" w:sz="4" w:space="0" w:color="auto"/>
              <w:bottom w:val="nil"/>
              <w:right w:val="single" w:sz="12" w:space="0" w:color="auto"/>
            </w:tcBorders>
            <w:noWrap/>
            <w:vAlign w:val="center"/>
            <w:hideMark/>
          </w:tcPr>
          <w:p w14:paraId="35C1E44C" w14:textId="3859A92C" w:rsidR="00215C0F" w:rsidRPr="000D3090" w:rsidRDefault="00215C0F" w:rsidP="00215C0F">
            <w:pPr>
              <w:spacing w:after="0" w:line="240" w:lineRule="auto"/>
              <w:jc w:val="center"/>
              <w:rPr>
                <w:color w:val="000000"/>
                <w:sz w:val="20"/>
                <w:szCs w:val="20"/>
              </w:rPr>
            </w:pPr>
            <w:r w:rsidRPr="000D3090">
              <w:rPr>
                <w:color w:val="000000"/>
                <w:sz w:val="20"/>
                <w:szCs w:val="20"/>
              </w:rPr>
              <w:t xml:space="preserve">  4.</w:t>
            </w:r>
            <w:r w:rsidR="0067403B" w:rsidRPr="000D3090">
              <w:rPr>
                <w:color w:val="000000"/>
                <w:sz w:val="20"/>
                <w:szCs w:val="20"/>
              </w:rPr>
              <w:t>83</w:t>
            </w:r>
          </w:p>
        </w:tc>
      </w:tr>
      <w:tr w:rsidR="00215C0F" w:rsidRPr="000D3090" w14:paraId="5AAE8E13" w14:textId="77777777" w:rsidTr="009A0812">
        <w:trPr>
          <w:trHeight w:val="259"/>
          <w:jc w:val="center"/>
        </w:trPr>
        <w:tc>
          <w:tcPr>
            <w:tcW w:w="2235" w:type="dxa"/>
            <w:tcBorders>
              <w:top w:val="nil"/>
              <w:left w:val="single" w:sz="12" w:space="0" w:color="auto"/>
              <w:bottom w:val="nil"/>
              <w:right w:val="single" w:sz="12" w:space="0" w:color="auto"/>
            </w:tcBorders>
            <w:noWrap/>
            <w:vAlign w:val="center"/>
            <w:hideMark/>
          </w:tcPr>
          <w:p w14:paraId="01FD60CA" w14:textId="77777777" w:rsidR="00215C0F" w:rsidRPr="000D3090" w:rsidRDefault="00215C0F" w:rsidP="00215C0F">
            <w:pPr>
              <w:spacing w:after="0" w:line="240" w:lineRule="auto"/>
              <w:rPr>
                <w:color w:val="000000"/>
                <w:sz w:val="20"/>
                <w:szCs w:val="20"/>
              </w:rPr>
            </w:pPr>
            <w:r w:rsidRPr="000D3090">
              <w:rPr>
                <w:color w:val="000000"/>
                <w:sz w:val="20"/>
                <w:szCs w:val="20"/>
              </w:rPr>
              <w:t>Educational Attainment</w:t>
            </w:r>
          </w:p>
        </w:tc>
        <w:tc>
          <w:tcPr>
            <w:tcW w:w="2430" w:type="dxa"/>
            <w:tcBorders>
              <w:top w:val="nil"/>
              <w:left w:val="single" w:sz="12" w:space="0" w:color="auto"/>
              <w:bottom w:val="nil"/>
              <w:right w:val="nil"/>
            </w:tcBorders>
            <w:noWrap/>
            <w:vAlign w:val="center"/>
            <w:hideMark/>
          </w:tcPr>
          <w:p w14:paraId="7076E286" w14:textId="77777777" w:rsidR="00215C0F" w:rsidRPr="000D3090" w:rsidRDefault="00215C0F" w:rsidP="00215C0F">
            <w:pPr>
              <w:spacing w:after="0" w:line="240" w:lineRule="auto"/>
              <w:rPr>
                <w:color w:val="000000"/>
                <w:sz w:val="20"/>
                <w:szCs w:val="20"/>
              </w:rPr>
            </w:pPr>
            <w:r w:rsidRPr="000D3090">
              <w:rPr>
                <w:color w:val="000000"/>
                <w:sz w:val="20"/>
                <w:szCs w:val="20"/>
              </w:rPr>
              <w:t>No Diploma</w:t>
            </w:r>
          </w:p>
        </w:tc>
        <w:tc>
          <w:tcPr>
            <w:tcW w:w="2430" w:type="dxa"/>
            <w:tcBorders>
              <w:top w:val="nil"/>
              <w:left w:val="nil"/>
              <w:bottom w:val="nil"/>
              <w:right w:val="single" w:sz="12" w:space="0" w:color="auto"/>
            </w:tcBorders>
            <w:noWrap/>
            <w:vAlign w:val="center"/>
            <w:hideMark/>
          </w:tcPr>
          <w:p w14:paraId="1BDD10EA" w14:textId="77777777" w:rsidR="00215C0F" w:rsidRPr="000D3090" w:rsidRDefault="00215C0F" w:rsidP="00215C0F">
            <w:pPr>
              <w:spacing w:after="0" w:line="240" w:lineRule="auto"/>
              <w:rPr>
                <w:color w:val="000000"/>
                <w:sz w:val="20"/>
                <w:szCs w:val="20"/>
              </w:rPr>
            </w:pPr>
            <w:r w:rsidRPr="000D3090">
              <w:rPr>
                <w:color w:val="000000"/>
                <w:sz w:val="20"/>
                <w:szCs w:val="20"/>
              </w:rPr>
              <w:t>Graduate Degree</w:t>
            </w:r>
          </w:p>
        </w:tc>
        <w:tc>
          <w:tcPr>
            <w:tcW w:w="990" w:type="dxa"/>
            <w:tcBorders>
              <w:top w:val="nil"/>
              <w:left w:val="single" w:sz="12" w:space="0" w:color="auto"/>
              <w:bottom w:val="nil"/>
              <w:right w:val="single" w:sz="12" w:space="0" w:color="auto"/>
            </w:tcBorders>
            <w:noWrap/>
            <w:vAlign w:val="center"/>
            <w:hideMark/>
          </w:tcPr>
          <w:p w14:paraId="0ADEB083" w14:textId="62BBDE2A"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w:t>
            </w:r>
            <w:r w:rsidR="001C6215" w:rsidRPr="000D3090">
              <w:rPr>
                <w:color w:val="000000"/>
                <w:sz w:val="20"/>
                <w:szCs w:val="20"/>
              </w:rPr>
              <w:t>25</w:t>
            </w:r>
          </w:p>
        </w:tc>
        <w:tc>
          <w:tcPr>
            <w:tcW w:w="990" w:type="dxa"/>
            <w:tcBorders>
              <w:top w:val="nil"/>
              <w:left w:val="single" w:sz="12" w:space="0" w:color="auto"/>
              <w:bottom w:val="nil"/>
              <w:right w:val="single" w:sz="12" w:space="0" w:color="auto"/>
            </w:tcBorders>
            <w:noWrap/>
            <w:vAlign w:val="center"/>
            <w:hideMark/>
          </w:tcPr>
          <w:p w14:paraId="1C263A5A" w14:textId="5C46E1A6" w:rsidR="00215C0F" w:rsidRPr="000D3090" w:rsidRDefault="001C6215" w:rsidP="00215C0F">
            <w:pPr>
              <w:tabs>
                <w:tab w:val="decimal" w:pos="211"/>
              </w:tabs>
              <w:spacing w:after="0" w:line="240" w:lineRule="auto"/>
              <w:jc w:val="center"/>
              <w:rPr>
                <w:color w:val="000000"/>
                <w:sz w:val="20"/>
                <w:szCs w:val="20"/>
              </w:rPr>
            </w:pPr>
            <w:r w:rsidRPr="000D3090">
              <w:rPr>
                <w:color w:val="000000"/>
                <w:sz w:val="20"/>
                <w:szCs w:val="20"/>
              </w:rPr>
              <w:t>3.08</w:t>
            </w:r>
          </w:p>
        </w:tc>
        <w:tc>
          <w:tcPr>
            <w:tcW w:w="1170" w:type="dxa"/>
            <w:tcBorders>
              <w:top w:val="nil"/>
              <w:left w:val="single" w:sz="12" w:space="0" w:color="auto"/>
              <w:bottom w:val="nil"/>
              <w:right w:val="nil"/>
            </w:tcBorders>
            <w:noWrap/>
            <w:vAlign w:val="center"/>
            <w:hideMark/>
          </w:tcPr>
          <w:p w14:paraId="01996158" w14:textId="264B88D4"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9</w:t>
            </w:r>
          </w:p>
        </w:tc>
        <w:tc>
          <w:tcPr>
            <w:tcW w:w="1440" w:type="dxa"/>
            <w:tcBorders>
              <w:top w:val="nil"/>
              <w:left w:val="nil"/>
              <w:bottom w:val="nil"/>
              <w:right w:val="nil"/>
            </w:tcBorders>
            <w:noWrap/>
            <w:vAlign w:val="center"/>
            <w:hideMark/>
          </w:tcPr>
          <w:p w14:paraId="74382DDB" w14:textId="3ACCF998"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20</w:t>
            </w:r>
          </w:p>
        </w:tc>
        <w:tc>
          <w:tcPr>
            <w:tcW w:w="1170" w:type="dxa"/>
            <w:tcBorders>
              <w:top w:val="nil"/>
              <w:left w:val="nil"/>
              <w:bottom w:val="nil"/>
              <w:right w:val="single" w:sz="4" w:space="0" w:color="auto"/>
            </w:tcBorders>
            <w:noWrap/>
            <w:vAlign w:val="center"/>
            <w:hideMark/>
          </w:tcPr>
          <w:p w14:paraId="2A440FF0" w14:textId="6490081F"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7</w:t>
            </w:r>
            <w:r w:rsidR="001C6215" w:rsidRPr="000D3090">
              <w:rPr>
                <w:color w:val="000000"/>
                <w:sz w:val="20"/>
                <w:szCs w:val="20"/>
              </w:rPr>
              <w:t>1</w:t>
            </w:r>
          </w:p>
        </w:tc>
        <w:tc>
          <w:tcPr>
            <w:tcW w:w="720" w:type="dxa"/>
            <w:tcBorders>
              <w:top w:val="nil"/>
              <w:left w:val="single" w:sz="4" w:space="0" w:color="auto"/>
              <w:bottom w:val="nil"/>
              <w:right w:val="single" w:sz="12" w:space="0" w:color="auto"/>
            </w:tcBorders>
            <w:noWrap/>
            <w:vAlign w:val="center"/>
            <w:hideMark/>
          </w:tcPr>
          <w:p w14:paraId="1024466D" w14:textId="0494672E" w:rsidR="00215C0F" w:rsidRPr="000D3090" w:rsidRDefault="00215C0F" w:rsidP="00215C0F">
            <w:pPr>
              <w:spacing w:after="0" w:line="240" w:lineRule="auto"/>
              <w:jc w:val="center"/>
              <w:rPr>
                <w:color w:val="000000"/>
                <w:sz w:val="20"/>
                <w:szCs w:val="20"/>
              </w:rPr>
            </w:pPr>
            <w:r w:rsidRPr="000D3090">
              <w:rPr>
                <w:color w:val="000000"/>
                <w:sz w:val="20"/>
                <w:szCs w:val="20"/>
              </w:rPr>
              <w:t xml:space="preserve">  5.0</w:t>
            </w:r>
            <w:r w:rsidR="0067403B" w:rsidRPr="000D3090">
              <w:rPr>
                <w:color w:val="000000"/>
                <w:sz w:val="20"/>
                <w:szCs w:val="20"/>
              </w:rPr>
              <w:t>5</w:t>
            </w:r>
          </w:p>
        </w:tc>
      </w:tr>
      <w:tr w:rsidR="00215C0F" w:rsidRPr="000D3090" w14:paraId="68983AB7" w14:textId="77777777" w:rsidTr="009A0812">
        <w:trPr>
          <w:trHeight w:val="259"/>
          <w:jc w:val="center"/>
        </w:trPr>
        <w:tc>
          <w:tcPr>
            <w:tcW w:w="2235" w:type="dxa"/>
            <w:tcBorders>
              <w:top w:val="nil"/>
              <w:left w:val="single" w:sz="12" w:space="0" w:color="auto"/>
              <w:right w:val="single" w:sz="12" w:space="0" w:color="auto"/>
            </w:tcBorders>
            <w:noWrap/>
            <w:vAlign w:val="center"/>
            <w:hideMark/>
          </w:tcPr>
          <w:p w14:paraId="758D5DDE" w14:textId="77777777" w:rsidR="00215C0F" w:rsidRPr="000D3090" w:rsidRDefault="00215C0F" w:rsidP="00215C0F">
            <w:pPr>
              <w:spacing w:after="0" w:line="240" w:lineRule="auto"/>
              <w:rPr>
                <w:color w:val="000000"/>
                <w:sz w:val="20"/>
                <w:szCs w:val="20"/>
              </w:rPr>
            </w:pPr>
            <w:r w:rsidRPr="000D3090">
              <w:rPr>
                <w:color w:val="000000"/>
                <w:sz w:val="20"/>
                <w:szCs w:val="20"/>
              </w:rPr>
              <w:t>Driver Status</w:t>
            </w:r>
          </w:p>
        </w:tc>
        <w:tc>
          <w:tcPr>
            <w:tcW w:w="2430" w:type="dxa"/>
            <w:tcBorders>
              <w:top w:val="nil"/>
              <w:left w:val="single" w:sz="12" w:space="0" w:color="auto"/>
              <w:right w:val="nil"/>
            </w:tcBorders>
            <w:noWrap/>
            <w:vAlign w:val="center"/>
            <w:hideMark/>
          </w:tcPr>
          <w:p w14:paraId="4B570E3A" w14:textId="77777777" w:rsidR="00215C0F" w:rsidRPr="000D3090" w:rsidRDefault="00215C0F" w:rsidP="00215C0F">
            <w:pPr>
              <w:spacing w:after="0" w:line="240" w:lineRule="auto"/>
              <w:rPr>
                <w:color w:val="000000"/>
                <w:sz w:val="20"/>
                <w:szCs w:val="20"/>
              </w:rPr>
            </w:pPr>
            <w:r w:rsidRPr="000D3090">
              <w:rPr>
                <w:color w:val="000000"/>
                <w:sz w:val="20"/>
                <w:szCs w:val="20"/>
              </w:rPr>
              <w:t>Driver</w:t>
            </w:r>
          </w:p>
        </w:tc>
        <w:tc>
          <w:tcPr>
            <w:tcW w:w="2430" w:type="dxa"/>
            <w:tcBorders>
              <w:top w:val="nil"/>
              <w:left w:val="nil"/>
              <w:right w:val="single" w:sz="12" w:space="0" w:color="auto"/>
            </w:tcBorders>
            <w:noWrap/>
            <w:vAlign w:val="center"/>
            <w:hideMark/>
          </w:tcPr>
          <w:p w14:paraId="65C99538" w14:textId="77777777" w:rsidR="00215C0F" w:rsidRPr="000D3090" w:rsidRDefault="00215C0F" w:rsidP="00215C0F">
            <w:pPr>
              <w:spacing w:after="0" w:line="240" w:lineRule="auto"/>
              <w:rPr>
                <w:color w:val="000000"/>
                <w:sz w:val="20"/>
                <w:szCs w:val="20"/>
              </w:rPr>
            </w:pPr>
            <w:r w:rsidRPr="000D3090">
              <w:rPr>
                <w:color w:val="000000"/>
                <w:sz w:val="20"/>
                <w:szCs w:val="20"/>
              </w:rPr>
              <w:t>Non-Driver</w:t>
            </w:r>
          </w:p>
        </w:tc>
        <w:tc>
          <w:tcPr>
            <w:tcW w:w="990" w:type="dxa"/>
            <w:tcBorders>
              <w:top w:val="nil"/>
              <w:left w:val="single" w:sz="12" w:space="0" w:color="auto"/>
              <w:right w:val="single" w:sz="12" w:space="0" w:color="auto"/>
            </w:tcBorders>
            <w:noWrap/>
            <w:vAlign w:val="center"/>
            <w:hideMark/>
          </w:tcPr>
          <w:p w14:paraId="016E707F"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990" w:type="dxa"/>
            <w:tcBorders>
              <w:top w:val="nil"/>
              <w:left w:val="single" w:sz="12" w:space="0" w:color="auto"/>
              <w:right w:val="single" w:sz="12" w:space="0" w:color="auto"/>
            </w:tcBorders>
            <w:noWrap/>
            <w:vAlign w:val="center"/>
            <w:hideMark/>
          </w:tcPr>
          <w:p w14:paraId="04DE61E0"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0.00</w:t>
            </w:r>
          </w:p>
        </w:tc>
        <w:tc>
          <w:tcPr>
            <w:tcW w:w="1170" w:type="dxa"/>
            <w:tcBorders>
              <w:top w:val="nil"/>
              <w:left w:val="single" w:sz="12" w:space="0" w:color="auto"/>
              <w:right w:val="nil"/>
            </w:tcBorders>
            <w:noWrap/>
            <w:vAlign w:val="center"/>
            <w:hideMark/>
          </w:tcPr>
          <w:p w14:paraId="625D8885"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440" w:type="dxa"/>
            <w:tcBorders>
              <w:top w:val="nil"/>
              <w:left w:val="nil"/>
              <w:right w:val="nil"/>
            </w:tcBorders>
            <w:noWrap/>
            <w:vAlign w:val="center"/>
            <w:hideMark/>
          </w:tcPr>
          <w:p w14:paraId="394B39DB"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p>
        </w:tc>
        <w:tc>
          <w:tcPr>
            <w:tcW w:w="1170" w:type="dxa"/>
            <w:tcBorders>
              <w:top w:val="nil"/>
              <w:left w:val="nil"/>
              <w:right w:val="single" w:sz="4" w:space="0" w:color="auto"/>
            </w:tcBorders>
            <w:noWrap/>
            <w:vAlign w:val="center"/>
            <w:hideMark/>
          </w:tcPr>
          <w:p w14:paraId="15F7517D"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720" w:type="dxa"/>
            <w:tcBorders>
              <w:top w:val="nil"/>
              <w:left w:val="single" w:sz="4" w:space="0" w:color="auto"/>
              <w:right w:val="single" w:sz="12" w:space="0" w:color="auto"/>
            </w:tcBorders>
            <w:noWrap/>
            <w:vAlign w:val="center"/>
            <w:hideMark/>
          </w:tcPr>
          <w:p w14:paraId="4BFDF476" w14:textId="4C4701FD" w:rsidR="00215C0F" w:rsidRPr="000D3090" w:rsidRDefault="00215C0F" w:rsidP="00215C0F">
            <w:pPr>
              <w:spacing w:after="0" w:line="240" w:lineRule="auto"/>
              <w:jc w:val="center"/>
              <w:rPr>
                <w:color w:val="000000"/>
                <w:sz w:val="20"/>
                <w:szCs w:val="20"/>
              </w:rPr>
            </w:pPr>
            <w:r w:rsidRPr="000D3090">
              <w:rPr>
                <w:color w:val="000000"/>
                <w:sz w:val="20"/>
                <w:szCs w:val="20"/>
              </w:rPr>
              <w:t xml:space="preserve">  4.</w:t>
            </w:r>
            <w:r w:rsidR="0067403B" w:rsidRPr="000D3090">
              <w:rPr>
                <w:color w:val="000000"/>
                <w:sz w:val="20"/>
                <w:szCs w:val="20"/>
              </w:rPr>
              <w:t>62</w:t>
            </w:r>
          </w:p>
        </w:tc>
      </w:tr>
      <w:tr w:rsidR="00215C0F" w:rsidRPr="000D3090" w14:paraId="3959BA81" w14:textId="77777777" w:rsidTr="009A0812">
        <w:trPr>
          <w:trHeight w:val="259"/>
          <w:jc w:val="center"/>
        </w:trPr>
        <w:tc>
          <w:tcPr>
            <w:tcW w:w="2235" w:type="dxa"/>
            <w:tcBorders>
              <w:top w:val="nil"/>
              <w:left w:val="single" w:sz="12" w:space="0" w:color="auto"/>
              <w:bottom w:val="single" w:sz="6" w:space="0" w:color="auto"/>
              <w:right w:val="single" w:sz="12" w:space="0" w:color="auto"/>
            </w:tcBorders>
            <w:noWrap/>
            <w:vAlign w:val="center"/>
            <w:hideMark/>
          </w:tcPr>
          <w:p w14:paraId="3311753E" w14:textId="77777777" w:rsidR="00215C0F" w:rsidRPr="000D3090" w:rsidRDefault="00215C0F" w:rsidP="00215C0F">
            <w:pPr>
              <w:spacing w:after="0" w:line="240" w:lineRule="auto"/>
              <w:rPr>
                <w:color w:val="000000"/>
                <w:sz w:val="20"/>
                <w:szCs w:val="20"/>
              </w:rPr>
            </w:pPr>
            <w:r w:rsidRPr="000D3090">
              <w:rPr>
                <w:color w:val="000000"/>
                <w:sz w:val="20"/>
                <w:szCs w:val="20"/>
              </w:rPr>
              <w:t>Medical Condition</w:t>
            </w:r>
          </w:p>
        </w:tc>
        <w:tc>
          <w:tcPr>
            <w:tcW w:w="2430" w:type="dxa"/>
            <w:tcBorders>
              <w:top w:val="nil"/>
              <w:left w:val="single" w:sz="12" w:space="0" w:color="auto"/>
              <w:bottom w:val="single" w:sz="6" w:space="0" w:color="auto"/>
              <w:right w:val="nil"/>
            </w:tcBorders>
            <w:noWrap/>
            <w:vAlign w:val="center"/>
            <w:hideMark/>
          </w:tcPr>
          <w:p w14:paraId="3FCBA18B" w14:textId="77777777" w:rsidR="00215C0F" w:rsidRPr="000D3090" w:rsidRDefault="00215C0F" w:rsidP="00215C0F">
            <w:pPr>
              <w:spacing w:after="0" w:line="240" w:lineRule="auto"/>
              <w:rPr>
                <w:color w:val="000000"/>
                <w:sz w:val="20"/>
                <w:szCs w:val="20"/>
              </w:rPr>
            </w:pPr>
            <w:r w:rsidRPr="000D3090">
              <w:rPr>
                <w:color w:val="000000"/>
                <w:sz w:val="20"/>
                <w:szCs w:val="20"/>
              </w:rPr>
              <w:t>No Medical Condition</w:t>
            </w:r>
          </w:p>
        </w:tc>
        <w:tc>
          <w:tcPr>
            <w:tcW w:w="2430" w:type="dxa"/>
            <w:tcBorders>
              <w:top w:val="nil"/>
              <w:left w:val="nil"/>
              <w:bottom w:val="single" w:sz="6" w:space="0" w:color="auto"/>
              <w:right w:val="single" w:sz="12" w:space="0" w:color="auto"/>
            </w:tcBorders>
            <w:noWrap/>
            <w:vAlign w:val="center"/>
            <w:hideMark/>
          </w:tcPr>
          <w:p w14:paraId="0201190F" w14:textId="77777777" w:rsidR="00215C0F" w:rsidRPr="000D3090" w:rsidRDefault="00215C0F" w:rsidP="00215C0F">
            <w:pPr>
              <w:spacing w:after="0" w:line="240" w:lineRule="auto"/>
              <w:rPr>
                <w:color w:val="000000"/>
                <w:sz w:val="20"/>
                <w:szCs w:val="20"/>
              </w:rPr>
            </w:pPr>
            <w:r w:rsidRPr="000D3090">
              <w:rPr>
                <w:color w:val="000000"/>
                <w:sz w:val="20"/>
                <w:szCs w:val="20"/>
              </w:rPr>
              <w:t>Medical Condition</w:t>
            </w:r>
          </w:p>
        </w:tc>
        <w:tc>
          <w:tcPr>
            <w:tcW w:w="990" w:type="dxa"/>
            <w:tcBorders>
              <w:top w:val="nil"/>
              <w:left w:val="single" w:sz="12" w:space="0" w:color="auto"/>
              <w:bottom w:val="single" w:sz="6" w:space="0" w:color="auto"/>
              <w:right w:val="single" w:sz="12" w:space="0" w:color="auto"/>
            </w:tcBorders>
            <w:noWrap/>
            <w:vAlign w:val="center"/>
            <w:hideMark/>
          </w:tcPr>
          <w:p w14:paraId="7F2AF377" w14:textId="5B241C2D"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w:t>
            </w:r>
            <w:r w:rsidR="001C6215" w:rsidRPr="000D3090">
              <w:rPr>
                <w:color w:val="000000"/>
                <w:sz w:val="20"/>
                <w:szCs w:val="20"/>
              </w:rPr>
              <w:t>85</w:t>
            </w:r>
          </w:p>
        </w:tc>
        <w:tc>
          <w:tcPr>
            <w:tcW w:w="990" w:type="dxa"/>
            <w:tcBorders>
              <w:top w:val="nil"/>
              <w:left w:val="single" w:sz="12" w:space="0" w:color="auto"/>
              <w:bottom w:val="single" w:sz="6" w:space="0" w:color="auto"/>
              <w:right w:val="single" w:sz="12" w:space="0" w:color="auto"/>
            </w:tcBorders>
            <w:noWrap/>
            <w:vAlign w:val="center"/>
            <w:hideMark/>
          </w:tcPr>
          <w:p w14:paraId="2DCB2414" w14:textId="1359DF50"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0.2</w:t>
            </w:r>
            <w:r w:rsidR="001C6215" w:rsidRPr="000D3090">
              <w:rPr>
                <w:color w:val="000000"/>
                <w:sz w:val="20"/>
                <w:szCs w:val="20"/>
              </w:rPr>
              <w:t>3</w:t>
            </w:r>
          </w:p>
        </w:tc>
        <w:tc>
          <w:tcPr>
            <w:tcW w:w="1170" w:type="dxa"/>
            <w:tcBorders>
              <w:top w:val="nil"/>
              <w:left w:val="single" w:sz="12" w:space="0" w:color="auto"/>
              <w:bottom w:val="single" w:sz="6" w:space="0" w:color="auto"/>
              <w:right w:val="nil"/>
            </w:tcBorders>
            <w:noWrap/>
            <w:vAlign w:val="center"/>
            <w:hideMark/>
          </w:tcPr>
          <w:p w14:paraId="6533E9CE" w14:textId="79D8C84A"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r w:rsidR="001C6215" w:rsidRPr="000D3090">
              <w:rPr>
                <w:color w:val="000000"/>
                <w:sz w:val="20"/>
                <w:szCs w:val="20"/>
              </w:rPr>
              <w:t>3</w:t>
            </w:r>
          </w:p>
        </w:tc>
        <w:tc>
          <w:tcPr>
            <w:tcW w:w="1440" w:type="dxa"/>
            <w:tcBorders>
              <w:top w:val="nil"/>
              <w:left w:val="nil"/>
              <w:bottom w:val="single" w:sz="6" w:space="0" w:color="auto"/>
              <w:right w:val="nil"/>
            </w:tcBorders>
            <w:noWrap/>
            <w:vAlign w:val="center"/>
            <w:hideMark/>
          </w:tcPr>
          <w:p w14:paraId="139D7C2C"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w:t>
            </w:r>
          </w:p>
        </w:tc>
        <w:tc>
          <w:tcPr>
            <w:tcW w:w="1170" w:type="dxa"/>
            <w:tcBorders>
              <w:top w:val="nil"/>
              <w:left w:val="nil"/>
              <w:bottom w:val="single" w:sz="6" w:space="0" w:color="auto"/>
              <w:right w:val="single" w:sz="4" w:space="0" w:color="auto"/>
            </w:tcBorders>
            <w:noWrap/>
            <w:vAlign w:val="center"/>
            <w:hideMark/>
          </w:tcPr>
          <w:p w14:paraId="1BB172E3" w14:textId="0C88C2FC"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9</w:t>
            </w:r>
            <w:r w:rsidR="001C6215" w:rsidRPr="000D3090">
              <w:rPr>
                <w:color w:val="000000"/>
                <w:sz w:val="20"/>
                <w:szCs w:val="20"/>
              </w:rPr>
              <w:t>6</w:t>
            </w:r>
          </w:p>
        </w:tc>
        <w:tc>
          <w:tcPr>
            <w:tcW w:w="720" w:type="dxa"/>
            <w:tcBorders>
              <w:top w:val="nil"/>
              <w:left w:val="single" w:sz="4" w:space="0" w:color="auto"/>
              <w:bottom w:val="single" w:sz="6" w:space="0" w:color="auto"/>
              <w:right w:val="single" w:sz="12" w:space="0" w:color="auto"/>
            </w:tcBorders>
            <w:noWrap/>
            <w:vAlign w:val="center"/>
            <w:hideMark/>
          </w:tcPr>
          <w:p w14:paraId="01912C36" w14:textId="75ACFA03" w:rsidR="00215C0F" w:rsidRPr="000D3090" w:rsidRDefault="0067403B" w:rsidP="00215C0F">
            <w:pPr>
              <w:spacing w:after="0" w:line="240" w:lineRule="auto"/>
              <w:jc w:val="center"/>
              <w:rPr>
                <w:color w:val="000000"/>
                <w:sz w:val="20"/>
                <w:szCs w:val="20"/>
              </w:rPr>
            </w:pPr>
            <w:r w:rsidRPr="000D3090">
              <w:rPr>
                <w:color w:val="000000"/>
                <w:sz w:val="20"/>
                <w:szCs w:val="20"/>
              </w:rPr>
              <w:t>20.77</w:t>
            </w:r>
          </w:p>
        </w:tc>
      </w:tr>
      <w:tr w:rsidR="00215C0F" w:rsidRPr="000D3090" w14:paraId="5AFADF6C" w14:textId="77777777" w:rsidTr="009A0812">
        <w:trPr>
          <w:trHeight w:val="259"/>
          <w:jc w:val="center"/>
        </w:trPr>
        <w:tc>
          <w:tcPr>
            <w:tcW w:w="13575" w:type="dxa"/>
            <w:gridSpan w:val="9"/>
            <w:tcBorders>
              <w:top w:val="single" w:sz="6" w:space="0" w:color="auto"/>
              <w:left w:val="single" w:sz="12" w:space="0" w:color="auto"/>
              <w:bottom w:val="single" w:sz="6" w:space="0" w:color="auto"/>
              <w:right w:val="single" w:sz="12" w:space="0" w:color="auto"/>
            </w:tcBorders>
            <w:noWrap/>
            <w:vAlign w:val="center"/>
          </w:tcPr>
          <w:p w14:paraId="77FA5E26" w14:textId="0008E471" w:rsidR="00215C0F" w:rsidRPr="000D3090" w:rsidRDefault="00215C0F" w:rsidP="00215C0F">
            <w:pPr>
              <w:spacing w:after="0" w:line="240" w:lineRule="auto"/>
              <w:rPr>
                <w:b/>
                <w:bCs/>
                <w:color w:val="000000"/>
                <w:sz w:val="20"/>
                <w:szCs w:val="20"/>
              </w:rPr>
            </w:pPr>
            <w:r w:rsidRPr="000D3090">
              <w:rPr>
                <w:b/>
                <w:bCs/>
                <w:color w:val="000000"/>
                <w:sz w:val="20"/>
                <w:szCs w:val="20"/>
              </w:rPr>
              <w:t>Endogenous Effects</w:t>
            </w:r>
          </w:p>
        </w:tc>
      </w:tr>
      <w:tr w:rsidR="00215C0F" w:rsidRPr="000D3090" w14:paraId="3CCB139C" w14:textId="77777777" w:rsidTr="009A0812">
        <w:trPr>
          <w:trHeight w:val="259"/>
          <w:jc w:val="center"/>
        </w:trPr>
        <w:tc>
          <w:tcPr>
            <w:tcW w:w="2235" w:type="dxa"/>
            <w:tcBorders>
              <w:top w:val="single" w:sz="6" w:space="0" w:color="auto"/>
              <w:left w:val="single" w:sz="12" w:space="0" w:color="auto"/>
              <w:right w:val="single" w:sz="12" w:space="0" w:color="auto"/>
            </w:tcBorders>
            <w:noWrap/>
            <w:vAlign w:val="center"/>
            <w:hideMark/>
          </w:tcPr>
          <w:p w14:paraId="4254CB1E" w14:textId="77777777" w:rsidR="00215C0F" w:rsidRPr="000D3090" w:rsidRDefault="00215C0F" w:rsidP="00215C0F">
            <w:pPr>
              <w:spacing w:after="0" w:line="240" w:lineRule="auto"/>
              <w:rPr>
                <w:color w:val="000000"/>
                <w:sz w:val="20"/>
                <w:szCs w:val="20"/>
              </w:rPr>
            </w:pPr>
            <w:r w:rsidRPr="000D3090">
              <w:rPr>
                <w:color w:val="000000"/>
                <w:sz w:val="20"/>
                <w:szCs w:val="20"/>
              </w:rPr>
              <w:t>Telework</w:t>
            </w:r>
          </w:p>
        </w:tc>
        <w:tc>
          <w:tcPr>
            <w:tcW w:w="2430" w:type="dxa"/>
            <w:tcBorders>
              <w:top w:val="single" w:sz="6" w:space="0" w:color="auto"/>
              <w:left w:val="single" w:sz="12" w:space="0" w:color="auto"/>
              <w:right w:val="nil"/>
            </w:tcBorders>
            <w:noWrap/>
            <w:vAlign w:val="center"/>
            <w:hideMark/>
          </w:tcPr>
          <w:p w14:paraId="4A01248D" w14:textId="77777777" w:rsidR="00215C0F" w:rsidRPr="000D3090" w:rsidRDefault="00215C0F" w:rsidP="00215C0F">
            <w:pPr>
              <w:spacing w:after="0" w:line="240" w:lineRule="auto"/>
              <w:rPr>
                <w:color w:val="000000"/>
                <w:sz w:val="20"/>
                <w:szCs w:val="20"/>
              </w:rPr>
            </w:pPr>
            <w:r w:rsidRPr="000D3090">
              <w:rPr>
                <w:color w:val="000000"/>
                <w:sz w:val="20"/>
                <w:szCs w:val="20"/>
              </w:rPr>
              <w:t>5+ Days per Week</w:t>
            </w:r>
          </w:p>
        </w:tc>
        <w:tc>
          <w:tcPr>
            <w:tcW w:w="2430" w:type="dxa"/>
            <w:tcBorders>
              <w:top w:val="single" w:sz="6" w:space="0" w:color="auto"/>
              <w:left w:val="nil"/>
              <w:right w:val="single" w:sz="12" w:space="0" w:color="auto"/>
            </w:tcBorders>
            <w:noWrap/>
            <w:vAlign w:val="center"/>
            <w:hideMark/>
          </w:tcPr>
          <w:p w14:paraId="28E40938" w14:textId="77777777" w:rsidR="00215C0F" w:rsidRPr="000D3090" w:rsidRDefault="00215C0F" w:rsidP="00215C0F">
            <w:pPr>
              <w:spacing w:after="0" w:line="240" w:lineRule="auto"/>
              <w:rPr>
                <w:color w:val="000000"/>
                <w:sz w:val="20"/>
                <w:szCs w:val="20"/>
              </w:rPr>
            </w:pPr>
            <w:r w:rsidRPr="000D3090">
              <w:rPr>
                <w:color w:val="000000"/>
                <w:sz w:val="20"/>
                <w:szCs w:val="20"/>
              </w:rPr>
              <w:t>None</w:t>
            </w:r>
          </w:p>
        </w:tc>
        <w:tc>
          <w:tcPr>
            <w:tcW w:w="990" w:type="dxa"/>
            <w:tcBorders>
              <w:top w:val="single" w:sz="6" w:space="0" w:color="auto"/>
              <w:left w:val="single" w:sz="12" w:space="0" w:color="auto"/>
              <w:right w:val="single" w:sz="12" w:space="0" w:color="auto"/>
            </w:tcBorders>
            <w:noWrap/>
            <w:vAlign w:val="center"/>
            <w:hideMark/>
          </w:tcPr>
          <w:p w14:paraId="4F427492"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990" w:type="dxa"/>
            <w:tcBorders>
              <w:top w:val="single" w:sz="6" w:space="0" w:color="auto"/>
              <w:left w:val="single" w:sz="12" w:space="0" w:color="auto"/>
              <w:right w:val="single" w:sz="12" w:space="0" w:color="auto"/>
            </w:tcBorders>
            <w:noWrap/>
            <w:vAlign w:val="center"/>
            <w:hideMark/>
          </w:tcPr>
          <w:p w14:paraId="437EECF7"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1170" w:type="dxa"/>
            <w:tcBorders>
              <w:top w:val="single" w:sz="6" w:space="0" w:color="auto"/>
              <w:left w:val="single" w:sz="12" w:space="0" w:color="auto"/>
              <w:right w:val="nil"/>
            </w:tcBorders>
            <w:noWrap/>
            <w:vAlign w:val="center"/>
            <w:hideMark/>
          </w:tcPr>
          <w:p w14:paraId="77559718"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1440" w:type="dxa"/>
            <w:tcBorders>
              <w:top w:val="single" w:sz="6" w:space="0" w:color="auto"/>
              <w:left w:val="nil"/>
              <w:right w:val="nil"/>
            </w:tcBorders>
            <w:noWrap/>
            <w:vAlign w:val="center"/>
            <w:hideMark/>
          </w:tcPr>
          <w:p w14:paraId="29926BFB"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1170" w:type="dxa"/>
            <w:tcBorders>
              <w:top w:val="single" w:sz="6" w:space="0" w:color="auto"/>
              <w:left w:val="nil"/>
              <w:right w:val="single" w:sz="4" w:space="0" w:color="auto"/>
            </w:tcBorders>
            <w:noWrap/>
            <w:vAlign w:val="center"/>
            <w:hideMark/>
          </w:tcPr>
          <w:p w14:paraId="71454430"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720" w:type="dxa"/>
            <w:tcBorders>
              <w:top w:val="single" w:sz="6" w:space="0" w:color="auto"/>
              <w:left w:val="single" w:sz="4" w:space="0" w:color="auto"/>
              <w:right w:val="single" w:sz="12" w:space="0" w:color="auto"/>
            </w:tcBorders>
            <w:noWrap/>
            <w:vAlign w:val="center"/>
            <w:hideMark/>
          </w:tcPr>
          <w:p w14:paraId="0955D4A2" w14:textId="08003556" w:rsidR="00215C0F" w:rsidRPr="000D3090" w:rsidRDefault="00215C0F" w:rsidP="00215C0F">
            <w:pPr>
              <w:spacing w:after="0" w:line="240" w:lineRule="auto"/>
              <w:jc w:val="center"/>
              <w:rPr>
                <w:color w:val="000000"/>
                <w:sz w:val="20"/>
                <w:szCs w:val="20"/>
              </w:rPr>
            </w:pPr>
            <w:r w:rsidRPr="000D3090">
              <w:rPr>
                <w:color w:val="000000"/>
                <w:sz w:val="20"/>
                <w:szCs w:val="20"/>
              </w:rPr>
              <w:t xml:space="preserve">  4.</w:t>
            </w:r>
            <w:r w:rsidR="0067403B" w:rsidRPr="000D3090">
              <w:rPr>
                <w:color w:val="000000"/>
                <w:sz w:val="20"/>
                <w:szCs w:val="20"/>
              </w:rPr>
              <w:t>72</w:t>
            </w:r>
          </w:p>
        </w:tc>
      </w:tr>
      <w:tr w:rsidR="00215C0F" w:rsidRPr="000D3090" w14:paraId="0626150A" w14:textId="77777777" w:rsidTr="009A0812">
        <w:trPr>
          <w:trHeight w:val="259"/>
          <w:jc w:val="center"/>
        </w:trPr>
        <w:tc>
          <w:tcPr>
            <w:tcW w:w="2235" w:type="dxa"/>
            <w:tcBorders>
              <w:top w:val="nil"/>
              <w:left w:val="single" w:sz="12" w:space="0" w:color="auto"/>
              <w:bottom w:val="single" w:sz="12" w:space="0" w:color="auto"/>
              <w:right w:val="single" w:sz="12" w:space="0" w:color="auto"/>
            </w:tcBorders>
            <w:noWrap/>
            <w:vAlign w:val="center"/>
            <w:hideMark/>
          </w:tcPr>
          <w:p w14:paraId="55BC0975" w14:textId="77777777" w:rsidR="00215C0F" w:rsidRPr="000D3090" w:rsidRDefault="00215C0F" w:rsidP="00215C0F">
            <w:pPr>
              <w:spacing w:after="0" w:line="240" w:lineRule="auto"/>
              <w:rPr>
                <w:color w:val="000000"/>
                <w:sz w:val="20"/>
                <w:szCs w:val="20"/>
              </w:rPr>
            </w:pPr>
            <w:r w:rsidRPr="000D3090">
              <w:rPr>
                <w:color w:val="000000"/>
                <w:sz w:val="20"/>
                <w:szCs w:val="20"/>
              </w:rPr>
              <w:t>Deliveries</w:t>
            </w:r>
          </w:p>
        </w:tc>
        <w:tc>
          <w:tcPr>
            <w:tcW w:w="2430" w:type="dxa"/>
            <w:tcBorders>
              <w:top w:val="nil"/>
              <w:left w:val="single" w:sz="12" w:space="0" w:color="auto"/>
              <w:bottom w:val="single" w:sz="12" w:space="0" w:color="auto"/>
              <w:right w:val="nil"/>
            </w:tcBorders>
            <w:noWrap/>
            <w:vAlign w:val="center"/>
            <w:hideMark/>
          </w:tcPr>
          <w:p w14:paraId="29C3B9C7" w14:textId="77777777" w:rsidR="00215C0F" w:rsidRPr="000D3090" w:rsidRDefault="00215C0F" w:rsidP="00215C0F">
            <w:pPr>
              <w:spacing w:after="0" w:line="240" w:lineRule="auto"/>
              <w:rPr>
                <w:color w:val="000000"/>
                <w:sz w:val="20"/>
                <w:szCs w:val="20"/>
              </w:rPr>
            </w:pPr>
            <w:r w:rsidRPr="000D3090">
              <w:rPr>
                <w:color w:val="000000"/>
                <w:sz w:val="20"/>
                <w:szCs w:val="20"/>
              </w:rPr>
              <w:t>More than 10</w:t>
            </w:r>
          </w:p>
        </w:tc>
        <w:tc>
          <w:tcPr>
            <w:tcW w:w="2430" w:type="dxa"/>
            <w:tcBorders>
              <w:top w:val="nil"/>
              <w:left w:val="nil"/>
              <w:bottom w:val="single" w:sz="12" w:space="0" w:color="auto"/>
              <w:right w:val="single" w:sz="12" w:space="0" w:color="auto"/>
            </w:tcBorders>
            <w:noWrap/>
            <w:vAlign w:val="center"/>
            <w:hideMark/>
          </w:tcPr>
          <w:p w14:paraId="54BACCD3" w14:textId="77777777" w:rsidR="00215C0F" w:rsidRPr="000D3090" w:rsidRDefault="00215C0F" w:rsidP="00215C0F">
            <w:pPr>
              <w:spacing w:after="0" w:line="240" w:lineRule="auto"/>
              <w:rPr>
                <w:color w:val="000000"/>
                <w:sz w:val="20"/>
                <w:szCs w:val="20"/>
              </w:rPr>
            </w:pPr>
            <w:r w:rsidRPr="000D3090">
              <w:rPr>
                <w:color w:val="000000"/>
                <w:sz w:val="20"/>
                <w:szCs w:val="20"/>
              </w:rPr>
              <w:t>None</w:t>
            </w:r>
          </w:p>
        </w:tc>
        <w:tc>
          <w:tcPr>
            <w:tcW w:w="990" w:type="dxa"/>
            <w:tcBorders>
              <w:top w:val="nil"/>
              <w:left w:val="single" w:sz="12" w:space="0" w:color="auto"/>
              <w:bottom w:val="single" w:sz="12" w:space="0" w:color="auto"/>
              <w:right w:val="single" w:sz="12" w:space="0" w:color="auto"/>
            </w:tcBorders>
            <w:noWrap/>
            <w:vAlign w:val="center"/>
            <w:hideMark/>
          </w:tcPr>
          <w:p w14:paraId="1D50AA13"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990" w:type="dxa"/>
            <w:tcBorders>
              <w:top w:val="nil"/>
              <w:left w:val="single" w:sz="12" w:space="0" w:color="auto"/>
              <w:bottom w:val="single" w:sz="12" w:space="0" w:color="auto"/>
              <w:right w:val="single" w:sz="12" w:space="0" w:color="auto"/>
            </w:tcBorders>
            <w:noWrap/>
            <w:vAlign w:val="center"/>
            <w:hideMark/>
          </w:tcPr>
          <w:p w14:paraId="3A995233"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1170" w:type="dxa"/>
            <w:tcBorders>
              <w:top w:val="nil"/>
              <w:left w:val="single" w:sz="12" w:space="0" w:color="auto"/>
              <w:bottom w:val="single" w:sz="12" w:space="0" w:color="auto"/>
              <w:right w:val="nil"/>
            </w:tcBorders>
            <w:noWrap/>
            <w:vAlign w:val="center"/>
            <w:hideMark/>
          </w:tcPr>
          <w:p w14:paraId="26F34A51"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1440" w:type="dxa"/>
            <w:tcBorders>
              <w:top w:val="nil"/>
              <w:left w:val="nil"/>
              <w:bottom w:val="single" w:sz="12" w:space="0" w:color="auto"/>
              <w:right w:val="nil"/>
            </w:tcBorders>
            <w:noWrap/>
            <w:vAlign w:val="center"/>
            <w:hideMark/>
          </w:tcPr>
          <w:p w14:paraId="5E76CC75"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w:t>
            </w:r>
          </w:p>
        </w:tc>
        <w:tc>
          <w:tcPr>
            <w:tcW w:w="1170" w:type="dxa"/>
            <w:tcBorders>
              <w:top w:val="nil"/>
              <w:left w:val="nil"/>
              <w:bottom w:val="single" w:sz="12" w:space="0" w:color="auto"/>
              <w:right w:val="single" w:sz="4" w:space="0" w:color="auto"/>
            </w:tcBorders>
            <w:noWrap/>
            <w:vAlign w:val="center"/>
            <w:hideMark/>
          </w:tcPr>
          <w:p w14:paraId="0E8E85D7" w14:textId="77777777" w:rsidR="00215C0F" w:rsidRPr="000D3090" w:rsidRDefault="00215C0F" w:rsidP="00215C0F">
            <w:pPr>
              <w:tabs>
                <w:tab w:val="decimal" w:pos="211"/>
              </w:tabs>
              <w:spacing w:after="0" w:line="240" w:lineRule="auto"/>
              <w:jc w:val="center"/>
              <w:rPr>
                <w:color w:val="000000"/>
                <w:sz w:val="20"/>
                <w:szCs w:val="20"/>
              </w:rPr>
            </w:pPr>
            <w:r w:rsidRPr="000D3090">
              <w:rPr>
                <w:color w:val="000000"/>
                <w:sz w:val="20"/>
                <w:szCs w:val="20"/>
              </w:rPr>
              <w:t>100</w:t>
            </w:r>
          </w:p>
        </w:tc>
        <w:tc>
          <w:tcPr>
            <w:tcW w:w="720" w:type="dxa"/>
            <w:tcBorders>
              <w:top w:val="nil"/>
              <w:left w:val="single" w:sz="4" w:space="0" w:color="auto"/>
              <w:bottom w:val="single" w:sz="12" w:space="0" w:color="auto"/>
              <w:right w:val="single" w:sz="12" w:space="0" w:color="auto"/>
            </w:tcBorders>
            <w:noWrap/>
            <w:vAlign w:val="center"/>
            <w:hideMark/>
          </w:tcPr>
          <w:p w14:paraId="0CB13AB6" w14:textId="0B0ADB9E" w:rsidR="00215C0F" w:rsidRPr="000D3090" w:rsidRDefault="00215C0F" w:rsidP="00215C0F">
            <w:pPr>
              <w:spacing w:after="0" w:line="240" w:lineRule="auto"/>
              <w:jc w:val="center"/>
              <w:rPr>
                <w:color w:val="000000"/>
                <w:sz w:val="20"/>
                <w:szCs w:val="20"/>
              </w:rPr>
            </w:pPr>
            <w:r w:rsidRPr="000D3090">
              <w:rPr>
                <w:color w:val="000000"/>
                <w:sz w:val="20"/>
                <w:szCs w:val="20"/>
              </w:rPr>
              <w:t xml:space="preserve">  8.9</w:t>
            </w:r>
            <w:r w:rsidR="0067403B" w:rsidRPr="000D3090">
              <w:rPr>
                <w:color w:val="000000"/>
                <w:sz w:val="20"/>
                <w:szCs w:val="20"/>
              </w:rPr>
              <w:t>8</w:t>
            </w:r>
          </w:p>
        </w:tc>
      </w:tr>
      <w:bookmarkEnd w:id="19"/>
    </w:tbl>
    <w:p w14:paraId="04849827" w14:textId="3319F4DA" w:rsidR="00A460B2" w:rsidRPr="000D3090" w:rsidRDefault="00A460B2" w:rsidP="009A0812">
      <w:pPr>
        <w:spacing w:after="0" w:line="240" w:lineRule="auto"/>
      </w:pPr>
    </w:p>
    <w:sectPr w:rsidR="00A460B2" w:rsidRPr="000D3090" w:rsidSect="009A08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6B27" w14:textId="77777777" w:rsidR="008A3483" w:rsidRPr="000D3090" w:rsidRDefault="008A3483" w:rsidP="00F60E57">
      <w:pPr>
        <w:spacing w:after="0" w:line="240" w:lineRule="auto"/>
      </w:pPr>
      <w:r w:rsidRPr="000D3090">
        <w:separator/>
      </w:r>
    </w:p>
    <w:p w14:paraId="3A338AA4" w14:textId="77777777" w:rsidR="008A3483" w:rsidRPr="000D3090" w:rsidRDefault="008A3483"/>
  </w:endnote>
  <w:endnote w:type="continuationSeparator" w:id="0">
    <w:p w14:paraId="377CB8BD" w14:textId="77777777" w:rsidR="008A3483" w:rsidRPr="000D3090" w:rsidRDefault="008A3483" w:rsidP="00F60E57">
      <w:pPr>
        <w:spacing w:after="0" w:line="240" w:lineRule="auto"/>
      </w:pPr>
      <w:r w:rsidRPr="000D3090">
        <w:continuationSeparator/>
      </w:r>
    </w:p>
    <w:p w14:paraId="46C7FF67" w14:textId="77777777" w:rsidR="008A3483" w:rsidRPr="000D3090" w:rsidRDefault="008A3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572386"/>
      <w:docPartObj>
        <w:docPartGallery w:val="Page Numbers (Bottom of Page)"/>
        <w:docPartUnique/>
      </w:docPartObj>
    </w:sdtPr>
    <w:sdtEndPr/>
    <w:sdtContent>
      <w:p w14:paraId="31860643" w14:textId="6453FACF" w:rsidR="00F60E57" w:rsidRPr="000D3090" w:rsidRDefault="00F60E57" w:rsidP="001F7B9D">
        <w:pPr>
          <w:pStyle w:val="Footer"/>
          <w:jc w:val="center"/>
        </w:pPr>
        <w:r w:rsidRPr="000D3090">
          <w:fldChar w:fldCharType="begin"/>
        </w:r>
        <w:r w:rsidRPr="000D3090">
          <w:instrText xml:space="preserve"> PAGE   \* MERGEFORMAT </w:instrText>
        </w:r>
        <w:r w:rsidRPr="000D3090">
          <w:fldChar w:fldCharType="separate"/>
        </w:r>
        <w:r w:rsidRPr="000D3090">
          <w:t>2</w:t>
        </w:r>
        <w:r w:rsidRPr="000D3090">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2475"/>
      <w:docPartObj>
        <w:docPartGallery w:val="Page Numbers (Bottom of Page)"/>
        <w:docPartUnique/>
      </w:docPartObj>
    </w:sdtPr>
    <w:sdtEndPr/>
    <w:sdtContent>
      <w:p w14:paraId="5F5972D0" w14:textId="0FD71165" w:rsidR="002961DC" w:rsidRPr="000D3090" w:rsidRDefault="002961DC" w:rsidP="009A0812">
        <w:pPr>
          <w:pStyle w:val="Footer"/>
          <w:jc w:val="center"/>
        </w:pPr>
        <w:r w:rsidRPr="000D3090">
          <w:fldChar w:fldCharType="begin"/>
        </w:r>
        <w:r w:rsidRPr="000D3090">
          <w:instrText xml:space="preserve"> PAGE   \* MERGEFORMAT </w:instrText>
        </w:r>
        <w:r w:rsidRPr="000D3090">
          <w:fldChar w:fldCharType="separate"/>
        </w:r>
        <w:r w:rsidRPr="000D3090">
          <w:t>2</w:t>
        </w:r>
        <w:r w:rsidRPr="000D309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888365"/>
      <w:docPartObj>
        <w:docPartGallery w:val="Page Numbers (Bottom of Page)"/>
        <w:docPartUnique/>
      </w:docPartObj>
    </w:sdtPr>
    <w:sdtEndPr/>
    <w:sdtContent>
      <w:p w14:paraId="3D2B1520" w14:textId="6F830155" w:rsidR="0098301E" w:rsidRPr="000D3090" w:rsidRDefault="0098301E" w:rsidP="009A0812">
        <w:pPr>
          <w:pStyle w:val="Footer"/>
          <w:jc w:val="center"/>
        </w:pPr>
        <w:r w:rsidRPr="000D3090">
          <w:fldChar w:fldCharType="begin"/>
        </w:r>
        <w:r w:rsidRPr="000D3090">
          <w:instrText xml:space="preserve"> PAGE   \* MERGEFORMAT </w:instrText>
        </w:r>
        <w:r w:rsidRPr="000D3090">
          <w:fldChar w:fldCharType="separate"/>
        </w:r>
        <w:r w:rsidRPr="000D3090">
          <w:t>2</w:t>
        </w:r>
        <w:r w:rsidRPr="000D309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F4DD" w14:textId="77777777" w:rsidR="008A3483" w:rsidRPr="000D3090" w:rsidRDefault="008A3483" w:rsidP="00F60E57">
      <w:pPr>
        <w:spacing w:after="0" w:line="240" w:lineRule="auto"/>
      </w:pPr>
      <w:r w:rsidRPr="000D3090">
        <w:separator/>
      </w:r>
    </w:p>
  </w:footnote>
  <w:footnote w:type="continuationSeparator" w:id="0">
    <w:p w14:paraId="62F22813" w14:textId="77777777" w:rsidR="008A3483" w:rsidRPr="000D3090" w:rsidRDefault="008A3483" w:rsidP="00F60E57">
      <w:pPr>
        <w:spacing w:after="0" w:line="240" w:lineRule="auto"/>
      </w:pPr>
      <w:r w:rsidRPr="000D3090">
        <w:continuationSeparator/>
      </w:r>
    </w:p>
    <w:p w14:paraId="7EF85004" w14:textId="77777777" w:rsidR="008A3483" w:rsidRPr="000D3090" w:rsidRDefault="008A3483"/>
  </w:footnote>
  <w:footnote w:id="1">
    <w:p w14:paraId="63A0DA92" w14:textId="64656187" w:rsidR="00DD3E3D" w:rsidRPr="000D3090" w:rsidRDefault="00DD3E3D" w:rsidP="00936ACF">
      <w:pPr>
        <w:pStyle w:val="FootnoteText"/>
        <w:contextualSpacing/>
      </w:pPr>
      <w:r w:rsidRPr="000D3090">
        <w:rPr>
          <w:rStyle w:val="FootnoteReference"/>
        </w:rPr>
        <w:footnoteRef/>
      </w:r>
      <w:r w:rsidR="00300426" w:rsidRPr="000D3090">
        <w:rPr>
          <w:bCs/>
        </w:rPr>
        <w:t xml:space="preserve"> </w:t>
      </w:r>
      <w:r w:rsidRPr="000D3090">
        <w:rPr>
          <w:bCs/>
        </w:rPr>
        <w:t>“Physical accessibility</w:t>
      </w:r>
      <w:r w:rsidR="000F5E3D" w:rsidRPr="000D3090">
        <w:rPr>
          <w:bCs/>
        </w:rPr>
        <w:t>,</w:t>
      </w:r>
      <w:r w:rsidRPr="000D3090">
        <w:rPr>
          <w:bCs/>
        </w:rPr>
        <w:t xml:space="preserve">” as referred to in this paper, includes the holistic set of objective and subjective features of the transportation system that facilitate physical participation, while “virtual accessibility” refers to the objective and subjective factors that facilitate </w:t>
      </w:r>
      <w:r w:rsidR="009648C6" w:rsidRPr="000D3090">
        <w:rPr>
          <w:bCs/>
        </w:rPr>
        <w:t xml:space="preserve">virtual </w:t>
      </w:r>
      <w:r w:rsidRPr="000D3090">
        <w:rPr>
          <w:bCs/>
        </w:rPr>
        <w:t>participation.</w:t>
      </w:r>
    </w:p>
  </w:footnote>
  <w:footnote w:id="2">
    <w:p w14:paraId="63257EC3" w14:textId="205B62E5" w:rsidR="00C575BF" w:rsidRPr="000D3090" w:rsidRDefault="00C575BF" w:rsidP="005843DE">
      <w:pPr>
        <w:pStyle w:val="NormalWeb"/>
        <w:shd w:val="clear" w:color="auto" w:fill="FFFFFF"/>
        <w:spacing w:after="0" w:line="240" w:lineRule="auto"/>
        <w:jc w:val="both"/>
        <w:rPr>
          <w:sz w:val="20"/>
          <w:szCs w:val="20"/>
        </w:rPr>
      </w:pPr>
      <w:r w:rsidRPr="004A0C3F">
        <w:rPr>
          <w:rStyle w:val="FootnoteReference"/>
          <w:sz w:val="20"/>
          <w:szCs w:val="20"/>
        </w:rPr>
        <w:footnoteRef/>
      </w:r>
      <w:r w:rsidR="00300426" w:rsidRPr="004A0C3F">
        <w:rPr>
          <w:sz w:val="20"/>
          <w:szCs w:val="20"/>
        </w:rPr>
        <w:t xml:space="preserve"> </w:t>
      </w:r>
      <w:r w:rsidRPr="004A0C3F">
        <w:rPr>
          <w:sz w:val="20"/>
          <w:szCs w:val="20"/>
        </w:rPr>
        <w:t>Our</w:t>
      </w:r>
      <w:r w:rsidRPr="000D3090">
        <w:rPr>
          <w:sz w:val="20"/>
          <w:szCs w:val="20"/>
        </w:rPr>
        <w:t xml:space="preserve"> PPD characterization, admittedly, assumes that planned OH activities are desirable activities, so that the inability to partake in such OH activities </w:t>
      </w:r>
      <w:r w:rsidRPr="000D3090">
        <w:rPr>
          <w:sz w:val="20"/>
          <w:szCs w:val="20"/>
        </w:rPr>
        <w:t xml:space="preserve">creates a discord (negative feelings) between desire and behavior. It is certainly possible (and very likely) that some of the planned OH activities are not desirable activities, so that not partaking in </w:t>
      </w:r>
      <w:r w:rsidR="003F313C" w:rsidRPr="000D3090">
        <w:rPr>
          <w:sz w:val="20"/>
          <w:szCs w:val="20"/>
        </w:rPr>
        <w:t xml:space="preserve">such </w:t>
      </w:r>
      <w:r w:rsidRPr="000D3090">
        <w:rPr>
          <w:sz w:val="20"/>
          <w:szCs w:val="20"/>
        </w:rPr>
        <w:t>planned OH activit</w:t>
      </w:r>
      <w:r w:rsidR="003F313C" w:rsidRPr="000D3090">
        <w:rPr>
          <w:sz w:val="20"/>
          <w:szCs w:val="20"/>
        </w:rPr>
        <w:t>ies</w:t>
      </w:r>
      <w:r w:rsidRPr="000D3090">
        <w:rPr>
          <w:sz w:val="20"/>
          <w:szCs w:val="20"/>
        </w:rPr>
        <w:t xml:space="preserve"> (for example, due to cancellation of </w:t>
      </w:r>
      <w:r w:rsidR="003F313C" w:rsidRPr="000D3090">
        <w:rPr>
          <w:sz w:val="20"/>
          <w:szCs w:val="20"/>
        </w:rPr>
        <w:t xml:space="preserve">an </w:t>
      </w:r>
      <w:r w:rsidRPr="000D3090">
        <w:rPr>
          <w:sz w:val="20"/>
          <w:szCs w:val="20"/>
        </w:rPr>
        <w:t xml:space="preserve">activity by someone else or being able to wiggle one’s way out of </w:t>
      </w:r>
      <w:r w:rsidR="003F313C" w:rsidRPr="000D3090">
        <w:rPr>
          <w:sz w:val="20"/>
          <w:szCs w:val="20"/>
        </w:rPr>
        <w:t xml:space="preserve">an </w:t>
      </w:r>
      <w:r w:rsidRPr="000D3090">
        <w:rPr>
          <w:sz w:val="20"/>
          <w:szCs w:val="20"/>
        </w:rPr>
        <w:t xml:space="preserve">unpleasant activity) </w:t>
      </w:r>
      <w:r w:rsidR="003F313C" w:rsidRPr="000D3090">
        <w:rPr>
          <w:sz w:val="20"/>
          <w:szCs w:val="20"/>
        </w:rPr>
        <w:t xml:space="preserve">engenders </w:t>
      </w:r>
      <w:r w:rsidRPr="000D3090">
        <w:rPr>
          <w:sz w:val="20"/>
          <w:szCs w:val="20"/>
        </w:rPr>
        <w:t xml:space="preserve">positive </w:t>
      </w:r>
      <w:r w:rsidR="003F313C" w:rsidRPr="000D3090">
        <w:rPr>
          <w:sz w:val="20"/>
          <w:szCs w:val="20"/>
        </w:rPr>
        <w:t>emotions</w:t>
      </w:r>
      <w:r w:rsidRPr="000D3090">
        <w:rPr>
          <w:sz w:val="20"/>
          <w:szCs w:val="20"/>
        </w:rPr>
        <w:t xml:space="preserve">. </w:t>
      </w:r>
      <w:bookmarkStart w:id="4" w:name="_Hlk197181651"/>
      <w:r w:rsidRPr="000D3090">
        <w:rPr>
          <w:sz w:val="20"/>
          <w:szCs w:val="20"/>
        </w:rPr>
        <w:t xml:space="preserve">However, as we discuss later in Section 3.1.1, the sample we use for the empirical analysis is such that the planned OH activities considered in our analysis may be much better characterized as desirable activities rather than unpleasant activities. Thus, in this paper, we will use PPD to refer to the discord between planned </w:t>
      </w:r>
      <w:r w:rsidR="003F313C" w:rsidRPr="000D3090">
        <w:rPr>
          <w:sz w:val="20"/>
          <w:szCs w:val="20"/>
        </w:rPr>
        <w:t>“</w:t>
      </w:r>
      <w:r w:rsidRPr="000D3090">
        <w:rPr>
          <w:sz w:val="20"/>
          <w:szCs w:val="20"/>
        </w:rPr>
        <w:t>desirable</w:t>
      </w:r>
      <w:r w:rsidR="003F313C" w:rsidRPr="000D3090">
        <w:rPr>
          <w:sz w:val="20"/>
          <w:szCs w:val="20"/>
        </w:rPr>
        <w:t>”</w:t>
      </w:r>
      <w:r w:rsidRPr="000D3090">
        <w:rPr>
          <w:sz w:val="20"/>
          <w:szCs w:val="20"/>
        </w:rPr>
        <w:t xml:space="preserve"> activities and actual behavior. </w:t>
      </w:r>
      <w:bookmarkEnd w:id="4"/>
    </w:p>
  </w:footnote>
  <w:footnote w:id="3">
    <w:p w14:paraId="27DCBA6C" w14:textId="5A061C49" w:rsidR="00EA5158" w:rsidRPr="000D3090" w:rsidRDefault="00EA5158" w:rsidP="004A0C3F">
      <w:pPr>
        <w:pStyle w:val="NormalWeb"/>
        <w:shd w:val="clear" w:color="auto" w:fill="FFFFFF"/>
        <w:spacing w:after="0" w:line="240" w:lineRule="auto"/>
        <w:jc w:val="both"/>
        <w:rPr>
          <w:sz w:val="20"/>
          <w:szCs w:val="20"/>
        </w:rPr>
      </w:pPr>
      <w:r w:rsidRPr="004A0C3F">
        <w:rPr>
          <w:rStyle w:val="FootnoteReference"/>
          <w:sz w:val="20"/>
          <w:szCs w:val="20"/>
        </w:rPr>
        <w:footnoteRef/>
      </w:r>
      <w:r w:rsidR="00300426" w:rsidRPr="004A0C3F">
        <w:rPr>
          <w:sz w:val="20"/>
          <w:szCs w:val="20"/>
        </w:rPr>
        <w:t xml:space="preserve"> </w:t>
      </w:r>
      <w:r w:rsidRPr="000D3090">
        <w:rPr>
          <w:sz w:val="20"/>
          <w:szCs w:val="20"/>
        </w:rPr>
        <w:t xml:space="preserve">An issue here is whether the time frame of the “past 30 days” is appropriate to capture information about trips not made. In </w:t>
      </w:r>
      <w:r w:rsidR="00BD3CD4" w:rsidRPr="000D3090">
        <w:rPr>
          <w:sz w:val="20"/>
          <w:szCs w:val="20"/>
        </w:rPr>
        <w:t xml:space="preserve">this regard, </w:t>
      </w:r>
      <w:r w:rsidRPr="000D3090">
        <w:rPr>
          <w:sz w:val="20"/>
          <w:szCs w:val="20"/>
        </w:rPr>
        <w:t xml:space="preserve">Palm et al. </w:t>
      </w:r>
      <w:r w:rsidRPr="000D3090">
        <w:rPr>
          <w:sz w:val="20"/>
          <w:szCs w:val="20"/>
        </w:rPr>
        <w:fldChar w:fldCharType="begin"/>
      </w:r>
      <w:r w:rsidR="0067380D" w:rsidRPr="000D3090">
        <w:rPr>
          <w:sz w:val="20"/>
          <w:szCs w:val="20"/>
        </w:rPr>
        <w:instrText xml:space="preserve"> ADDIN ZOTERO_ITEM CSL_CITATION {"citationID":"OVJsYc1H","properties":{"formattedCitation":"(2024)","plainCitation":"(2024)","noteIndex":3},"citationItems":[{"id":4325,"uris":["http://zotero.org/users/12832277/items/3LDCDH3W"],"itemData":{"id":4325,"type":"article-journal","abstract":"Unrealized travel and its associated activity participation is included in many overlapping concepts in the literature—unmet need, latent demand, suppressed travel, and forgone travel. In this scoping review, we focus on suppressed travel, which we define as travel, and associated activity participation, that is unrealized due to transportation-related social exclusion and associated mobility barriers. We review how researchers have measured suppressed travel using surveys, identifying which populations are studied (who), which destinations are considered (where), how questions are structured (how), which barriers are identified as causes of suppressed travel (why), and to what extent questions address suppressed desires and mobility horizons (what). We also assess study quality. We conducted a search using sets of keywords relating to equity, transportation, and surveys. We identified 3,522 unique abstracts from Web of Science and Scopus published since the year 2000. Two undergraduate reviewers independently screened the abstracts with author oversight. The authors conducted full-text reviews of 533 remaining studies. Of these, 158 survived to data extraction, and 19 of those could ultimately be included in this analysis. We find strong evidence of travel suppression among older adults and people with disabilities. Insufficient transit service and dependency on others for rides are identified as primary causes. Among the general population, unrealized travel is greater for leisure and eating out trips, while populations experiencing TRSE face travel suppression for work, education, and other essential trips. We identify gaps in populations and causes studied and conclude with recommendations on how to advance knowledge in this area.","container-title":"Travel Behaviour and Society","DOI":"10.1016/j.tbs.2024.100784","ISSN":"2214-367X","page":"100784","source":"ScienceDirect","title":"Uncovering Suppressed Travel: A Scoping Review of Surveys Measuring Unmet Transportation Need","title-short":"Uncovering Suppressed Travel","volume":"36","author":[{"family":"Palm","given":"Matthew"},{"family":"Nakshi","given":"Paromita"},{"family":"Yousefzadeh Barri","given":"Elnaz"},{"family":"Farber","given":"Steven"},{"family":"Widener","given":"Michael"}],"issued":{"date-parts":[["2024",7,1]]}},"label":"page","suppress-author":true}],"schema":"https://github.com/citation-style-language/schema/raw/master/csl-citation.json"} </w:instrText>
      </w:r>
      <w:r w:rsidRPr="000D3090">
        <w:rPr>
          <w:sz w:val="20"/>
          <w:szCs w:val="20"/>
        </w:rPr>
        <w:fldChar w:fldCharType="separate"/>
      </w:r>
      <w:r w:rsidRPr="000D3090">
        <w:rPr>
          <w:sz w:val="20"/>
          <w:szCs w:val="20"/>
        </w:rPr>
        <w:t>(2024)</w:t>
      </w:r>
      <w:r w:rsidRPr="000D3090">
        <w:rPr>
          <w:sz w:val="20"/>
          <w:szCs w:val="20"/>
        </w:rPr>
        <w:fldChar w:fldCharType="end"/>
      </w:r>
      <w:r w:rsidRPr="000D3090">
        <w:rPr>
          <w:sz w:val="20"/>
          <w:szCs w:val="20"/>
        </w:rPr>
        <w:t xml:space="preserve"> find that a recall period of between a week and a month </w:t>
      </w:r>
      <w:r w:rsidR="00BD3CD4" w:rsidRPr="000D3090">
        <w:rPr>
          <w:sz w:val="20"/>
          <w:szCs w:val="20"/>
        </w:rPr>
        <w:t>is</w:t>
      </w:r>
      <w:r w:rsidRPr="000D3090">
        <w:rPr>
          <w:sz w:val="20"/>
          <w:szCs w:val="20"/>
        </w:rPr>
        <w:t xml:space="preserve"> appropriate because </w:t>
      </w:r>
      <w:r w:rsidR="00BD3CD4" w:rsidRPr="000D3090">
        <w:rPr>
          <w:sz w:val="20"/>
          <w:szCs w:val="20"/>
        </w:rPr>
        <w:t xml:space="preserve">such a time frame </w:t>
      </w:r>
      <w:r w:rsidRPr="000D3090">
        <w:rPr>
          <w:sz w:val="20"/>
          <w:szCs w:val="20"/>
        </w:rPr>
        <w:t>balance</w:t>
      </w:r>
      <w:r w:rsidR="00BD3CD4" w:rsidRPr="000D3090">
        <w:rPr>
          <w:sz w:val="20"/>
          <w:szCs w:val="20"/>
        </w:rPr>
        <w:t>s</w:t>
      </w:r>
      <w:r w:rsidRPr="000D3090">
        <w:rPr>
          <w:sz w:val="20"/>
          <w:szCs w:val="20"/>
        </w:rPr>
        <w:t xml:space="preserve"> the accuracy of identifying and recalling suppressed trips with the ability to capture </w:t>
      </w:r>
      <w:r w:rsidR="00791237" w:rsidRPr="000D3090">
        <w:rPr>
          <w:sz w:val="20"/>
          <w:szCs w:val="20"/>
        </w:rPr>
        <w:t xml:space="preserve">any </w:t>
      </w:r>
      <w:r w:rsidR="00F063C9" w:rsidRPr="000D3090">
        <w:rPr>
          <w:sz w:val="20"/>
          <w:szCs w:val="20"/>
        </w:rPr>
        <w:t xml:space="preserve">foregone trips </w:t>
      </w:r>
      <w:r w:rsidR="005864D7" w:rsidRPr="000D3090">
        <w:rPr>
          <w:sz w:val="20"/>
          <w:szCs w:val="20"/>
        </w:rPr>
        <w:t xml:space="preserve">even </w:t>
      </w:r>
      <w:r w:rsidR="00F063C9" w:rsidRPr="000D3090">
        <w:rPr>
          <w:sz w:val="20"/>
          <w:szCs w:val="20"/>
        </w:rPr>
        <w:t xml:space="preserve">for typically </w:t>
      </w:r>
      <w:r w:rsidRPr="000D3090">
        <w:rPr>
          <w:sz w:val="20"/>
          <w:szCs w:val="20"/>
        </w:rPr>
        <w:t xml:space="preserve">important but infrequent </w:t>
      </w:r>
      <w:r w:rsidR="00791237" w:rsidRPr="000D3090">
        <w:rPr>
          <w:sz w:val="20"/>
          <w:szCs w:val="20"/>
        </w:rPr>
        <w:t>OH activity participation desires</w:t>
      </w:r>
      <w:r w:rsidRPr="000D3090">
        <w:rPr>
          <w:sz w:val="20"/>
          <w:szCs w:val="20"/>
        </w:rPr>
        <w:t xml:space="preserve">. </w:t>
      </w:r>
      <w:r w:rsidR="00C32915" w:rsidRPr="000D3090">
        <w:rPr>
          <w:sz w:val="20"/>
          <w:szCs w:val="20"/>
        </w:rPr>
        <w:t>Besides, i</w:t>
      </w:r>
      <w:r w:rsidR="00791237" w:rsidRPr="000D3090">
        <w:rPr>
          <w:sz w:val="20"/>
          <w:szCs w:val="20"/>
        </w:rPr>
        <w:t xml:space="preserve">n the context of recalling </w:t>
      </w:r>
      <w:r w:rsidR="005864D7" w:rsidRPr="000D3090">
        <w:rPr>
          <w:sz w:val="20"/>
          <w:szCs w:val="20"/>
        </w:rPr>
        <w:t xml:space="preserve">past </w:t>
      </w:r>
      <w:r w:rsidR="00791237" w:rsidRPr="000D3090">
        <w:rPr>
          <w:sz w:val="20"/>
          <w:szCs w:val="20"/>
        </w:rPr>
        <w:t xml:space="preserve">behaviors, the </w:t>
      </w:r>
      <w:r w:rsidR="005864D7" w:rsidRPr="000D3090">
        <w:rPr>
          <w:sz w:val="20"/>
          <w:szCs w:val="20"/>
        </w:rPr>
        <w:t xml:space="preserve">general </w:t>
      </w:r>
      <w:r w:rsidR="00791237" w:rsidRPr="000D3090">
        <w:rPr>
          <w:sz w:val="20"/>
          <w:szCs w:val="20"/>
        </w:rPr>
        <w:t xml:space="preserve">survey literature </w:t>
      </w:r>
      <w:r w:rsidR="0067380D" w:rsidRPr="000D3090">
        <w:rPr>
          <w:sz w:val="20"/>
          <w:szCs w:val="20"/>
        </w:rPr>
        <w:fldChar w:fldCharType="begin"/>
      </w:r>
      <w:r w:rsidR="00D57DB8" w:rsidRPr="000D3090">
        <w:rPr>
          <w:sz w:val="20"/>
          <w:szCs w:val="20"/>
        </w:rPr>
        <w:instrText xml:space="preserve"> ADDIN ZOTERO_ITEM CSL_CITATION {"citationID":"dGKdf42u","properties":{"formattedCitation":"(Bell et al., 2019; te Braak et al., 2023)","plainCitation":"(Bell et al., 2019; te Braak et al., 2023)","dontUpdate":true,"noteIndex":3},"citationItems":[{"id":3062,"uris":["http://zotero.org/users/12832277/items/9R3U63MJ"],"itemData":{"id":3062,"type":"article-journal","abstract":"A major impediment to understanding human-environment interactions is that data on social systems are not collected in a way that is easily comparable to natural systems data. While many environmental variables are collected with high frequency, gridded in time and space, social data is typically conducted irregularly, in waves that are far apart in time. These efforts typically engage respondents for hours at a time, and suffer from decay in participants’ ability to recall their experiences over long periods of time. Systematic use of mobile and smartphones has the potential to transcend these challenges, with a critical first step being an evaluation of where survey respondents experience the greatest recall decay. We present results from, to our knowledge, the first systematic evaluation of recall bias in components of a household survey, using the Open Data Kit (ODK) platform on Android smartphones. We tasked approximately 500 farmers in rural Bangladesh with responding regularly to components of a large household survey, randomizing the frequency of each task to be received weekly, monthly, or seasonally. We find respondents’ recall of consumption and experience (such as sick days) to suffer much more greatly than their recall of the use of their households’ time for labor and farm activities. Further, we demonstrate a feasible and cost-effective means of engaging respondents in rural areas to create and maintain a true socio-economic “baseline” to mirror similar efforts in the natural sciences.","container-title":"Population and Environment","DOI":"10.1007/s11111-019-0314-1","ISSN":"1573-7810","issue":"3","language":"en","page":"325-345","source":"Springer Link","title":"Assessing Recall Bias and Measurement Error in High-Frequency Social Data Collection for Human-Environment Research","volume":"40","author":[{"family":"Bell","given":"Andrew"},{"family":"Ward","given":"Patrick"},{"family":"Tamal","given":"Md. Ehsanul Haque"},{"family":"Killilea","given":"Mary"}],"issued":{"date-parts":[["2019",3,1]]}}},{"id":4405,"uris":["http://zotero.org/users/12832277/items/D9UMMSFS"],"itemData":{"id":4405,"type":"article-journal","abstract":"Previous research has shown that a prolonged recall period is associated with lower data quality in time-diary research. In these studies, the recall period is roughly estimated on the basis of the period between the assigned diary day and the agreed collection day. Because this is so rudimentary, little is known about the duration of the mean recall period and its consequences for data quality. Recent advances in online methodology now allow a better investigation of the recall period using time stamps. Using a refined indicator, the authors examine the duration of the recall period, to what extent this duration is related to socioeconomic characteristics, and how a prolonged recall period affects data quality. The authors demonstrate that using online time-diary data collected from 8,535 teachers in Belgium, the mean recall period is less than 24 hr for most respondents, although respondents with many time constraints have extended recall periods. Additionally, a prolonged recall period indeed has negative consequences for data quality. Quality deterioration already arises several hours after an activity has been completed, much sooner than previous research has indicated.","container-title":"Sociological Methodology","DOI":"10.1177/00811750221126499","ISSN":"0081-1750","issue":"1","language":"EN","note":"publisher: SAGE Publications Inc","page":"115-138","source":"SAGE Journals","title":"Data Quality and Recall Bias in Time-Diary Research: The Effects of Prolonged Recall Periods in Self-Administered Online Time-Use Surveys","volume":"53","author":[{"family":"Braak","given":"Petrus","non-dropping-particle":"te"},{"family":"Tienoven","given":"Theun Pieter","non-dropping-particle":"van"},{"family":"Minnen","given":"Joeri"},{"family":"Glorieux","given":"Ignace"}],"issued":{"date-parts":[["2023",2,1]]}}}],"schema":"https://github.com/citation-style-language/schema/raw/master/csl-citation.json"} </w:instrText>
      </w:r>
      <w:r w:rsidR="0067380D" w:rsidRPr="000D3090">
        <w:rPr>
          <w:sz w:val="20"/>
          <w:szCs w:val="20"/>
        </w:rPr>
        <w:fldChar w:fldCharType="separate"/>
      </w:r>
      <w:r w:rsidR="0092388E" w:rsidRPr="000D3090">
        <w:rPr>
          <w:sz w:val="20"/>
        </w:rPr>
        <w:t>(see, for example, Bell et al., 2019; te Braak et al., 2023)</w:t>
      </w:r>
      <w:r w:rsidR="0067380D" w:rsidRPr="000D3090">
        <w:rPr>
          <w:sz w:val="20"/>
          <w:szCs w:val="20"/>
        </w:rPr>
        <w:fldChar w:fldCharType="end"/>
      </w:r>
      <w:r w:rsidR="00791237" w:rsidRPr="000D3090">
        <w:rPr>
          <w:sz w:val="20"/>
          <w:szCs w:val="20"/>
        </w:rPr>
        <w:t xml:space="preserve"> indicates that </w:t>
      </w:r>
      <w:r w:rsidR="005864D7" w:rsidRPr="000D3090">
        <w:rPr>
          <w:sz w:val="20"/>
          <w:szCs w:val="20"/>
        </w:rPr>
        <w:t xml:space="preserve">past summative </w:t>
      </w:r>
      <w:r w:rsidR="00791237" w:rsidRPr="000D3090">
        <w:rPr>
          <w:sz w:val="20"/>
          <w:szCs w:val="20"/>
        </w:rPr>
        <w:t xml:space="preserve">behaviors (such as whether or not planned trips were suppressed at all or not over a long time period, as we use here) are more easily and accurately recalled relative to finer aspects of behaviors (such as the number of trips that were suppressed). </w:t>
      </w:r>
      <w:r w:rsidR="009C0D2F" w:rsidRPr="000D3090">
        <w:rPr>
          <w:sz w:val="20"/>
          <w:szCs w:val="20"/>
        </w:rPr>
        <w:t xml:space="preserve">We also note that the implication here is not that all trips are planned; there are of course, spur-of-the-moment trips. But the fundamental premise of travel demand modeling is that there is a high-level planning process at work that does influence our general trip-making patterns. </w:t>
      </w:r>
      <w:r w:rsidR="00791237" w:rsidRPr="000D3090">
        <w:rPr>
          <w:sz w:val="20"/>
          <w:szCs w:val="20"/>
        </w:rPr>
        <w:t xml:space="preserve"> </w:t>
      </w:r>
    </w:p>
  </w:footnote>
  <w:footnote w:id="4">
    <w:p w14:paraId="67CC9FDF" w14:textId="0DEF82D7" w:rsidR="007A40D5" w:rsidRPr="000D3090" w:rsidRDefault="007A40D5" w:rsidP="007A40D5">
      <w:pPr>
        <w:pStyle w:val="FootnoteText"/>
        <w:jc w:val="both"/>
      </w:pPr>
      <w:r w:rsidRPr="000D3090">
        <w:rPr>
          <w:rStyle w:val="FootnoteReference"/>
        </w:rPr>
        <w:footnoteRef/>
      </w:r>
      <w:r w:rsidR="00300426" w:rsidRPr="000D3090">
        <w:t xml:space="preserve"> </w:t>
      </w:r>
      <w:r w:rsidR="000A1C17" w:rsidRPr="000D3090">
        <w:t xml:space="preserve">The intent of the </w:t>
      </w:r>
      <w:r w:rsidR="004A2FC8" w:rsidRPr="000D3090">
        <w:t xml:space="preserve">transportation efficacy </w:t>
      </w:r>
      <w:r w:rsidR="000A1C17" w:rsidRPr="000D3090">
        <w:t xml:space="preserve">section of the survey was to determine </w:t>
      </w:r>
      <w:r w:rsidR="004A2FC8" w:rsidRPr="000D3090">
        <w:t>the extent of</w:t>
      </w:r>
      <w:r w:rsidR="000A1C17" w:rsidRPr="000D3090">
        <w:t xml:space="preserve"> trip suppression </w:t>
      </w:r>
      <w:r w:rsidR="004A2FC8" w:rsidRPr="000D3090">
        <w:t>due to</w:t>
      </w:r>
      <w:r w:rsidR="000A1C17" w:rsidRPr="000D3090">
        <w:t xml:space="preserve"> transportation</w:t>
      </w:r>
      <w:r w:rsidR="009648C6" w:rsidRPr="000D3090">
        <w:t xml:space="preserve"> accessibility </w:t>
      </w:r>
      <w:r w:rsidR="000A1C17" w:rsidRPr="000D3090">
        <w:t>c</w:t>
      </w:r>
      <w:r w:rsidR="009648C6" w:rsidRPr="000D3090">
        <w:t>hallenges</w:t>
      </w:r>
      <w:r w:rsidR="000A1C17" w:rsidRPr="000D3090">
        <w:t>, and whether this varied by population groups</w:t>
      </w:r>
      <w:r w:rsidR="009648C6" w:rsidRPr="000D3090">
        <w:t xml:space="preserve">, which </w:t>
      </w:r>
      <w:r w:rsidR="00670CB2" w:rsidRPr="000D3090">
        <w:t xml:space="preserve">dovetails nicely with our study of PPD. </w:t>
      </w:r>
      <w:r w:rsidR="005C4DB9" w:rsidRPr="000D3090">
        <w:t xml:space="preserve">But, in the survey, </w:t>
      </w:r>
      <w:r w:rsidR="009648C6" w:rsidRPr="000D3090">
        <w:t xml:space="preserve">in addition to the eight reasons identified above, </w:t>
      </w:r>
      <w:r w:rsidR="005C4DB9" w:rsidRPr="000D3090">
        <w:t>i</w:t>
      </w:r>
      <w:r w:rsidR="00965E73" w:rsidRPr="000D3090">
        <w:t xml:space="preserve">ndividuals </w:t>
      </w:r>
      <w:r w:rsidR="004A2FC8" w:rsidRPr="000D3090">
        <w:t>could provide</w:t>
      </w:r>
      <w:r w:rsidR="005C4DB9" w:rsidRPr="000D3090">
        <w:t xml:space="preserve"> </w:t>
      </w:r>
      <w:r w:rsidR="00965E73" w:rsidRPr="000D3090">
        <w:t xml:space="preserve">their response in </w:t>
      </w:r>
      <w:r w:rsidR="00FA5711" w:rsidRPr="000D3090">
        <w:t xml:space="preserve">an </w:t>
      </w:r>
      <w:r w:rsidR="00965E73" w:rsidRPr="000D3090">
        <w:t xml:space="preserve">additional </w:t>
      </w:r>
      <w:r w:rsidR="00FA5711" w:rsidRPr="000D3090">
        <w:t>“other” reason category</w:t>
      </w:r>
      <w:r w:rsidR="005C4DB9" w:rsidRPr="000D3090">
        <w:t xml:space="preserve"> (for suppressing trips)</w:t>
      </w:r>
      <w:r w:rsidR="00670CB2" w:rsidRPr="000D3090">
        <w:t xml:space="preserve">. </w:t>
      </w:r>
      <w:r w:rsidR="00230EE9" w:rsidRPr="000D3090">
        <w:t xml:space="preserve">We attempted to obtain the textual </w:t>
      </w:r>
      <w:r w:rsidR="00B60950" w:rsidRPr="000D3090">
        <w:t>characterizations</w:t>
      </w:r>
      <w:r w:rsidR="009648C6" w:rsidRPr="000D3090">
        <w:t xml:space="preserve"> corresponding to this “other” reason</w:t>
      </w:r>
      <w:r w:rsidR="00B60950" w:rsidRPr="000D3090">
        <w:t xml:space="preserve"> but were informed that it would not be available. </w:t>
      </w:r>
      <w:r w:rsidR="000A1C17" w:rsidRPr="000D3090">
        <w:t xml:space="preserve">Given that this non-descriptive “other” category could be for a variety of reasons </w:t>
      </w:r>
      <w:r w:rsidR="00670CB2" w:rsidRPr="000D3090">
        <w:t xml:space="preserve">not related to PPD, </w:t>
      </w:r>
      <w:r w:rsidR="000A1C17" w:rsidRPr="000D3090">
        <w:t xml:space="preserve">such as </w:t>
      </w:r>
      <w:r w:rsidR="005C4DB9" w:rsidRPr="000D3090">
        <w:t xml:space="preserve">“was ill” or </w:t>
      </w:r>
      <w:r w:rsidR="000A1C17" w:rsidRPr="000D3090">
        <w:t xml:space="preserve">“inclement weather during the past 30 days” or any of many other reasons </w:t>
      </w:r>
      <w:r w:rsidR="00670CB2" w:rsidRPr="000D3090">
        <w:t xml:space="preserve">for suppressing trips, </w:t>
      </w:r>
      <w:r w:rsidR="005C4DB9" w:rsidRPr="000D3090">
        <w:t>we only included individuals who either did not suppress trips, or, if they suppressed trips, marked at least one of the eight reasons listed above.</w:t>
      </w:r>
      <w:r w:rsidR="00B60950" w:rsidRPr="000D3090">
        <w:t xml:space="preserve"> </w:t>
      </w:r>
      <w:r w:rsidR="003213F9" w:rsidRPr="000D3090">
        <w:t xml:space="preserve">That is, with the sample as constituted, trip suppression becomes a much closer surrogate of PPD, as alluded to in the introduction section. </w:t>
      </w:r>
      <w:r w:rsidR="00B60950" w:rsidRPr="000D3090">
        <w:t xml:space="preserve">One more issue here. An additional </w:t>
      </w:r>
      <w:r w:rsidR="009648C6" w:rsidRPr="000D3090">
        <w:t xml:space="preserve">tenth </w:t>
      </w:r>
      <w:r w:rsidR="00B60950" w:rsidRPr="000D3090">
        <w:t>PPD reason category in the survey was “I had more home deliveries instead of going to trips to stores</w:t>
      </w:r>
      <w:r w:rsidR="00321C06" w:rsidRPr="000D3090">
        <w:t>.</w:t>
      </w:r>
      <w:r w:rsidR="00B60950" w:rsidRPr="000D3090">
        <w:t xml:space="preserve">” While we could have used this as a metric for virtual activity, this PPD reason is available only </w:t>
      </w:r>
      <w:r w:rsidR="009648C6" w:rsidRPr="000D3090">
        <w:t xml:space="preserve">for </w:t>
      </w:r>
      <w:r w:rsidR="00B60950" w:rsidRPr="000D3090">
        <w:t xml:space="preserve">those who reported having PPD (and not for the vast number of other individuals in our sample who did not report PPD). Thus, we dropped individuals who reported this PPD reason </w:t>
      </w:r>
      <w:r w:rsidR="009648C6" w:rsidRPr="000D3090">
        <w:t>(there were anyway very few individuals who cho</w:t>
      </w:r>
      <w:r w:rsidR="00522A5F" w:rsidRPr="000D3090">
        <w:t>s</w:t>
      </w:r>
      <w:r w:rsidR="009648C6" w:rsidRPr="000D3090">
        <w:t>e this tenth reason exclusively)</w:t>
      </w:r>
      <w:r w:rsidR="0019104F" w:rsidRPr="000D3090">
        <w:t>. I</w:t>
      </w:r>
      <w:r w:rsidR="00B60950" w:rsidRPr="000D3090">
        <w:t>nstead</w:t>
      </w:r>
      <w:r w:rsidR="0019104F" w:rsidRPr="000D3090">
        <w:t>, we</w:t>
      </w:r>
      <w:r w:rsidR="00B60950" w:rsidRPr="000D3090">
        <w:t xml:space="preserve"> used the actual reported number of deliveries as a separate virtual participation outcome, since this information is available for all individuals. </w:t>
      </w:r>
    </w:p>
  </w:footnote>
  <w:footnote w:id="5">
    <w:p w14:paraId="3486E128" w14:textId="3A210B24" w:rsidR="003F77D0" w:rsidRPr="005843DE" w:rsidRDefault="003F77D0" w:rsidP="005843DE">
      <w:pPr>
        <w:shd w:val="clear" w:color="auto" w:fill="FFFFFF"/>
        <w:spacing w:after="0" w:line="240" w:lineRule="auto"/>
        <w:jc w:val="both"/>
        <w:rPr>
          <w:sz w:val="20"/>
          <w:szCs w:val="20"/>
        </w:rPr>
      </w:pPr>
      <w:r w:rsidRPr="004A0C3F">
        <w:rPr>
          <w:rStyle w:val="FootnoteReference"/>
          <w:sz w:val="20"/>
          <w:szCs w:val="20"/>
        </w:rPr>
        <w:footnoteRef/>
      </w:r>
      <w:r w:rsidR="00300426" w:rsidRPr="004A0C3F">
        <w:rPr>
          <w:sz w:val="20"/>
          <w:szCs w:val="20"/>
        </w:rPr>
        <w:t xml:space="preserve"> </w:t>
      </w:r>
      <w:r w:rsidR="009129DC" w:rsidRPr="000D3090">
        <w:rPr>
          <w:sz w:val="20"/>
          <w:szCs w:val="20"/>
        </w:rPr>
        <w:t xml:space="preserve">Some additional notes are in order </w:t>
      </w:r>
      <w:r w:rsidR="0073407F" w:rsidRPr="000D3090">
        <w:rPr>
          <w:sz w:val="20"/>
          <w:szCs w:val="20"/>
        </w:rPr>
        <w:t xml:space="preserve">here </w:t>
      </w:r>
      <w:r w:rsidR="009129DC" w:rsidRPr="000D3090">
        <w:rPr>
          <w:sz w:val="20"/>
          <w:szCs w:val="20"/>
        </w:rPr>
        <w:t>about our use of an 80% confidence level for the PPD reasons</w:t>
      </w:r>
      <w:r w:rsidRPr="000D3090">
        <w:rPr>
          <w:sz w:val="20"/>
          <w:szCs w:val="20"/>
        </w:rPr>
        <w:t xml:space="preserve">. In model specifications, the analyst needs to worry not only about including variables incorrectly (Type I error), but also rejecting variables incorrectly (Type II error). There is always a tradeoff between making the two different types of errors when selecting a </w:t>
      </w:r>
      <w:r w:rsidR="00C33C4F" w:rsidRPr="000D3090">
        <w:rPr>
          <w:sz w:val="20"/>
          <w:szCs w:val="20"/>
        </w:rPr>
        <w:t>confidence level</w:t>
      </w:r>
      <w:r w:rsidRPr="000D3090">
        <w:rPr>
          <w:sz w:val="20"/>
          <w:szCs w:val="20"/>
        </w:rPr>
        <w:t xml:space="preserve">. </w:t>
      </w:r>
      <w:r w:rsidRPr="000D3090">
        <w:rPr>
          <w:color w:val="000000" w:themeColor="text1"/>
          <w:sz w:val="20"/>
          <w:szCs w:val="20"/>
        </w:rPr>
        <w:t xml:space="preserve">Further, as strongly </w:t>
      </w:r>
      <w:r w:rsidR="00D829EC" w:rsidRPr="000D3090">
        <w:rPr>
          <w:color w:val="000000" w:themeColor="text1"/>
          <w:sz w:val="20"/>
          <w:szCs w:val="20"/>
        </w:rPr>
        <w:t>endorsed</w:t>
      </w:r>
      <w:r w:rsidR="003B4138" w:rsidRPr="000D3090">
        <w:rPr>
          <w:color w:val="000000" w:themeColor="text1"/>
          <w:sz w:val="20"/>
          <w:szCs w:val="20"/>
        </w:rPr>
        <w:t xml:space="preserve"> </w:t>
      </w:r>
      <w:r w:rsidR="00D829EC" w:rsidRPr="000D3090">
        <w:rPr>
          <w:color w:val="000000" w:themeColor="text1"/>
          <w:sz w:val="20"/>
          <w:szCs w:val="20"/>
        </w:rPr>
        <w:t xml:space="preserve">by the American Statistical Association </w:t>
      </w:r>
      <w:r w:rsidR="003B4138" w:rsidRPr="000D3090">
        <w:rPr>
          <w:color w:val="000000" w:themeColor="text1"/>
          <w:sz w:val="20"/>
          <w:szCs w:val="20"/>
        </w:rPr>
        <w:t xml:space="preserve">(ASA) </w:t>
      </w:r>
      <w:r w:rsidR="0092388E" w:rsidRPr="000D3090">
        <w:rPr>
          <w:color w:val="000000" w:themeColor="text1"/>
          <w:sz w:val="20"/>
          <w:szCs w:val="20"/>
        </w:rPr>
        <w:fldChar w:fldCharType="begin"/>
      </w:r>
      <w:r w:rsidR="00D57DB8" w:rsidRPr="000D3090">
        <w:rPr>
          <w:color w:val="000000" w:themeColor="text1"/>
          <w:sz w:val="20"/>
          <w:szCs w:val="20"/>
        </w:rPr>
        <w:instrText xml:space="preserve"> ADDIN ZOTERO_ITEM CSL_CITATION {"citationID":"Jn1uosbx","properties":{"unsorted":true,"formattedCitation":"(Wasserstein and Lazar, 2016; Wasserstein et al., 2019)","plainCitation":"(Wasserstein and Lazar, 2016; Wasserstein et al., 2019)","dontUpdate":true,"noteIndex":6},"citationItems":[{"id":4411,"uris":["http://zotero.org/users/12832277/items/L2MBY4UM"],"itemData":{"id":4411,"type":"article-journal","container-title":"The American Statistician","DOI":"10.1080/00031305.2016.1154108","ISSN":"0003-1305","issue":"2","note":"publisher: ASA Website\n_eprint: https://doi.org/10.1080/00031305.2016.1154108","page":"129-133","source":"Taylor and Francis+NEJM","title":"The ASA Statement on P-Values: Context, Process, and Purpose","volume":"70","author":[{"family":"Wasserstein","given":"Ronald L."},{"family":"Lazar","given":"Nicole A."}],"issued":{"date-parts":[["2016",4,2]]}}},{"id":4413,"uris":["http://zotero.org/users/12832277/items/LUYFYVPA"],"itemData":{"id":4413,"type":"article-journal","container-title":"The American Statistician","DOI":"10.1080/00031305.2019.1583913","ISSN":"0003-1305","issue":"sup1","note":"publisher: ASA Website\n_eprint: https://doi.org/10.1080/00031305.2019.1583913","page":"1-19","source":"Taylor and Francis+NEJM","title":"Moving to a World Beyond “p &lt; 0.05”","volume":"73","author":[{"family":"Wasserstein","given":"Ronald L."},{"family":"Schirm","given":"Allen L."},{"family":"Lazar","given":"Nicole A."}],"issued":{"date-parts":[["2019",3,29]]}}}],"schema":"https://github.com/citation-style-language/schema/raw/master/csl-citation.json"} </w:instrText>
      </w:r>
      <w:r w:rsidR="0092388E" w:rsidRPr="000D3090">
        <w:rPr>
          <w:color w:val="000000" w:themeColor="text1"/>
          <w:sz w:val="20"/>
          <w:szCs w:val="20"/>
        </w:rPr>
        <w:fldChar w:fldCharType="separate"/>
      </w:r>
      <w:r w:rsidR="0092388E" w:rsidRPr="000D3090">
        <w:rPr>
          <w:sz w:val="20"/>
        </w:rPr>
        <w:t>(see Wasserstein and Lazar, 2016; Wasserstein et al., 2019)</w:t>
      </w:r>
      <w:r w:rsidR="0092388E" w:rsidRPr="000D3090">
        <w:rPr>
          <w:color w:val="000000" w:themeColor="text1"/>
          <w:sz w:val="20"/>
          <w:szCs w:val="20"/>
        </w:rPr>
        <w:fldChar w:fldCharType="end"/>
      </w:r>
      <w:r w:rsidR="00D829EC" w:rsidRPr="000D3090">
        <w:rPr>
          <w:color w:val="000000" w:themeColor="text1"/>
          <w:sz w:val="20"/>
          <w:szCs w:val="20"/>
        </w:rPr>
        <w:t xml:space="preserve">, </w:t>
      </w:r>
      <w:r w:rsidR="00D829EC" w:rsidRPr="000D3090">
        <w:rPr>
          <w:sz w:val="20"/>
          <w:szCs w:val="20"/>
        </w:rPr>
        <w:t xml:space="preserve">researchers have to make judgments specific to each empirical situation about the confidence level to use. </w:t>
      </w:r>
      <w:r w:rsidR="003B4138" w:rsidRPr="000D3090">
        <w:rPr>
          <w:sz w:val="20"/>
          <w:szCs w:val="20"/>
        </w:rPr>
        <w:t>In this regard, t</w:t>
      </w:r>
      <w:r w:rsidR="00D829EC" w:rsidRPr="000D3090">
        <w:rPr>
          <w:sz w:val="20"/>
          <w:szCs w:val="20"/>
        </w:rPr>
        <w:t xml:space="preserve">here is absolutely nothing magical or golden about the typically used 95% level of confidence (or 0.05 level of significance). In fact, as stated by </w:t>
      </w:r>
      <w:r w:rsidR="003B4138" w:rsidRPr="000D3090">
        <w:rPr>
          <w:sz w:val="20"/>
          <w:szCs w:val="20"/>
        </w:rPr>
        <w:t>the ASA studies,</w:t>
      </w:r>
      <w:r w:rsidR="00D829EC" w:rsidRPr="000D3090">
        <w:rPr>
          <w:sz w:val="20"/>
          <w:szCs w:val="20"/>
        </w:rPr>
        <w:t xml:space="preserve"> there is a dire need to get analysts out of this </w:t>
      </w:r>
      <w:r w:rsidR="00C33C4F" w:rsidRPr="000D3090">
        <w:rPr>
          <w:sz w:val="20"/>
          <w:szCs w:val="20"/>
        </w:rPr>
        <w:t>“</w:t>
      </w:r>
      <w:r w:rsidR="00D829EC" w:rsidRPr="000D3090">
        <w:rPr>
          <w:sz w:val="20"/>
          <w:szCs w:val="20"/>
        </w:rPr>
        <w:t>p&lt;0.05</w:t>
      </w:r>
      <w:r w:rsidR="00C33C4F" w:rsidRPr="000D3090">
        <w:rPr>
          <w:sz w:val="20"/>
          <w:szCs w:val="20"/>
        </w:rPr>
        <w:t>”</w:t>
      </w:r>
      <w:r w:rsidR="00D829EC" w:rsidRPr="000D3090">
        <w:rPr>
          <w:sz w:val="20"/>
          <w:szCs w:val="20"/>
        </w:rPr>
        <w:t xml:space="preserve"> mindset</w:t>
      </w:r>
      <w:r w:rsidR="009129DC" w:rsidRPr="000D3090">
        <w:rPr>
          <w:sz w:val="20"/>
          <w:szCs w:val="20"/>
        </w:rPr>
        <w:t xml:space="preserve"> or any other specific p-level</w:t>
      </w:r>
      <w:r w:rsidR="00D829EC" w:rsidRPr="000D3090">
        <w:rPr>
          <w:sz w:val="20"/>
          <w:szCs w:val="20"/>
        </w:rPr>
        <w:t xml:space="preserve">. </w:t>
      </w:r>
      <w:r w:rsidR="009D4F3F" w:rsidRPr="000D3090">
        <w:rPr>
          <w:sz w:val="20"/>
          <w:szCs w:val="20"/>
        </w:rPr>
        <w:t xml:space="preserve">In this context, in joint models with moderate samples, especially when some dependent outcomes are rather unbalanced </w:t>
      </w:r>
      <w:r w:rsidR="0073407F" w:rsidRPr="000D3090">
        <w:rPr>
          <w:sz w:val="20"/>
          <w:szCs w:val="20"/>
        </w:rPr>
        <w:t xml:space="preserve">in the choice shares </w:t>
      </w:r>
      <w:r w:rsidR="009D4F3F" w:rsidRPr="000D3090">
        <w:rPr>
          <w:sz w:val="20"/>
          <w:szCs w:val="20"/>
        </w:rPr>
        <w:t xml:space="preserve">(such as </w:t>
      </w:r>
      <w:r w:rsidR="00F7617C" w:rsidRPr="000D3090">
        <w:rPr>
          <w:sz w:val="20"/>
          <w:szCs w:val="20"/>
        </w:rPr>
        <w:t xml:space="preserve">the </w:t>
      </w:r>
      <w:r w:rsidR="0073407F" w:rsidRPr="000D3090">
        <w:rPr>
          <w:sz w:val="20"/>
          <w:szCs w:val="20"/>
        </w:rPr>
        <w:t xml:space="preserve">safe/reliable/clean </w:t>
      </w:r>
      <w:r w:rsidR="009129DC" w:rsidRPr="000D3090">
        <w:rPr>
          <w:sz w:val="20"/>
          <w:szCs w:val="20"/>
        </w:rPr>
        <w:t xml:space="preserve">PPD reasons </w:t>
      </w:r>
      <w:r w:rsidR="00F7617C" w:rsidRPr="000D3090">
        <w:rPr>
          <w:sz w:val="20"/>
          <w:szCs w:val="20"/>
        </w:rPr>
        <w:t>in our sample</w:t>
      </w:r>
      <w:r w:rsidR="009D4F3F" w:rsidRPr="000D3090">
        <w:rPr>
          <w:sz w:val="20"/>
          <w:szCs w:val="20"/>
        </w:rPr>
        <w:t xml:space="preserve">), we </w:t>
      </w:r>
      <w:r w:rsidR="009129DC" w:rsidRPr="000D3090">
        <w:rPr>
          <w:sz w:val="20"/>
          <w:szCs w:val="20"/>
        </w:rPr>
        <w:t>prefer to</w:t>
      </w:r>
      <w:r w:rsidR="009D4F3F" w:rsidRPr="000D3090">
        <w:rPr>
          <w:sz w:val="20"/>
          <w:szCs w:val="20"/>
        </w:rPr>
        <w:t xml:space="preserve"> err more on allowing a slightly larger Type I error if it means identifying variables that are suggestive and that may </w:t>
      </w:r>
      <w:r w:rsidR="009D4F3F" w:rsidRPr="000D3090">
        <w:rPr>
          <w:color w:val="000000" w:themeColor="text1"/>
          <w:sz w:val="20"/>
          <w:szCs w:val="20"/>
        </w:rPr>
        <w:t xml:space="preserve">help inform future specifications using larger sample sizes and/or more balanced </w:t>
      </w:r>
      <w:r w:rsidR="0073407F" w:rsidRPr="000D3090">
        <w:rPr>
          <w:color w:val="000000" w:themeColor="text1"/>
          <w:sz w:val="20"/>
          <w:szCs w:val="20"/>
        </w:rPr>
        <w:t xml:space="preserve">shares in the </w:t>
      </w:r>
      <w:r w:rsidR="009129DC" w:rsidRPr="000D3090">
        <w:rPr>
          <w:color w:val="000000" w:themeColor="text1"/>
          <w:sz w:val="20"/>
          <w:szCs w:val="20"/>
        </w:rPr>
        <w:t>PPD reasons</w:t>
      </w:r>
      <w:r w:rsidR="009D4F3F" w:rsidRPr="000D3090">
        <w:rPr>
          <w:color w:val="000000" w:themeColor="text1"/>
          <w:sz w:val="20"/>
          <w:szCs w:val="20"/>
        </w:rPr>
        <w:t xml:space="preserve">. </w:t>
      </w:r>
      <w:r w:rsidR="00D829EC" w:rsidRPr="000D3090">
        <w:rPr>
          <w:sz w:val="20"/>
          <w:szCs w:val="20"/>
        </w:rPr>
        <w:t>Finally</w:t>
      </w:r>
      <w:r w:rsidRPr="000D3090">
        <w:rPr>
          <w:sz w:val="20"/>
          <w:szCs w:val="20"/>
        </w:rPr>
        <w:t xml:space="preserve">, </w:t>
      </w:r>
      <w:r w:rsidR="009129DC" w:rsidRPr="000D3090">
        <w:rPr>
          <w:bCs/>
          <w:sz w:val="20"/>
          <w:szCs w:val="20"/>
        </w:rPr>
        <w:t xml:space="preserve">we must also note here that very few coefficients </w:t>
      </w:r>
      <w:r w:rsidR="0063249F" w:rsidRPr="000D3090">
        <w:rPr>
          <w:bCs/>
          <w:sz w:val="20"/>
          <w:szCs w:val="20"/>
        </w:rPr>
        <w:t xml:space="preserve">(only 22 of the 233 estimated coefficients, or less than 10% of all estimated coefficients) </w:t>
      </w:r>
      <w:r w:rsidR="009129DC" w:rsidRPr="000D3090">
        <w:rPr>
          <w:bCs/>
          <w:sz w:val="20"/>
          <w:szCs w:val="20"/>
        </w:rPr>
        <w:t xml:space="preserve">turned out to be </w:t>
      </w:r>
      <w:r w:rsidR="00C33C4F" w:rsidRPr="000D3090">
        <w:rPr>
          <w:bCs/>
          <w:sz w:val="20"/>
          <w:szCs w:val="20"/>
        </w:rPr>
        <w:t xml:space="preserve">statistically </w:t>
      </w:r>
      <w:r w:rsidR="009129DC" w:rsidRPr="000D3090">
        <w:rPr>
          <w:bCs/>
          <w:sz w:val="20"/>
          <w:szCs w:val="20"/>
        </w:rPr>
        <w:t xml:space="preserve">significant at the 80% level, but not at the 90% level; removing such coefficients had literally no effect on the signs and magnitudes of other model parameter estimates or the model fit. </w:t>
      </w:r>
      <w:r w:rsidR="00C33C4F" w:rsidRPr="000D3090">
        <w:rPr>
          <w:bCs/>
          <w:sz w:val="20"/>
          <w:szCs w:val="20"/>
        </w:rPr>
        <w:t xml:space="preserve">At the same time, the few variables that had an impact only at the 80% confidence level saw little movement in their estimated effect sizes across a range of </w:t>
      </w:r>
      <w:r w:rsidR="00C33C4F" w:rsidRPr="000D3090">
        <w:rPr>
          <w:sz w:val="20"/>
          <w:szCs w:val="20"/>
        </w:rPr>
        <w:t xml:space="preserve">different specifications we tested. These observations demonstrate the robustness of the results </w:t>
      </w:r>
      <w:r w:rsidR="0092388E" w:rsidRPr="000D3090">
        <w:rPr>
          <w:sz w:val="20"/>
          <w:szCs w:val="20"/>
        </w:rPr>
        <w:fldChar w:fldCharType="begin"/>
      </w:r>
      <w:r w:rsidR="00D57DB8" w:rsidRPr="000D3090">
        <w:rPr>
          <w:sz w:val="20"/>
          <w:szCs w:val="20"/>
        </w:rPr>
        <w:instrText xml:space="preserve"> ADDIN ZOTERO_ITEM CSL_CITATION {"citationID":"2ggR3r8U","properties":{"unsorted":true,"formattedCitation":"(Lu and White, 2014; Srivastava et al., 2018; Brennan et al., 2021)","plainCitation":"(Lu and White, 2014; Srivastava et al., 2018; Brennan et al., 2021)","dontUpdate":true,"noteIndex":6},"citationItems":[{"id":4415,"uris":["http://zotero.org/users/12832277/items/WQGQVZDK"],"itemData":{"id":4415,"type":"article-journal","abstract":"A common exercise in empirical studies is a “robustness check”, where the researcher examines how certain “core” regression coefficient estimates behave when the regression specification is modified by adding or removing regressors. If the coefficients are plausible and robust, this is commonly interpreted as evidence of structural validity. Here, we study when and how one can infer structural validity from coefficient robustness and plausibility. As we show, there are numerous pitfalls, as commonly implemented robustness checks give neither necessary nor sufficient evidence for structural validity. Indeed, if not conducted properly, robustness checks can be completely uninformative or entirely misleading. We discuss how critical and non-critical core variables can be properly specified and how non-core variables for the comparison regression can be chosen to ensure that robustness checks are indeed structurally informative. We provide a straightforward new Hausman (1978) type test of robustness for the critical core coefficients, additional diagnostics that can help explain why robustness test rejection occurs, and a new estimator, the Feasible Optimally combined GLS (FOGLeSs) estimator, that makes relatively efficient use of the robustness check regressions. A new procedure for Matlab, testrob, embodies these methods.","collection-title":"Annals Issue: Misspecification Test Methods in Econometrics","container-title":"Journal of Econometrics","DOI":"10.1016/j.jeconom.2013.08.016","ISSN":"0304-4076","page":"194-206","source":"ScienceDirect","title":"Robustness Checks and Robustness Tests in Applied Economics","volume":"178","author":[{"family":"Lu","given":"Xun"},{"family":"White","given":"Halbert"}],"issued":{"date-parts":[["2014",1,1]]}}},{"id":4417,"uris":["http://zotero.org/users/12832277/items/Q4629YYV"],"itemData":{"id":4417,"type":"article-journal","abstract":"This paper conducts a meta-analysis of 32 electricity demand response programs in the residential sector to understand whether their success is dependent on specific characteristics. The paper analyses several regression models using various combinations of variables that capture the designs of the programs and the socio-economic conditions in which the programs are implemented. The analysis reveals that demand response programs are more likely to succeed in highly urbanized areas, in areas where economic growth rates are high, and in areas where the renewable energy policy is favorable. These findings provide useful guidance in determining where and how to implement future demand response programs.","container-title":"Energy Research &amp; Social Science","DOI":"10.1016/j.erss.2017.12.005","ISSN":"2214-6296","page":"110-117","source":"ScienceDirect","title":"Assessing the Success of Electricity Demand Response Programs: A Meta-Analysis","volume":"40","author":[{"family":"Srivastava","given":"Aman"},{"family":"Van Passel","given":"Steven"},{"family":"Laes","given":"Erik"}],"issued":{"date-parts":[["2018",6,1]]}}},{"id":4420,"uris":["http://zotero.org/users/12832277/items/ZN7BUPN4"],"itemData":{"id":4420,"type":"article-journal","abstract":"Background: \nIn 2018, Scotland implemented a 50p-per-unit minimum unit price for alcohol. Previous modelling estimated the impact of minimum unit pricing for England, Scotland, Wales and Northern Ireland. Decision-makers want to know the potential effects of minimum unit pricing for local authorities in England; the premise of this study is that estimated effects of minimum unit pricing would vary by locality.\n\nObjective: \nThe objective was to estimate the potential effects on mortality, hospitalisations and crime of the implementation of minimum unit pricing for alcohol at local authority level in England.\n\nDesign: \nThis was an evidence synthesis, and used computer modelling using the Sheffield Alcohol Policy Model (local authority version 4.0). This study gathered evidence on local consumption of alcohol from the Health Survey for England, and gathered data on local prices paid from the Living Costs and Food Survey and from market research companies’ actual sales data. These data were linked with local harms in terms of both alcohol-attributable mortality (from the Office for National Statistics) and alcohol-attributable hospitalisations (from Hospital Episode Statistics) for 45 conditions defined by the International Statistical Classification of Diseases and Related Health Problems, Tenth Revision. These data were examined for eight age–sex groups split by five Index of Multiple Deprivation quintiles. Alcohol-attributable crime data (Office for National Statistics police-recorded crimes and uplifts for unrecorded offences) were also analysed.\n\nSetting: \nThis study was set in 23 upper-tier local authorities in North West England, 12 upper-tier local authorities in the North East region and nine government office regions, and a national summary was conducted.\n\nParticipants: \nThe participants were the population of England aged ≥ 18 years.\n\nIntervention: \nThe intervention was setting a local minimum unit price. The base case is 50p per unit of alcohol. Sensitivity analyses were undertaken using minimum unit prices of 30p, 40p, 60p and 70p per unit of alcohol.\n\nMain outcome measures: \nThe main outcome measures were changes in alcohol-attributable deaths, hospitalisations and crime. Savings in NHS costs, changes in alcohol purchasing and consumption, changes in revenue to off-trade and on-trade retailers and changes in the slope index of inequality between most and least deprived areas were also examined.\n\nResults: \nThe modelling has proved feasible at the upper-tier local authority level. The resulting estimates suggest that minimum unit pricing for alcohol at local authority level could be effective in reducing alcohol-attributable deaths, hospitalisations, NHS costs and crime. A 50p minimum unit price for alcohol at local authority level is estimated to reduce annual alcohol-related deaths in the North West region by 205, hospitalisations by 5956 (–5.5%) and crimes by 8528 (–2.5%). These estimated reductions are mostly due to the 5% of people drinking at high-risk levels (e.g. men drinking &amp;gt; 25 pints of beer or five bottles of wine per week, women drinking &amp;gt; 17 pints of beer or 3.5 bottles of wine per week, and who spend around £2500 per year currently on alcohol). Model estimates of impact are bigger in the North West and North East regions than nationally because, currently, more cheap alcohol is consumed in these regions and because there are more alcohol-related deaths and hospitalisations in these areas. A 30p minimum unit price has estimated effects that are ≈ 90% lower than those of a 50p minimum unit price, and a 40p minimum unit price has estimated effects that are ≈ 50% lower. Health inequalities are estimated to reduce with greater health gains in the deprived areas, where more cheap alcohol is purchased and where there are higher baseline harms.\n\nLimitations: \nThe approach requires synthesis of evidence from multiple sources on alcohol consumption; prices paid; and incidence of diseases, mortality and crime. Price elasticities used are from previous UK analysis of price responsiveness rather than specific to local areas. The study has not estimated ‘cross-border effects’, namely travelling to shops outside the region.\n\nConclusions: \nThe modelling estimates suggest that minimum unit pricing for alcohol at local authority level would be an effective and well-targeted policy, reducing inequalities.\n\nFuture work: \nThe Sheffield Alcohol Policy Model for Local Authorities framework could be further utilised to examine the local impact of national policies (e.g. tax changes) or local policies (e.g. licensing or identification and brief advice). As evidence emerges from the Scottish minimum unit price implementation, this will further inform estimates of impact in English localities. The methods used to estimate drinking and purchasing patterns in each local authority could also be used for other topics involving unhealthy products affecting public health, for example to estimate local smoking or high-fat, high-salt food consumption patterns.\n\nFunding: \nThis project was funded by the National Institute for Health Research (NIHR) Public Health Research programme and will be published in full in Public Health Research; Vol. 9, No. 4. See the NIHR Journals Library website for further project information.","container-title":"Public Health Research","DOI":"10.3310/phr09040","ISSN":"2050-4381","issue":"4","language":"en","note":"number: 4\npublisher: NIHR Journals Library","source":"eprints.gla.ac.uk","title":"Potential Effects of Minimum Unit Pricing at Local Authority Level on Alcohol-Attributed Harms in North West and North East England: A Modelling Study","URL":"https://eprints.gla.ac.uk/237379/","volume":"9","author":[{"family":"Brennan","given":"Alan"},{"family":"Angus","given":"Colin"},{"family":"Pryce","given":"Robert"},{"family":"Buykx","given":"Penny"},{"family":"Henney","given":"Madeleine"},{"family":"Gillespie","given":"Duncan"},{"family":"Holmes","given":"John"},{"family":"Meier","given":"Petra S."}],"accessed":{"date-parts":[["2025",5,6]]},"issued":{"date-parts":[["2021",3]]}}}],"schema":"https://github.com/citation-style-language/schema/raw/master/csl-citation.json"} </w:instrText>
      </w:r>
      <w:r w:rsidR="0092388E" w:rsidRPr="000D3090">
        <w:rPr>
          <w:sz w:val="20"/>
          <w:szCs w:val="20"/>
        </w:rPr>
        <w:fldChar w:fldCharType="separate"/>
      </w:r>
      <w:r w:rsidR="0092388E" w:rsidRPr="000D3090">
        <w:rPr>
          <w:sz w:val="20"/>
        </w:rPr>
        <w:t>(Lu and White, 2014; Srivastava et al., 2018; Brennan et al., 2021 suggest this kind of robustness testing)</w:t>
      </w:r>
      <w:r w:rsidR="0092388E" w:rsidRPr="000D3090">
        <w:rPr>
          <w:sz w:val="20"/>
          <w:szCs w:val="20"/>
        </w:rPr>
        <w:fldChar w:fldCharType="end"/>
      </w:r>
      <w:r w:rsidR="00C33C4F" w:rsidRPr="000D3090">
        <w:rPr>
          <w:color w:val="000000" w:themeColor="text1"/>
          <w:sz w:val="20"/>
          <w:szCs w:val="20"/>
        </w:rPr>
        <w:t>, and</w:t>
      </w:r>
      <w:r w:rsidR="00C33C4F" w:rsidRPr="000D3090">
        <w:rPr>
          <w:sz w:val="20"/>
          <w:szCs w:val="20"/>
        </w:rPr>
        <w:t xml:space="preserve"> bolster their consideration and inclusion.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88B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9863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98C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9CA4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32A9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0292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E448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D88D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3A66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6AE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D76A37"/>
    <w:multiLevelType w:val="hybridMultilevel"/>
    <w:tmpl w:val="1EF400FC"/>
    <w:lvl w:ilvl="0" w:tplc="16C60A3C">
      <w:start w:val="1"/>
      <w:numFmt w:val="bullet"/>
      <w:lvlText w:val="-"/>
      <w:lvlJc w:val="left"/>
      <w:pPr>
        <w:tabs>
          <w:tab w:val="num" w:pos="720"/>
        </w:tabs>
        <w:ind w:left="720" w:hanging="360"/>
      </w:pPr>
      <w:rPr>
        <w:rFonts w:ascii="Aptos" w:hAnsi="Aptos" w:hint="default"/>
      </w:rPr>
    </w:lvl>
    <w:lvl w:ilvl="1" w:tplc="1194A32A" w:tentative="1">
      <w:start w:val="1"/>
      <w:numFmt w:val="bullet"/>
      <w:lvlText w:val="-"/>
      <w:lvlJc w:val="left"/>
      <w:pPr>
        <w:tabs>
          <w:tab w:val="num" w:pos="1440"/>
        </w:tabs>
        <w:ind w:left="1440" w:hanging="360"/>
      </w:pPr>
      <w:rPr>
        <w:rFonts w:ascii="Aptos" w:hAnsi="Aptos" w:hint="default"/>
      </w:rPr>
    </w:lvl>
    <w:lvl w:ilvl="2" w:tplc="05E2F0BC" w:tentative="1">
      <w:start w:val="1"/>
      <w:numFmt w:val="bullet"/>
      <w:lvlText w:val="-"/>
      <w:lvlJc w:val="left"/>
      <w:pPr>
        <w:tabs>
          <w:tab w:val="num" w:pos="2160"/>
        </w:tabs>
        <w:ind w:left="2160" w:hanging="360"/>
      </w:pPr>
      <w:rPr>
        <w:rFonts w:ascii="Aptos" w:hAnsi="Aptos" w:hint="default"/>
      </w:rPr>
    </w:lvl>
    <w:lvl w:ilvl="3" w:tplc="F176D42E" w:tentative="1">
      <w:start w:val="1"/>
      <w:numFmt w:val="bullet"/>
      <w:lvlText w:val="-"/>
      <w:lvlJc w:val="left"/>
      <w:pPr>
        <w:tabs>
          <w:tab w:val="num" w:pos="2880"/>
        </w:tabs>
        <w:ind w:left="2880" w:hanging="360"/>
      </w:pPr>
      <w:rPr>
        <w:rFonts w:ascii="Aptos" w:hAnsi="Aptos" w:hint="default"/>
      </w:rPr>
    </w:lvl>
    <w:lvl w:ilvl="4" w:tplc="71D8EEE8" w:tentative="1">
      <w:start w:val="1"/>
      <w:numFmt w:val="bullet"/>
      <w:lvlText w:val="-"/>
      <w:lvlJc w:val="left"/>
      <w:pPr>
        <w:tabs>
          <w:tab w:val="num" w:pos="3600"/>
        </w:tabs>
        <w:ind w:left="3600" w:hanging="360"/>
      </w:pPr>
      <w:rPr>
        <w:rFonts w:ascii="Aptos" w:hAnsi="Aptos" w:hint="default"/>
      </w:rPr>
    </w:lvl>
    <w:lvl w:ilvl="5" w:tplc="CFE07DD0" w:tentative="1">
      <w:start w:val="1"/>
      <w:numFmt w:val="bullet"/>
      <w:lvlText w:val="-"/>
      <w:lvlJc w:val="left"/>
      <w:pPr>
        <w:tabs>
          <w:tab w:val="num" w:pos="4320"/>
        </w:tabs>
        <w:ind w:left="4320" w:hanging="360"/>
      </w:pPr>
      <w:rPr>
        <w:rFonts w:ascii="Aptos" w:hAnsi="Aptos" w:hint="default"/>
      </w:rPr>
    </w:lvl>
    <w:lvl w:ilvl="6" w:tplc="09685D26" w:tentative="1">
      <w:start w:val="1"/>
      <w:numFmt w:val="bullet"/>
      <w:lvlText w:val="-"/>
      <w:lvlJc w:val="left"/>
      <w:pPr>
        <w:tabs>
          <w:tab w:val="num" w:pos="5040"/>
        </w:tabs>
        <w:ind w:left="5040" w:hanging="360"/>
      </w:pPr>
      <w:rPr>
        <w:rFonts w:ascii="Aptos" w:hAnsi="Aptos" w:hint="default"/>
      </w:rPr>
    </w:lvl>
    <w:lvl w:ilvl="7" w:tplc="DB62FA42" w:tentative="1">
      <w:start w:val="1"/>
      <w:numFmt w:val="bullet"/>
      <w:lvlText w:val="-"/>
      <w:lvlJc w:val="left"/>
      <w:pPr>
        <w:tabs>
          <w:tab w:val="num" w:pos="5760"/>
        </w:tabs>
        <w:ind w:left="5760" w:hanging="360"/>
      </w:pPr>
      <w:rPr>
        <w:rFonts w:ascii="Aptos" w:hAnsi="Aptos" w:hint="default"/>
      </w:rPr>
    </w:lvl>
    <w:lvl w:ilvl="8" w:tplc="4BBCCD3A"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166B490D"/>
    <w:multiLevelType w:val="hybridMultilevel"/>
    <w:tmpl w:val="CB12F4FA"/>
    <w:lvl w:ilvl="0" w:tplc="EF703C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F15204"/>
    <w:multiLevelType w:val="hybridMultilevel"/>
    <w:tmpl w:val="E90C1EAC"/>
    <w:lvl w:ilvl="0" w:tplc="4280BA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25B2E"/>
    <w:multiLevelType w:val="hybridMultilevel"/>
    <w:tmpl w:val="2EEA2B40"/>
    <w:lvl w:ilvl="0" w:tplc="BEE4A0B8">
      <w:start w:val="2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A0684"/>
    <w:multiLevelType w:val="hybridMultilevel"/>
    <w:tmpl w:val="6192AD20"/>
    <w:lvl w:ilvl="0" w:tplc="866C88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67689"/>
    <w:multiLevelType w:val="hybridMultilevel"/>
    <w:tmpl w:val="9348B570"/>
    <w:lvl w:ilvl="0" w:tplc="75D025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646A"/>
    <w:multiLevelType w:val="hybridMultilevel"/>
    <w:tmpl w:val="CFC43346"/>
    <w:lvl w:ilvl="0" w:tplc="EF703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44732"/>
    <w:multiLevelType w:val="hybridMultilevel"/>
    <w:tmpl w:val="C5EA1B08"/>
    <w:lvl w:ilvl="0" w:tplc="4992ED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B326B"/>
    <w:multiLevelType w:val="hybridMultilevel"/>
    <w:tmpl w:val="55EEE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B6018"/>
    <w:multiLevelType w:val="hybridMultilevel"/>
    <w:tmpl w:val="A8A8B9B2"/>
    <w:lvl w:ilvl="0" w:tplc="69ECE18C">
      <w:start w:val="1"/>
      <w:numFmt w:val="bullet"/>
      <w:lvlText w:val="-"/>
      <w:lvlJc w:val="left"/>
      <w:pPr>
        <w:tabs>
          <w:tab w:val="num" w:pos="720"/>
        </w:tabs>
        <w:ind w:left="720" w:hanging="360"/>
      </w:pPr>
      <w:rPr>
        <w:rFonts w:ascii="Aptos" w:hAnsi="Aptos" w:hint="default"/>
      </w:rPr>
    </w:lvl>
    <w:lvl w:ilvl="1" w:tplc="6B0635CE" w:tentative="1">
      <w:start w:val="1"/>
      <w:numFmt w:val="bullet"/>
      <w:lvlText w:val="-"/>
      <w:lvlJc w:val="left"/>
      <w:pPr>
        <w:tabs>
          <w:tab w:val="num" w:pos="1440"/>
        </w:tabs>
        <w:ind w:left="1440" w:hanging="360"/>
      </w:pPr>
      <w:rPr>
        <w:rFonts w:ascii="Aptos" w:hAnsi="Aptos" w:hint="default"/>
      </w:rPr>
    </w:lvl>
    <w:lvl w:ilvl="2" w:tplc="94589F4A" w:tentative="1">
      <w:start w:val="1"/>
      <w:numFmt w:val="bullet"/>
      <w:lvlText w:val="-"/>
      <w:lvlJc w:val="left"/>
      <w:pPr>
        <w:tabs>
          <w:tab w:val="num" w:pos="2160"/>
        </w:tabs>
        <w:ind w:left="2160" w:hanging="360"/>
      </w:pPr>
      <w:rPr>
        <w:rFonts w:ascii="Aptos" w:hAnsi="Aptos" w:hint="default"/>
      </w:rPr>
    </w:lvl>
    <w:lvl w:ilvl="3" w:tplc="6464F050" w:tentative="1">
      <w:start w:val="1"/>
      <w:numFmt w:val="bullet"/>
      <w:lvlText w:val="-"/>
      <w:lvlJc w:val="left"/>
      <w:pPr>
        <w:tabs>
          <w:tab w:val="num" w:pos="2880"/>
        </w:tabs>
        <w:ind w:left="2880" w:hanging="360"/>
      </w:pPr>
      <w:rPr>
        <w:rFonts w:ascii="Aptos" w:hAnsi="Aptos" w:hint="default"/>
      </w:rPr>
    </w:lvl>
    <w:lvl w:ilvl="4" w:tplc="E5C43A2C" w:tentative="1">
      <w:start w:val="1"/>
      <w:numFmt w:val="bullet"/>
      <w:lvlText w:val="-"/>
      <w:lvlJc w:val="left"/>
      <w:pPr>
        <w:tabs>
          <w:tab w:val="num" w:pos="3600"/>
        </w:tabs>
        <w:ind w:left="3600" w:hanging="360"/>
      </w:pPr>
      <w:rPr>
        <w:rFonts w:ascii="Aptos" w:hAnsi="Aptos" w:hint="default"/>
      </w:rPr>
    </w:lvl>
    <w:lvl w:ilvl="5" w:tplc="0020340A" w:tentative="1">
      <w:start w:val="1"/>
      <w:numFmt w:val="bullet"/>
      <w:lvlText w:val="-"/>
      <w:lvlJc w:val="left"/>
      <w:pPr>
        <w:tabs>
          <w:tab w:val="num" w:pos="4320"/>
        </w:tabs>
        <w:ind w:left="4320" w:hanging="360"/>
      </w:pPr>
      <w:rPr>
        <w:rFonts w:ascii="Aptos" w:hAnsi="Aptos" w:hint="default"/>
      </w:rPr>
    </w:lvl>
    <w:lvl w:ilvl="6" w:tplc="CD746A94" w:tentative="1">
      <w:start w:val="1"/>
      <w:numFmt w:val="bullet"/>
      <w:lvlText w:val="-"/>
      <w:lvlJc w:val="left"/>
      <w:pPr>
        <w:tabs>
          <w:tab w:val="num" w:pos="5040"/>
        </w:tabs>
        <w:ind w:left="5040" w:hanging="360"/>
      </w:pPr>
      <w:rPr>
        <w:rFonts w:ascii="Aptos" w:hAnsi="Aptos" w:hint="default"/>
      </w:rPr>
    </w:lvl>
    <w:lvl w:ilvl="7" w:tplc="2496DAC6" w:tentative="1">
      <w:start w:val="1"/>
      <w:numFmt w:val="bullet"/>
      <w:lvlText w:val="-"/>
      <w:lvlJc w:val="left"/>
      <w:pPr>
        <w:tabs>
          <w:tab w:val="num" w:pos="5760"/>
        </w:tabs>
        <w:ind w:left="5760" w:hanging="360"/>
      </w:pPr>
      <w:rPr>
        <w:rFonts w:ascii="Aptos" w:hAnsi="Aptos" w:hint="default"/>
      </w:rPr>
    </w:lvl>
    <w:lvl w:ilvl="8" w:tplc="6FF8FB9A" w:tentative="1">
      <w:start w:val="1"/>
      <w:numFmt w:val="bullet"/>
      <w:lvlText w:val="-"/>
      <w:lvlJc w:val="left"/>
      <w:pPr>
        <w:tabs>
          <w:tab w:val="num" w:pos="6480"/>
        </w:tabs>
        <w:ind w:left="6480" w:hanging="360"/>
      </w:pPr>
      <w:rPr>
        <w:rFonts w:ascii="Aptos" w:hAnsi="Aptos" w:hint="default"/>
      </w:rPr>
    </w:lvl>
  </w:abstractNum>
  <w:abstractNum w:abstractNumId="20" w15:restartNumberingAfterBreak="0">
    <w:nsid w:val="3D831206"/>
    <w:multiLevelType w:val="hybridMultilevel"/>
    <w:tmpl w:val="BFCA19EA"/>
    <w:lvl w:ilvl="0" w:tplc="757A47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A3A4E"/>
    <w:multiLevelType w:val="hybridMultilevel"/>
    <w:tmpl w:val="6A86117C"/>
    <w:lvl w:ilvl="0" w:tplc="EF703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51F17"/>
    <w:multiLevelType w:val="hybridMultilevel"/>
    <w:tmpl w:val="17E28AB8"/>
    <w:lvl w:ilvl="0" w:tplc="2116966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41B"/>
    <w:multiLevelType w:val="hybridMultilevel"/>
    <w:tmpl w:val="72AC9DB6"/>
    <w:lvl w:ilvl="0" w:tplc="017659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F38B7"/>
    <w:multiLevelType w:val="hybridMultilevel"/>
    <w:tmpl w:val="A79C849A"/>
    <w:lvl w:ilvl="0" w:tplc="EF703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019A4"/>
    <w:multiLevelType w:val="hybridMultilevel"/>
    <w:tmpl w:val="47D4051C"/>
    <w:lvl w:ilvl="0" w:tplc="4D1A61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321AA"/>
    <w:multiLevelType w:val="hybridMultilevel"/>
    <w:tmpl w:val="436870A4"/>
    <w:lvl w:ilvl="0" w:tplc="60309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44817"/>
    <w:multiLevelType w:val="hybridMultilevel"/>
    <w:tmpl w:val="32704DF6"/>
    <w:lvl w:ilvl="0" w:tplc="8C9E163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4"/>
  </w:num>
  <w:num w:numId="4">
    <w:abstractNumId w:val="21"/>
  </w:num>
  <w:num w:numId="5">
    <w:abstractNumId w:val="26"/>
  </w:num>
  <w:num w:numId="6">
    <w:abstractNumId w:val="18"/>
  </w:num>
  <w:num w:numId="7">
    <w:abstractNumId w:val="17"/>
  </w:num>
  <w:num w:numId="8">
    <w:abstractNumId w:val="12"/>
  </w:num>
  <w:num w:numId="9">
    <w:abstractNumId w:val="25"/>
  </w:num>
  <w:num w:numId="10">
    <w:abstractNumId w:val="27"/>
  </w:num>
  <w:num w:numId="11">
    <w:abstractNumId w:val="15"/>
  </w:num>
  <w:num w:numId="12">
    <w:abstractNumId w:val="23"/>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0"/>
  </w:num>
  <w:num w:numId="26">
    <w:abstractNumId w:val="20"/>
  </w:num>
  <w:num w:numId="27">
    <w:abstractNumId w:val="1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DF"/>
    <w:rsid w:val="00000029"/>
    <w:rsid w:val="00002ACB"/>
    <w:rsid w:val="00003531"/>
    <w:rsid w:val="00003E93"/>
    <w:rsid w:val="00004CBF"/>
    <w:rsid w:val="00004E6A"/>
    <w:rsid w:val="0000512D"/>
    <w:rsid w:val="0000631D"/>
    <w:rsid w:val="0000662D"/>
    <w:rsid w:val="00007104"/>
    <w:rsid w:val="00007201"/>
    <w:rsid w:val="00007D33"/>
    <w:rsid w:val="00007D35"/>
    <w:rsid w:val="00007DD5"/>
    <w:rsid w:val="00010501"/>
    <w:rsid w:val="000110A9"/>
    <w:rsid w:val="00011BBC"/>
    <w:rsid w:val="00011D24"/>
    <w:rsid w:val="00012459"/>
    <w:rsid w:val="0001308C"/>
    <w:rsid w:val="000133F3"/>
    <w:rsid w:val="000138B3"/>
    <w:rsid w:val="000138C1"/>
    <w:rsid w:val="00013ABA"/>
    <w:rsid w:val="00013C5B"/>
    <w:rsid w:val="00013FB2"/>
    <w:rsid w:val="00014723"/>
    <w:rsid w:val="00015D5A"/>
    <w:rsid w:val="0001608F"/>
    <w:rsid w:val="000173A5"/>
    <w:rsid w:val="000175CF"/>
    <w:rsid w:val="000202C0"/>
    <w:rsid w:val="000207F0"/>
    <w:rsid w:val="0002100E"/>
    <w:rsid w:val="000212A8"/>
    <w:rsid w:val="000212C9"/>
    <w:rsid w:val="00022B81"/>
    <w:rsid w:val="00022CB3"/>
    <w:rsid w:val="00022E88"/>
    <w:rsid w:val="00022F2E"/>
    <w:rsid w:val="00023BB0"/>
    <w:rsid w:val="0002426F"/>
    <w:rsid w:val="00024448"/>
    <w:rsid w:val="00024791"/>
    <w:rsid w:val="00024F29"/>
    <w:rsid w:val="00025560"/>
    <w:rsid w:val="0002620E"/>
    <w:rsid w:val="00027100"/>
    <w:rsid w:val="00031343"/>
    <w:rsid w:val="000317CB"/>
    <w:rsid w:val="00031D1C"/>
    <w:rsid w:val="000320A3"/>
    <w:rsid w:val="00032109"/>
    <w:rsid w:val="000329D5"/>
    <w:rsid w:val="00032BEA"/>
    <w:rsid w:val="00033A0C"/>
    <w:rsid w:val="00034050"/>
    <w:rsid w:val="000347E4"/>
    <w:rsid w:val="000348F6"/>
    <w:rsid w:val="00034A24"/>
    <w:rsid w:val="00034DB1"/>
    <w:rsid w:val="00034EF2"/>
    <w:rsid w:val="00035C7C"/>
    <w:rsid w:val="00035FAF"/>
    <w:rsid w:val="00036E2C"/>
    <w:rsid w:val="00037073"/>
    <w:rsid w:val="00037136"/>
    <w:rsid w:val="000372BF"/>
    <w:rsid w:val="00037841"/>
    <w:rsid w:val="00040C1F"/>
    <w:rsid w:val="00041BE5"/>
    <w:rsid w:val="00042486"/>
    <w:rsid w:val="00042612"/>
    <w:rsid w:val="00042BC7"/>
    <w:rsid w:val="00043836"/>
    <w:rsid w:val="00044155"/>
    <w:rsid w:val="00044637"/>
    <w:rsid w:val="00044C75"/>
    <w:rsid w:val="000457B3"/>
    <w:rsid w:val="00045830"/>
    <w:rsid w:val="00045A87"/>
    <w:rsid w:val="00045EC9"/>
    <w:rsid w:val="00046562"/>
    <w:rsid w:val="0004703E"/>
    <w:rsid w:val="000472DD"/>
    <w:rsid w:val="0004773C"/>
    <w:rsid w:val="000477A3"/>
    <w:rsid w:val="00047973"/>
    <w:rsid w:val="00050182"/>
    <w:rsid w:val="00050792"/>
    <w:rsid w:val="00050F96"/>
    <w:rsid w:val="0005203A"/>
    <w:rsid w:val="00052072"/>
    <w:rsid w:val="00052BDD"/>
    <w:rsid w:val="00052D7B"/>
    <w:rsid w:val="00053542"/>
    <w:rsid w:val="00053726"/>
    <w:rsid w:val="000539F5"/>
    <w:rsid w:val="00054121"/>
    <w:rsid w:val="000548F2"/>
    <w:rsid w:val="00054C7E"/>
    <w:rsid w:val="00055B73"/>
    <w:rsid w:val="00056145"/>
    <w:rsid w:val="00056411"/>
    <w:rsid w:val="000567C7"/>
    <w:rsid w:val="00056870"/>
    <w:rsid w:val="00056A52"/>
    <w:rsid w:val="00057059"/>
    <w:rsid w:val="00057390"/>
    <w:rsid w:val="00057842"/>
    <w:rsid w:val="00057909"/>
    <w:rsid w:val="000579B1"/>
    <w:rsid w:val="0006031E"/>
    <w:rsid w:val="0006145C"/>
    <w:rsid w:val="000618D7"/>
    <w:rsid w:val="00061B82"/>
    <w:rsid w:val="00062C8D"/>
    <w:rsid w:val="00063E6D"/>
    <w:rsid w:val="00065C95"/>
    <w:rsid w:val="00066105"/>
    <w:rsid w:val="0006686C"/>
    <w:rsid w:val="000669B8"/>
    <w:rsid w:val="0006777D"/>
    <w:rsid w:val="0007086D"/>
    <w:rsid w:val="00070EFE"/>
    <w:rsid w:val="00070F4C"/>
    <w:rsid w:val="00071A0C"/>
    <w:rsid w:val="00071AB5"/>
    <w:rsid w:val="00071F65"/>
    <w:rsid w:val="00072001"/>
    <w:rsid w:val="00072385"/>
    <w:rsid w:val="00072CBA"/>
    <w:rsid w:val="00073092"/>
    <w:rsid w:val="000733FD"/>
    <w:rsid w:val="00073D5D"/>
    <w:rsid w:val="000741F0"/>
    <w:rsid w:val="0007556D"/>
    <w:rsid w:val="0007598C"/>
    <w:rsid w:val="00076F1B"/>
    <w:rsid w:val="00077494"/>
    <w:rsid w:val="00077867"/>
    <w:rsid w:val="00077FEA"/>
    <w:rsid w:val="00080D3C"/>
    <w:rsid w:val="00080F9C"/>
    <w:rsid w:val="000812C0"/>
    <w:rsid w:val="000822F0"/>
    <w:rsid w:val="000829E5"/>
    <w:rsid w:val="00082B8B"/>
    <w:rsid w:val="00082E49"/>
    <w:rsid w:val="000842B9"/>
    <w:rsid w:val="00084924"/>
    <w:rsid w:val="000849A8"/>
    <w:rsid w:val="00084D8E"/>
    <w:rsid w:val="000853D7"/>
    <w:rsid w:val="00085D89"/>
    <w:rsid w:val="00085E2C"/>
    <w:rsid w:val="00085ECE"/>
    <w:rsid w:val="00086373"/>
    <w:rsid w:val="000865A8"/>
    <w:rsid w:val="00087751"/>
    <w:rsid w:val="0008799C"/>
    <w:rsid w:val="0009009D"/>
    <w:rsid w:val="000901CF"/>
    <w:rsid w:val="00091E47"/>
    <w:rsid w:val="0009201A"/>
    <w:rsid w:val="00092F4F"/>
    <w:rsid w:val="00094A52"/>
    <w:rsid w:val="00094A5A"/>
    <w:rsid w:val="00094BF0"/>
    <w:rsid w:val="0009518B"/>
    <w:rsid w:val="00095276"/>
    <w:rsid w:val="00095AFC"/>
    <w:rsid w:val="00095F35"/>
    <w:rsid w:val="00096367"/>
    <w:rsid w:val="000963C7"/>
    <w:rsid w:val="00097241"/>
    <w:rsid w:val="00097345"/>
    <w:rsid w:val="00097458"/>
    <w:rsid w:val="00097783"/>
    <w:rsid w:val="000A04EC"/>
    <w:rsid w:val="000A06C0"/>
    <w:rsid w:val="000A11D6"/>
    <w:rsid w:val="000A1B80"/>
    <w:rsid w:val="000A1C17"/>
    <w:rsid w:val="000A2004"/>
    <w:rsid w:val="000A2821"/>
    <w:rsid w:val="000A2B1B"/>
    <w:rsid w:val="000A302D"/>
    <w:rsid w:val="000A3180"/>
    <w:rsid w:val="000A3323"/>
    <w:rsid w:val="000A3A09"/>
    <w:rsid w:val="000A401E"/>
    <w:rsid w:val="000A4137"/>
    <w:rsid w:val="000A4737"/>
    <w:rsid w:val="000A4BC9"/>
    <w:rsid w:val="000A508C"/>
    <w:rsid w:val="000A5393"/>
    <w:rsid w:val="000A54D7"/>
    <w:rsid w:val="000A5CCF"/>
    <w:rsid w:val="000A72A5"/>
    <w:rsid w:val="000A7721"/>
    <w:rsid w:val="000A77D8"/>
    <w:rsid w:val="000B0DA3"/>
    <w:rsid w:val="000B1090"/>
    <w:rsid w:val="000B1659"/>
    <w:rsid w:val="000B29F9"/>
    <w:rsid w:val="000B3411"/>
    <w:rsid w:val="000B342E"/>
    <w:rsid w:val="000B4351"/>
    <w:rsid w:val="000B4AAD"/>
    <w:rsid w:val="000B4C95"/>
    <w:rsid w:val="000B4CBB"/>
    <w:rsid w:val="000B4D7B"/>
    <w:rsid w:val="000B4DD9"/>
    <w:rsid w:val="000B5354"/>
    <w:rsid w:val="000B582D"/>
    <w:rsid w:val="000B5FC9"/>
    <w:rsid w:val="000B6B29"/>
    <w:rsid w:val="000B735D"/>
    <w:rsid w:val="000B76DD"/>
    <w:rsid w:val="000B7720"/>
    <w:rsid w:val="000B7CD5"/>
    <w:rsid w:val="000C0219"/>
    <w:rsid w:val="000C0577"/>
    <w:rsid w:val="000C09B5"/>
    <w:rsid w:val="000C0D95"/>
    <w:rsid w:val="000C14B7"/>
    <w:rsid w:val="000C14E9"/>
    <w:rsid w:val="000C15A8"/>
    <w:rsid w:val="000C17D1"/>
    <w:rsid w:val="000C34FA"/>
    <w:rsid w:val="000C39F7"/>
    <w:rsid w:val="000C4761"/>
    <w:rsid w:val="000C4D67"/>
    <w:rsid w:val="000C516A"/>
    <w:rsid w:val="000C5C17"/>
    <w:rsid w:val="000C7A95"/>
    <w:rsid w:val="000D0066"/>
    <w:rsid w:val="000D0E5D"/>
    <w:rsid w:val="000D113A"/>
    <w:rsid w:val="000D134B"/>
    <w:rsid w:val="000D1F8B"/>
    <w:rsid w:val="000D1FEB"/>
    <w:rsid w:val="000D2216"/>
    <w:rsid w:val="000D2341"/>
    <w:rsid w:val="000D2495"/>
    <w:rsid w:val="000D2832"/>
    <w:rsid w:val="000D2C87"/>
    <w:rsid w:val="000D3090"/>
    <w:rsid w:val="000D4E78"/>
    <w:rsid w:val="000D53D8"/>
    <w:rsid w:val="000D5ABB"/>
    <w:rsid w:val="000D606D"/>
    <w:rsid w:val="000D615F"/>
    <w:rsid w:val="000D6CFE"/>
    <w:rsid w:val="000D6D48"/>
    <w:rsid w:val="000D6FF2"/>
    <w:rsid w:val="000E0570"/>
    <w:rsid w:val="000E0AED"/>
    <w:rsid w:val="000E0FC8"/>
    <w:rsid w:val="000E1257"/>
    <w:rsid w:val="000E1683"/>
    <w:rsid w:val="000E2577"/>
    <w:rsid w:val="000E3859"/>
    <w:rsid w:val="000E3DB5"/>
    <w:rsid w:val="000E40E0"/>
    <w:rsid w:val="000E4321"/>
    <w:rsid w:val="000E4CA8"/>
    <w:rsid w:val="000E5FC4"/>
    <w:rsid w:val="000E663B"/>
    <w:rsid w:val="000E6809"/>
    <w:rsid w:val="000E6AD5"/>
    <w:rsid w:val="000E6C8A"/>
    <w:rsid w:val="000E7263"/>
    <w:rsid w:val="000E7265"/>
    <w:rsid w:val="000E7D86"/>
    <w:rsid w:val="000F07C7"/>
    <w:rsid w:val="000F0B45"/>
    <w:rsid w:val="000F130C"/>
    <w:rsid w:val="000F1E00"/>
    <w:rsid w:val="000F29DC"/>
    <w:rsid w:val="000F34A4"/>
    <w:rsid w:val="000F3500"/>
    <w:rsid w:val="000F3E21"/>
    <w:rsid w:val="000F465D"/>
    <w:rsid w:val="000F48C1"/>
    <w:rsid w:val="000F508D"/>
    <w:rsid w:val="000F5494"/>
    <w:rsid w:val="000F59FE"/>
    <w:rsid w:val="000F5E3D"/>
    <w:rsid w:val="000F61B1"/>
    <w:rsid w:val="000F74B8"/>
    <w:rsid w:val="00100C7D"/>
    <w:rsid w:val="00100F42"/>
    <w:rsid w:val="001012D2"/>
    <w:rsid w:val="001015C4"/>
    <w:rsid w:val="00101AD7"/>
    <w:rsid w:val="001023D1"/>
    <w:rsid w:val="00102BE7"/>
    <w:rsid w:val="00103BCC"/>
    <w:rsid w:val="00103EEB"/>
    <w:rsid w:val="00104FEC"/>
    <w:rsid w:val="00105045"/>
    <w:rsid w:val="001054B9"/>
    <w:rsid w:val="001060C5"/>
    <w:rsid w:val="00106D16"/>
    <w:rsid w:val="001073D6"/>
    <w:rsid w:val="0010780D"/>
    <w:rsid w:val="00107AD8"/>
    <w:rsid w:val="00107C17"/>
    <w:rsid w:val="00107E99"/>
    <w:rsid w:val="0011067E"/>
    <w:rsid w:val="00110B07"/>
    <w:rsid w:val="001115F1"/>
    <w:rsid w:val="001118DF"/>
    <w:rsid w:val="00111B21"/>
    <w:rsid w:val="00112F7F"/>
    <w:rsid w:val="00113D8E"/>
    <w:rsid w:val="001142E5"/>
    <w:rsid w:val="00114390"/>
    <w:rsid w:val="001159BB"/>
    <w:rsid w:val="0011634F"/>
    <w:rsid w:val="00116D7E"/>
    <w:rsid w:val="00116E28"/>
    <w:rsid w:val="001178FD"/>
    <w:rsid w:val="00120B11"/>
    <w:rsid w:val="0012140D"/>
    <w:rsid w:val="00121CB5"/>
    <w:rsid w:val="001222B6"/>
    <w:rsid w:val="00122623"/>
    <w:rsid w:val="00122BBC"/>
    <w:rsid w:val="00122CDB"/>
    <w:rsid w:val="00122ED8"/>
    <w:rsid w:val="0012307D"/>
    <w:rsid w:val="00123444"/>
    <w:rsid w:val="00123A9D"/>
    <w:rsid w:val="0012442D"/>
    <w:rsid w:val="00124558"/>
    <w:rsid w:val="001245FB"/>
    <w:rsid w:val="001254BF"/>
    <w:rsid w:val="00125F74"/>
    <w:rsid w:val="00125FFC"/>
    <w:rsid w:val="001265E9"/>
    <w:rsid w:val="0012661F"/>
    <w:rsid w:val="00126B16"/>
    <w:rsid w:val="00126E22"/>
    <w:rsid w:val="00126F2C"/>
    <w:rsid w:val="0012714B"/>
    <w:rsid w:val="001274D8"/>
    <w:rsid w:val="00127A66"/>
    <w:rsid w:val="00127EB5"/>
    <w:rsid w:val="00130307"/>
    <w:rsid w:val="00131C19"/>
    <w:rsid w:val="00131DD8"/>
    <w:rsid w:val="001320FA"/>
    <w:rsid w:val="00132F02"/>
    <w:rsid w:val="00133626"/>
    <w:rsid w:val="00134DE3"/>
    <w:rsid w:val="00135838"/>
    <w:rsid w:val="00135873"/>
    <w:rsid w:val="00135ADC"/>
    <w:rsid w:val="00140066"/>
    <w:rsid w:val="00140369"/>
    <w:rsid w:val="00140A6A"/>
    <w:rsid w:val="00140A98"/>
    <w:rsid w:val="00140EA5"/>
    <w:rsid w:val="0014191C"/>
    <w:rsid w:val="001431C3"/>
    <w:rsid w:val="001434DD"/>
    <w:rsid w:val="00143672"/>
    <w:rsid w:val="00143CFA"/>
    <w:rsid w:val="00144653"/>
    <w:rsid w:val="00145871"/>
    <w:rsid w:val="00145BE1"/>
    <w:rsid w:val="00145F70"/>
    <w:rsid w:val="00146DA2"/>
    <w:rsid w:val="00147124"/>
    <w:rsid w:val="00150311"/>
    <w:rsid w:val="00150ADE"/>
    <w:rsid w:val="00150C8F"/>
    <w:rsid w:val="00151F94"/>
    <w:rsid w:val="00152098"/>
    <w:rsid w:val="001520FD"/>
    <w:rsid w:val="00152B97"/>
    <w:rsid w:val="00152FC2"/>
    <w:rsid w:val="00153EE8"/>
    <w:rsid w:val="00154BDE"/>
    <w:rsid w:val="0015562B"/>
    <w:rsid w:val="00155693"/>
    <w:rsid w:val="00156753"/>
    <w:rsid w:val="00157560"/>
    <w:rsid w:val="0016071B"/>
    <w:rsid w:val="00160F04"/>
    <w:rsid w:val="001611ED"/>
    <w:rsid w:val="00161424"/>
    <w:rsid w:val="00161574"/>
    <w:rsid w:val="0016185E"/>
    <w:rsid w:val="00161C33"/>
    <w:rsid w:val="001620A7"/>
    <w:rsid w:val="00162DD0"/>
    <w:rsid w:val="001634EC"/>
    <w:rsid w:val="001641C1"/>
    <w:rsid w:val="00164719"/>
    <w:rsid w:val="0016478D"/>
    <w:rsid w:val="001650B6"/>
    <w:rsid w:val="00166BF8"/>
    <w:rsid w:val="00170014"/>
    <w:rsid w:val="001712DF"/>
    <w:rsid w:val="001717B7"/>
    <w:rsid w:val="001717BA"/>
    <w:rsid w:val="00171964"/>
    <w:rsid w:val="00171B55"/>
    <w:rsid w:val="00171C3E"/>
    <w:rsid w:val="001722B3"/>
    <w:rsid w:val="00172629"/>
    <w:rsid w:val="00172701"/>
    <w:rsid w:val="00172901"/>
    <w:rsid w:val="00172FBB"/>
    <w:rsid w:val="001735BF"/>
    <w:rsid w:val="00173EFD"/>
    <w:rsid w:val="0017403E"/>
    <w:rsid w:val="001742B6"/>
    <w:rsid w:val="00174404"/>
    <w:rsid w:val="001749EC"/>
    <w:rsid w:val="00174B2F"/>
    <w:rsid w:val="00174CFF"/>
    <w:rsid w:val="00175FEC"/>
    <w:rsid w:val="00176570"/>
    <w:rsid w:val="00176AF5"/>
    <w:rsid w:val="00176CA8"/>
    <w:rsid w:val="00176D54"/>
    <w:rsid w:val="0017737E"/>
    <w:rsid w:val="00177993"/>
    <w:rsid w:val="00177AAE"/>
    <w:rsid w:val="00180119"/>
    <w:rsid w:val="00180232"/>
    <w:rsid w:val="001811A1"/>
    <w:rsid w:val="001814F6"/>
    <w:rsid w:val="0018183D"/>
    <w:rsid w:val="0018223E"/>
    <w:rsid w:val="00182BEA"/>
    <w:rsid w:val="00183A4D"/>
    <w:rsid w:val="00184D72"/>
    <w:rsid w:val="00185456"/>
    <w:rsid w:val="00185829"/>
    <w:rsid w:val="00185EAF"/>
    <w:rsid w:val="001875BC"/>
    <w:rsid w:val="00187692"/>
    <w:rsid w:val="00187DB5"/>
    <w:rsid w:val="001903F2"/>
    <w:rsid w:val="00190696"/>
    <w:rsid w:val="00190873"/>
    <w:rsid w:val="00190F55"/>
    <w:rsid w:val="0019104F"/>
    <w:rsid w:val="00191244"/>
    <w:rsid w:val="001912B2"/>
    <w:rsid w:val="00191724"/>
    <w:rsid w:val="00191BC7"/>
    <w:rsid w:val="00192DAC"/>
    <w:rsid w:val="001934FE"/>
    <w:rsid w:val="00193D77"/>
    <w:rsid w:val="00193E4D"/>
    <w:rsid w:val="0019570A"/>
    <w:rsid w:val="001959C5"/>
    <w:rsid w:val="00195E78"/>
    <w:rsid w:val="001978A7"/>
    <w:rsid w:val="00197C29"/>
    <w:rsid w:val="001A0F6A"/>
    <w:rsid w:val="001A1228"/>
    <w:rsid w:val="001A12A9"/>
    <w:rsid w:val="001A28AD"/>
    <w:rsid w:val="001A2E48"/>
    <w:rsid w:val="001A2F9E"/>
    <w:rsid w:val="001A4E3F"/>
    <w:rsid w:val="001A53AB"/>
    <w:rsid w:val="001A53CA"/>
    <w:rsid w:val="001A5C68"/>
    <w:rsid w:val="001A64D9"/>
    <w:rsid w:val="001A7032"/>
    <w:rsid w:val="001A784F"/>
    <w:rsid w:val="001B0303"/>
    <w:rsid w:val="001B1021"/>
    <w:rsid w:val="001B1119"/>
    <w:rsid w:val="001B1460"/>
    <w:rsid w:val="001B1A53"/>
    <w:rsid w:val="001B1A61"/>
    <w:rsid w:val="001B238C"/>
    <w:rsid w:val="001B2E19"/>
    <w:rsid w:val="001B2FB8"/>
    <w:rsid w:val="001B44B4"/>
    <w:rsid w:val="001B4A9F"/>
    <w:rsid w:val="001B4D58"/>
    <w:rsid w:val="001B4F42"/>
    <w:rsid w:val="001B5194"/>
    <w:rsid w:val="001B5B05"/>
    <w:rsid w:val="001B65FD"/>
    <w:rsid w:val="001B67AB"/>
    <w:rsid w:val="001B6F71"/>
    <w:rsid w:val="001B7CC2"/>
    <w:rsid w:val="001B7DC4"/>
    <w:rsid w:val="001C0290"/>
    <w:rsid w:val="001C02B4"/>
    <w:rsid w:val="001C0F14"/>
    <w:rsid w:val="001C1694"/>
    <w:rsid w:val="001C1AF7"/>
    <w:rsid w:val="001C1E2D"/>
    <w:rsid w:val="001C2061"/>
    <w:rsid w:val="001C2184"/>
    <w:rsid w:val="001C2513"/>
    <w:rsid w:val="001C2993"/>
    <w:rsid w:val="001C2A23"/>
    <w:rsid w:val="001C2C36"/>
    <w:rsid w:val="001C2EF1"/>
    <w:rsid w:val="001C2FEF"/>
    <w:rsid w:val="001C35DC"/>
    <w:rsid w:val="001C4C3E"/>
    <w:rsid w:val="001C4E5B"/>
    <w:rsid w:val="001C4E66"/>
    <w:rsid w:val="001C4FC6"/>
    <w:rsid w:val="001C507D"/>
    <w:rsid w:val="001C56BA"/>
    <w:rsid w:val="001C5744"/>
    <w:rsid w:val="001C5ED7"/>
    <w:rsid w:val="001C6215"/>
    <w:rsid w:val="001C6415"/>
    <w:rsid w:val="001C66E8"/>
    <w:rsid w:val="001C7E9E"/>
    <w:rsid w:val="001D02CF"/>
    <w:rsid w:val="001D08F3"/>
    <w:rsid w:val="001D0974"/>
    <w:rsid w:val="001D13A8"/>
    <w:rsid w:val="001D1783"/>
    <w:rsid w:val="001D1BB9"/>
    <w:rsid w:val="001D1DEE"/>
    <w:rsid w:val="001D1EE7"/>
    <w:rsid w:val="001D2212"/>
    <w:rsid w:val="001D2D21"/>
    <w:rsid w:val="001D2D47"/>
    <w:rsid w:val="001D3A2E"/>
    <w:rsid w:val="001D3B34"/>
    <w:rsid w:val="001D42F0"/>
    <w:rsid w:val="001D460E"/>
    <w:rsid w:val="001D48AF"/>
    <w:rsid w:val="001D4F2E"/>
    <w:rsid w:val="001D5007"/>
    <w:rsid w:val="001D51DA"/>
    <w:rsid w:val="001D543C"/>
    <w:rsid w:val="001D6A8D"/>
    <w:rsid w:val="001D70EF"/>
    <w:rsid w:val="001D7113"/>
    <w:rsid w:val="001D77F0"/>
    <w:rsid w:val="001D7E86"/>
    <w:rsid w:val="001E03A2"/>
    <w:rsid w:val="001E077C"/>
    <w:rsid w:val="001E07B8"/>
    <w:rsid w:val="001E097F"/>
    <w:rsid w:val="001E0A95"/>
    <w:rsid w:val="001E1038"/>
    <w:rsid w:val="001E210C"/>
    <w:rsid w:val="001E2920"/>
    <w:rsid w:val="001E2ED1"/>
    <w:rsid w:val="001E31C0"/>
    <w:rsid w:val="001E32FB"/>
    <w:rsid w:val="001E3BEA"/>
    <w:rsid w:val="001E3EB4"/>
    <w:rsid w:val="001E574B"/>
    <w:rsid w:val="001E5A6F"/>
    <w:rsid w:val="001E6681"/>
    <w:rsid w:val="001E7206"/>
    <w:rsid w:val="001E7ADB"/>
    <w:rsid w:val="001E7D62"/>
    <w:rsid w:val="001F018F"/>
    <w:rsid w:val="001F0551"/>
    <w:rsid w:val="001F084D"/>
    <w:rsid w:val="001F116E"/>
    <w:rsid w:val="001F1C4D"/>
    <w:rsid w:val="001F1E63"/>
    <w:rsid w:val="001F2260"/>
    <w:rsid w:val="001F2785"/>
    <w:rsid w:val="001F314A"/>
    <w:rsid w:val="001F4419"/>
    <w:rsid w:val="001F458F"/>
    <w:rsid w:val="001F6419"/>
    <w:rsid w:val="001F65A6"/>
    <w:rsid w:val="001F691D"/>
    <w:rsid w:val="001F7B64"/>
    <w:rsid w:val="001F7B9D"/>
    <w:rsid w:val="002007B4"/>
    <w:rsid w:val="00200D1F"/>
    <w:rsid w:val="00200DAD"/>
    <w:rsid w:val="00200E14"/>
    <w:rsid w:val="00201225"/>
    <w:rsid w:val="00202117"/>
    <w:rsid w:val="002021B5"/>
    <w:rsid w:val="0020287E"/>
    <w:rsid w:val="00202880"/>
    <w:rsid w:val="00202BB5"/>
    <w:rsid w:val="0020340F"/>
    <w:rsid w:val="0020353F"/>
    <w:rsid w:val="00204072"/>
    <w:rsid w:val="002044B1"/>
    <w:rsid w:val="002047BD"/>
    <w:rsid w:val="0020520D"/>
    <w:rsid w:val="002055D3"/>
    <w:rsid w:val="002062B1"/>
    <w:rsid w:val="002063F7"/>
    <w:rsid w:val="00206544"/>
    <w:rsid w:val="0020716E"/>
    <w:rsid w:val="00207AA8"/>
    <w:rsid w:val="00207CC7"/>
    <w:rsid w:val="002101CC"/>
    <w:rsid w:val="00210785"/>
    <w:rsid w:val="0021080A"/>
    <w:rsid w:val="0021184A"/>
    <w:rsid w:val="00211A0E"/>
    <w:rsid w:val="00212443"/>
    <w:rsid w:val="002134B6"/>
    <w:rsid w:val="00213773"/>
    <w:rsid w:val="00213D38"/>
    <w:rsid w:val="002143E3"/>
    <w:rsid w:val="0021491F"/>
    <w:rsid w:val="002152CC"/>
    <w:rsid w:val="002153E9"/>
    <w:rsid w:val="002155D5"/>
    <w:rsid w:val="00215645"/>
    <w:rsid w:val="00215835"/>
    <w:rsid w:val="00215C0F"/>
    <w:rsid w:val="002172E4"/>
    <w:rsid w:val="00217DC1"/>
    <w:rsid w:val="00220189"/>
    <w:rsid w:val="0022019A"/>
    <w:rsid w:val="002212B3"/>
    <w:rsid w:val="0022178E"/>
    <w:rsid w:val="00221E1C"/>
    <w:rsid w:val="0022249D"/>
    <w:rsid w:val="0022262E"/>
    <w:rsid w:val="00222968"/>
    <w:rsid w:val="002239C3"/>
    <w:rsid w:val="00223F4C"/>
    <w:rsid w:val="002242C1"/>
    <w:rsid w:val="00224D30"/>
    <w:rsid w:val="00224EFC"/>
    <w:rsid w:val="002255D2"/>
    <w:rsid w:val="002259E3"/>
    <w:rsid w:val="00225E4D"/>
    <w:rsid w:val="00225FF3"/>
    <w:rsid w:val="00226D41"/>
    <w:rsid w:val="00227485"/>
    <w:rsid w:val="00227818"/>
    <w:rsid w:val="0022793E"/>
    <w:rsid w:val="00227C75"/>
    <w:rsid w:val="00227DBC"/>
    <w:rsid w:val="00230BC6"/>
    <w:rsid w:val="00230EE9"/>
    <w:rsid w:val="00231404"/>
    <w:rsid w:val="002319A0"/>
    <w:rsid w:val="00231A83"/>
    <w:rsid w:val="002327A9"/>
    <w:rsid w:val="002335DC"/>
    <w:rsid w:val="00233D6F"/>
    <w:rsid w:val="00234186"/>
    <w:rsid w:val="00234EDB"/>
    <w:rsid w:val="00235244"/>
    <w:rsid w:val="00235709"/>
    <w:rsid w:val="00235B3D"/>
    <w:rsid w:val="00235E98"/>
    <w:rsid w:val="00236360"/>
    <w:rsid w:val="002364F3"/>
    <w:rsid w:val="002364FC"/>
    <w:rsid w:val="00236870"/>
    <w:rsid w:val="002370B5"/>
    <w:rsid w:val="00237866"/>
    <w:rsid w:val="002406A9"/>
    <w:rsid w:val="002412A5"/>
    <w:rsid w:val="002412C6"/>
    <w:rsid w:val="002429AD"/>
    <w:rsid w:val="002447AD"/>
    <w:rsid w:val="002455E5"/>
    <w:rsid w:val="0024647D"/>
    <w:rsid w:val="00247697"/>
    <w:rsid w:val="00247C83"/>
    <w:rsid w:val="0025002F"/>
    <w:rsid w:val="0025064D"/>
    <w:rsid w:val="00250832"/>
    <w:rsid w:val="00250B75"/>
    <w:rsid w:val="00250FC5"/>
    <w:rsid w:val="0025128C"/>
    <w:rsid w:val="002517BE"/>
    <w:rsid w:val="00251A39"/>
    <w:rsid w:val="0025216A"/>
    <w:rsid w:val="0025302D"/>
    <w:rsid w:val="002532CD"/>
    <w:rsid w:val="00253758"/>
    <w:rsid w:val="00253D26"/>
    <w:rsid w:val="00254F8D"/>
    <w:rsid w:val="002551F1"/>
    <w:rsid w:val="002552B5"/>
    <w:rsid w:val="00255D1F"/>
    <w:rsid w:val="00255E22"/>
    <w:rsid w:val="00256588"/>
    <w:rsid w:val="00256864"/>
    <w:rsid w:val="0025693D"/>
    <w:rsid w:val="00256F3F"/>
    <w:rsid w:val="0025798E"/>
    <w:rsid w:val="00257EF4"/>
    <w:rsid w:val="00257F4F"/>
    <w:rsid w:val="002603F8"/>
    <w:rsid w:val="00260513"/>
    <w:rsid w:val="0026055F"/>
    <w:rsid w:val="00260B7A"/>
    <w:rsid w:val="00260CEC"/>
    <w:rsid w:val="00260D4C"/>
    <w:rsid w:val="0026184C"/>
    <w:rsid w:val="002624D0"/>
    <w:rsid w:val="002628A9"/>
    <w:rsid w:val="00262A1B"/>
    <w:rsid w:val="00262F56"/>
    <w:rsid w:val="00263CB6"/>
    <w:rsid w:val="00265482"/>
    <w:rsid w:val="00265877"/>
    <w:rsid w:val="00265BAA"/>
    <w:rsid w:val="00265C05"/>
    <w:rsid w:val="00266364"/>
    <w:rsid w:val="002664D1"/>
    <w:rsid w:val="00266911"/>
    <w:rsid w:val="00266CF6"/>
    <w:rsid w:val="00266D3D"/>
    <w:rsid w:val="002673C6"/>
    <w:rsid w:val="00267537"/>
    <w:rsid w:val="00267ED4"/>
    <w:rsid w:val="00267F8B"/>
    <w:rsid w:val="00271833"/>
    <w:rsid w:val="00271E43"/>
    <w:rsid w:val="00272840"/>
    <w:rsid w:val="00273357"/>
    <w:rsid w:val="002734DB"/>
    <w:rsid w:val="00273AFA"/>
    <w:rsid w:val="00273D07"/>
    <w:rsid w:val="00275E54"/>
    <w:rsid w:val="0027644F"/>
    <w:rsid w:val="002766AF"/>
    <w:rsid w:val="00276F2E"/>
    <w:rsid w:val="002776AA"/>
    <w:rsid w:val="00277AAF"/>
    <w:rsid w:val="00277AEF"/>
    <w:rsid w:val="00277E7F"/>
    <w:rsid w:val="00277FCD"/>
    <w:rsid w:val="00280157"/>
    <w:rsid w:val="0028197E"/>
    <w:rsid w:val="00281C78"/>
    <w:rsid w:val="00282366"/>
    <w:rsid w:val="00283428"/>
    <w:rsid w:val="00284766"/>
    <w:rsid w:val="002849C7"/>
    <w:rsid w:val="00285A18"/>
    <w:rsid w:val="002866AE"/>
    <w:rsid w:val="00286863"/>
    <w:rsid w:val="002868AE"/>
    <w:rsid w:val="00287006"/>
    <w:rsid w:val="00287060"/>
    <w:rsid w:val="002872A2"/>
    <w:rsid w:val="00290D91"/>
    <w:rsid w:val="00291B01"/>
    <w:rsid w:val="002922EF"/>
    <w:rsid w:val="0029250E"/>
    <w:rsid w:val="00292F48"/>
    <w:rsid w:val="002937BA"/>
    <w:rsid w:val="002949C7"/>
    <w:rsid w:val="0029506D"/>
    <w:rsid w:val="00295081"/>
    <w:rsid w:val="002961DC"/>
    <w:rsid w:val="00296422"/>
    <w:rsid w:val="002968D4"/>
    <w:rsid w:val="00296EA2"/>
    <w:rsid w:val="002974F3"/>
    <w:rsid w:val="002979FC"/>
    <w:rsid w:val="00297D11"/>
    <w:rsid w:val="002A04EE"/>
    <w:rsid w:val="002A08AE"/>
    <w:rsid w:val="002A285B"/>
    <w:rsid w:val="002A2896"/>
    <w:rsid w:val="002A38A8"/>
    <w:rsid w:val="002A3976"/>
    <w:rsid w:val="002A3BD6"/>
    <w:rsid w:val="002A4085"/>
    <w:rsid w:val="002A4213"/>
    <w:rsid w:val="002A4494"/>
    <w:rsid w:val="002A4B74"/>
    <w:rsid w:val="002A4E2B"/>
    <w:rsid w:val="002A4F9B"/>
    <w:rsid w:val="002A5329"/>
    <w:rsid w:val="002A540D"/>
    <w:rsid w:val="002A54F7"/>
    <w:rsid w:val="002A58F8"/>
    <w:rsid w:val="002A6328"/>
    <w:rsid w:val="002A6528"/>
    <w:rsid w:val="002A6842"/>
    <w:rsid w:val="002A750B"/>
    <w:rsid w:val="002B0064"/>
    <w:rsid w:val="002B2636"/>
    <w:rsid w:val="002B2709"/>
    <w:rsid w:val="002B27A2"/>
    <w:rsid w:val="002B27AF"/>
    <w:rsid w:val="002B28E8"/>
    <w:rsid w:val="002B2B5B"/>
    <w:rsid w:val="002B3140"/>
    <w:rsid w:val="002B33FA"/>
    <w:rsid w:val="002B34B2"/>
    <w:rsid w:val="002B4D87"/>
    <w:rsid w:val="002B5812"/>
    <w:rsid w:val="002B5E48"/>
    <w:rsid w:val="002B68BF"/>
    <w:rsid w:val="002B6B08"/>
    <w:rsid w:val="002B718B"/>
    <w:rsid w:val="002C0A06"/>
    <w:rsid w:val="002C129C"/>
    <w:rsid w:val="002C12F8"/>
    <w:rsid w:val="002C13D3"/>
    <w:rsid w:val="002C1707"/>
    <w:rsid w:val="002C1845"/>
    <w:rsid w:val="002C1C88"/>
    <w:rsid w:val="002C2069"/>
    <w:rsid w:val="002C32DF"/>
    <w:rsid w:val="002C335F"/>
    <w:rsid w:val="002C3686"/>
    <w:rsid w:val="002C413E"/>
    <w:rsid w:val="002C48B6"/>
    <w:rsid w:val="002C4A12"/>
    <w:rsid w:val="002C4C66"/>
    <w:rsid w:val="002C506E"/>
    <w:rsid w:val="002C638F"/>
    <w:rsid w:val="002C6A01"/>
    <w:rsid w:val="002C6CF6"/>
    <w:rsid w:val="002C6EEE"/>
    <w:rsid w:val="002C7140"/>
    <w:rsid w:val="002C784A"/>
    <w:rsid w:val="002C7DA0"/>
    <w:rsid w:val="002D0ACC"/>
    <w:rsid w:val="002D0F05"/>
    <w:rsid w:val="002D1E67"/>
    <w:rsid w:val="002D1EC6"/>
    <w:rsid w:val="002D32B0"/>
    <w:rsid w:val="002D3715"/>
    <w:rsid w:val="002D382A"/>
    <w:rsid w:val="002D419C"/>
    <w:rsid w:val="002D43B2"/>
    <w:rsid w:val="002D46EE"/>
    <w:rsid w:val="002D481E"/>
    <w:rsid w:val="002D48F6"/>
    <w:rsid w:val="002D4CB0"/>
    <w:rsid w:val="002D4E1D"/>
    <w:rsid w:val="002D4EC4"/>
    <w:rsid w:val="002D63DE"/>
    <w:rsid w:val="002D7921"/>
    <w:rsid w:val="002E089B"/>
    <w:rsid w:val="002E1461"/>
    <w:rsid w:val="002E1EDB"/>
    <w:rsid w:val="002E2E2E"/>
    <w:rsid w:val="002E374B"/>
    <w:rsid w:val="002E4194"/>
    <w:rsid w:val="002E4A5E"/>
    <w:rsid w:val="002E4A9D"/>
    <w:rsid w:val="002E4FE7"/>
    <w:rsid w:val="002E5B01"/>
    <w:rsid w:val="002E6300"/>
    <w:rsid w:val="002E63BE"/>
    <w:rsid w:val="002E6675"/>
    <w:rsid w:val="002E7F95"/>
    <w:rsid w:val="002F02C6"/>
    <w:rsid w:val="002F035A"/>
    <w:rsid w:val="002F13BA"/>
    <w:rsid w:val="002F1665"/>
    <w:rsid w:val="002F1678"/>
    <w:rsid w:val="002F1D08"/>
    <w:rsid w:val="002F2902"/>
    <w:rsid w:val="002F32AA"/>
    <w:rsid w:val="002F3A87"/>
    <w:rsid w:val="002F4BF5"/>
    <w:rsid w:val="002F6991"/>
    <w:rsid w:val="002F74E5"/>
    <w:rsid w:val="002F7A37"/>
    <w:rsid w:val="00300426"/>
    <w:rsid w:val="00300758"/>
    <w:rsid w:val="003009E9"/>
    <w:rsid w:val="00301B66"/>
    <w:rsid w:val="00301E14"/>
    <w:rsid w:val="00301EA1"/>
    <w:rsid w:val="00302022"/>
    <w:rsid w:val="0030214C"/>
    <w:rsid w:val="00302987"/>
    <w:rsid w:val="00303165"/>
    <w:rsid w:val="003035E6"/>
    <w:rsid w:val="0030362F"/>
    <w:rsid w:val="00303945"/>
    <w:rsid w:val="00303AB0"/>
    <w:rsid w:val="00303B28"/>
    <w:rsid w:val="00303D18"/>
    <w:rsid w:val="003044EE"/>
    <w:rsid w:val="00305A99"/>
    <w:rsid w:val="00305C30"/>
    <w:rsid w:val="00305D04"/>
    <w:rsid w:val="00306E67"/>
    <w:rsid w:val="003071C0"/>
    <w:rsid w:val="0030777E"/>
    <w:rsid w:val="00307952"/>
    <w:rsid w:val="00307FF7"/>
    <w:rsid w:val="00310EAA"/>
    <w:rsid w:val="00311231"/>
    <w:rsid w:val="00311A7F"/>
    <w:rsid w:val="00311A92"/>
    <w:rsid w:val="00311DB9"/>
    <w:rsid w:val="00312588"/>
    <w:rsid w:val="00312718"/>
    <w:rsid w:val="003128B1"/>
    <w:rsid w:val="00312C32"/>
    <w:rsid w:val="00312CD1"/>
    <w:rsid w:val="00313F35"/>
    <w:rsid w:val="003140F5"/>
    <w:rsid w:val="00314367"/>
    <w:rsid w:val="0031447F"/>
    <w:rsid w:val="00314A41"/>
    <w:rsid w:val="0031592D"/>
    <w:rsid w:val="00315AB8"/>
    <w:rsid w:val="00315BBC"/>
    <w:rsid w:val="00316201"/>
    <w:rsid w:val="0031629A"/>
    <w:rsid w:val="00317042"/>
    <w:rsid w:val="0031751C"/>
    <w:rsid w:val="0031755B"/>
    <w:rsid w:val="00320BB6"/>
    <w:rsid w:val="00320E73"/>
    <w:rsid w:val="003213F9"/>
    <w:rsid w:val="00321C06"/>
    <w:rsid w:val="00321D5C"/>
    <w:rsid w:val="0032221C"/>
    <w:rsid w:val="00322358"/>
    <w:rsid w:val="003223A3"/>
    <w:rsid w:val="00322752"/>
    <w:rsid w:val="003227EB"/>
    <w:rsid w:val="00322B1B"/>
    <w:rsid w:val="00322B5D"/>
    <w:rsid w:val="00322BAC"/>
    <w:rsid w:val="003231B7"/>
    <w:rsid w:val="00323256"/>
    <w:rsid w:val="00323CCA"/>
    <w:rsid w:val="00323E21"/>
    <w:rsid w:val="003243D3"/>
    <w:rsid w:val="00324C99"/>
    <w:rsid w:val="00324D97"/>
    <w:rsid w:val="00325067"/>
    <w:rsid w:val="00325455"/>
    <w:rsid w:val="00325799"/>
    <w:rsid w:val="00325B3F"/>
    <w:rsid w:val="00326376"/>
    <w:rsid w:val="00326BB2"/>
    <w:rsid w:val="00326CA5"/>
    <w:rsid w:val="00327052"/>
    <w:rsid w:val="00327152"/>
    <w:rsid w:val="003274AE"/>
    <w:rsid w:val="00330E78"/>
    <w:rsid w:val="0033133F"/>
    <w:rsid w:val="00331EB4"/>
    <w:rsid w:val="00332693"/>
    <w:rsid w:val="003335F9"/>
    <w:rsid w:val="00333CF3"/>
    <w:rsid w:val="003340D3"/>
    <w:rsid w:val="0033421A"/>
    <w:rsid w:val="003344AB"/>
    <w:rsid w:val="00334775"/>
    <w:rsid w:val="00334E11"/>
    <w:rsid w:val="00334F02"/>
    <w:rsid w:val="003351A5"/>
    <w:rsid w:val="00335916"/>
    <w:rsid w:val="00335CE8"/>
    <w:rsid w:val="003368CA"/>
    <w:rsid w:val="00336BA4"/>
    <w:rsid w:val="00337153"/>
    <w:rsid w:val="003373EA"/>
    <w:rsid w:val="00340919"/>
    <w:rsid w:val="00341715"/>
    <w:rsid w:val="00342918"/>
    <w:rsid w:val="00342B72"/>
    <w:rsid w:val="003430D0"/>
    <w:rsid w:val="0034383D"/>
    <w:rsid w:val="00343A00"/>
    <w:rsid w:val="003442D5"/>
    <w:rsid w:val="0034439A"/>
    <w:rsid w:val="003445CF"/>
    <w:rsid w:val="003448B0"/>
    <w:rsid w:val="00344C35"/>
    <w:rsid w:val="0034513A"/>
    <w:rsid w:val="0034520E"/>
    <w:rsid w:val="00345CA7"/>
    <w:rsid w:val="00345D6D"/>
    <w:rsid w:val="00345E83"/>
    <w:rsid w:val="00345F95"/>
    <w:rsid w:val="003461DF"/>
    <w:rsid w:val="003470C7"/>
    <w:rsid w:val="0034721F"/>
    <w:rsid w:val="003475FC"/>
    <w:rsid w:val="00347801"/>
    <w:rsid w:val="003503C7"/>
    <w:rsid w:val="00350A8D"/>
    <w:rsid w:val="00350BD1"/>
    <w:rsid w:val="00351102"/>
    <w:rsid w:val="00351D3A"/>
    <w:rsid w:val="003520AF"/>
    <w:rsid w:val="003520FA"/>
    <w:rsid w:val="00352729"/>
    <w:rsid w:val="003533FE"/>
    <w:rsid w:val="0035378A"/>
    <w:rsid w:val="00353D42"/>
    <w:rsid w:val="00354B82"/>
    <w:rsid w:val="003550E9"/>
    <w:rsid w:val="003553BE"/>
    <w:rsid w:val="003560A1"/>
    <w:rsid w:val="003560FD"/>
    <w:rsid w:val="00356C8C"/>
    <w:rsid w:val="00357270"/>
    <w:rsid w:val="003600C6"/>
    <w:rsid w:val="003618C3"/>
    <w:rsid w:val="00361A53"/>
    <w:rsid w:val="00361C71"/>
    <w:rsid w:val="00361FC6"/>
    <w:rsid w:val="00362AF4"/>
    <w:rsid w:val="00363546"/>
    <w:rsid w:val="00363CEE"/>
    <w:rsid w:val="0036454D"/>
    <w:rsid w:val="00364D63"/>
    <w:rsid w:val="0036607D"/>
    <w:rsid w:val="003663E7"/>
    <w:rsid w:val="00366614"/>
    <w:rsid w:val="0036695F"/>
    <w:rsid w:val="00366F32"/>
    <w:rsid w:val="003675DD"/>
    <w:rsid w:val="003678D7"/>
    <w:rsid w:val="00367982"/>
    <w:rsid w:val="00367C56"/>
    <w:rsid w:val="00367DB2"/>
    <w:rsid w:val="00367ED0"/>
    <w:rsid w:val="00370471"/>
    <w:rsid w:val="00370F85"/>
    <w:rsid w:val="00371B12"/>
    <w:rsid w:val="00372246"/>
    <w:rsid w:val="00372304"/>
    <w:rsid w:val="00372AC1"/>
    <w:rsid w:val="00372CB6"/>
    <w:rsid w:val="0037308A"/>
    <w:rsid w:val="0037309F"/>
    <w:rsid w:val="0037315F"/>
    <w:rsid w:val="003732F2"/>
    <w:rsid w:val="00373F9C"/>
    <w:rsid w:val="003740C5"/>
    <w:rsid w:val="00374A3B"/>
    <w:rsid w:val="00374D45"/>
    <w:rsid w:val="003751E6"/>
    <w:rsid w:val="003753AB"/>
    <w:rsid w:val="003764CA"/>
    <w:rsid w:val="00376A4D"/>
    <w:rsid w:val="00377FCC"/>
    <w:rsid w:val="00377FFD"/>
    <w:rsid w:val="00380297"/>
    <w:rsid w:val="00380837"/>
    <w:rsid w:val="0038096B"/>
    <w:rsid w:val="003813B5"/>
    <w:rsid w:val="00381B58"/>
    <w:rsid w:val="00381CB3"/>
    <w:rsid w:val="003820AB"/>
    <w:rsid w:val="0038269F"/>
    <w:rsid w:val="00382B99"/>
    <w:rsid w:val="00382F34"/>
    <w:rsid w:val="00383127"/>
    <w:rsid w:val="003854F7"/>
    <w:rsid w:val="00385608"/>
    <w:rsid w:val="00385808"/>
    <w:rsid w:val="00385C02"/>
    <w:rsid w:val="0038637E"/>
    <w:rsid w:val="00386383"/>
    <w:rsid w:val="00387642"/>
    <w:rsid w:val="00387B55"/>
    <w:rsid w:val="00387B59"/>
    <w:rsid w:val="00387BA7"/>
    <w:rsid w:val="00387D0B"/>
    <w:rsid w:val="00390D1F"/>
    <w:rsid w:val="00390D29"/>
    <w:rsid w:val="003916A9"/>
    <w:rsid w:val="003923CA"/>
    <w:rsid w:val="00393E25"/>
    <w:rsid w:val="00393EF8"/>
    <w:rsid w:val="003944F8"/>
    <w:rsid w:val="00394954"/>
    <w:rsid w:val="00394EA4"/>
    <w:rsid w:val="00395003"/>
    <w:rsid w:val="003950D8"/>
    <w:rsid w:val="0039587B"/>
    <w:rsid w:val="00397085"/>
    <w:rsid w:val="00397117"/>
    <w:rsid w:val="00397A09"/>
    <w:rsid w:val="00397C46"/>
    <w:rsid w:val="00397E25"/>
    <w:rsid w:val="00397FCA"/>
    <w:rsid w:val="003A03EE"/>
    <w:rsid w:val="003A04A2"/>
    <w:rsid w:val="003A06D7"/>
    <w:rsid w:val="003A17A0"/>
    <w:rsid w:val="003A21BA"/>
    <w:rsid w:val="003A2E78"/>
    <w:rsid w:val="003A3DEE"/>
    <w:rsid w:val="003A40DB"/>
    <w:rsid w:val="003A428A"/>
    <w:rsid w:val="003A4F85"/>
    <w:rsid w:val="003A5FC3"/>
    <w:rsid w:val="003A6295"/>
    <w:rsid w:val="003A63F9"/>
    <w:rsid w:val="003A6C7E"/>
    <w:rsid w:val="003A6E79"/>
    <w:rsid w:val="003A6F96"/>
    <w:rsid w:val="003A71DF"/>
    <w:rsid w:val="003B058E"/>
    <w:rsid w:val="003B0659"/>
    <w:rsid w:val="003B18B6"/>
    <w:rsid w:val="003B30E4"/>
    <w:rsid w:val="003B3471"/>
    <w:rsid w:val="003B3616"/>
    <w:rsid w:val="003B37B1"/>
    <w:rsid w:val="003B383E"/>
    <w:rsid w:val="003B4138"/>
    <w:rsid w:val="003B4218"/>
    <w:rsid w:val="003B4851"/>
    <w:rsid w:val="003B5F40"/>
    <w:rsid w:val="003B6317"/>
    <w:rsid w:val="003B69BA"/>
    <w:rsid w:val="003B7577"/>
    <w:rsid w:val="003B775B"/>
    <w:rsid w:val="003C039C"/>
    <w:rsid w:val="003C11EF"/>
    <w:rsid w:val="003C1352"/>
    <w:rsid w:val="003C151A"/>
    <w:rsid w:val="003C1D8B"/>
    <w:rsid w:val="003C2D26"/>
    <w:rsid w:val="003C3DEC"/>
    <w:rsid w:val="003C4385"/>
    <w:rsid w:val="003C457C"/>
    <w:rsid w:val="003C4D3D"/>
    <w:rsid w:val="003C4F0B"/>
    <w:rsid w:val="003C519F"/>
    <w:rsid w:val="003C534D"/>
    <w:rsid w:val="003C5920"/>
    <w:rsid w:val="003C6FED"/>
    <w:rsid w:val="003C727D"/>
    <w:rsid w:val="003D0134"/>
    <w:rsid w:val="003D1161"/>
    <w:rsid w:val="003D12D0"/>
    <w:rsid w:val="003D135C"/>
    <w:rsid w:val="003D172C"/>
    <w:rsid w:val="003D1C0D"/>
    <w:rsid w:val="003D1C36"/>
    <w:rsid w:val="003D27D2"/>
    <w:rsid w:val="003D2BCB"/>
    <w:rsid w:val="003D36F4"/>
    <w:rsid w:val="003D37F3"/>
    <w:rsid w:val="003D39D5"/>
    <w:rsid w:val="003D44FF"/>
    <w:rsid w:val="003D4FE2"/>
    <w:rsid w:val="003D5193"/>
    <w:rsid w:val="003D5377"/>
    <w:rsid w:val="003D645C"/>
    <w:rsid w:val="003D6D01"/>
    <w:rsid w:val="003D75B3"/>
    <w:rsid w:val="003D7D8D"/>
    <w:rsid w:val="003D7F91"/>
    <w:rsid w:val="003E021C"/>
    <w:rsid w:val="003E2408"/>
    <w:rsid w:val="003E2E0A"/>
    <w:rsid w:val="003E34ED"/>
    <w:rsid w:val="003E3E56"/>
    <w:rsid w:val="003E5CE4"/>
    <w:rsid w:val="003E65B7"/>
    <w:rsid w:val="003E65D6"/>
    <w:rsid w:val="003E7555"/>
    <w:rsid w:val="003E7FE1"/>
    <w:rsid w:val="003F0152"/>
    <w:rsid w:val="003F019C"/>
    <w:rsid w:val="003F0C93"/>
    <w:rsid w:val="003F1329"/>
    <w:rsid w:val="003F1CDF"/>
    <w:rsid w:val="003F2519"/>
    <w:rsid w:val="003F313C"/>
    <w:rsid w:val="003F3157"/>
    <w:rsid w:val="003F4C76"/>
    <w:rsid w:val="003F4D82"/>
    <w:rsid w:val="003F508C"/>
    <w:rsid w:val="003F52E8"/>
    <w:rsid w:val="003F607A"/>
    <w:rsid w:val="003F64A3"/>
    <w:rsid w:val="003F7684"/>
    <w:rsid w:val="003F77D0"/>
    <w:rsid w:val="003F792C"/>
    <w:rsid w:val="003F7CF1"/>
    <w:rsid w:val="00400FA9"/>
    <w:rsid w:val="004011F7"/>
    <w:rsid w:val="00401C00"/>
    <w:rsid w:val="0040245F"/>
    <w:rsid w:val="00402B86"/>
    <w:rsid w:val="00402E9E"/>
    <w:rsid w:val="004041DB"/>
    <w:rsid w:val="00404409"/>
    <w:rsid w:val="00404AA7"/>
    <w:rsid w:val="00404F97"/>
    <w:rsid w:val="00405360"/>
    <w:rsid w:val="00405BAF"/>
    <w:rsid w:val="00406C6A"/>
    <w:rsid w:val="00410301"/>
    <w:rsid w:val="00410ABD"/>
    <w:rsid w:val="00410F17"/>
    <w:rsid w:val="004111EB"/>
    <w:rsid w:val="00411DF4"/>
    <w:rsid w:val="00412A89"/>
    <w:rsid w:val="0041320D"/>
    <w:rsid w:val="004139C9"/>
    <w:rsid w:val="00413D95"/>
    <w:rsid w:val="00414546"/>
    <w:rsid w:val="0041775D"/>
    <w:rsid w:val="00417EDF"/>
    <w:rsid w:val="00420121"/>
    <w:rsid w:val="004208DA"/>
    <w:rsid w:val="0042095F"/>
    <w:rsid w:val="004213C8"/>
    <w:rsid w:val="00422271"/>
    <w:rsid w:val="00422CD4"/>
    <w:rsid w:val="00423048"/>
    <w:rsid w:val="004231E6"/>
    <w:rsid w:val="00423653"/>
    <w:rsid w:val="00424117"/>
    <w:rsid w:val="004243C3"/>
    <w:rsid w:val="00424428"/>
    <w:rsid w:val="0042501A"/>
    <w:rsid w:val="004254B0"/>
    <w:rsid w:val="00425995"/>
    <w:rsid w:val="00425EB4"/>
    <w:rsid w:val="00426A01"/>
    <w:rsid w:val="0042747F"/>
    <w:rsid w:val="00430411"/>
    <w:rsid w:val="00430741"/>
    <w:rsid w:val="004309CC"/>
    <w:rsid w:val="004323C4"/>
    <w:rsid w:val="004323DA"/>
    <w:rsid w:val="004326F0"/>
    <w:rsid w:val="0043278C"/>
    <w:rsid w:val="00433510"/>
    <w:rsid w:val="00433A2E"/>
    <w:rsid w:val="00434781"/>
    <w:rsid w:val="0043487E"/>
    <w:rsid w:val="00435184"/>
    <w:rsid w:val="004356D9"/>
    <w:rsid w:val="00436B27"/>
    <w:rsid w:val="004379B2"/>
    <w:rsid w:val="00437F97"/>
    <w:rsid w:val="0044001A"/>
    <w:rsid w:val="00440916"/>
    <w:rsid w:val="00440B8E"/>
    <w:rsid w:val="004411BD"/>
    <w:rsid w:val="004414DE"/>
    <w:rsid w:val="00441699"/>
    <w:rsid w:val="004417BE"/>
    <w:rsid w:val="00442E23"/>
    <w:rsid w:val="00443CE1"/>
    <w:rsid w:val="00444053"/>
    <w:rsid w:val="00446542"/>
    <w:rsid w:val="00447A99"/>
    <w:rsid w:val="00447B8C"/>
    <w:rsid w:val="00447BC5"/>
    <w:rsid w:val="00447CDA"/>
    <w:rsid w:val="0045084D"/>
    <w:rsid w:val="00451AE0"/>
    <w:rsid w:val="00451BD5"/>
    <w:rsid w:val="0045202D"/>
    <w:rsid w:val="00452375"/>
    <w:rsid w:val="00452A19"/>
    <w:rsid w:val="004533DF"/>
    <w:rsid w:val="004538D9"/>
    <w:rsid w:val="00453A8B"/>
    <w:rsid w:val="00453B65"/>
    <w:rsid w:val="00455864"/>
    <w:rsid w:val="004566ED"/>
    <w:rsid w:val="004568ED"/>
    <w:rsid w:val="00456BA2"/>
    <w:rsid w:val="00456C44"/>
    <w:rsid w:val="00456CA8"/>
    <w:rsid w:val="0045721B"/>
    <w:rsid w:val="00457ADE"/>
    <w:rsid w:val="0046183B"/>
    <w:rsid w:val="00461EBA"/>
    <w:rsid w:val="0046229F"/>
    <w:rsid w:val="0046276B"/>
    <w:rsid w:val="00463A7F"/>
    <w:rsid w:val="00464FC3"/>
    <w:rsid w:val="004655BB"/>
    <w:rsid w:val="0046658E"/>
    <w:rsid w:val="0046674B"/>
    <w:rsid w:val="00466EC3"/>
    <w:rsid w:val="0046766F"/>
    <w:rsid w:val="00467838"/>
    <w:rsid w:val="00467F2C"/>
    <w:rsid w:val="0047004F"/>
    <w:rsid w:val="004703A3"/>
    <w:rsid w:val="004705FC"/>
    <w:rsid w:val="004710CB"/>
    <w:rsid w:val="0047129C"/>
    <w:rsid w:val="0047156F"/>
    <w:rsid w:val="00471684"/>
    <w:rsid w:val="00471CF1"/>
    <w:rsid w:val="00472230"/>
    <w:rsid w:val="0047259C"/>
    <w:rsid w:val="0047340F"/>
    <w:rsid w:val="00473541"/>
    <w:rsid w:val="00473617"/>
    <w:rsid w:val="00473DC2"/>
    <w:rsid w:val="004757A0"/>
    <w:rsid w:val="004807F1"/>
    <w:rsid w:val="004809D1"/>
    <w:rsid w:val="00480B09"/>
    <w:rsid w:val="00480FE5"/>
    <w:rsid w:val="00481398"/>
    <w:rsid w:val="00481C5C"/>
    <w:rsid w:val="00481D49"/>
    <w:rsid w:val="00481EEB"/>
    <w:rsid w:val="00482796"/>
    <w:rsid w:val="004827BE"/>
    <w:rsid w:val="004831AF"/>
    <w:rsid w:val="004839E5"/>
    <w:rsid w:val="0048480C"/>
    <w:rsid w:val="00484CF1"/>
    <w:rsid w:val="00485380"/>
    <w:rsid w:val="00486A0B"/>
    <w:rsid w:val="00486BE6"/>
    <w:rsid w:val="00486D19"/>
    <w:rsid w:val="00487851"/>
    <w:rsid w:val="00490044"/>
    <w:rsid w:val="004905AA"/>
    <w:rsid w:val="004906FD"/>
    <w:rsid w:val="004908C1"/>
    <w:rsid w:val="00490A54"/>
    <w:rsid w:val="00491635"/>
    <w:rsid w:val="004916B5"/>
    <w:rsid w:val="004927F1"/>
    <w:rsid w:val="00492E2F"/>
    <w:rsid w:val="004931D3"/>
    <w:rsid w:val="004944C5"/>
    <w:rsid w:val="004948D6"/>
    <w:rsid w:val="0049519E"/>
    <w:rsid w:val="004951D5"/>
    <w:rsid w:val="0049530A"/>
    <w:rsid w:val="004978D7"/>
    <w:rsid w:val="00497FDB"/>
    <w:rsid w:val="004A0186"/>
    <w:rsid w:val="004A01AB"/>
    <w:rsid w:val="004A0225"/>
    <w:rsid w:val="004A099A"/>
    <w:rsid w:val="004A0B4A"/>
    <w:rsid w:val="004A0C3F"/>
    <w:rsid w:val="004A0F0C"/>
    <w:rsid w:val="004A26A4"/>
    <w:rsid w:val="004A2D0E"/>
    <w:rsid w:val="004A2D7C"/>
    <w:rsid w:val="004A2FC8"/>
    <w:rsid w:val="004A3256"/>
    <w:rsid w:val="004A327A"/>
    <w:rsid w:val="004A46A6"/>
    <w:rsid w:val="004A46C4"/>
    <w:rsid w:val="004A53D5"/>
    <w:rsid w:val="004A6BD4"/>
    <w:rsid w:val="004A7454"/>
    <w:rsid w:val="004A7B2D"/>
    <w:rsid w:val="004B09AF"/>
    <w:rsid w:val="004B0A9C"/>
    <w:rsid w:val="004B0BE8"/>
    <w:rsid w:val="004B255F"/>
    <w:rsid w:val="004B3062"/>
    <w:rsid w:val="004B3355"/>
    <w:rsid w:val="004B398A"/>
    <w:rsid w:val="004B3DAB"/>
    <w:rsid w:val="004B4533"/>
    <w:rsid w:val="004B45E8"/>
    <w:rsid w:val="004B45F2"/>
    <w:rsid w:val="004B48E6"/>
    <w:rsid w:val="004B4E6A"/>
    <w:rsid w:val="004B4F8D"/>
    <w:rsid w:val="004B52AC"/>
    <w:rsid w:val="004B5462"/>
    <w:rsid w:val="004B5FDB"/>
    <w:rsid w:val="004B6985"/>
    <w:rsid w:val="004B6CD2"/>
    <w:rsid w:val="004B713B"/>
    <w:rsid w:val="004B737C"/>
    <w:rsid w:val="004B7ADA"/>
    <w:rsid w:val="004C0358"/>
    <w:rsid w:val="004C077C"/>
    <w:rsid w:val="004C2E47"/>
    <w:rsid w:val="004C2EF9"/>
    <w:rsid w:val="004C30C3"/>
    <w:rsid w:val="004C31C8"/>
    <w:rsid w:val="004C3436"/>
    <w:rsid w:val="004C355B"/>
    <w:rsid w:val="004C37C0"/>
    <w:rsid w:val="004C38A8"/>
    <w:rsid w:val="004C3E77"/>
    <w:rsid w:val="004C447C"/>
    <w:rsid w:val="004C53EC"/>
    <w:rsid w:val="004C5ADF"/>
    <w:rsid w:val="004C5EE8"/>
    <w:rsid w:val="004C6D47"/>
    <w:rsid w:val="004D015F"/>
    <w:rsid w:val="004D031E"/>
    <w:rsid w:val="004D10BE"/>
    <w:rsid w:val="004D1A46"/>
    <w:rsid w:val="004D1B20"/>
    <w:rsid w:val="004D2243"/>
    <w:rsid w:val="004D25DB"/>
    <w:rsid w:val="004D3A79"/>
    <w:rsid w:val="004D40CC"/>
    <w:rsid w:val="004D46BC"/>
    <w:rsid w:val="004D5231"/>
    <w:rsid w:val="004D5E5E"/>
    <w:rsid w:val="004D6179"/>
    <w:rsid w:val="004D63D1"/>
    <w:rsid w:val="004D68AE"/>
    <w:rsid w:val="004D7014"/>
    <w:rsid w:val="004D77BF"/>
    <w:rsid w:val="004D78E6"/>
    <w:rsid w:val="004D7C89"/>
    <w:rsid w:val="004E007B"/>
    <w:rsid w:val="004E09BB"/>
    <w:rsid w:val="004E1329"/>
    <w:rsid w:val="004E281C"/>
    <w:rsid w:val="004E394C"/>
    <w:rsid w:val="004E3AF7"/>
    <w:rsid w:val="004E4292"/>
    <w:rsid w:val="004E5C5A"/>
    <w:rsid w:val="004E5D3A"/>
    <w:rsid w:val="004E666B"/>
    <w:rsid w:val="004E66E4"/>
    <w:rsid w:val="004E6B42"/>
    <w:rsid w:val="004E6FE3"/>
    <w:rsid w:val="004E75EF"/>
    <w:rsid w:val="004E7B08"/>
    <w:rsid w:val="004E7B96"/>
    <w:rsid w:val="004E7DC9"/>
    <w:rsid w:val="004E7DD1"/>
    <w:rsid w:val="004F0358"/>
    <w:rsid w:val="004F060F"/>
    <w:rsid w:val="004F0990"/>
    <w:rsid w:val="004F1057"/>
    <w:rsid w:val="004F3030"/>
    <w:rsid w:val="004F3BBC"/>
    <w:rsid w:val="004F41AC"/>
    <w:rsid w:val="004F4C03"/>
    <w:rsid w:val="004F5B7D"/>
    <w:rsid w:val="004F627A"/>
    <w:rsid w:val="004F68B5"/>
    <w:rsid w:val="004F68EA"/>
    <w:rsid w:val="004F69B8"/>
    <w:rsid w:val="004F6E35"/>
    <w:rsid w:val="004F6FBE"/>
    <w:rsid w:val="004F7455"/>
    <w:rsid w:val="004F7561"/>
    <w:rsid w:val="0050001D"/>
    <w:rsid w:val="00500482"/>
    <w:rsid w:val="00500B8B"/>
    <w:rsid w:val="00500EDD"/>
    <w:rsid w:val="00501BE4"/>
    <w:rsid w:val="00502542"/>
    <w:rsid w:val="0050269D"/>
    <w:rsid w:val="005026F6"/>
    <w:rsid w:val="005027D2"/>
    <w:rsid w:val="00502C2F"/>
    <w:rsid w:val="00502EEE"/>
    <w:rsid w:val="00504665"/>
    <w:rsid w:val="00504AA6"/>
    <w:rsid w:val="00504B25"/>
    <w:rsid w:val="005056A7"/>
    <w:rsid w:val="00505F76"/>
    <w:rsid w:val="005065F0"/>
    <w:rsid w:val="0050729F"/>
    <w:rsid w:val="00507830"/>
    <w:rsid w:val="0051016B"/>
    <w:rsid w:val="00510347"/>
    <w:rsid w:val="00510C24"/>
    <w:rsid w:val="00510C78"/>
    <w:rsid w:val="00510FFA"/>
    <w:rsid w:val="005112BF"/>
    <w:rsid w:val="00511458"/>
    <w:rsid w:val="00511A4B"/>
    <w:rsid w:val="00511A6D"/>
    <w:rsid w:val="00511C07"/>
    <w:rsid w:val="00511F06"/>
    <w:rsid w:val="005122C9"/>
    <w:rsid w:val="005135E3"/>
    <w:rsid w:val="00513B9B"/>
    <w:rsid w:val="00513E16"/>
    <w:rsid w:val="0051457F"/>
    <w:rsid w:val="0051478C"/>
    <w:rsid w:val="005148B7"/>
    <w:rsid w:val="00515124"/>
    <w:rsid w:val="005156F8"/>
    <w:rsid w:val="00515920"/>
    <w:rsid w:val="00516718"/>
    <w:rsid w:val="005170A1"/>
    <w:rsid w:val="00517720"/>
    <w:rsid w:val="00517DFD"/>
    <w:rsid w:val="00520986"/>
    <w:rsid w:val="00520A2B"/>
    <w:rsid w:val="00520AEC"/>
    <w:rsid w:val="00520D6A"/>
    <w:rsid w:val="00521979"/>
    <w:rsid w:val="00521B12"/>
    <w:rsid w:val="00521D45"/>
    <w:rsid w:val="0052210F"/>
    <w:rsid w:val="005223A2"/>
    <w:rsid w:val="00522A5F"/>
    <w:rsid w:val="00522D2D"/>
    <w:rsid w:val="00522EA8"/>
    <w:rsid w:val="00523732"/>
    <w:rsid w:val="00523928"/>
    <w:rsid w:val="005239BF"/>
    <w:rsid w:val="005240E2"/>
    <w:rsid w:val="005243BC"/>
    <w:rsid w:val="005249C3"/>
    <w:rsid w:val="00524F10"/>
    <w:rsid w:val="00524F16"/>
    <w:rsid w:val="00525B71"/>
    <w:rsid w:val="00525EBA"/>
    <w:rsid w:val="005264F2"/>
    <w:rsid w:val="00526858"/>
    <w:rsid w:val="0052696C"/>
    <w:rsid w:val="005273C5"/>
    <w:rsid w:val="00527654"/>
    <w:rsid w:val="00527B95"/>
    <w:rsid w:val="00527D74"/>
    <w:rsid w:val="00530A57"/>
    <w:rsid w:val="005321FA"/>
    <w:rsid w:val="00532DA1"/>
    <w:rsid w:val="00532DCA"/>
    <w:rsid w:val="005332E5"/>
    <w:rsid w:val="00533761"/>
    <w:rsid w:val="00534D6A"/>
    <w:rsid w:val="00535ACD"/>
    <w:rsid w:val="00535F48"/>
    <w:rsid w:val="00536FB4"/>
    <w:rsid w:val="00537220"/>
    <w:rsid w:val="0053772E"/>
    <w:rsid w:val="0054001C"/>
    <w:rsid w:val="0054022F"/>
    <w:rsid w:val="00540AEC"/>
    <w:rsid w:val="00541BFA"/>
    <w:rsid w:val="00542331"/>
    <w:rsid w:val="005425B7"/>
    <w:rsid w:val="00542A84"/>
    <w:rsid w:val="00542D82"/>
    <w:rsid w:val="005438D9"/>
    <w:rsid w:val="00544293"/>
    <w:rsid w:val="00544A25"/>
    <w:rsid w:val="00544D58"/>
    <w:rsid w:val="00545090"/>
    <w:rsid w:val="0054556D"/>
    <w:rsid w:val="00545774"/>
    <w:rsid w:val="00545C59"/>
    <w:rsid w:val="00547ED6"/>
    <w:rsid w:val="00550001"/>
    <w:rsid w:val="0055077F"/>
    <w:rsid w:val="00551367"/>
    <w:rsid w:val="00551B9E"/>
    <w:rsid w:val="00552095"/>
    <w:rsid w:val="005522E8"/>
    <w:rsid w:val="005537A8"/>
    <w:rsid w:val="00553979"/>
    <w:rsid w:val="0055470D"/>
    <w:rsid w:val="00555521"/>
    <w:rsid w:val="005556B9"/>
    <w:rsid w:val="00555FA2"/>
    <w:rsid w:val="005563C7"/>
    <w:rsid w:val="00556903"/>
    <w:rsid w:val="00556A65"/>
    <w:rsid w:val="00556CEE"/>
    <w:rsid w:val="00557B82"/>
    <w:rsid w:val="00557FE2"/>
    <w:rsid w:val="00560A65"/>
    <w:rsid w:val="00560B35"/>
    <w:rsid w:val="005612CB"/>
    <w:rsid w:val="005613DE"/>
    <w:rsid w:val="00561791"/>
    <w:rsid w:val="00561BC8"/>
    <w:rsid w:val="0056224C"/>
    <w:rsid w:val="00562714"/>
    <w:rsid w:val="00562A00"/>
    <w:rsid w:val="00562BA1"/>
    <w:rsid w:val="005645BC"/>
    <w:rsid w:val="00565B11"/>
    <w:rsid w:val="00565F3F"/>
    <w:rsid w:val="005669B6"/>
    <w:rsid w:val="00566CA2"/>
    <w:rsid w:val="005671D3"/>
    <w:rsid w:val="005673B1"/>
    <w:rsid w:val="00567667"/>
    <w:rsid w:val="00567B93"/>
    <w:rsid w:val="00567E98"/>
    <w:rsid w:val="0057039B"/>
    <w:rsid w:val="005718E4"/>
    <w:rsid w:val="005722F7"/>
    <w:rsid w:val="005734DD"/>
    <w:rsid w:val="0057363A"/>
    <w:rsid w:val="00573A74"/>
    <w:rsid w:val="00573CEC"/>
    <w:rsid w:val="00573E14"/>
    <w:rsid w:val="00575560"/>
    <w:rsid w:val="00575EFB"/>
    <w:rsid w:val="00576709"/>
    <w:rsid w:val="005775BD"/>
    <w:rsid w:val="0058052F"/>
    <w:rsid w:val="00581AB7"/>
    <w:rsid w:val="00581E66"/>
    <w:rsid w:val="005821F1"/>
    <w:rsid w:val="00582B6F"/>
    <w:rsid w:val="005836B3"/>
    <w:rsid w:val="005843DE"/>
    <w:rsid w:val="00584E14"/>
    <w:rsid w:val="00585AFC"/>
    <w:rsid w:val="005864D7"/>
    <w:rsid w:val="005865E8"/>
    <w:rsid w:val="00586E5C"/>
    <w:rsid w:val="005873A2"/>
    <w:rsid w:val="005879CE"/>
    <w:rsid w:val="00587C17"/>
    <w:rsid w:val="005903DA"/>
    <w:rsid w:val="0059065F"/>
    <w:rsid w:val="00590AAA"/>
    <w:rsid w:val="00590AE5"/>
    <w:rsid w:val="00590E1B"/>
    <w:rsid w:val="00590E79"/>
    <w:rsid w:val="00591E85"/>
    <w:rsid w:val="00591EC9"/>
    <w:rsid w:val="00592134"/>
    <w:rsid w:val="00592E50"/>
    <w:rsid w:val="0059462B"/>
    <w:rsid w:val="005946FC"/>
    <w:rsid w:val="00594C5D"/>
    <w:rsid w:val="00594D8E"/>
    <w:rsid w:val="005951B4"/>
    <w:rsid w:val="00596587"/>
    <w:rsid w:val="00596C3C"/>
    <w:rsid w:val="00597273"/>
    <w:rsid w:val="005A027F"/>
    <w:rsid w:val="005A04DC"/>
    <w:rsid w:val="005A056A"/>
    <w:rsid w:val="005A1396"/>
    <w:rsid w:val="005A170B"/>
    <w:rsid w:val="005A2724"/>
    <w:rsid w:val="005A2E77"/>
    <w:rsid w:val="005A3CB0"/>
    <w:rsid w:val="005A5703"/>
    <w:rsid w:val="005A596D"/>
    <w:rsid w:val="005A5A67"/>
    <w:rsid w:val="005A5C46"/>
    <w:rsid w:val="005A6086"/>
    <w:rsid w:val="005A63A5"/>
    <w:rsid w:val="005A6BBD"/>
    <w:rsid w:val="005A6E32"/>
    <w:rsid w:val="005B077D"/>
    <w:rsid w:val="005B1576"/>
    <w:rsid w:val="005B15C6"/>
    <w:rsid w:val="005B25E4"/>
    <w:rsid w:val="005B262F"/>
    <w:rsid w:val="005B284E"/>
    <w:rsid w:val="005B2931"/>
    <w:rsid w:val="005B3244"/>
    <w:rsid w:val="005B33D5"/>
    <w:rsid w:val="005B364D"/>
    <w:rsid w:val="005B3C7A"/>
    <w:rsid w:val="005B4C15"/>
    <w:rsid w:val="005B538E"/>
    <w:rsid w:val="005B5852"/>
    <w:rsid w:val="005B5E7C"/>
    <w:rsid w:val="005B5F9C"/>
    <w:rsid w:val="005B6BF3"/>
    <w:rsid w:val="005B768A"/>
    <w:rsid w:val="005B7D0B"/>
    <w:rsid w:val="005C0180"/>
    <w:rsid w:val="005C0482"/>
    <w:rsid w:val="005C0B93"/>
    <w:rsid w:val="005C0C67"/>
    <w:rsid w:val="005C0E79"/>
    <w:rsid w:val="005C1178"/>
    <w:rsid w:val="005C218B"/>
    <w:rsid w:val="005C32BD"/>
    <w:rsid w:val="005C3FE2"/>
    <w:rsid w:val="005C4B9E"/>
    <w:rsid w:val="005C4BB4"/>
    <w:rsid w:val="005C4DB9"/>
    <w:rsid w:val="005C56AE"/>
    <w:rsid w:val="005C58E9"/>
    <w:rsid w:val="005C6BE7"/>
    <w:rsid w:val="005C6F57"/>
    <w:rsid w:val="005C7DD4"/>
    <w:rsid w:val="005C7F75"/>
    <w:rsid w:val="005D090C"/>
    <w:rsid w:val="005D0A7F"/>
    <w:rsid w:val="005D11B0"/>
    <w:rsid w:val="005D1539"/>
    <w:rsid w:val="005D159E"/>
    <w:rsid w:val="005D183F"/>
    <w:rsid w:val="005D1ED7"/>
    <w:rsid w:val="005D3199"/>
    <w:rsid w:val="005D3443"/>
    <w:rsid w:val="005D382E"/>
    <w:rsid w:val="005D3D9A"/>
    <w:rsid w:val="005D480D"/>
    <w:rsid w:val="005D492B"/>
    <w:rsid w:val="005D4A01"/>
    <w:rsid w:val="005D4AB2"/>
    <w:rsid w:val="005D52EA"/>
    <w:rsid w:val="005D57CF"/>
    <w:rsid w:val="005D5B95"/>
    <w:rsid w:val="005D5F7F"/>
    <w:rsid w:val="005D67B1"/>
    <w:rsid w:val="005D6CBA"/>
    <w:rsid w:val="005D78A9"/>
    <w:rsid w:val="005D7B16"/>
    <w:rsid w:val="005E0645"/>
    <w:rsid w:val="005E1639"/>
    <w:rsid w:val="005E22F9"/>
    <w:rsid w:val="005E3246"/>
    <w:rsid w:val="005E3B80"/>
    <w:rsid w:val="005E4068"/>
    <w:rsid w:val="005E52A2"/>
    <w:rsid w:val="005E52CE"/>
    <w:rsid w:val="005E59E5"/>
    <w:rsid w:val="005E5EEF"/>
    <w:rsid w:val="005E6024"/>
    <w:rsid w:val="005E6096"/>
    <w:rsid w:val="005E628A"/>
    <w:rsid w:val="005F03A0"/>
    <w:rsid w:val="005F0F65"/>
    <w:rsid w:val="005F1450"/>
    <w:rsid w:val="005F1944"/>
    <w:rsid w:val="005F1A93"/>
    <w:rsid w:val="005F1F0F"/>
    <w:rsid w:val="005F23F6"/>
    <w:rsid w:val="005F25AD"/>
    <w:rsid w:val="005F2675"/>
    <w:rsid w:val="005F2AE9"/>
    <w:rsid w:val="005F35BD"/>
    <w:rsid w:val="005F3C12"/>
    <w:rsid w:val="005F3E9E"/>
    <w:rsid w:val="005F4034"/>
    <w:rsid w:val="005F4BF0"/>
    <w:rsid w:val="005F554A"/>
    <w:rsid w:val="005F5F63"/>
    <w:rsid w:val="005F6AA5"/>
    <w:rsid w:val="005F7C4A"/>
    <w:rsid w:val="005F7CB6"/>
    <w:rsid w:val="005F7E53"/>
    <w:rsid w:val="005F7F44"/>
    <w:rsid w:val="00600963"/>
    <w:rsid w:val="00600EDA"/>
    <w:rsid w:val="0060141E"/>
    <w:rsid w:val="00602512"/>
    <w:rsid w:val="00602C70"/>
    <w:rsid w:val="006033D8"/>
    <w:rsid w:val="006038C2"/>
    <w:rsid w:val="006039E5"/>
    <w:rsid w:val="00603FB5"/>
    <w:rsid w:val="00604CDA"/>
    <w:rsid w:val="00605177"/>
    <w:rsid w:val="006061AB"/>
    <w:rsid w:val="00606506"/>
    <w:rsid w:val="006073A2"/>
    <w:rsid w:val="00610BE2"/>
    <w:rsid w:val="00611907"/>
    <w:rsid w:val="00611ECB"/>
    <w:rsid w:val="00611F66"/>
    <w:rsid w:val="0061206D"/>
    <w:rsid w:val="00612564"/>
    <w:rsid w:val="00612859"/>
    <w:rsid w:val="00612889"/>
    <w:rsid w:val="00613104"/>
    <w:rsid w:val="00613AEE"/>
    <w:rsid w:val="0061465D"/>
    <w:rsid w:val="0061481F"/>
    <w:rsid w:val="0061484F"/>
    <w:rsid w:val="006149B0"/>
    <w:rsid w:val="00614E50"/>
    <w:rsid w:val="00616190"/>
    <w:rsid w:val="0061699E"/>
    <w:rsid w:val="006175EE"/>
    <w:rsid w:val="0061779A"/>
    <w:rsid w:val="00617801"/>
    <w:rsid w:val="006202E4"/>
    <w:rsid w:val="00620368"/>
    <w:rsid w:val="006203E7"/>
    <w:rsid w:val="00620B9D"/>
    <w:rsid w:val="00620EC2"/>
    <w:rsid w:val="0062171E"/>
    <w:rsid w:val="006217B5"/>
    <w:rsid w:val="006223C8"/>
    <w:rsid w:val="006232AB"/>
    <w:rsid w:val="00623B5A"/>
    <w:rsid w:val="00623C20"/>
    <w:rsid w:val="006241A4"/>
    <w:rsid w:val="0062467A"/>
    <w:rsid w:val="0062484A"/>
    <w:rsid w:val="00624879"/>
    <w:rsid w:val="006248A5"/>
    <w:rsid w:val="00624B38"/>
    <w:rsid w:val="006252F7"/>
    <w:rsid w:val="00625D0C"/>
    <w:rsid w:val="00626598"/>
    <w:rsid w:val="00627518"/>
    <w:rsid w:val="006319E2"/>
    <w:rsid w:val="00631F61"/>
    <w:rsid w:val="0063249F"/>
    <w:rsid w:val="00632558"/>
    <w:rsid w:val="0063380B"/>
    <w:rsid w:val="00633A17"/>
    <w:rsid w:val="00634014"/>
    <w:rsid w:val="0063427D"/>
    <w:rsid w:val="0063555B"/>
    <w:rsid w:val="006357AD"/>
    <w:rsid w:val="006367EE"/>
    <w:rsid w:val="00636B92"/>
    <w:rsid w:val="00637BDB"/>
    <w:rsid w:val="00637DED"/>
    <w:rsid w:val="00637E0D"/>
    <w:rsid w:val="006402E9"/>
    <w:rsid w:val="00640D2E"/>
    <w:rsid w:val="00641CA2"/>
    <w:rsid w:val="006421B5"/>
    <w:rsid w:val="00642820"/>
    <w:rsid w:val="00642CDD"/>
    <w:rsid w:val="00643042"/>
    <w:rsid w:val="00643289"/>
    <w:rsid w:val="00643968"/>
    <w:rsid w:val="00644788"/>
    <w:rsid w:val="00644DDE"/>
    <w:rsid w:val="00645EF3"/>
    <w:rsid w:val="006471AD"/>
    <w:rsid w:val="00647ED9"/>
    <w:rsid w:val="00650CB5"/>
    <w:rsid w:val="00651843"/>
    <w:rsid w:val="006518CE"/>
    <w:rsid w:val="00651A40"/>
    <w:rsid w:val="00651A85"/>
    <w:rsid w:val="00651E31"/>
    <w:rsid w:val="006525CA"/>
    <w:rsid w:val="00653246"/>
    <w:rsid w:val="00653CFF"/>
    <w:rsid w:val="0065495A"/>
    <w:rsid w:val="00655398"/>
    <w:rsid w:val="00655895"/>
    <w:rsid w:val="006559F1"/>
    <w:rsid w:val="0065661A"/>
    <w:rsid w:val="006567EA"/>
    <w:rsid w:val="006568FB"/>
    <w:rsid w:val="00656A55"/>
    <w:rsid w:val="00656C86"/>
    <w:rsid w:val="00656D3F"/>
    <w:rsid w:val="00657786"/>
    <w:rsid w:val="00660A00"/>
    <w:rsid w:val="0066264D"/>
    <w:rsid w:val="00663429"/>
    <w:rsid w:val="0066395F"/>
    <w:rsid w:val="00663A24"/>
    <w:rsid w:val="00663AAE"/>
    <w:rsid w:val="00663CC3"/>
    <w:rsid w:val="00663CE2"/>
    <w:rsid w:val="006640A5"/>
    <w:rsid w:val="0066413C"/>
    <w:rsid w:val="00664451"/>
    <w:rsid w:val="006648EE"/>
    <w:rsid w:val="00664CB3"/>
    <w:rsid w:val="00664E67"/>
    <w:rsid w:val="006656CD"/>
    <w:rsid w:val="00667C52"/>
    <w:rsid w:val="0067025F"/>
    <w:rsid w:val="00670470"/>
    <w:rsid w:val="00670CAF"/>
    <w:rsid w:val="00670CB2"/>
    <w:rsid w:val="006711F7"/>
    <w:rsid w:val="00671B7B"/>
    <w:rsid w:val="0067252E"/>
    <w:rsid w:val="00672640"/>
    <w:rsid w:val="00672657"/>
    <w:rsid w:val="0067380D"/>
    <w:rsid w:val="00673952"/>
    <w:rsid w:val="0067403B"/>
    <w:rsid w:val="006746C2"/>
    <w:rsid w:val="00674F31"/>
    <w:rsid w:val="00675394"/>
    <w:rsid w:val="00675DA6"/>
    <w:rsid w:val="00676935"/>
    <w:rsid w:val="00676A80"/>
    <w:rsid w:val="00677B44"/>
    <w:rsid w:val="00677BBA"/>
    <w:rsid w:val="00680048"/>
    <w:rsid w:val="00680B62"/>
    <w:rsid w:val="006823F9"/>
    <w:rsid w:val="006838F2"/>
    <w:rsid w:val="00683965"/>
    <w:rsid w:val="00683AD2"/>
    <w:rsid w:val="00685154"/>
    <w:rsid w:val="006851C5"/>
    <w:rsid w:val="006858FD"/>
    <w:rsid w:val="006863F7"/>
    <w:rsid w:val="006864B9"/>
    <w:rsid w:val="00686D15"/>
    <w:rsid w:val="00687BC5"/>
    <w:rsid w:val="00687BD2"/>
    <w:rsid w:val="00690C1E"/>
    <w:rsid w:val="00690F4D"/>
    <w:rsid w:val="00691657"/>
    <w:rsid w:val="00691F52"/>
    <w:rsid w:val="00691FAE"/>
    <w:rsid w:val="0069216D"/>
    <w:rsid w:val="00692235"/>
    <w:rsid w:val="0069245D"/>
    <w:rsid w:val="00693403"/>
    <w:rsid w:val="0069391C"/>
    <w:rsid w:val="00694B5E"/>
    <w:rsid w:val="0069582C"/>
    <w:rsid w:val="00695919"/>
    <w:rsid w:val="00695FC2"/>
    <w:rsid w:val="00696939"/>
    <w:rsid w:val="00696AA2"/>
    <w:rsid w:val="006A0220"/>
    <w:rsid w:val="006A0862"/>
    <w:rsid w:val="006A0FF2"/>
    <w:rsid w:val="006A1881"/>
    <w:rsid w:val="006A1C00"/>
    <w:rsid w:val="006A1FF0"/>
    <w:rsid w:val="006A2270"/>
    <w:rsid w:val="006A28B4"/>
    <w:rsid w:val="006A2A62"/>
    <w:rsid w:val="006A2DF1"/>
    <w:rsid w:val="006A3322"/>
    <w:rsid w:val="006A337F"/>
    <w:rsid w:val="006A3699"/>
    <w:rsid w:val="006A36A6"/>
    <w:rsid w:val="006A3C85"/>
    <w:rsid w:val="006A3FCE"/>
    <w:rsid w:val="006A69A6"/>
    <w:rsid w:val="006A75E5"/>
    <w:rsid w:val="006A7EA1"/>
    <w:rsid w:val="006B03F4"/>
    <w:rsid w:val="006B0508"/>
    <w:rsid w:val="006B0DDF"/>
    <w:rsid w:val="006B1D30"/>
    <w:rsid w:val="006B1E43"/>
    <w:rsid w:val="006B3218"/>
    <w:rsid w:val="006B4273"/>
    <w:rsid w:val="006B465E"/>
    <w:rsid w:val="006B4C02"/>
    <w:rsid w:val="006B5B90"/>
    <w:rsid w:val="006B61B6"/>
    <w:rsid w:val="006C0BB1"/>
    <w:rsid w:val="006C1BBF"/>
    <w:rsid w:val="006C21EC"/>
    <w:rsid w:val="006C27B8"/>
    <w:rsid w:val="006C28B3"/>
    <w:rsid w:val="006C2E97"/>
    <w:rsid w:val="006C3683"/>
    <w:rsid w:val="006C4219"/>
    <w:rsid w:val="006C430A"/>
    <w:rsid w:val="006C4A7F"/>
    <w:rsid w:val="006C4D43"/>
    <w:rsid w:val="006C517B"/>
    <w:rsid w:val="006C53A7"/>
    <w:rsid w:val="006C639E"/>
    <w:rsid w:val="006C6A98"/>
    <w:rsid w:val="006C6DCA"/>
    <w:rsid w:val="006C6E18"/>
    <w:rsid w:val="006D011A"/>
    <w:rsid w:val="006D08ED"/>
    <w:rsid w:val="006D0E32"/>
    <w:rsid w:val="006D1F33"/>
    <w:rsid w:val="006D30AE"/>
    <w:rsid w:val="006D37DE"/>
    <w:rsid w:val="006D4A91"/>
    <w:rsid w:val="006D4E56"/>
    <w:rsid w:val="006D50E2"/>
    <w:rsid w:val="006D55A8"/>
    <w:rsid w:val="006D59CC"/>
    <w:rsid w:val="006D5F21"/>
    <w:rsid w:val="006D640B"/>
    <w:rsid w:val="006D65C6"/>
    <w:rsid w:val="006D65F6"/>
    <w:rsid w:val="006D6CFC"/>
    <w:rsid w:val="006D6D75"/>
    <w:rsid w:val="006E01B0"/>
    <w:rsid w:val="006E05AC"/>
    <w:rsid w:val="006E0707"/>
    <w:rsid w:val="006E179B"/>
    <w:rsid w:val="006E186B"/>
    <w:rsid w:val="006E1C29"/>
    <w:rsid w:val="006E1F5B"/>
    <w:rsid w:val="006E274E"/>
    <w:rsid w:val="006E30BA"/>
    <w:rsid w:val="006E31DE"/>
    <w:rsid w:val="006E3DF9"/>
    <w:rsid w:val="006E42EE"/>
    <w:rsid w:val="006E4EDB"/>
    <w:rsid w:val="006E56F7"/>
    <w:rsid w:val="006E5905"/>
    <w:rsid w:val="006E5959"/>
    <w:rsid w:val="006E5D53"/>
    <w:rsid w:val="006E68F6"/>
    <w:rsid w:val="006E6BDD"/>
    <w:rsid w:val="006E6CA4"/>
    <w:rsid w:val="006E75C8"/>
    <w:rsid w:val="006F0026"/>
    <w:rsid w:val="006F0ABD"/>
    <w:rsid w:val="006F0C77"/>
    <w:rsid w:val="006F0DD5"/>
    <w:rsid w:val="006F0FA7"/>
    <w:rsid w:val="006F16C6"/>
    <w:rsid w:val="006F1841"/>
    <w:rsid w:val="006F281A"/>
    <w:rsid w:val="006F3518"/>
    <w:rsid w:val="006F3AD1"/>
    <w:rsid w:val="006F46D7"/>
    <w:rsid w:val="006F49FA"/>
    <w:rsid w:val="006F4AC6"/>
    <w:rsid w:val="006F4E14"/>
    <w:rsid w:val="006F5394"/>
    <w:rsid w:val="006F5965"/>
    <w:rsid w:val="006F64BC"/>
    <w:rsid w:val="006F6D5E"/>
    <w:rsid w:val="006F6EDE"/>
    <w:rsid w:val="006F6F7B"/>
    <w:rsid w:val="006F73F9"/>
    <w:rsid w:val="006F7525"/>
    <w:rsid w:val="006F7E12"/>
    <w:rsid w:val="00700064"/>
    <w:rsid w:val="007000C3"/>
    <w:rsid w:val="00700757"/>
    <w:rsid w:val="00700DBD"/>
    <w:rsid w:val="007021AE"/>
    <w:rsid w:val="00702325"/>
    <w:rsid w:val="00702424"/>
    <w:rsid w:val="0070300D"/>
    <w:rsid w:val="00703215"/>
    <w:rsid w:val="00703452"/>
    <w:rsid w:val="00703AA2"/>
    <w:rsid w:val="00704105"/>
    <w:rsid w:val="00704716"/>
    <w:rsid w:val="007047B9"/>
    <w:rsid w:val="007048D9"/>
    <w:rsid w:val="00704F34"/>
    <w:rsid w:val="00705134"/>
    <w:rsid w:val="0070550E"/>
    <w:rsid w:val="007061A2"/>
    <w:rsid w:val="00706669"/>
    <w:rsid w:val="00706E26"/>
    <w:rsid w:val="00707A73"/>
    <w:rsid w:val="00707E46"/>
    <w:rsid w:val="00710306"/>
    <w:rsid w:val="007108C4"/>
    <w:rsid w:val="0071175A"/>
    <w:rsid w:val="00711858"/>
    <w:rsid w:val="00712454"/>
    <w:rsid w:val="007126AD"/>
    <w:rsid w:val="00712786"/>
    <w:rsid w:val="00712B8E"/>
    <w:rsid w:val="007130E5"/>
    <w:rsid w:val="007134AF"/>
    <w:rsid w:val="00713797"/>
    <w:rsid w:val="007139E1"/>
    <w:rsid w:val="00713AD7"/>
    <w:rsid w:val="00713DD7"/>
    <w:rsid w:val="00713EF5"/>
    <w:rsid w:val="00714623"/>
    <w:rsid w:val="00714CB3"/>
    <w:rsid w:val="007155C4"/>
    <w:rsid w:val="00715DE3"/>
    <w:rsid w:val="00716967"/>
    <w:rsid w:val="00716C39"/>
    <w:rsid w:val="0071756C"/>
    <w:rsid w:val="00717EFC"/>
    <w:rsid w:val="007209CA"/>
    <w:rsid w:val="00720A9D"/>
    <w:rsid w:val="00720AF5"/>
    <w:rsid w:val="0072241B"/>
    <w:rsid w:val="00722545"/>
    <w:rsid w:val="007230A2"/>
    <w:rsid w:val="0072381D"/>
    <w:rsid w:val="00724B2B"/>
    <w:rsid w:val="00724C36"/>
    <w:rsid w:val="00725221"/>
    <w:rsid w:val="007253FC"/>
    <w:rsid w:val="007256AE"/>
    <w:rsid w:val="00727068"/>
    <w:rsid w:val="0073037E"/>
    <w:rsid w:val="00730630"/>
    <w:rsid w:val="00730E8B"/>
    <w:rsid w:val="007310BA"/>
    <w:rsid w:val="00732096"/>
    <w:rsid w:val="007325E8"/>
    <w:rsid w:val="00732AF0"/>
    <w:rsid w:val="007330F1"/>
    <w:rsid w:val="00733486"/>
    <w:rsid w:val="00733B7C"/>
    <w:rsid w:val="00733E15"/>
    <w:rsid w:val="0073407F"/>
    <w:rsid w:val="0073698D"/>
    <w:rsid w:val="0073773C"/>
    <w:rsid w:val="007404F6"/>
    <w:rsid w:val="00740CF3"/>
    <w:rsid w:val="00740FAA"/>
    <w:rsid w:val="00741E43"/>
    <w:rsid w:val="00742E9A"/>
    <w:rsid w:val="00743624"/>
    <w:rsid w:val="0074395E"/>
    <w:rsid w:val="00743DDA"/>
    <w:rsid w:val="00743E9B"/>
    <w:rsid w:val="007441CD"/>
    <w:rsid w:val="00744238"/>
    <w:rsid w:val="0074470E"/>
    <w:rsid w:val="007448EB"/>
    <w:rsid w:val="0074497A"/>
    <w:rsid w:val="00745115"/>
    <w:rsid w:val="007459A0"/>
    <w:rsid w:val="0074622B"/>
    <w:rsid w:val="00746833"/>
    <w:rsid w:val="00746BE4"/>
    <w:rsid w:val="00747F8F"/>
    <w:rsid w:val="0075010A"/>
    <w:rsid w:val="00750201"/>
    <w:rsid w:val="00750656"/>
    <w:rsid w:val="0075089C"/>
    <w:rsid w:val="00751236"/>
    <w:rsid w:val="007517B7"/>
    <w:rsid w:val="00752203"/>
    <w:rsid w:val="007529AB"/>
    <w:rsid w:val="00752ABC"/>
    <w:rsid w:val="00753013"/>
    <w:rsid w:val="007532C4"/>
    <w:rsid w:val="0075333E"/>
    <w:rsid w:val="00753510"/>
    <w:rsid w:val="00753595"/>
    <w:rsid w:val="0075361B"/>
    <w:rsid w:val="0075395E"/>
    <w:rsid w:val="00753C00"/>
    <w:rsid w:val="00753F07"/>
    <w:rsid w:val="00754528"/>
    <w:rsid w:val="00755869"/>
    <w:rsid w:val="00755EFD"/>
    <w:rsid w:val="007566AD"/>
    <w:rsid w:val="00756B5E"/>
    <w:rsid w:val="0075742F"/>
    <w:rsid w:val="00757606"/>
    <w:rsid w:val="00760C74"/>
    <w:rsid w:val="007610DE"/>
    <w:rsid w:val="00761E28"/>
    <w:rsid w:val="00762163"/>
    <w:rsid w:val="00762781"/>
    <w:rsid w:val="00762AAA"/>
    <w:rsid w:val="00762D2A"/>
    <w:rsid w:val="00762EEE"/>
    <w:rsid w:val="00763108"/>
    <w:rsid w:val="00763D6B"/>
    <w:rsid w:val="00764220"/>
    <w:rsid w:val="00764E1E"/>
    <w:rsid w:val="00764EA9"/>
    <w:rsid w:val="007654FF"/>
    <w:rsid w:val="007655CF"/>
    <w:rsid w:val="00765639"/>
    <w:rsid w:val="00765667"/>
    <w:rsid w:val="00766596"/>
    <w:rsid w:val="00767A30"/>
    <w:rsid w:val="00770346"/>
    <w:rsid w:val="00770A4B"/>
    <w:rsid w:val="00770EDF"/>
    <w:rsid w:val="0077130C"/>
    <w:rsid w:val="00771448"/>
    <w:rsid w:val="00771C4F"/>
    <w:rsid w:val="00773D1C"/>
    <w:rsid w:val="0077410A"/>
    <w:rsid w:val="007745B8"/>
    <w:rsid w:val="00774CC9"/>
    <w:rsid w:val="00774FF9"/>
    <w:rsid w:val="00775190"/>
    <w:rsid w:val="00775B79"/>
    <w:rsid w:val="00776DEF"/>
    <w:rsid w:val="00776F23"/>
    <w:rsid w:val="00777E54"/>
    <w:rsid w:val="00780006"/>
    <w:rsid w:val="007803DA"/>
    <w:rsid w:val="007806C8"/>
    <w:rsid w:val="007806E2"/>
    <w:rsid w:val="00780DE4"/>
    <w:rsid w:val="007821CB"/>
    <w:rsid w:val="00782611"/>
    <w:rsid w:val="007828F0"/>
    <w:rsid w:val="00783D46"/>
    <w:rsid w:val="00784A64"/>
    <w:rsid w:val="00784F79"/>
    <w:rsid w:val="0078567F"/>
    <w:rsid w:val="00785957"/>
    <w:rsid w:val="007859AF"/>
    <w:rsid w:val="00786077"/>
    <w:rsid w:val="00786126"/>
    <w:rsid w:val="0078661B"/>
    <w:rsid w:val="00786DCE"/>
    <w:rsid w:val="00787CD6"/>
    <w:rsid w:val="00791237"/>
    <w:rsid w:val="007918C7"/>
    <w:rsid w:val="007921B6"/>
    <w:rsid w:val="007925DB"/>
    <w:rsid w:val="00792BE8"/>
    <w:rsid w:val="00793221"/>
    <w:rsid w:val="007932B7"/>
    <w:rsid w:val="007939B9"/>
    <w:rsid w:val="00793C49"/>
    <w:rsid w:val="00793F19"/>
    <w:rsid w:val="0079561B"/>
    <w:rsid w:val="00796004"/>
    <w:rsid w:val="00796CBE"/>
    <w:rsid w:val="007970F0"/>
    <w:rsid w:val="00797B9A"/>
    <w:rsid w:val="007A018D"/>
    <w:rsid w:val="007A070E"/>
    <w:rsid w:val="007A0803"/>
    <w:rsid w:val="007A0FDA"/>
    <w:rsid w:val="007A105F"/>
    <w:rsid w:val="007A1B85"/>
    <w:rsid w:val="007A1F02"/>
    <w:rsid w:val="007A30C3"/>
    <w:rsid w:val="007A378E"/>
    <w:rsid w:val="007A37FC"/>
    <w:rsid w:val="007A3EB9"/>
    <w:rsid w:val="007A40D5"/>
    <w:rsid w:val="007A4247"/>
    <w:rsid w:val="007A4CE1"/>
    <w:rsid w:val="007A4F77"/>
    <w:rsid w:val="007A5BCF"/>
    <w:rsid w:val="007A5DEA"/>
    <w:rsid w:val="007A5F6D"/>
    <w:rsid w:val="007A68F8"/>
    <w:rsid w:val="007A6B74"/>
    <w:rsid w:val="007A6CCB"/>
    <w:rsid w:val="007A7070"/>
    <w:rsid w:val="007A7A96"/>
    <w:rsid w:val="007B0C52"/>
    <w:rsid w:val="007B0F14"/>
    <w:rsid w:val="007B2C5F"/>
    <w:rsid w:val="007B2E7B"/>
    <w:rsid w:val="007B2EDD"/>
    <w:rsid w:val="007B329E"/>
    <w:rsid w:val="007B32C3"/>
    <w:rsid w:val="007B3852"/>
    <w:rsid w:val="007B4ACC"/>
    <w:rsid w:val="007B606F"/>
    <w:rsid w:val="007B6FFC"/>
    <w:rsid w:val="007B70F8"/>
    <w:rsid w:val="007B7647"/>
    <w:rsid w:val="007C03C1"/>
    <w:rsid w:val="007C1853"/>
    <w:rsid w:val="007C2455"/>
    <w:rsid w:val="007C2733"/>
    <w:rsid w:val="007C27F7"/>
    <w:rsid w:val="007C29FE"/>
    <w:rsid w:val="007C31D4"/>
    <w:rsid w:val="007C3A08"/>
    <w:rsid w:val="007C4104"/>
    <w:rsid w:val="007C4344"/>
    <w:rsid w:val="007C4475"/>
    <w:rsid w:val="007C4B4F"/>
    <w:rsid w:val="007C55FB"/>
    <w:rsid w:val="007C572F"/>
    <w:rsid w:val="007C5931"/>
    <w:rsid w:val="007C63AC"/>
    <w:rsid w:val="007C6547"/>
    <w:rsid w:val="007C678B"/>
    <w:rsid w:val="007C68F2"/>
    <w:rsid w:val="007C6A7E"/>
    <w:rsid w:val="007C6E5F"/>
    <w:rsid w:val="007C710F"/>
    <w:rsid w:val="007D032D"/>
    <w:rsid w:val="007D0EB0"/>
    <w:rsid w:val="007D13B3"/>
    <w:rsid w:val="007D18C4"/>
    <w:rsid w:val="007D1D37"/>
    <w:rsid w:val="007D29A9"/>
    <w:rsid w:val="007D313A"/>
    <w:rsid w:val="007D33EE"/>
    <w:rsid w:val="007D35C8"/>
    <w:rsid w:val="007D37E2"/>
    <w:rsid w:val="007D3F50"/>
    <w:rsid w:val="007D46E7"/>
    <w:rsid w:val="007D4B01"/>
    <w:rsid w:val="007D5C58"/>
    <w:rsid w:val="007D6396"/>
    <w:rsid w:val="007D759F"/>
    <w:rsid w:val="007D790F"/>
    <w:rsid w:val="007D79DD"/>
    <w:rsid w:val="007D7FC1"/>
    <w:rsid w:val="007E02B0"/>
    <w:rsid w:val="007E07DF"/>
    <w:rsid w:val="007E08CB"/>
    <w:rsid w:val="007E091B"/>
    <w:rsid w:val="007E12AC"/>
    <w:rsid w:val="007E157B"/>
    <w:rsid w:val="007E1645"/>
    <w:rsid w:val="007E1DDF"/>
    <w:rsid w:val="007E2DE9"/>
    <w:rsid w:val="007E31F7"/>
    <w:rsid w:val="007E3938"/>
    <w:rsid w:val="007E3B63"/>
    <w:rsid w:val="007E4048"/>
    <w:rsid w:val="007E509F"/>
    <w:rsid w:val="007E50FE"/>
    <w:rsid w:val="007E5278"/>
    <w:rsid w:val="007E56F8"/>
    <w:rsid w:val="007E61D5"/>
    <w:rsid w:val="007E6FAC"/>
    <w:rsid w:val="007E7259"/>
    <w:rsid w:val="007E7CEF"/>
    <w:rsid w:val="007E7D17"/>
    <w:rsid w:val="007E7F1F"/>
    <w:rsid w:val="007F0296"/>
    <w:rsid w:val="007F0369"/>
    <w:rsid w:val="007F03F2"/>
    <w:rsid w:val="007F0668"/>
    <w:rsid w:val="007F1C9E"/>
    <w:rsid w:val="007F2389"/>
    <w:rsid w:val="007F23F4"/>
    <w:rsid w:val="007F2717"/>
    <w:rsid w:val="007F274F"/>
    <w:rsid w:val="007F2CAA"/>
    <w:rsid w:val="007F3CEE"/>
    <w:rsid w:val="007F3E32"/>
    <w:rsid w:val="007F4305"/>
    <w:rsid w:val="007F437A"/>
    <w:rsid w:val="007F59E8"/>
    <w:rsid w:val="007F758D"/>
    <w:rsid w:val="007F773C"/>
    <w:rsid w:val="007F7CD0"/>
    <w:rsid w:val="008009A3"/>
    <w:rsid w:val="008024B6"/>
    <w:rsid w:val="00803E46"/>
    <w:rsid w:val="00804FC0"/>
    <w:rsid w:val="00805294"/>
    <w:rsid w:val="00805811"/>
    <w:rsid w:val="00805912"/>
    <w:rsid w:val="008066FF"/>
    <w:rsid w:val="008077ED"/>
    <w:rsid w:val="00807EA9"/>
    <w:rsid w:val="0081030C"/>
    <w:rsid w:val="00810ABD"/>
    <w:rsid w:val="00810F52"/>
    <w:rsid w:val="008115F5"/>
    <w:rsid w:val="00811FCF"/>
    <w:rsid w:val="008127DD"/>
    <w:rsid w:val="008128B0"/>
    <w:rsid w:val="00812CC2"/>
    <w:rsid w:val="00812F4E"/>
    <w:rsid w:val="00812FD0"/>
    <w:rsid w:val="008130AB"/>
    <w:rsid w:val="008137A7"/>
    <w:rsid w:val="00813E36"/>
    <w:rsid w:val="0081498F"/>
    <w:rsid w:val="00814B45"/>
    <w:rsid w:val="00815BA3"/>
    <w:rsid w:val="00815D57"/>
    <w:rsid w:val="00816667"/>
    <w:rsid w:val="008168EE"/>
    <w:rsid w:val="00816B98"/>
    <w:rsid w:val="00821B45"/>
    <w:rsid w:val="00821D65"/>
    <w:rsid w:val="00822A38"/>
    <w:rsid w:val="008234C7"/>
    <w:rsid w:val="00823D15"/>
    <w:rsid w:val="00823E43"/>
    <w:rsid w:val="0082483E"/>
    <w:rsid w:val="00824ABE"/>
    <w:rsid w:val="0082503B"/>
    <w:rsid w:val="00825DDA"/>
    <w:rsid w:val="00825F2F"/>
    <w:rsid w:val="00826816"/>
    <w:rsid w:val="008268B2"/>
    <w:rsid w:val="008270C5"/>
    <w:rsid w:val="0082746C"/>
    <w:rsid w:val="00830329"/>
    <w:rsid w:val="00830E04"/>
    <w:rsid w:val="00830E50"/>
    <w:rsid w:val="008317AF"/>
    <w:rsid w:val="00831EB2"/>
    <w:rsid w:val="00832DE9"/>
    <w:rsid w:val="00832F72"/>
    <w:rsid w:val="00832FE1"/>
    <w:rsid w:val="00833085"/>
    <w:rsid w:val="008332F6"/>
    <w:rsid w:val="00833313"/>
    <w:rsid w:val="008335AE"/>
    <w:rsid w:val="00833CFE"/>
    <w:rsid w:val="00835435"/>
    <w:rsid w:val="00835FBB"/>
    <w:rsid w:val="00836363"/>
    <w:rsid w:val="0083640A"/>
    <w:rsid w:val="00836C1C"/>
    <w:rsid w:val="00837D5D"/>
    <w:rsid w:val="0084010C"/>
    <w:rsid w:val="00840BB6"/>
    <w:rsid w:val="00840F80"/>
    <w:rsid w:val="00840F9B"/>
    <w:rsid w:val="00840FFA"/>
    <w:rsid w:val="00841209"/>
    <w:rsid w:val="00842887"/>
    <w:rsid w:val="00843661"/>
    <w:rsid w:val="008440D8"/>
    <w:rsid w:val="00844430"/>
    <w:rsid w:val="008451C0"/>
    <w:rsid w:val="0084571F"/>
    <w:rsid w:val="00846047"/>
    <w:rsid w:val="0084628C"/>
    <w:rsid w:val="0084634F"/>
    <w:rsid w:val="00846585"/>
    <w:rsid w:val="00847C8A"/>
    <w:rsid w:val="00847E59"/>
    <w:rsid w:val="0085021A"/>
    <w:rsid w:val="0085046C"/>
    <w:rsid w:val="008508B1"/>
    <w:rsid w:val="00851381"/>
    <w:rsid w:val="008523DF"/>
    <w:rsid w:val="00852C63"/>
    <w:rsid w:val="00853859"/>
    <w:rsid w:val="00853FBA"/>
    <w:rsid w:val="00855C96"/>
    <w:rsid w:val="008561E0"/>
    <w:rsid w:val="008565C1"/>
    <w:rsid w:val="00856C22"/>
    <w:rsid w:val="00857046"/>
    <w:rsid w:val="0085759F"/>
    <w:rsid w:val="00857A3F"/>
    <w:rsid w:val="0086050B"/>
    <w:rsid w:val="008610CD"/>
    <w:rsid w:val="00861FC8"/>
    <w:rsid w:val="0086276A"/>
    <w:rsid w:val="00862AD0"/>
    <w:rsid w:val="00862C1D"/>
    <w:rsid w:val="00862E80"/>
    <w:rsid w:val="00863027"/>
    <w:rsid w:val="00863C2A"/>
    <w:rsid w:val="008648C4"/>
    <w:rsid w:val="00864F67"/>
    <w:rsid w:val="0086518E"/>
    <w:rsid w:val="00865322"/>
    <w:rsid w:val="008663B9"/>
    <w:rsid w:val="008667FA"/>
    <w:rsid w:val="008669C3"/>
    <w:rsid w:val="00866A16"/>
    <w:rsid w:val="008675E4"/>
    <w:rsid w:val="00867E2C"/>
    <w:rsid w:val="00870886"/>
    <w:rsid w:val="008708DF"/>
    <w:rsid w:val="00870DCB"/>
    <w:rsid w:val="00870FA5"/>
    <w:rsid w:val="00871366"/>
    <w:rsid w:val="00871D72"/>
    <w:rsid w:val="00872CEB"/>
    <w:rsid w:val="00872F4F"/>
    <w:rsid w:val="008730E7"/>
    <w:rsid w:val="008734DF"/>
    <w:rsid w:val="008738D1"/>
    <w:rsid w:val="00874395"/>
    <w:rsid w:val="00874398"/>
    <w:rsid w:val="0087452A"/>
    <w:rsid w:val="00874749"/>
    <w:rsid w:val="008751A7"/>
    <w:rsid w:val="00875747"/>
    <w:rsid w:val="00875A21"/>
    <w:rsid w:val="00875C85"/>
    <w:rsid w:val="00875EAB"/>
    <w:rsid w:val="0087671E"/>
    <w:rsid w:val="00876B47"/>
    <w:rsid w:val="00877FD3"/>
    <w:rsid w:val="0088017B"/>
    <w:rsid w:val="00880800"/>
    <w:rsid w:val="00881167"/>
    <w:rsid w:val="00881A68"/>
    <w:rsid w:val="00883246"/>
    <w:rsid w:val="0088325F"/>
    <w:rsid w:val="0088328F"/>
    <w:rsid w:val="00883519"/>
    <w:rsid w:val="00884DA1"/>
    <w:rsid w:val="00886041"/>
    <w:rsid w:val="00886095"/>
    <w:rsid w:val="00887145"/>
    <w:rsid w:val="00887F1D"/>
    <w:rsid w:val="00890C77"/>
    <w:rsid w:val="00890D0F"/>
    <w:rsid w:val="008910E5"/>
    <w:rsid w:val="0089118E"/>
    <w:rsid w:val="00891291"/>
    <w:rsid w:val="00891CF3"/>
    <w:rsid w:val="00892FD2"/>
    <w:rsid w:val="008938EE"/>
    <w:rsid w:val="00893E8A"/>
    <w:rsid w:val="00894082"/>
    <w:rsid w:val="00894F04"/>
    <w:rsid w:val="008953EB"/>
    <w:rsid w:val="008954E3"/>
    <w:rsid w:val="00895A30"/>
    <w:rsid w:val="00895C18"/>
    <w:rsid w:val="008964CD"/>
    <w:rsid w:val="008970EA"/>
    <w:rsid w:val="008A11CB"/>
    <w:rsid w:val="008A1550"/>
    <w:rsid w:val="008A2010"/>
    <w:rsid w:val="008A22E2"/>
    <w:rsid w:val="008A2518"/>
    <w:rsid w:val="008A2CB7"/>
    <w:rsid w:val="008A32F3"/>
    <w:rsid w:val="008A333D"/>
    <w:rsid w:val="008A33C4"/>
    <w:rsid w:val="008A3479"/>
    <w:rsid w:val="008A3483"/>
    <w:rsid w:val="008A406F"/>
    <w:rsid w:val="008A484E"/>
    <w:rsid w:val="008A62DB"/>
    <w:rsid w:val="008A6619"/>
    <w:rsid w:val="008A72CA"/>
    <w:rsid w:val="008A7A1A"/>
    <w:rsid w:val="008A7D16"/>
    <w:rsid w:val="008A7D5D"/>
    <w:rsid w:val="008B00D2"/>
    <w:rsid w:val="008B0118"/>
    <w:rsid w:val="008B15B0"/>
    <w:rsid w:val="008B1790"/>
    <w:rsid w:val="008B1C0C"/>
    <w:rsid w:val="008B23B0"/>
    <w:rsid w:val="008B2E58"/>
    <w:rsid w:val="008B34AA"/>
    <w:rsid w:val="008B3608"/>
    <w:rsid w:val="008B3B94"/>
    <w:rsid w:val="008B3E6F"/>
    <w:rsid w:val="008B4DAF"/>
    <w:rsid w:val="008B51AB"/>
    <w:rsid w:val="008B6065"/>
    <w:rsid w:val="008B610B"/>
    <w:rsid w:val="008B64FC"/>
    <w:rsid w:val="008B6CB4"/>
    <w:rsid w:val="008B70FE"/>
    <w:rsid w:val="008B79EA"/>
    <w:rsid w:val="008B7DA1"/>
    <w:rsid w:val="008C0661"/>
    <w:rsid w:val="008C1872"/>
    <w:rsid w:val="008C18CA"/>
    <w:rsid w:val="008C2288"/>
    <w:rsid w:val="008C2A46"/>
    <w:rsid w:val="008C2EB9"/>
    <w:rsid w:val="008C36C7"/>
    <w:rsid w:val="008C4036"/>
    <w:rsid w:val="008C4717"/>
    <w:rsid w:val="008C4BA4"/>
    <w:rsid w:val="008C5393"/>
    <w:rsid w:val="008C5577"/>
    <w:rsid w:val="008C68C8"/>
    <w:rsid w:val="008C6E56"/>
    <w:rsid w:val="008C70F7"/>
    <w:rsid w:val="008C77FB"/>
    <w:rsid w:val="008C7C27"/>
    <w:rsid w:val="008C7C51"/>
    <w:rsid w:val="008C7D16"/>
    <w:rsid w:val="008C7E00"/>
    <w:rsid w:val="008D0FDD"/>
    <w:rsid w:val="008D21A0"/>
    <w:rsid w:val="008D228E"/>
    <w:rsid w:val="008D26D0"/>
    <w:rsid w:val="008D26FE"/>
    <w:rsid w:val="008D2F1F"/>
    <w:rsid w:val="008D3921"/>
    <w:rsid w:val="008D3AC4"/>
    <w:rsid w:val="008D49F1"/>
    <w:rsid w:val="008D4E69"/>
    <w:rsid w:val="008D69D1"/>
    <w:rsid w:val="008D721D"/>
    <w:rsid w:val="008D76EF"/>
    <w:rsid w:val="008D77A5"/>
    <w:rsid w:val="008D7A99"/>
    <w:rsid w:val="008D7E80"/>
    <w:rsid w:val="008E0134"/>
    <w:rsid w:val="008E08E4"/>
    <w:rsid w:val="008E0BD8"/>
    <w:rsid w:val="008E114C"/>
    <w:rsid w:val="008E12EB"/>
    <w:rsid w:val="008E1649"/>
    <w:rsid w:val="008E26A8"/>
    <w:rsid w:val="008E2FB7"/>
    <w:rsid w:val="008E39E9"/>
    <w:rsid w:val="008E41CE"/>
    <w:rsid w:val="008E465E"/>
    <w:rsid w:val="008E4A32"/>
    <w:rsid w:val="008E51B9"/>
    <w:rsid w:val="008E552D"/>
    <w:rsid w:val="008E66DB"/>
    <w:rsid w:val="008E6740"/>
    <w:rsid w:val="008E6FE0"/>
    <w:rsid w:val="008E7CEA"/>
    <w:rsid w:val="008F0048"/>
    <w:rsid w:val="008F050B"/>
    <w:rsid w:val="008F0B82"/>
    <w:rsid w:val="008F112F"/>
    <w:rsid w:val="008F196B"/>
    <w:rsid w:val="008F1A1F"/>
    <w:rsid w:val="008F1BA7"/>
    <w:rsid w:val="008F1D0F"/>
    <w:rsid w:val="008F29B1"/>
    <w:rsid w:val="008F29E3"/>
    <w:rsid w:val="008F2BDA"/>
    <w:rsid w:val="008F2C75"/>
    <w:rsid w:val="008F32A7"/>
    <w:rsid w:val="008F36CB"/>
    <w:rsid w:val="008F43D4"/>
    <w:rsid w:val="008F4D59"/>
    <w:rsid w:val="008F5E57"/>
    <w:rsid w:val="008F66A3"/>
    <w:rsid w:val="008F70BD"/>
    <w:rsid w:val="008F751B"/>
    <w:rsid w:val="008F7766"/>
    <w:rsid w:val="008F7A94"/>
    <w:rsid w:val="008F7FD2"/>
    <w:rsid w:val="00900476"/>
    <w:rsid w:val="009004D5"/>
    <w:rsid w:val="00900663"/>
    <w:rsid w:val="00900B62"/>
    <w:rsid w:val="00900E10"/>
    <w:rsid w:val="0090131C"/>
    <w:rsid w:val="00901B76"/>
    <w:rsid w:val="009020BD"/>
    <w:rsid w:val="009029B8"/>
    <w:rsid w:val="00904120"/>
    <w:rsid w:val="009044AE"/>
    <w:rsid w:val="00904D46"/>
    <w:rsid w:val="00904D5C"/>
    <w:rsid w:val="00905437"/>
    <w:rsid w:val="00906070"/>
    <w:rsid w:val="00906260"/>
    <w:rsid w:val="00906B2B"/>
    <w:rsid w:val="00906DEA"/>
    <w:rsid w:val="00907003"/>
    <w:rsid w:val="009070BE"/>
    <w:rsid w:val="00907428"/>
    <w:rsid w:val="00907687"/>
    <w:rsid w:val="00907D91"/>
    <w:rsid w:val="00910336"/>
    <w:rsid w:val="00910A04"/>
    <w:rsid w:val="009121F6"/>
    <w:rsid w:val="009129DC"/>
    <w:rsid w:val="009139C9"/>
    <w:rsid w:val="00913DD7"/>
    <w:rsid w:val="00914E32"/>
    <w:rsid w:val="00915275"/>
    <w:rsid w:val="009162DE"/>
    <w:rsid w:val="009168F1"/>
    <w:rsid w:val="00916B96"/>
    <w:rsid w:val="009202AE"/>
    <w:rsid w:val="00920DAD"/>
    <w:rsid w:val="009213D5"/>
    <w:rsid w:val="0092195B"/>
    <w:rsid w:val="00922724"/>
    <w:rsid w:val="0092299E"/>
    <w:rsid w:val="00922B29"/>
    <w:rsid w:val="00922B39"/>
    <w:rsid w:val="00922E6C"/>
    <w:rsid w:val="00922E86"/>
    <w:rsid w:val="009230F1"/>
    <w:rsid w:val="0092343B"/>
    <w:rsid w:val="0092388E"/>
    <w:rsid w:val="00923F10"/>
    <w:rsid w:val="0092413E"/>
    <w:rsid w:val="009244F0"/>
    <w:rsid w:val="00924574"/>
    <w:rsid w:val="009246FD"/>
    <w:rsid w:val="00926508"/>
    <w:rsid w:val="00926ED3"/>
    <w:rsid w:val="009270F9"/>
    <w:rsid w:val="009279BD"/>
    <w:rsid w:val="00927BA6"/>
    <w:rsid w:val="00930763"/>
    <w:rsid w:val="0093081E"/>
    <w:rsid w:val="00930D31"/>
    <w:rsid w:val="0093146E"/>
    <w:rsid w:val="00931D66"/>
    <w:rsid w:val="00931E2D"/>
    <w:rsid w:val="00931F37"/>
    <w:rsid w:val="0093201A"/>
    <w:rsid w:val="00932169"/>
    <w:rsid w:val="009324C7"/>
    <w:rsid w:val="009326F3"/>
    <w:rsid w:val="0093320E"/>
    <w:rsid w:val="009336CA"/>
    <w:rsid w:val="009337E9"/>
    <w:rsid w:val="00934184"/>
    <w:rsid w:val="00934E69"/>
    <w:rsid w:val="00935447"/>
    <w:rsid w:val="00935E12"/>
    <w:rsid w:val="00935FBB"/>
    <w:rsid w:val="00936ACF"/>
    <w:rsid w:val="00936C4E"/>
    <w:rsid w:val="0093767F"/>
    <w:rsid w:val="00940106"/>
    <w:rsid w:val="0094021F"/>
    <w:rsid w:val="0094068D"/>
    <w:rsid w:val="00940C61"/>
    <w:rsid w:val="00940F79"/>
    <w:rsid w:val="00941A41"/>
    <w:rsid w:val="00942331"/>
    <w:rsid w:val="00942753"/>
    <w:rsid w:val="00942BA2"/>
    <w:rsid w:val="00942F55"/>
    <w:rsid w:val="009439C0"/>
    <w:rsid w:val="00943A54"/>
    <w:rsid w:val="00943A83"/>
    <w:rsid w:val="00944613"/>
    <w:rsid w:val="009446D5"/>
    <w:rsid w:val="00944D76"/>
    <w:rsid w:val="00944EB4"/>
    <w:rsid w:val="0094557D"/>
    <w:rsid w:val="00945C60"/>
    <w:rsid w:val="0094600E"/>
    <w:rsid w:val="009464B2"/>
    <w:rsid w:val="00946E45"/>
    <w:rsid w:val="00947578"/>
    <w:rsid w:val="00947629"/>
    <w:rsid w:val="00950788"/>
    <w:rsid w:val="0095086B"/>
    <w:rsid w:val="00952281"/>
    <w:rsid w:val="0095282C"/>
    <w:rsid w:val="00952E2F"/>
    <w:rsid w:val="009530AB"/>
    <w:rsid w:val="00953213"/>
    <w:rsid w:val="00953C65"/>
    <w:rsid w:val="00953F20"/>
    <w:rsid w:val="009545FE"/>
    <w:rsid w:val="00954B9D"/>
    <w:rsid w:val="0095575B"/>
    <w:rsid w:val="00955ADE"/>
    <w:rsid w:val="00955C1A"/>
    <w:rsid w:val="00955EBD"/>
    <w:rsid w:val="009563EA"/>
    <w:rsid w:val="00956DDB"/>
    <w:rsid w:val="00956F6C"/>
    <w:rsid w:val="00957047"/>
    <w:rsid w:val="009571D7"/>
    <w:rsid w:val="009574DF"/>
    <w:rsid w:val="0096037D"/>
    <w:rsid w:val="009608AC"/>
    <w:rsid w:val="00960AA3"/>
    <w:rsid w:val="00960F30"/>
    <w:rsid w:val="009625B0"/>
    <w:rsid w:val="0096263A"/>
    <w:rsid w:val="00962781"/>
    <w:rsid w:val="00962ACC"/>
    <w:rsid w:val="00963269"/>
    <w:rsid w:val="00963D0D"/>
    <w:rsid w:val="009648C6"/>
    <w:rsid w:val="0096499E"/>
    <w:rsid w:val="00964A1A"/>
    <w:rsid w:val="00964F05"/>
    <w:rsid w:val="00965E73"/>
    <w:rsid w:val="00966C25"/>
    <w:rsid w:val="00967440"/>
    <w:rsid w:val="00967504"/>
    <w:rsid w:val="009676E9"/>
    <w:rsid w:val="00967D44"/>
    <w:rsid w:val="009704D9"/>
    <w:rsid w:val="00970515"/>
    <w:rsid w:val="00971617"/>
    <w:rsid w:val="009719F2"/>
    <w:rsid w:val="00971F7E"/>
    <w:rsid w:val="00973A01"/>
    <w:rsid w:val="00973A3E"/>
    <w:rsid w:val="00974755"/>
    <w:rsid w:val="00974B47"/>
    <w:rsid w:val="00975268"/>
    <w:rsid w:val="00975E00"/>
    <w:rsid w:val="00975E55"/>
    <w:rsid w:val="009767E9"/>
    <w:rsid w:val="00976CDF"/>
    <w:rsid w:val="00977255"/>
    <w:rsid w:val="009776B9"/>
    <w:rsid w:val="00977C9F"/>
    <w:rsid w:val="00977CBF"/>
    <w:rsid w:val="00977CC8"/>
    <w:rsid w:val="009811CC"/>
    <w:rsid w:val="00981283"/>
    <w:rsid w:val="00981719"/>
    <w:rsid w:val="00981821"/>
    <w:rsid w:val="009818DF"/>
    <w:rsid w:val="00981907"/>
    <w:rsid w:val="00981DF6"/>
    <w:rsid w:val="00981E06"/>
    <w:rsid w:val="00982B1C"/>
    <w:rsid w:val="0098301E"/>
    <w:rsid w:val="009837D6"/>
    <w:rsid w:val="009842FC"/>
    <w:rsid w:val="00984C4F"/>
    <w:rsid w:val="00984E53"/>
    <w:rsid w:val="00985CFA"/>
    <w:rsid w:val="009866C3"/>
    <w:rsid w:val="0098695C"/>
    <w:rsid w:val="00986D38"/>
    <w:rsid w:val="00987C34"/>
    <w:rsid w:val="00987DEF"/>
    <w:rsid w:val="0099023C"/>
    <w:rsid w:val="00990C7D"/>
    <w:rsid w:val="00990C9C"/>
    <w:rsid w:val="0099159B"/>
    <w:rsid w:val="00992C33"/>
    <w:rsid w:val="009933E9"/>
    <w:rsid w:val="00993F24"/>
    <w:rsid w:val="0099453B"/>
    <w:rsid w:val="00994742"/>
    <w:rsid w:val="00994D64"/>
    <w:rsid w:val="009951B8"/>
    <w:rsid w:val="00995E1D"/>
    <w:rsid w:val="009970B2"/>
    <w:rsid w:val="00997C46"/>
    <w:rsid w:val="009A0812"/>
    <w:rsid w:val="009A0A02"/>
    <w:rsid w:val="009A1557"/>
    <w:rsid w:val="009A2ABD"/>
    <w:rsid w:val="009A2E0D"/>
    <w:rsid w:val="009A334E"/>
    <w:rsid w:val="009A35B1"/>
    <w:rsid w:val="009A38A8"/>
    <w:rsid w:val="009A3B78"/>
    <w:rsid w:val="009A3FF1"/>
    <w:rsid w:val="009A4843"/>
    <w:rsid w:val="009A4B3A"/>
    <w:rsid w:val="009A4D78"/>
    <w:rsid w:val="009A5C8F"/>
    <w:rsid w:val="009A7409"/>
    <w:rsid w:val="009B0077"/>
    <w:rsid w:val="009B038E"/>
    <w:rsid w:val="009B0B19"/>
    <w:rsid w:val="009B0E5D"/>
    <w:rsid w:val="009B1F2B"/>
    <w:rsid w:val="009B2335"/>
    <w:rsid w:val="009B2509"/>
    <w:rsid w:val="009B3C78"/>
    <w:rsid w:val="009B497C"/>
    <w:rsid w:val="009B527F"/>
    <w:rsid w:val="009B744A"/>
    <w:rsid w:val="009B7681"/>
    <w:rsid w:val="009C0217"/>
    <w:rsid w:val="009C0D2F"/>
    <w:rsid w:val="009C169F"/>
    <w:rsid w:val="009C1DFF"/>
    <w:rsid w:val="009C2665"/>
    <w:rsid w:val="009C28D0"/>
    <w:rsid w:val="009C2A15"/>
    <w:rsid w:val="009C2D35"/>
    <w:rsid w:val="009C2F03"/>
    <w:rsid w:val="009C3B3C"/>
    <w:rsid w:val="009C3E1D"/>
    <w:rsid w:val="009C3F3D"/>
    <w:rsid w:val="009C4D0E"/>
    <w:rsid w:val="009C5509"/>
    <w:rsid w:val="009C73A6"/>
    <w:rsid w:val="009C78F2"/>
    <w:rsid w:val="009C7AC2"/>
    <w:rsid w:val="009D0B9F"/>
    <w:rsid w:val="009D0EF1"/>
    <w:rsid w:val="009D139A"/>
    <w:rsid w:val="009D18D7"/>
    <w:rsid w:val="009D1C58"/>
    <w:rsid w:val="009D258A"/>
    <w:rsid w:val="009D2AFD"/>
    <w:rsid w:val="009D2F87"/>
    <w:rsid w:val="009D37FD"/>
    <w:rsid w:val="009D4761"/>
    <w:rsid w:val="009D4796"/>
    <w:rsid w:val="009D4C03"/>
    <w:rsid w:val="009D4F0C"/>
    <w:rsid w:val="009D4F3F"/>
    <w:rsid w:val="009D5156"/>
    <w:rsid w:val="009D51BC"/>
    <w:rsid w:val="009D54EB"/>
    <w:rsid w:val="009D5FFB"/>
    <w:rsid w:val="009D7494"/>
    <w:rsid w:val="009D7E32"/>
    <w:rsid w:val="009E00FF"/>
    <w:rsid w:val="009E0947"/>
    <w:rsid w:val="009E1044"/>
    <w:rsid w:val="009E1252"/>
    <w:rsid w:val="009E1596"/>
    <w:rsid w:val="009E1CC1"/>
    <w:rsid w:val="009E38D5"/>
    <w:rsid w:val="009E4BD7"/>
    <w:rsid w:val="009E675C"/>
    <w:rsid w:val="009E6C2B"/>
    <w:rsid w:val="009E7A34"/>
    <w:rsid w:val="009E7C51"/>
    <w:rsid w:val="009F00CC"/>
    <w:rsid w:val="009F0649"/>
    <w:rsid w:val="009F0669"/>
    <w:rsid w:val="009F073E"/>
    <w:rsid w:val="009F14E7"/>
    <w:rsid w:val="009F1FAA"/>
    <w:rsid w:val="009F21BD"/>
    <w:rsid w:val="009F244F"/>
    <w:rsid w:val="009F2EBE"/>
    <w:rsid w:val="009F3281"/>
    <w:rsid w:val="009F3ABD"/>
    <w:rsid w:val="009F3D43"/>
    <w:rsid w:val="009F3D9F"/>
    <w:rsid w:val="009F401B"/>
    <w:rsid w:val="009F4A4C"/>
    <w:rsid w:val="009F4B49"/>
    <w:rsid w:val="009F5343"/>
    <w:rsid w:val="009F541B"/>
    <w:rsid w:val="009F58C6"/>
    <w:rsid w:val="009F5938"/>
    <w:rsid w:val="009F5A83"/>
    <w:rsid w:val="009F5FCA"/>
    <w:rsid w:val="009F6024"/>
    <w:rsid w:val="009F681A"/>
    <w:rsid w:val="009F68F4"/>
    <w:rsid w:val="009F768F"/>
    <w:rsid w:val="009F776F"/>
    <w:rsid w:val="009F7E6D"/>
    <w:rsid w:val="00A0003C"/>
    <w:rsid w:val="00A00201"/>
    <w:rsid w:val="00A00390"/>
    <w:rsid w:val="00A01360"/>
    <w:rsid w:val="00A01A5E"/>
    <w:rsid w:val="00A01C6C"/>
    <w:rsid w:val="00A02CBC"/>
    <w:rsid w:val="00A03343"/>
    <w:rsid w:val="00A03969"/>
    <w:rsid w:val="00A03AB0"/>
    <w:rsid w:val="00A03D9C"/>
    <w:rsid w:val="00A03F6C"/>
    <w:rsid w:val="00A0402F"/>
    <w:rsid w:val="00A04876"/>
    <w:rsid w:val="00A054AE"/>
    <w:rsid w:val="00A0592E"/>
    <w:rsid w:val="00A06050"/>
    <w:rsid w:val="00A06C6E"/>
    <w:rsid w:val="00A07536"/>
    <w:rsid w:val="00A07579"/>
    <w:rsid w:val="00A076CD"/>
    <w:rsid w:val="00A077E7"/>
    <w:rsid w:val="00A07C40"/>
    <w:rsid w:val="00A10A2A"/>
    <w:rsid w:val="00A11296"/>
    <w:rsid w:val="00A11CAB"/>
    <w:rsid w:val="00A11EF6"/>
    <w:rsid w:val="00A12008"/>
    <w:rsid w:val="00A1299A"/>
    <w:rsid w:val="00A1299F"/>
    <w:rsid w:val="00A12F4A"/>
    <w:rsid w:val="00A133CC"/>
    <w:rsid w:val="00A135DE"/>
    <w:rsid w:val="00A1360A"/>
    <w:rsid w:val="00A144A6"/>
    <w:rsid w:val="00A14A0A"/>
    <w:rsid w:val="00A14F53"/>
    <w:rsid w:val="00A15944"/>
    <w:rsid w:val="00A1720F"/>
    <w:rsid w:val="00A173EA"/>
    <w:rsid w:val="00A174B2"/>
    <w:rsid w:val="00A17532"/>
    <w:rsid w:val="00A17570"/>
    <w:rsid w:val="00A17DF2"/>
    <w:rsid w:val="00A204B2"/>
    <w:rsid w:val="00A20556"/>
    <w:rsid w:val="00A214A6"/>
    <w:rsid w:val="00A2243E"/>
    <w:rsid w:val="00A22750"/>
    <w:rsid w:val="00A22A6D"/>
    <w:rsid w:val="00A22CFC"/>
    <w:rsid w:val="00A23608"/>
    <w:rsid w:val="00A236EF"/>
    <w:rsid w:val="00A23E42"/>
    <w:rsid w:val="00A2442A"/>
    <w:rsid w:val="00A24F30"/>
    <w:rsid w:val="00A25121"/>
    <w:rsid w:val="00A253CD"/>
    <w:rsid w:val="00A2583E"/>
    <w:rsid w:val="00A27BA8"/>
    <w:rsid w:val="00A300EC"/>
    <w:rsid w:val="00A3038F"/>
    <w:rsid w:val="00A304E3"/>
    <w:rsid w:val="00A30622"/>
    <w:rsid w:val="00A322F0"/>
    <w:rsid w:val="00A32795"/>
    <w:rsid w:val="00A34958"/>
    <w:rsid w:val="00A34CD6"/>
    <w:rsid w:val="00A35289"/>
    <w:rsid w:val="00A355BE"/>
    <w:rsid w:val="00A35D9F"/>
    <w:rsid w:val="00A364DD"/>
    <w:rsid w:val="00A365C4"/>
    <w:rsid w:val="00A36628"/>
    <w:rsid w:val="00A36978"/>
    <w:rsid w:val="00A3715C"/>
    <w:rsid w:val="00A3757E"/>
    <w:rsid w:val="00A3767F"/>
    <w:rsid w:val="00A40772"/>
    <w:rsid w:val="00A415C6"/>
    <w:rsid w:val="00A4225F"/>
    <w:rsid w:val="00A425B1"/>
    <w:rsid w:val="00A4264C"/>
    <w:rsid w:val="00A442FE"/>
    <w:rsid w:val="00A4434E"/>
    <w:rsid w:val="00A445C9"/>
    <w:rsid w:val="00A44C62"/>
    <w:rsid w:val="00A460B2"/>
    <w:rsid w:val="00A466DB"/>
    <w:rsid w:val="00A47A05"/>
    <w:rsid w:val="00A50618"/>
    <w:rsid w:val="00A50DBC"/>
    <w:rsid w:val="00A51394"/>
    <w:rsid w:val="00A514A5"/>
    <w:rsid w:val="00A51C12"/>
    <w:rsid w:val="00A52076"/>
    <w:rsid w:val="00A5296C"/>
    <w:rsid w:val="00A532C9"/>
    <w:rsid w:val="00A53548"/>
    <w:rsid w:val="00A53626"/>
    <w:rsid w:val="00A56209"/>
    <w:rsid w:val="00A56381"/>
    <w:rsid w:val="00A565CC"/>
    <w:rsid w:val="00A56FDF"/>
    <w:rsid w:val="00A5703A"/>
    <w:rsid w:val="00A571FF"/>
    <w:rsid w:val="00A6151C"/>
    <w:rsid w:val="00A61527"/>
    <w:rsid w:val="00A6161D"/>
    <w:rsid w:val="00A61842"/>
    <w:rsid w:val="00A61F20"/>
    <w:rsid w:val="00A62983"/>
    <w:rsid w:val="00A62B06"/>
    <w:rsid w:val="00A63050"/>
    <w:rsid w:val="00A634D3"/>
    <w:rsid w:val="00A63BD1"/>
    <w:rsid w:val="00A63F5E"/>
    <w:rsid w:val="00A63FDE"/>
    <w:rsid w:val="00A64337"/>
    <w:rsid w:val="00A64794"/>
    <w:rsid w:val="00A648F9"/>
    <w:rsid w:val="00A64DE1"/>
    <w:rsid w:val="00A64F8C"/>
    <w:rsid w:val="00A654F3"/>
    <w:rsid w:val="00A65C6D"/>
    <w:rsid w:val="00A65F4B"/>
    <w:rsid w:val="00A662E0"/>
    <w:rsid w:val="00A668A2"/>
    <w:rsid w:val="00A66C88"/>
    <w:rsid w:val="00A66FCB"/>
    <w:rsid w:val="00A6733C"/>
    <w:rsid w:val="00A674A3"/>
    <w:rsid w:val="00A7014B"/>
    <w:rsid w:val="00A705B3"/>
    <w:rsid w:val="00A70CA9"/>
    <w:rsid w:val="00A70EB7"/>
    <w:rsid w:val="00A71737"/>
    <w:rsid w:val="00A71A52"/>
    <w:rsid w:val="00A71DD8"/>
    <w:rsid w:val="00A72A6E"/>
    <w:rsid w:val="00A72E83"/>
    <w:rsid w:val="00A732B2"/>
    <w:rsid w:val="00A732FC"/>
    <w:rsid w:val="00A733C0"/>
    <w:rsid w:val="00A73D5B"/>
    <w:rsid w:val="00A73E6B"/>
    <w:rsid w:val="00A740D4"/>
    <w:rsid w:val="00A74702"/>
    <w:rsid w:val="00A755E6"/>
    <w:rsid w:val="00A75C9F"/>
    <w:rsid w:val="00A75F0B"/>
    <w:rsid w:val="00A76260"/>
    <w:rsid w:val="00A76263"/>
    <w:rsid w:val="00A76307"/>
    <w:rsid w:val="00A76522"/>
    <w:rsid w:val="00A767F4"/>
    <w:rsid w:val="00A76E46"/>
    <w:rsid w:val="00A80085"/>
    <w:rsid w:val="00A80097"/>
    <w:rsid w:val="00A80A0F"/>
    <w:rsid w:val="00A80C47"/>
    <w:rsid w:val="00A80F16"/>
    <w:rsid w:val="00A8227C"/>
    <w:rsid w:val="00A862A4"/>
    <w:rsid w:val="00A8633C"/>
    <w:rsid w:val="00A863F2"/>
    <w:rsid w:val="00A86A09"/>
    <w:rsid w:val="00A87D76"/>
    <w:rsid w:val="00A90438"/>
    <w:rsid w:val="00A90603"/>
    <w:rsid w:val="00A90B4B"/>
    <w:rsid w:val="00A90EC1"/>
    <w:rsid w:val="00A91605"/>
    <w:rsid w:val="00A92021"/>
    <w:rsid w:val="00A92A5B"/>
    <w:rsid w:val="00A92C33"/>
    <w:rsid w:val="00A930A0"/>
    <w:rsid w:val="00A93901"/>
    <w:rsid w:val="00A93B45"/>
    <w:rsid w:val="00A93E03"/>
    <w:rsid w:val="00A945E0"/>
    <w:rsid w:val="00A94E4E"/>
    <w:rsid w:val="00A9534B"/>
    <w:rsid w:val="00A95790"/>
    <w:rsid w:val="00A957D4"/>
    <w:rsid w:val="00A9626F"/>
    <w:rsid w:val="00A968E2"/>
    <w:rsid w:val="00A96C41"/>
    <w:rsid w:val="00A9752A"/>
    <w:rsid w:val="00A979A6"/>
    <w:rsid w:val="00A97C3F"/>
    <w:rsid w:val="00AA1E1D"/>
    <w:rsid w:val="00AA2A56"/>
    <w:rsid w:val="00AA381F"/>
    <w:rsid w:val="00AA3A25"/>
    <w:rsid w:val="00AA6211"/>
    <w:rsid w:val="00AA6361"/>
    <w:rsid w:val="00AA74C1"/>
    <w:rsid w:val="00AA7529"/>
    <w:rsid w:val="00AA775A"/>
    <w:rsid w:val="00AA7E2C"/>
    <w:rsid w:val="00AB0875"/>
    <w:rsid w:val="00AB0AB8"/>
    <w:rsid w:val="00AB14FA"/>
    <w:rsid w:val="00AB1A20"/>
    <w:rsid w:val="00AB2625"/>
    <w:rsid w:val="00AB2760"/>
    <w:rsid w:val="00AB3135"/>
    <w:rsid w:val="00AB3380"/>
    <w:rsid w:val="00AB35A3"/>
    <w:rsid w:val="00AB3873"/>
    <w:rsid w:val="00AB401C"/>
    <w:rsid w:val="00AB40ED"/>
    <w:rsid w:val="00AB426C"/>
    <w:rsid w:val="00AB4580"/>
    <w:rsid w:val="00AB54A7"/>
    <w:rsid w:val="00AB5D12"/>
    <w:rsid w:val="00AB6389"/>
    <w:rsid w:val="00AB6F82"/>
    <w:rsid w:val="00AB762F"/>
    <w:rsid w:val="00AC01AC"/>
    <w:rsid w:val="00AC05F1"/>
    <w:rsid w:val="00AC0959"/>
    <w:rsid w:val="00AC102E"/>
    <w:rsid w:val="00AC10C0"/>
    <w:rsid w:val="00AC123C"/>
    <w:rsid w:val="00AC217E"/>
    <w:rsid w:val="00AC2575"/>
    <w:rsid w:val="00AC312A"/>
    <w:rsid w:val="00AC31CA"/>
    <w:rsid w:val="00AC3AA5"/>
    <w:rsid w:val="00AC5436"/>
    <w:rsid w:val="00AC60B9"/>
    <w:rsid w:val="00AC76D2"/>
    <w:rsid w:val="00AD0FAE"/>
    <w:rsid w:val="00AD24DA"/>
    <w:rsid w:val="00AD287E"/>
    <w:rsid w:val="00AD2D44"/>
    <w:rsid w:val="00AD421A"/>
    <w:rsid w:val="00AD484B"/>
    <w:rsid w:val="00AD4942"/>
    <w:rsid w:val="00AD4A6C"/>
    <w:rsid w:val="00AD4B16"/>
    <w:rsid w:val="00AD4EEC"/>
    <w:rsid w:val="00AD528D"/>
    <w:rsid w:val="00AD5DFC"/>
    <w:rsid w:val="00AD613F"/>
    <w:rsid w:val="00AD6281"/>
    <w:rsid w:val="00AD62B3"/>
    <w:rsid w:val="00AD6D8A"/>
    <w:rsid w:val="00AE0440"/>
    <w:rsid w:val="00AE0A51"/>
    <w:rsid w:val="00AE0AD8"/>
    <w:rsid w:val="00AE18D1"/>
    <w:rsid w:val="00AE1E06"/>
    <w:rsid w:val="00AE204A"/>
    <w:rsid w:val="00AE2784"/>
    <w:rsid w:val="00AE347F"/>
    <w:rsid w:val="00AE3566"/>
    <w:rsid w:val="00AE40B2"/>
    <w:rsid w:val="00AE4551"/>
    <w:rsid w:val="00AE49B2"/>
    <w:rsid w:val="00AE4E82"/>
    <w:rsid w:val="00AE4F35"/>
    <w:rsid w:val="00AE534B"/>
    <w:rsid w:val="00AE6B08"/>
    <w:rsid w:val="00AE6D67"/>
    <w:rsid w:val="00AE71A6"/>
    <w:rsid w:val="00AF04FC"/>
    <w:rsid w:val="00AF0B7E"/>
    <w:rsid w:val="00AF2309"/>
    <w:rsid w:val="00AF2570"/>
    <w:rsid w:val="00AF306F"/>
    <w:rsid w:val="00AF36BD"/>
    <w:rsid w:val="00AF3DDB"/>
    <w:rsid w:val="00AF4130"/>
    <w:rsid w:val="00AF4866"/>
    <w:rsid w:val="00AF532C"/>
    <w:rsid w:val="00AF555F"/>
    <w:rsid w:val="00AF67F7"/>
    <w:rsid w:val="00AF6B93"/>
    <w:rsid w:val="00B00927"/>
    <w:rsid w:val="00B009AD"/>
    <w:rsid w:val="00B01805"/>
    <w:rsid w:val="00B0290C"/>
    <w:rsid w:val="00B030A0"/>
    <w:rsid w:val="00B0342B"/>
    <w:rsid w:val="00B03E3A"/>
    <w:rsid w:val="00B0401E"/>
    <w:rsid w:val="00B041DA"/>
    <w:rsid w:val="00B043F2"/>
    <w:rsid w:val="00B048E9"/>
    <w:rsid w:val="00B04E3B"/>
    <w:rsid w:val="00B05EA6"/>
    <w:rsid w:val="00B06036"/>
    <w:rsid w:val="00B06B2D"/>
    <w:rsid w:val="00B10586"/>
    <w:rsid w:val="00B107EC"/>
    <w:rsid w:val="00B118B1"/>
    <w:rsid w:val="00B118FA"/>
    <w:rsid w:val="00B11C41"/>
    <w:rsid w:val="00B11D35"/>
    <w:rsid w:val="00B1233D"/>
    <w:rsid w:val="00B1390F"/>
    <w:rsid w:val="00B139C8"/>
    <w:rsid w:val="00B1461A"/>
    <w:rsid w:val="00B15575"/>
    <w:rsid w:val="00B155D8"/>
    <w:rsid w:val="00B16D37"/>
    <w:rsid w:val="00B217D7"/>
    <w:rsid w:val="00B22080"/>
    <w:rsid w:val="00B23176"/>
    <w:rsid w:val="00B23F97"/>
    <w:rsid w:val="00B24AC9"/>
    <w:rsid w:val="00B24B07"/>
    <w:rsid w:val="00B251D2"/>
    <w:rsid w:val="00B25892"/>
    <w:rsid w:val="00B25BBC"/>
    <w:rsid w:val="00B26292"/>
    <w:rsid w:val="00B26577"/>
    <w:rsid w:val="00B26791"/>
    <w:rsid w:val="00B27589"/>
    <w:rsid w:val="00B2767D"/>
    <w:rsid w:val="00B27901"/>
    <w:rsid w:val="00B27D21"/>
    <w:rsid w:val="00B3034A"/>
    <w:rsid w:val="00B31B4C"/>
    <w:rsid w:val="00B3211D"/>
    <w:rsid w:val="00B32522"/>
    <w:rsid w:val="00B32BEB"/>
    <w:rsid w:val="00B33A7E"/>
    <w:rsid w:val="00B36191"/>
    <w:rsid w:val="00B36430"/>
    <w:rsid w:val="00B37A53"/>
    <w:rsid w:val="00B40A13"/>
    <w:rsid w:val="00B40E76"/>
    <w:rsid w:val="00B41316"/>
    <w:rsid w:val="00B41317"/>
    <w:rsid w:val="00B41336"/>
    <w:rsid w:val="00B413DE"/>
    <w:rsid w:val="00B4189D"/>
    <w:rsid w:val="00B41CC8"/>
    <w:rsid w:val="00B425AD"/>
    <w:rsid w:val="00B42A38"/>
    <w:rsid w:val="00B43160"/>
    <w:rsid w:val="00B44234"/>
    <w:rsid w:val="00B449DB"/>
    <w:rsid w:val="00B45502"/>
    <w:rsid w:val="00B455CE"/>
    <w:rsid w:val="00B45ABE"/>
    <w:rsid w:val="00B45ED8"/>
    <w:rsid w:val="00B46433"/>
    <w:rsid w:val="00B466CF"/>
    <w:rsid w:val="00B46F28"/>
    <w:rsid w:val="00B4754C"/>
    <w:rsid w:val="00B47915"/>
    <w:rsid w:val="00B507D2"/>
    <w:rsid w:val="00B50896"/>
    <w:rsid w:val="00B51186"/>
    <w:rsid w:val="00B51204"/>
    <w:rsid w:val="00B51874"/>
    <w:rsid w:val="00B52DFB"/>
    <w:rsid w:val="00B53F79"/>
    <w:rsid w:val="00B55048"/>
    <w:rsid w:val="00B55160"/>
    <w:rsid w:val="00B5568B"/>
    <w:rsid w:val="00B55ADC"/>
    <w:rsid w:val="00B56304"/>
    <w:rsid w:val="00B56B67"/>
    <w:rsid w:val="00B570B1"/>
    <w:rsid w:val="00B57F6B"/>
    <w:rsid w:val="00B57F70"/>
    <w:rsid w:val="00B60475"/>
    <w:rsid w:val="00B6061D"/>
    <w:rsid w:val="00B60950"/>
    <w:rsid w:val="00B612B5"/>
    <w:rsid w:val="00B61319"/>
    <w:rsid w:val="00B6153C"/>
    <w:rsid w:val="00B6178F"/>
    <w:rsid w:val="00B61A7A"/>
    <w:rsid w:val="00B61D0F"/>
    <w:rsid w:val="00B62187"/>
    <w:rsid w:val="00B63160"/>
    <w:rsid w:val="00B63777"/>
    <w:rsid w:val="00B63BBE"/>
    <w:rsid w:val="00B63C0C"/>
    <w:rsid w:val="00B643EC"/>
    <w:rsid w:val="00B64F5C"/>
    <w:rsid w:val="00B651E6"/>
    <w:rsid w:val="00B66319"/>
    <w:rsid w:val="00B6652E"/>
    <w:rsid w:val="00B67571"/>
    <w:rsid w:val="00B7017B"/>
    <w:rsid w:val="00B704E1"/>
    <w:rsid w:val="00B7069B"/>
    <w:rsid w:val="00B7151D"/>
    <w:rsid w:val="00B71551"/>
    <w:rsid w:val="00B717D2"/>
    <w:rsid w:val="00B71FFB"/>
    <w:rsid w:val="00B72DAC"/>
    <w:rsid w:val="00B72EA3"/>
    <w:rsid w:val="00B72F32"/>
    <w:rsid w:val="00B735BC"/>
    <w:rsid w:val="00B73694"/>
    <w:rsid w:val="00B74CF3"/>
    <w:rsid w:val="00B75959"/>
    <w:rsid w:val="00B76924"/>
    <w:rsid w:val="00B76BBA"/>
    <w:rsid w:val="00B80E5D"/>
    <w:rsid w:val="00B81205"/>
    <w:rsid w:val="00B81379"/>
    <w:rsid w:val="00B82336"/>
    <w:rsid w:val="00B826B9"/>
    <w:rsid w:val="00B82A8C"/>
    <w:rsid w:val="00B83E79"/>
    <w:rsid w:val="00B83F7E"/>
    <w:rsid w:val="00B83F99"/>
    <w:rsid w:val="00B841DD"/>
    <w:rsid w:val="00B85827"/>
    <w:rsid w:val="00B85E4F"/>
    <w:rsid w:val="00B864B5"/>
    <w:rsid w:val="00B86599"/>
    <w:rsid w:val="00B86DDA"/>
    <w:rsid w:val="00B870F3"/>
    <w:rsid w:val="00B8789A"/>
    <w:rsid w:val="00B90012"/>
    <w:rsid w:val="00B9084C"/>
    <w:rsid w:val="00B91557"/>
    <w:rsid w:val="00B9168C"/>
    <w:rsid w:val="00B91D98"/>
    <w:rsid w:val="00B92916"/>
    <w:rsid w:val="00B92BE9"/>
    <w:rsid w:val="00B93C2D"/>
    <w:rsid w:val="00B940EF"/>
    <w:rsid w:val="00B948A8"/>
    <w:rsid w:val="00B94A31"/>
    <w:rsid w:val="00B950AC"/>
    <w:rsid w:val="00B95F41"/>
    <w:rsid w:val="00B96245"/>
    <w:rsid w:val="00B96651"/>
    <w:rsid w:val="00B96B3F"/>
    <w:rsid w:val="00B96B96"/>
    <w:rsid w:val="00B972A3"/>
    <w:rsid w:val="00B97829"/>
    <w:rsid w:val="00B97D41"/>
    <w:rsid w:val="00BA0375"/>
    <w:rsid w:val="00BA03C2"/>
    <w:rsid w:val="00BA044D"/>
    <w:rsid w:val="00BA0660"/>
    <w:rsid w:val="00BA077F"/>
    <w:rsid w:val="00BA07DF"/>
    <w:rsid w:val="00BA0FE5"/>
    <w:rsid w:val="00BA11D1"/>
    <w:rsid w:val="00BA1243"/>
    <w:rsid w:val="00BA1894"/>
    <w:rsid w:val="00BA1CE8"/>
    <w:rsid w:val="00BA2606"/>
    <w:rsid w:val="00BA2895"/>
    <w:rsid w:val="00BA3031"/>
    <w:rsid w:val="00BA36BF"/>
    <w:rsid w:val="00BA3903"/>
    <w:rsid w:val="00BA494C"/>
    <w:rsid w:val="00BA5EB4"/>
    <w:rsid w:val="00BA6A60"/>
    <w:rsid w:val="00BA6ED8"/>
    <w:rsid w:val="00BA7FFA"/>
    <w:rsid w:val="00BB179B"/>
    <w:rsid w:val="00BB1814"/>
    <w:rsid w:val="00BB194E"/>
    <w:rsid w:val="00BB1B93"/>
    <w:rsid w:val="00BB1F0A"/>
    <w:rsid w:val="00BB2B66"/>
    <w:rsid w:val="00BB36E6"/>
    <w:rsid w:val="00BB3EB4"/>
    <w:rsid w:val="00BB3EEB"/>
    <w:rsid w:val="00BB42F5"/>
    <w:rsid w:val="00BB5BBF"/>
    <w:rsid w:val="00BB61B4"/>
    <w:rsid w:val="00BB630B"/>
    <w:rsid w:val="00BB648C"/>
    <w:rsid w:val="00BC0DDA"/>
    <w:rsid w:val="00BC1043"/>
    <w:rsid w:val="00BC1B63"/>
    <w:rsid w:val="00BC2617"/>
    <w:rsid w:val="00BC33BD"/>
    <w:rsid w:val="00BC3922"/>
    <w:rsid w:val="00BC4FEA"/>
    <w:rsid w:val="00BC5C52"/>
    <w:rsid w:val="00BC6B1B"/>
    <w:rsid w:val="00BC6BE8"/>
    <w:rsid w:val="00BD00B7"/>
    <w:rsid w:val="00BD0C99"/>
    <w:rsid w:val="00BD0F04"/>
    <w:rsid w:val="00BD166D"/>
    <w:rsid w:val="00BD16A4"/>
    <w:rsid w:val="00BD2045"/>
    <w:rsid w:val="00BD21D1"/>
    <w:rsid w:val="00BD2552"/>
    <w:rsid w:val="00BD2B3F"/>
    <w:rsid w:val="00BD30EB"/>
    <w:rsid w:val="00BD3222"/>
    <w:rsid w:val="00BD3AB0"/>
    <w:rsid w:val="00BD3CA6"/>
    <w:rsid w:val="00BD3CCD"/>
    <w:rsid w:val="00BD3CD4"/>
    <w:rsid w:val="00BD3D0B"/>
    <w:rsid w:val="00BD3D11"/>
    <w:rsid w:val="00BD406A"/>
    <w:rsid w:val="00BD4469"/>
    <w:rsid w:val="00BD531C"/>
    <w:rsid w:val="00BD5432"/>
    <w:rsid w:val="00BD6AEB"/>
    <w:rsid w:val="00BD77B3"/>
    <w:rsid w:val="00BE0224"/>
    <w:rsid w:val="00BE128D"/>
    <w:rsid w:val="00BE1C2C"/>
    <w:rsid w:val="00BE1F79"/>
    <w:rsid w:val="00BE22DC"/>
    <w:rsid w:val="00BE2786"/>
    <w:rsid w:val="00BE2963"/>
    <w:rsid w:val="00BE3BAE"/>
    <w:rsid w:val="00BE4294"/>
    <w:rsid w:val="00BE4962"/>
    <w:rsid w:val="00BE5362"/>
    <w:rsid w:val="00BE551D"/>
    <w:rsid w:val="00BE5520"/>
    <w:rsid w:val="00BE586B"/>
    <w:rsid w:val="00BE5A9A"/>
    <w:rsid w:val="00BE5C1F"/>
    <w:rsid w:val="00BE6AD8"/>
    <w:rsid w:val="00BE6E11"/>
    <w:rsid w:val="00BE70EE"/>
    <w:rsid w:val="00BE7380"/>
    <w:rsid w:val="00BE76AE"/>
    <w:rsid w:val="00BF0062"/>
    <w:rsid w:val="00BF08A8"/>
    <w:rsid w:val="00BF0BED"/>
    <w:rsid w:val="00BF10B0"/>
    <w:rsid w:val="00BF1847"/>
    <w:rsid w:val="00BF1E54"/>
    <w:rsid w:val="00BF2B8F"/>
    <w:rsid w:val="00BF2C1B"/>
    <w:rsid w:val="00BF30FF"/>
    <w:rsid w:val="00BF4233"/>
    <w:rsid w:val="00BF58C6"/>
    <w:rsid w:val="00BF67D9"/>
    <w:rsid w:val="00BF6FD5"/>
    <w:rsid w:val="00BF7C85"/>
    <w:rsid w:val="00C009D1"/>
    <w:rsid w:val="00C00EAF"/>
    <w:rsid w:val="00C01242"/>
    <w:rsid w:val="00C0228B"/>
    <w:rsid w:val="00C023B5"/>
    <w:rsid w:val="00C025ED"/>
    <w:rsid w:val="00C02F67"/>
    <w:rsid w:val="00C02FA9"/>
    <w:rsid w:val="00C03197"/>
    <w:rsid w:val="00C03252"/>
    <w:rsid w:val="00C033E7"/>
    <w:rsid w:val="00C037C7"/>
    <w:rsid w:val="00C0394B"/>
    <w:rsid w:val="00C0414B"/>
    <w:rsid w:val="00C04340"/>
    <w:rsid w:val="00C04B3F"/>
    <w:rsid w:val="00C05078"/>
    <w:rsid w:val="00C05953"/>
    <w:rsid w:val="00C05C6A"/>
    <w:rsid w:val="00C06951"/>
    <w:rsid w:val="00C06B8E"/>
    <w:rsid w:val="00C06E6F"/>
    <w:rsid w:val="00C075AF"/>
    <w:rsid w:val="00C079AB"/>
    <w:rsid w:val="00C07AC3"/>
    <w:rsid w:val="00C07C77"/>
    <w:rsid w:val="00C1080C"/>
    <w:rsid w:val="00C109FA"/>
    <w:rsid w:val="00C10F32"/>
    <w:rsid w:val="00C10F70"/>
    <w:rsid w:val="00C11014"/>
    <w:rsid w:val="00C118F9"/>
    <w:rsid w:val="00C12DB4"/>
    <w:rsid w:val="00C12F57"/>
    <w:rsid w:val="00C13042"/>
    <w:rsid w:val="00C137A7"/>
    <w:rsid w:val="00C13DBF"/>
    <w:rsid w:val="00C13E66"/>
    <w:rsid w:val="00C1449B"/>
    <w:rsid w:val="00C146A0"/>
    <w:rsid w:val="00C14E7A"/>
    <w:rsid w:val="00C15082"/>
    <w:rsid w:val="00C15112"/>
    <w:rsid w:val="00C154BF"/>
    <w:rsid w:val="00C154E7"/>
    <w:rsid w:val="00C15605"/>
    <w:rsid w:val="00C15B8D"/>
    <w:rsid w:val="00C1645F"/>
    <w:rsid w:val="00C176B2"/>
    <w:rsid w:val="00C22CB6"/>
    <w:rsid w:val="00C22D59"/>
    <w:rsid w:val="00C2388D"/>
    <w:rsid w:val="00C2488F"/>
    <w:rsid w:val="00C248A6"/>
    <w:rsid w:val="00C24B70"/>
    <w:rsid w:val="00C25F48"/>
    <w:rsid w:val="00C25F59"/>
    <w:rsid w:val="00C26107"/>
    <w:rsid w:val="00C261E7"/>
    <w:rsid w:val="00C26A0B"/>
    <w:rsid w:val="00C26A2A"/>
    <w:rsid w:val="00C27600"/>
    <w:rsid w:val="00C279F4"/>
    <w:rsid w:val="00C302EC"/>
    <w:rsid w:val="00C32915"/>
    <w:rsid w:val="00C32957"/>
    <w:rsid w:val="00C33221"/>
    <w:rsid w:val="00C3337D"/>
    <w:rsid w:val="00C33C4F"/>
    <w:rsid w:val="00C340AA"/>
    <w:rsid w:val="00C34530"/>
    <w:rsid w:val="00C34685"/>
    <w:rsid w:val="00C359FB"/>
    <w:rsid w:val="00C35E2B"/>
    <w:rsid w:val="00C36198"/>
    <w:rsid w:val="00C3644A"/>
    <w:rsid w:val="00C36ED0"/>
    <w:rsid w:val="00C36ED5"/>
    <w:rsid w:val="00C37793"/>
    <w:rsid w:val="00C4020C"/>
    <w:rsid w:val="00C40926"/>
    <w:rsid w:val="00C40DEB"/>
    <w:rsid w:val="00C40EF7"/>
    <w:rsid w:val="00C42AB9"/>
    <w:rsid w:val="00C42B9B"/>
    <w:rsid w:val="00C42DA9"/>
    <w:rsid w:val="00C42F55"/>
    <w:rsid w:val="00C43161"/>
    <w:rsid w:val="00C43214"/>
    <w:rsid w:val="00C432EA"/>
    <w:rsid w:val="00C437D7"/>
    <w:rsid w:val="00C4388A"/>
    <w:rsid w:val="00C440E4"/>
    <w:rsid w:val="00C44100"/>
    <w:rsid w:val="00C4415D"/>
    <w:rsid w:val="00C45582"/>
    <w:rsid w:val="00C4629A"/>
    <w:rsid w:val="00C467D8"/>
    <w:rsid w:val="00C46AE8"/>
    <w:rsid w:val="00C46E42"/>
    <w:rsid w:val="00C46F51"/>
    <w:rsid w:val="00C50919"/>
    <w:rsid w:val="00C50E22"/>
    <w:rsid w:val="00C5130A"/>
    <w:rsid w:val="00C51DE4"/>
    <w:rsid w:val="00C52041"/>
    <w:rsid w:val="00C5254E"/>
    <w:rsid w:val="00C52572"/>
    <w:rsid w:val="00C525D7"/>
    <w:rsid w:val="00C52653"/>
    <w:rsid w:val="00C528E2"/>
    <w:rsid w:val="00C52F76"/>
    <w:rsid w:val="00C53B0D"/>
    <w:rsid w:val="00C5486F"/>
    <w:rsid w:val="00C54E2F"/>
    <w:rsid w:val="00C55312"/>
    <w:rsid w:val="00C556E5"/>
    <w:rsid w:val="00C575BF"/>
    <w:rsid w:val="00C57BB1"/>
    <w:rsid w:val="00C60051"/>
    <w:rsid w:val="00C6077B"/>
    <w:rsid w:val="00C609D1"/>
    <w:rsid w:val="00C60B89"/>
    <w:rsid w:val="00C620BE"/>
    <w:rsid w:val="00C62614"/>
    <w:rsid w:val="00C62A13"/>
    <w:rsid w:val="00C631FB"/>
    <w:rsid w:val="00C6356B"/>
    <w:rsid w:val="00C635CC"/>
    <w:rsid w:val="00C640F7"/>
    <w:rsid w:val="00C65470"/>
    <w:rsid w:val="00C66008"/>
    <w:rsid w:val="00C660AC"/>
    <w:rsid w:val="00C66492"/>
    <w:rsid w:val="00C66E48"/>
    <w:rsid w:val="00C677A9"/>
    <w:rsid w:val="00C700B0"/>
    <w:rsid w:val="00C7022C"/>
    <w:rsid w:val="00C70AA2"/>
    <w:rsid w:val="00C70AC8"/>
    <w:rsid w:val="00C70DEC"/>
    <w:rsid w:val="00C71018"/>
    <w:rsid w:val="00C714CB"/>
    <w:rsid w:val="00C72227"/>
    <w:rsid w:val="00C725D6"/>
    <w:rsid w:val="00C72B81"/>
    <w:rsid w:val="00C732FE"/>
    <w:rsid w:val="00C73C44"/>
    <w:rsid w:val="00C73CF6"/>
    <w:rsid w:val="00C74A71"/>
    <w:rsid w:val="00C74C13"/>
    <w:rsid w:val="00C752B0"/>
    <w:rsid w:val="00C75F7F"/>
    <w:rsid w:val="00C7610B"/>
    <w:rsid w:val="00C772A2"/>
    <w:rsid w:val="00C77B1E"/>
    <w:rsid w:val="00C77B4C"/>
    <w:rsid w:val="00C803A1"/>
    <w:rsid w:val="00C81439"/>
    <w:rsid w:val="00C817EF"/>
    <w:rsid w:val="00C81896"/>
    <w:rsid w:val="00C82600"/>
    <w:rsid w:val="00C852D5"/>
    <w:rsid w:val="00C859CE"/>
    <w:rsid w:val="00C85FBE"/>
    <w:rsid w:val="00C8655C"/>
    <w:rsid w:val="00C867A0"/>
    <w:rsid w:val="00C87228"/>
    <w:rsid w:val="00C87277"/>
    <w:rsid w:val="00C90AD9"/>
    <w:rsid w:val="00C90ED0"/>
    <w:rsid w:val="00C912BF"/>
    <w:rsid w:val="00C919E1"/>
    <w:rsid w:val="00C92158"/>
    <w:rsid w:val="00C92FC3"/>
    <w:rsid w:val="00C936AE"/>
    <w:rsid w:val="00C937BF"/>
    <w:rsid w:val="00C942D0"/>
    <w:rsid w:val="00C942F0"/>
    <w:rsid w:val="00C9439D"/>
    <w:rsid w:val="00C94C93"/>
    <w:rsid w:val="00C9522B"/>
    <w:rsid w:val="00C96005"/>
    <w:rsid w:val="00C96085"/>
    <w:rsid w:val="00C960B2"/>
    <w:rsid w:val="00C963FC"/>
    <w:rsid w:val="00CA0415"/>
    <w:rsid w:val="00CA066D"/>
    <w:rsid w:val="00CA1284"/>
    <w:rsid w:val="00CA181A"/>
    <w:rsid w:val="00CA1B91"/>
    <w:rsid w:val="00CA2705"/>
    <w:rsid w:val="00CA2A83"/>
    <w:rsid w:val="00CA3496"/>
    <w:rsid w:val="00CA3DCD"/>
    <w:rsid w:val="00CA3F0B"/>
    <w:rsid w:val="00CA489B"/>
    <w:rsid w:val="00CA4CF6"/>
    <w:rsid w:val="00CA5A08"/>
    <w:rsid w:val="00CA5CF9"/>
    <w:rsid w:val="00CA650D"/>
    <w:rsid w:val="00CA666B"/>
    <w:rsid w:val="00CA6803"/>
    <w:rsid w:val="00CA7350"/>
    <w:rsid w:val="00CA77B2"/>
    <w:rsid w:val="00CA7ED4"/>
    <w:rsid w:val="00CB00FE"/>
    <w:rsid w:val="00CB0E6C"/>
    <w:rsid w:val="00CB0F91"/>
    <w:rsid w:val="00CB1D08"/>
    <w:rsid w:val="00CB2192"/>
    <w:rsid w:val="00CB297E"/>
    <w:rsid w:val="00CB39D1"/>
    <w:rsid w:val="00CB3E04"/>
    <w:rsid w:val="00CB44FA"/>
    <w:rsid w:val="00CB4EE8"/>
    <w:rsid w:val="00CB52CE"/>
    <w:rsid w:val="00CB54C2"/>
    <w:rsid w:val="00CB5C43"/>
    <w:rsid w:val="00CB5EF2"/>
    <w:rsid w:val="00CB6377"/>
    <w:rsid w:val="00CB63C5"/>
    <w:rsid w:val="00CB6ADB"/>
    <w:rsid w:val="00CB78FD"/>
    <w:rsid w:val="00CC012E"/>
    <w:rsid w:val="00CC03B4"/>
    <w:rsid w:val="00CC09AA"/>
    <w:rsid w:val="00CC0CCB"/>
    <w:rsid w:val="00CC0DD6"/>
    <w:rsid w:val="00CC17C8"/>
    <w:rsid w:val="00CC1CDF"/>
    <w:rsid w:val="00CC29B3"/>
    <w:rsid w:val="00CC2D24"/>
    <w:rsid w:val="00CC342E"/>
    <w:rsid w:val="00CC3889"/>
    <w:rsid w:val="00CC415D"/>
    <w:rsid w:val="00CC4884"/>
    <w:rsid w:val="00CC4E20"/>
    <w:rsid w:val="00CC50DF"/>
    <w:rsid w:val="00CC743B"/>
    <w:rsid w:val="00CC7758"/>
    <w:rsid w:val="00CC7FEE"/>
    <w:rsid w:val="00CD25AC"/>
    <w:rsid w:val="00CD2A72"/>
    <w:rsid w:val="00CD2C11"/>
    <w:rsid w:val="00CD2C7C"/>
    <w:rsid w:val="00CD2FDC"/>
    <w:rsid w:val="00CD350E"/>
    <w:rsid w:val="00CD39D2"/>
    <w:rsid w:val="00CD3AB9"/>
    <w:rsid w:val="00CD3DAA"/>
    <w:rsid w:val="00CD5630"/>
    <w:rsid w:val="00CD5BC8"/>
    <w:rsid w:val="00CD64AA"/>
    <w:rsid w:val="00CD64FD"/>
    <w:rsid w:val="00CD6FFB"/>
    <w:rsid w:val="00CD6FFD"/>
    <w:rsid w:val="00CD7B01"/>
    <w:rsid w:val="00CD7BC1"/>
    <w:rsid w:val="00CE0A7C"/>
    <w:rsid w:val="00CE0ABA"/>
    <w:rsid w:val="00CE0B9F"/>
    <w:rsid w:val="00CE0CB7"/>
    <w:rsid w:val="00CE0DA7"/>
    <w:rsid w:val="00CE119E"/>
    <w:rsid w:val="00CE1A46"/>
    <w:rsid w:val="00CE1B9C"/>
    <w:rsid w:val="00CE1C11"/>
    <w:rsid w:val="00CE2D5C"/>
    <w:rsid w:val="00CE338C"/>
    <w:rsid w:val="00CE33F4"/>
    <w:rsid w:val="00CE3532"/>
    <w:rsid w:val="00CE3C52"/>
    <w:rsid w:val="00CE4DB0"/>
    <w:rsid w:val="00CE52B4"/>
    <w:rsid w:val="00CE5802"/>
    <w:rsid w:val="00CE5E03"/>
    <w:rsid w:val="00CE606E"/>
    <w:rsid w:val="00CE7014"/>
    <w:rsid w:val="00CE79D0"/>
    <w:rsid w:val="00CE7C8E"/>
    <w:rsid w:val="00CE7E00"/>
    <w:rsid w:val="00CF05D0"/>
    <w:rsid w:val="00CF0798"/>
    <w:rsid w:val="00CF0A8B"/>
    <w:rsid w:val="00CF10B9"/>
    <w:rsid w:val="00CF157C"/>
    <w:rsid w:val="00CF2905"/>
    <w:rsid w:val="00CF31B0"/>
    <w:rsid w:val="00CF3211"/>
    <w:rsid w:val="00CF35F3"/>
    <w:rsid w:val="00CF39DE"/>
    <w:rsid w:val="00CF4492"/>
    <w:rsid w:val="00CF4D7B"/>
    <w:rsid w:val="00CF4F84"/>
    <w:rsid w:val="00CF505C"/>
    <w:rsid w:val="00CF5194"/>
    <w:rsid w:val="00CF5346"/>
    <w:rsid w:val="00CF6516"/>
    <w:rsid w:val="00CF6A25"/>
    <w:rsid w:val="00CF6BF6"/>
    <w:rsid w:val="00CF7230"/>
    <w:rsid w:val="00CF7292"/>
    <w:rsid w:val="00CF7667"/>
    <w:rsid w:val="00D003C1"/>
    <w:rsid w:val="00D00C53"/>
    <w:rsid w:val="00D00C7C"/>
    <w:rsid w:val="00D02091"/>
    <w:rsid w:val="00D0220C"/>
    <w:rsid w:val="00D026BD"/>
    <w:rsid w:val="00D0273E"/>
    <w:rsid w:val="00D02989"/>
    <w:rsid w:val="00D02D21"/>
    <w:rsid w:val="00D02D6A"/>
    <w:rsid w:val="00D037B4"/>
    <w:rsid w:val="00D04412"/>
    <w:rsid w:val="00D04605"/>
    <w:rsid w:val="00D04652"/>
    <w:rsid w:val="00D047E9"/>
    <w:rsid w:val="00D04B46"/>
    <w:rsid w:val="00D05FE0"/>
    <w:rsid w:val="00D075A4"/>
    <w:rsid w:val="00D07C93"/>
    <w:rsid w:val="00D113BE"/>
    <w:rsid w:val="00D117E7"/>
    <w:rsid w:val="00D1304E"/>
    <w:rsid w:val="00D13810"/>
    <w:rsid w:val="00D140BE"/>
    <w:rsid w:val="00D1415F"/>
    <w:rsid w:val="00D14381"/>
    <w:rsid w:val="00D14385"/>
    <w:rsid w:val="00D15CD7"/>
    <w:rsid w:val="00D16C8A"/>
    <w:rsid w:val="00D16D23"/>
    <w:rsid w:val="00D17675"/>
    <w:rsid w:val="00D202D9"/>
    <w:rsid w:val="00D216C1"/>
    <w:rsid w:val="00D22116"/>
    <w:rsid w:val="00D22469"/>
    <w:rsid w:val="00D22509"/>
    <w:rsid w:val="00D22549"/>
    <w:rsid w:val="00D2272C"/>
    <w:rsid w:val="00D22CEA"/>
    <w:rsid w:val="00D22EE1"/>
    <w:rsid w:val="00D23465"/>
    <w:rsid w:val="00D23971"/>
    <w:rsid w:val="00D23FC5"/>
    <w:rsid w:val="00D24539"/>
    <w:rsid w:val="00D25386"/>
    <w:rsid w:val="00D25958"/>
    <w:rsid w:val="00D259BE"/>
    <w:rsid w:val="00D25E42"/>
    <w:rsid w:val="00D269FE"/>
    <w:rsid w:val="00D273CA"/>
    <w:rsid w:val="00D2784C"/>
    <w:rsid w:val="00D27D59"/>
    <w:rsid w:val="00D27F21"/>
    <w:rsid w:val="00D30778"/>
    <w:rsid w:val="00D3089B"/>
    <w:rsid w:val="00D31B8F"/>
    <w:rsid w:val="00D32A3A"/>
    <w:rsid w:val="00D33481"/>
    <w:rsid w:val="00D334B7"/>
    <w:rsid w:val="00D33F25"/>
    <w:rsid w:val="00D34798"/>
    <w:rsid w:val="00D354CB"/>
    <w:rsid w:val="00D36056"/>
    <w:rsid w:val="00D36697"/>
    <w:rsid w:val="00D36A8D"/>
    <w:rsid w:val="00D37FBB"/>
    <w:rsid w:val="00D40511"/>
    <w:rsid w:val="00D40B45"/>
    <w:rsid w:val="00D40B70"/>
    <w:rsid w:val="00D413E8"/>
    <w:rsid w:val="00D426BC"/>
    <w:rsid w:val="00D42AAB"/>
    <w:rsid w:val="00D430EC"/>
    <w:rsid w:val="00D432BE"/>
    <w:rsid w:val="00D436A2"/>
    <w:rsid w:val="00D4579F"/>
    <w:rsid w:val="00D45CE0"/>
    <w:rsid w:val="00D4664F"/>
    <w:rsid w:val="00D46DD5"/>
    <w:rsid w:val="00D473E9"/>
    <w:rsid w:val="00D47B6E"/>
    <w:rsid w:val="00D47FA4"/>
    <w:rsid w:val="00D50AE8"/>
    <w:rsid w:val="00D510BC"/>
    <w:rsid w:val="00D511D3"/>
    <w:rsid w:val="00D513E7"/>
    <w:rsid w:val="00D51EBB"/>
    <w:rsid w:val="00D53C12"/>
    <w:rsid w:val="00D54AAB"/>
    <w:rsid w:val="00D55CDB"/>
    <w:rsid w:val="00D55D15"/>
    <w:rsid w:val="00D564A0"/>
    <w:rsid w:val="00D56669"/>
    <w:rsid w:val="00D574D3"/>
    <w:rsid w:val="00D57619"/>
    <w:rsid w:val="00D57683"/>
    <w:rsid w:val="00D57CD1"/>
    <w:rsid w:val="00D57DB8"/>
    <w:rsid w:val="00D57E9A"/>
    <w:rsid w:val="00D607E1"/>
    <w:rsid w:val="00D60B29"/>
    <w:rsid w:val="00D60C02"/>
    <w:rsid w:val="00D613C4"/>
    <w:rsid w:val="00D61592"/>
    <w:rsid w:val="00D618DA"/>
    <w:rsid w:val="00D6195F"/>
    <w:rsid w:val="00D61B65"/>
    <w:rsid w:val="00D61BB7"/>
    <w:rsid w:val="00D623F9"/>
    <w:rsid w:val="00D6246D"/>
    <w:rsid w:val="00D62CE7"/>
    <w:rsid w:val="00D63526"/>
    <w:rsid w:val="00D63B31"/>
    <w:rsid w:val="00D64683"/>
    <w:rsid w:val="00D64A13"/>
    <w:rsid w:val="00D64BBF"/>
    <w:rsid w:val="00D652B4"/>
    <w:rsid w:val="00D6536B"/>
    <w:rsid w:val="00D659DA"/>
    <w:rsid w:val="00D65C3E"/>
    <w:rsid w:val="00D6612F"/>
    <w:rsid w:val="00D66505"/>
    <w:rsid w:val="00D66847"/>
    <w:rsid w:val="00D66CD9"/>
    <w:rsid w:val="00D67911"/>
    <w:rsid w:val="00D70033"/>
    <w:rsid w:val="00D701E7"/>
    <w:rsid w:val="00D70D44"/>
    <w:rsid w:val="00D715EB"/>
    <w:rsid w:val="00D71C3E"/>
    <w:rsid w:val="00D72077"/>
    <w:rsid w:val="00D724F4"/>
    <w:rsid w:val="00D7271E"/>
    <w:rsid w:val="00D73B1B"/>
    <w:rsid w:val="00D750BB"/>
    <w:rsid w:val="00D757DF"/>
    <w:rsid w:val="00D7658B"/>
    <w:rsid w:val="00D7659B"/>
    <w:rsid w:val="00D76677"/>
    <w:rsid w:val="00D766FE"/>
    <w:rsid w:val="00D76A22"/>
    <w:rsid w:val="00D779B4"/>
    <w:rsid w:val="00D77FC6"/>
    <w:rsid w:val="00D806AC"/>
    <w:rsid w:val="00D81DA0"/>
    <w:rsid w:val="00D82995"/>
    <w:rsid w:val="00D829EC"/>
    <w:rsid w:val="00D82CB4"/>
    <w:rsid w:val="00D83706"/>
    <w:rsid w:val="00D8435E"/>
    <w:rsid w:val="00D843B2"/>
    <w:rsid w:val="00D84A83"/>
    <w:rsid w:val="00D84CAA"/>
    <w:rsid w:val="00D84D1C"/>
    <w:rsid w:val="00D850D5"/>
    <w:rsid w:val="00D8515E"/>
    <w:rsid w:val="00D85368"/>
    <w:rsid w:val="00D8588E"/>
    <w:rsid w:val="00D85B54"/>
    <w:rsid w:val="00D86271"/>
    <w:rsid w:val="00D86FA3"/>
    <w:rsid w:val="00D875D9"/>
    <w:rsid w:val="00D87BE0"/>
    <w:rsid w:val="00D87C8D"/>
    <w:rsid w:val="00D90539"/>
    <w:rsid w:val="00D912DF"/>
    <w:rsid w:val="00D91A3C"/>
    <w:rsid w:val="00D91AD9"/>
    <w:rsid w:val="00D91C74"/>
    <w:rsid w:val="00D91E4D"/>
    <w:rsid w:val="00D92136"/>
    <w:rsid w:val="00D92DA9"/>
    <w:rsid w:val="00D933D0"/>
    <w:rsid w:val="00D937A9"/>
    <w:rsid w:val="00D93B2D"/>
    <w:rsid w:val="00D9469B"/>
    <w:rsid w:val="00D946C0"/>
    <w:rsid w:val="00D94A1A"/>
    <w:rsid w:val="00D94AEC"/>
    <w:rsid w:val="00D94CCB"/>
    <w:rsid w:val="00D95557"/>
    <w:rsid w:val="00D964CE"/>
    <w:rsid w:val="00D96E8A"/>
    <w:rsid w:val="00D97412"/>
    <w:rsid w:val="00D974EC"/>
    <w:rsid w:val="00DA0B7C"/>
    <w:rsid w:val="00DA1550"/>
    <w:rsid w:val="00DA29B9"/>
    <w:rsid w:val="00DA2EA5"/>
    <w:rsid w:val="00DA3B5F"/>
    <w:rsid w:val="00DA5AF8"/>
    <w:rsid w:val="00DA5C56"/>
    <w:rsid w:val="00DA66BB"/>
    <w:rsid w:val="00DA67C9"/>
    <w:rsid w:val="00DA6E5B"/>
    <w:rsid w:val="00DA73C1"/>
    <w:rsid w:val="00DA76E6"/>
    <w:rsid w:val="00DA7E2B"/>
    <w:rsid w:val="00DB00EF"/>
    <w:rsid w:val="00DB0174"/>
    <w:rsid w:val="00DB0205"/>
    <w:rsid w:val="00DB04D5"/>
    <w:rsid w:val="00DB0ACC"/>
    <w:rsid w:val="00DB0BD4"/>
    <w:rsid w:val="00DB0E7F"/>
    <w:rsid w:val="00DB163E"/>
    <w:rsid w:val="00DB1E6D"/>
    <w:rsid w:val="00DB2667"/>
    <w:rsid w:val="00DB28B5"/>
    <w:rsid w:val="00DB31EB"/>
    <w:rsid w:val="00DB4995"/>
    <w:rsid w:val="00DB51EF"/>
    <w:rsid w:val="00DB5485"/>
    <w:rsid w:val="00DB5E2C"/>
    <w:rsid w:val="00DB67F8"/>
    <w:rsid w:val="00DB6EB6"/>
    <w:rsid w:val="00DB7356"/>
    <w:rsid w:val="00DC0E77"/>
    <w:rsid w:val="00DC13B3"/>
    <w:rsid w:val="00DC1BB5"/>
    <w:rsid w:val="00DC1CA8"/>
    <w:rsid w:val="00DC2032"/>
    <w:rsid w:val="00DC37FB"/>
    <w:rsid w:val="00DC4134"/>
    <w:rsid w:val="00DC4C8A"/>
    <w:rsid w:val="00DC4D11"/>
    <w:rsid w:val="00DC4D3F"/>
    <w:rsid w:val="00DC4F4E"/>
    <w:rsid w:val="00DC536A"/>
    <w:rsid w:val="00DC546D"/>
    <w:rsid w:val="00DC5538"/>
    <w:rsid w:val="00DC644E"/>
    <w:rsid w:val="00DC69B3"/>
    <w:rsid w:val="00DC6B85"/>
    <w:rsid w:val="00DC7402"/>
    <w:rsid w:val="00DD03AF"/>
    <w:rsid w:val="00DD072E"/>
    <w:rsid w:val="00DD0A9C"/>
    <w:rsid w:val="00DD3894"/>
    <w:rsid w:val="00DD3D93"/>
    <w:rsid w:val="00DD3E3D"/>
    <w:rsid w:val="00DD45A2"/>
    <w:rsid w:val="00DD4783"/>
    <w:rsid w:val="00DD4B8B"/>
    <w:rsid w:val="00DD4ED9"/>
    <w:rsid w:val="00DD4FA1"/>
    <w:rsid w:val="00DD5B14"/>
    <w:rsid w:val="00DD5BB1"/>
    <w:rsid w:val="00DD5D8A"/>
    <w:rsid w:val="00DD5FFA"/>
    <w:rsid w:val="00DD6199"/>
    <w:rsid w:val="00DD6A3B"/>
    <w:rsid w:val="00DD7435"/>
    <w:rsid w:val="00DD7566"/>
    <w:rsid w:val="00DD79EF"/>
    <w:rsid w:val="00DE05A8"/>
    <w:rsid w:val="00DE073A"/>
    <w:rsid w:val="00DE0C52"/>
    <w:rsid w:val="00DE1AEF"/>
    <w:rsid w:val="00DE22D8"/>
    <w:rsid w:val="00DE2327"/>
    <w:rsid w:val="00DE2802"/>
    <w:rsid w:val="00DE2BE2"/>
    <w:rsid w:val="00DE326A"/>
    <w:rsid w:val="00DE3909"/>
    <w:rsid w:val="00DE3CFE"/>
    <w:rsid w:val="00DE44D6"/>
    <w:rsid w:val="00DE46F5"/>
    <w:rsid w:val="00DE48AE"/>
    <w:rsid w:val="00DE4E50"/>
    <w:rsid w:val="00DE5FC7"/>
    <w:rsid w:val="00DE7374"/>
    <w:rsid w:val="00DE7BF6"/>
    <w:rsid w:val="00DF0477"/>
    <w:rsid w:val="00DF07E2"/>
    <w:rsid w:val="00DF093D"/>
    <w:rsid w:val="00DF14CD"/>
    <w:rsid w:val="00DF14E7"/>
    <w:rsid w:val="00DF2746"/>
    <w:rsid w:val="00DF31B5"/>
    <w:rsid w:val="00DF3D55"/>
    <w:rsid w:val="00DF3E27"/>
    <w:rsid w:val="00DF52CE"/>
    <w:rsid w:val="00DF5385"/>
    <w:rsid w:val="00DF5BD3"/>
    <w:rsid w:val="00DF607B"/>
    <w:rsid w:val="00DF6513"/>
    <w:rsid w:val="00DF69DB"/>
    <w:rsid w:val="00DF7254"/>
    <w:rsid w:val="00DF745A"/>
    <w:rsid w:val="00DF771C"/>
    <w:rsid w:val="00DF79A0"/>
    <w:rsid w:val="00E009E8"/>
    <w:rsid w:val="00E0135E"/>
    <w:rsid w:val="00E01836"/>
    <w:rsid w:val="00E01FC3"/>
    <w:rsid w:val="00E020A7"/>
    <w:rsid w:val="00E02163"/>
    <w:rsid w:val="00E02CB1"/>
    <w:rsid w:val="00E04057"/>
    <w:rsid w:val="00E042E5"/>
    <w:rsid w:val="00E05B8B"/>
    <w:rsid w:val="00E05E73"/>
    <w:rsid w:val="00E062BE"/>
    <w:rsid w:val="00E06D5C"/>
    <w:rsid w:val="00E0755C"/>
    <w:rsid w:val="00E07726"/>
    <w:rsid w:val="00E07746"/>
    <w:rsid w:val="00E07800"/>
    <w:rsid w:val="00E07898"/>
    <w:rsid w:val="00E10659"/>
    <w:rsid w:val="00E113CF"/>
    <w:rsid w:val="00E114DB"/>
    <w:rsid w:val="00E126DA"/>
    <w:rsid w:val="00E12F04"/>
    <w:rsid w:val="00E13B41"/>
    <w:rsid w:val="00E15908"/>
    <w:rsid w:val="00E1645B"/>
    <w:rsid w:val="00E1697C"/>
    <w:rsid w:val="00E206BE"/>
    <w:rsid w:val="00E20AF0"/>
    <w:rsid w:val="00E20EA5"/>
    <w:rsid w:val="00E21530"/>
    <w:rsid w:val="00E2248F"/>
    <w:rsid w:val="00E2327F"/>
    <w:rsid w:val="00E2340D"/>
    <w:rsid w:val="00E2474B"/>
    <w:rsid w:val="00E24B81"/>
    <w:rsid w:val="00E24C2C"/>
    <w:rsid w:val="00E2602B"/>
    <w:rsid w:val="00E26311"/>
    <w:rsid w:val="00E268F1"/>
    <w:rsid w:val="00E27927"/>
    <w:rsid w:val="00E27D46"/>
    <w:rsid w:val="00E3061C"/>
    <w:rsid w:val="00E3108E"/>
    <w:rsid w:val="00E31405"/>
    <w:rsid w:val="00E32A01"/>
    <w:rsid w:val="00E32D60"/>
    <w:rsid w:val="00E32D63"/>
    <w:rsid w:val="00E3318A"/>
    <w:rsid w:val="00E331FF"/>
    <w:rsid w:val="00E33A10"/>
    <w:rsid w:val="00E33B3F"/>
    <w:rsid w:val="00E33ED4"/>
    <w:rsid w:val="00E33FC1"/>
    <w:rsid w:val="00E34263"/>
    <w:rsid w:val="00E347BD"/>
    <w:rsid w:val="00E34C99"/>
    <w:rsid w:val="00E34EEF"/>
    <w:rsid w:val="00E3585A"/>
    <w:rsid w:val="00E35C31"/>
    <w:rsid w:val="00E35C46"/>
    <w:rsid w:val="00E36587"/>
    <w:rsid w:val="00E36CC5"/>
    <w:rsid w:val="00E376A2"/>
    <w:rsid w:val="00E3781C"/>
    <w:rsid w:val="00E37856"/>
    <w:rsid w:val="00E40364"/>
    <w:rsid w:val="00E40837"/>
    <w:rsid w:val="00E40E00"/>
    <w:rsid w:val="00E40E0F"/>
    <w:rsid w:val="00E4136D"/>
    <w:rsid w:val="00E41E98"/>
    <w:rsid w:val="00E42FA5"/>
    <w:rsid w:val="00E433F9"/>
    <w:rsid w:val="00E438B0"/>
    <w:rsid w:val="00E43DA4"/>
    <w:rsid w:val="00E4447A"/>
    <w:rsid w:val="00E4480B"/>
    <w:rsid w:val="00E4492B"/>
    <w:rsid w:val="00E44EFC"/>
    <w:rsid w:val="00E45D26"/>
    <w:rsid w:val="00E46333"/>
    <w:rsid w:val="00E4701F"/>
    <w:rsid w:val="00E4706C"/>
    <w:rsid w:val="00E476BF"/>
    <w:rsid w:val="00E507E2"/>
    <w:rsid w:val="00E51094"/>
    <w:rsid w:val="00E51A9A"/>
    <w:rsid w:val="00E51D90"/>
    <w:rsid w:val="00E52631"/>
    <w:rsid w:val="00E52920"/>
    <w:rsid w:val="00E530F6"/>
    <w:rsid w:val="00E53978"/>
    <w:rsid w:val="00E53A01"/>
    <w:rsid w:val="00E53F68"/>
    <w:rsid w:val="00E54196"/>
    <w:rsid w:val="00E541E9"/>
    <w:rsid w:val="00E54D05"/>
    <w:rsid w:val="00E5506A"/>
    <w:rsid w:val="00E56A34"/>
    <w:rsid w:val="00E56C66"/>
    <w:rsid w:val="00E56F8B"/>
    <w:rsid w:val="00E57073"/>
    <w:rsid w:val="00E5718B"/>
    <w:rsid w:val="00E576D2"/>
    <w:rsid w:val="00E57BA9"/>
    <w:rsid w:val="00E60DA9"/>
    <w:rsid w:val="00E61F09"/>
    <w:rsid w:val="00E62CBA"/>
    <w:rsid w:val="00E62F62"/>
    <w:rsid w:val="00E6301F"/>
    <w:rsid w:val="00E63CC3"/>
    <w:rsid w:val="00E63E50"/>
    <w:rsid w:val="00E64A29"/>
    <w:rsid w:val="00E64FDB"/>
    <w:rsid w:val="00E650D5"/>
    <w:rsid w:val="00E65269"/>
    <w:rsid w:val="00E65FFF"/>
    <w:rsid w:val="00E6703F"/>
    <w:rsid w:val="00E672EC"/>
    <w:rsid w:val="00E676D9"/>
    <w:rsid w:val="00E709D5"/>
    <w:rsid w:val="00E70DDA"/>
    <w:rsid w:val="00E70F03"/>
    <w:rsid w:val="00E71DF1"/>
    <w:rsid w:val="00E71E8A"/>
    <w:rsid w:val="00E71FA4"/>
    <w:rsid w:val="00E7414A"/>
    <w:rsid w:val="00E7524D"/>
    <w:rsid w:val="00E7574B"/>
    <w:rsid w:val="00E758C4"/>
    <w:rsid w:val="00E761B7"/>
    <w:rsid w:val="00E770D3"/>
    <w:rsid w:val="00E775B8"/>
    <w:rsid w:val="00E77B5B"/>
    <w:rsid w:val="00E77F51"/>
    <w:rsid w:val="00E811BA"/>
    <w:rsid w:val="00E81274"/>
    <w:rsid w:val="00E8145E"/>
    <w:rsid w:val="00E81746"/>
    <w:rsid w:val="00E835BC"/>
    <w:rsid w:val="00E83BBB"/>
    <w:rsid w:val="00E83CCF"/>
    <w:rsid w:val="00E83E41"/>
    <w:rsid w:val="00E83E57"/>
    <w:rsid w:val="00E84735"/>
    <w:rsid w:val="00E84B86"/>
    <w:rsid w:val="00E85078"/>
    <w:rsid w:val="00E86A07"/>
    <w:rsid w:val="00E86D4E"/>
    <w:rsid w:val="00E87375"/>
    <w:rsid w:val="00E90359"/>
    <w:rsid w:val="00E907A2"/>
    <w:rsid w:val="00E907B2"/>
    <w:rsid w:val="00E90A63"/>
    <w:rsid w:val="00E90B19"/>
    <w:rsid w:val="00E90B76"/>
    <w:rsid w:val="00E92D81"/>
    <w:rsid w:val="00E93933"/>
    <w:rsid w:val="00E93FD0"/>
    <w:rsid w:val="00E94228"/>
    <w:rsid w:val="00E942CF"/>
    <w:rsid w:val="00E94776"/>
    <w:rsid w:val="00E94F81"/>
    <w:rsid w:val="00E94FC7"/>
    <w:rsid w:val="00E963D8"/>
    <w:rsid w:val="00E96BCB"/>
    <w:rsid w:val="00E971BC"/>
    <w:rsid w:val="00E9728A"/>
    <w:rsid w:val="00E976E6"/>
    <w:rsid w:val="00E9772B"/>
    <w:rsid w:val="00EA04E9"/>
    <w:rsid w:val="00EA078C"/>
    <w:rsid w:val="00EA0B1F"/>
    <w:rsid w:val="00EA1C3A"/>
    <w:rsid w:val="00EA498A"/>
    <w:rsid w:val="00EA509F"/>
    <w:rsid w:val="00EA50BA"/>
    <w:rsid w:val="00EA5158"/>
    <w:rsid w:val="00EA5312"/>
    <w:rsid w:val="00EA5B06"/>
    <w:rsid w:val="00EA60B1"/>
    <w:rsid w:val="00EA644E"/>
    <w:rsid w:val="00EA674E"/>
    <w:rsid w:val="00EA68D0"/>
    <w:rsid w:val="00EA7150"/>
    <w:rsid w:val="00EA747B"/>
    <w:rsid w:val="00EA7BBE"/>
    <w:rsid w:val="00EA7FC8"/>
    <w:rsid w:val="00EB0239"/>
    <w:rsid w:val="00EB02B4"/>
    <w:rsid w:val="00EB0659"/>
    <w:rsid w:val="00EB0902"/>
    <w:rsid w:val="00EB0BAA"/>
    <w:rsid w:val="00EB0DCD"/>
    <w:rsid w:val="00EB136A"/>
    <w:rsid w:val="00EB2445"/>
    <w:rsid w:val="00EB34BB"/>
    <w:rsid w:val="00EB34EE"/>
    <w:rsid w:val="00EB35B4"/>
    <w:rsid w:val="00EB4520"/>
    <w:rsid w:val="00EB549E"/>
    <w:rsid w:val="00EB59EB"/>
    <w:rsid w:val="00EB5D1F"/>
    <w:rsid w:val="00EB6457"/>
    <w:rsid w:val="00EB6B95"/>
    <w:rsid w:val="00EB734B"/>
    <w:rsid w:val="00EB74EB"/>
    <w:rsid w:val="00EC02D4"/>
    <w:rsid w:val="00EC034F"/>
    <w:rsid w:val="00EC11B6"/>
    <w:rsid w:val="00EC2469"/>
    <w:rsid w:val="00EC26E1"/>
    <w:rsid w:val="00EC2881"/>
    <w:rsid w:val="00EC331A"/>
    <w:rsid w:val="00EC3EEE"/>
    <w:rsid w:val="00EC48D6"/>
    <w:rsid w:val="00EC4AEE"/>
    <w:rsid w:val="00EC4E50"/>
    <w:rsid w:val="00EC5ABD"/>
    <w:rsid w:val="00EC6147"/>
    <w:rsid w:val="00EC6ADB"/>
    <w:rsid w:val="00EC6E23"/>
    <w:rsid w:val="00ED0D0D"/>
    <w:rsid w:val="00ED1192"/>
    <w:rsid w:val="00ED11CB"/>
    <w:rsid w:val="00ED12B2"/>
    <w:rsid w:val="00ED2465"/>
    <w:rsid w:val="00ED260C"/>
    <w:rsid w:val="00ED2D83"/>
    <w:rsid w:val="00ED3247"/>
    <w:rsid w:val="00ED4367"/>
    <w:rsid w:val="00ED4396"/>
    <w:rsid w:val="00ED4A85"/>
    <w:rsid w:val="00ED4AC1"/>
    <w:rsid w:val="00ED6558"/>
    <w:rsid w:val="00ED6AF9"/>
    <w:rsid w:val="00ED6D34"/>
    <w:rsid w:val="00ED7A69"/>
    <w:rsid w:val="00ED7B58"/>
    <w:rsid w:val="00EE0451"/>
    <w:rsid w:val="00EE0868"/>
    <w:rsid w:val="00EE1E0E"/>
    <w:rsid w:val="00EE20E8"/>
    <w:rsid w:val="00EE27A1"/>
    <w:rsid w:val="00EE2C0C"/>
    <w:rsid w:val="00EE314A"/>
    <w:rsid w:val="00EE3640"/>
    <w:rsid w:val="00EE540D"/>
    <w:rsid w:val="00EE779D"/>
    <w:rsid w:val="00EE7F28"/>
    <w:rsid w:val="00EF063A"/>
    <w:rsid w:val="00EF18A5"/>
    <w:rsid w:val="00EF1B07"/>
    <w:rsid w:val="00EF23FE"/>
    <w:rsid w:val="00EF2802"/>
    <w:rsid w:val="00EF293C"/>
    <w:rsid w:val="00EF3249"/>
    <w:rsid w:val="00EF41C5"/>
    <w:rsid w:val="00EF4F7A"/>
    <w:rsid w:val="00EF54BB"/>
    <w:rsid w:val="00EF5562"/>
    <w:rsid w:val="00EF57D7"/>
    <w:rsid w:val="00EF58FF"/>
    <w:rsid w:val="00EF61D3"/>
    <w:rsid w:val="00EF6614"/>
    <w:rsid w:val="00EF6912"/>
    <w:rsid w:val="00EF7F7B"/>
    <w:rsid w:val="00F00246"/>
    <w:rsid w:val="00F00AA8"/>
    <w:rsid w:val="00F0169F"/>
    <w:rsid w:val="00F016BB"/>
    <w:rsid w:val="00F02000"/>
    <w:rsid w:val="00F02980"/>
    <w:rsid w:val="00F02D72"/>
    <w:rsid w:val="00F02FB4"/>
    <w:rsid w:val="00F036A4"/>
    <w:rsid w:val="00F03F87"/>
    <w:rsid w:val="00F04A29"/>
    <w:rsid w:val="00F063C9"/>
    <w:rsid w:val="00F068DA"/>
    <w:rsid w:val="00F06A45"/>
    <w:rsid w:val="00F06D47"/>
    <w:rsid w:val="00F07131"/>
    <w:rsid w:val="00F105CE"/>
    <w:rsid w:val="00F10D9B"/>
    <w:rsid w:val="00F113EF"/>
    <w:rsid w:val="00F11572"/>
    <w:rsid w:val="00F11BB0"/>
    <w:rsid w:val="00F12B8C"/>
    <w:rsid w:val="00F136DE"/>
    <w:rsid w:val="00F13ED6"/>
    <w:rsid w:val="00F14781"/>
    <w:rsid w:val="00F149DE"/>
    <w:rsid w:val="00F15193"/>
    <w:rsid w:val="00F16519"/>
    <w:rsid w:val="00F16B30"/>
    <w:rsid w:val="00F16F97"/>
    <w:rsid w:val="00F16FFF"/>
    <w:rsid w:val="00F17B1D"/>
    <w:rsid w:val="00F17E7A"/>
    <w:rsid w:val="00F20305"/>
    <w:rsid w:val="00F20953"/>
    <w:rsid w:val="00F21D3B"/>
    <w:rsid w:val="00F21ED1"/>
    <w:rsid w:val="00F2221E"/>
    <w:rsid w:val="00F225BA"/>
    <w:rsid w:val="00F225BC"/>
    <w:rsid w:val="00F23109"/>
    <w:rsid w:val="00F235D4"/>
    <w:rsid w:val="00F241BC"/>
    <w:rsid w:val="00F24BF2"/>
    <w:rsid w:val="00F2520C"/>
    <w:rsid w:val="00F25E5E"/>
    <w:rsid w:val="00F26449"/>
    <w:rsid w:val="00F269C3"/>
    <w:rsid w:val="00F27428"/>
    <w:rsid w:val="00F27478"/>
    <w:rsid w:val="00F274FF"/>
    <w:rsid w:val="00F27A95"/>
    <w:rsid w:val="00F31538"/>
    <w:rsid w:val="00F3183E"/>
    <w:rsid w:val="00F326A4"/>
    <w:rsid w:val="00F32AF6"/>
    <w:rsid w:val="00F32CF4"/>
    <w:rsid w:val="00F337C1"/>
    <w:rsid w:val="00F33DFE"/>
    <w:rsid w:val="00F3412C"/>
    <w:rsid w:val="00F34757"/>
    <w:rsid w:val="00F35672"/>
    <w:rsid w:val="00F357F9"/>
    <w:rsid w:val="00F3589A"/>
    <w:rsid w:val="00F35B8A"/>
    <w:rsid w:val="00F364DB"/>
    <w:rsid w:val="00F36898"/>
    <w:rsid w:val="00F36B86"/>
    <w:rsid w:val="00F36D89"/>
    <w:rsid w:val="00F36E82"/>
    <w:rsid w:val="00F36F62"/>
    <w:rsid w:val="00F40209"/>
    <w:rsid w:val="00F40C1E"/>
    <w:rsid w:val="00F40E5B"/>
    <w:rsid w:val="00F415CA"/>
    <w:rsid w:val="00F41AC6"/>
    <w:rsid w:val="00F41BBD"/>
    <w:rsid w:val="00F421AC"/>
    <w:rsid w:val="00F4297B"/>
    <w:rsid w:val="00F4298A"/>
    <w:rsid w:val="00F436FC"/>
    <w:rsid w:val="00F43F62"/>
    <w:rsid w:val="00F44592"/>
    <w:rsid w:val="00F447E1"/>
    <w:rsid w:val="00F44AA9"/>
    <w:rsid w:val="00F45197"/>
    <w:rsid w:val="00F456EE"/>
    <w:rsid w:val="00F45C2A"/>
    <w:rsid w:val="00F4612B"/>
    <w:rsid w:val="00F471C3"/>
    <w:rsid w:val="00F474A3"/>
    <w:rsid w:val="00F47AC9"/>
    <w:rsid w:val="00F47C38"/>
    <w:rsid w:val="00F50596"/>
    <w:rsid w:val="00F51655"/>
    <w:rsid w:val="00F51697"/>
    <w:rsid w:val="00F51D81"/>
    <w:rsid w:val="00F52877"/>
    <w:rsid w:val="00F52923"/>
    <w:rsid w:val="00F53403"/>
    <w:rsid w:val="00F540E0"/>
    <w:rsid w:val="00F54184"/>
    <w:rsid w:val="00F541B3"/>
    <w:rsid w:val="00F543BF"/>
    <w:rsid w:val="00F5496E"/>
    <w:rsid w:val="00F55799"/>
    <w:rsid w:val="00F56AF4"/>
    <w:rsid w:val="00F57589"/>
    <w:rsid w:val="00F575E4"/>
    <w:rsid w:val="00F579D1"/>
    <w:rsid w:val="00F57FF8"/>
    <w:rsid w:val="00F60118"/>
    <w:rsid w:val="00F60E57"/>
    <w:rsid w:val="00F60F9A"/>
    <w:rsid w:val="00F6108C"/>
    <w:rsid w:val="00F614A2"/>
    <w:rsid w:val="00F61738"/>
    <w:rsid w:val="00F620C5"/>
    <w:rsid w:val="00F621AE"/>
    <w:rsid w:val="00F622F9"/>
    <w:rsid w:val="00F6233C"/>
    <w:rsid w:val="00F6295D"/>
    <w:rsid w:val="00F63286"/>
    <w:rsid w:val="00F6390F"/>
    <w:rsid w:val="00F63FC7"/>
    <w:rsid w:val="00F64F8F"/>
    <w:rsid w:val="00F65213"/>
    <w:rsid w:val="00F65222"/>
    <w:rsid w:val="00F67EB5"/>
    <w:rsid w:val="00F70124"/>
    <w:rsid w:val="00F703B7"/>
    <w:rsid w:val="00F705A3"/>
    <w:rsid w:val="00F70A2A"/>
    <w:rsid w:val="00F714E8"/>
    <w:rsid w:val="00F7203D"/>
    <w:rsid w:val="00F726F5"/>
    <w:rsid w:val="00F7384F"/>
    <w:rsid w:val="00F73D18"/>
    <w:rsid w:val="00F741D6"/>
    <w:rsid w:val="00F74D9D"/>
    <w:rsid w:val="00F758AF"/>
    <w:rsid w:val="00F7617C"/>
    <w:rsid w:val="00F769E4"/>
    <w:rsid w:val="00F77F47"/>
    <w:rsid w:val="00F80139"/>
    <w:rsid w:val="00F80B55"/>
    <w:rsid w:val="00F811B3"/>
    <w:rsid w:val="00F81225"/>
    <w:rsid w:val="00F8178D"/>
    <w:rsid w:val="00F81B44"/>
    <w:rsid w:val="00F81BF0"/>
    <w:rsid w:val="00F82880"/>
    <w:rsid w:val="00F82AFE"/>
    <w:rsid w:val="00F82F2C"/>
    <w:rsid w:val="00F83069"/>
    <w:rsid w:val="00F83512"/>
    <w:rsid w:val="00F841F7"/>
    <w:rsid w:val="00F84FC3"/>
    <w:rsid w:val="00F85541"/>
    <w:rsid w:val="00F85934"/>
    <w:rsid w:val="00F85982"/>
    <w:rsid w:val="00F859AD"/>
    <w:rsid w:val="00F85C32"/>
    <w:rsid w:val="00F86975"/>
    <w:rsid w:val="00F87026"/>
    <w:rsid w:val="00F876D0"/>
    <w:rsid w:val="00F877A5"/>
    <w:rsid w:val="00F87830"/>
    <w:rsid w:val="00F87C47"/>
    <w:rsid w:val="00F90FF0"/>
    <w:rsid w:val="00F910CA"/>
    <w:rsid w:val="00F9167E"/>
    <w:rsid w:val="00F9169D"/>
    <w:rsid w:val="00F91A7A"/>
    <w:rsid w:val="00F92434"/>
    <w:rsid w:val="00F927C6"/>
    <w:rsid w:val="00F928A9"/>
    <w:rsid w:val="00F9344A"/>
    <w:rsid w:val="00F9437E"/>
    <w:rsid w:val="00F944F0"/>
    <w:rsid w:val="00F94A28"/>
    <w:rsid w:val="00F94EF6"/>
    <w:rsid w:val="00F952E9"/>
    <w:rsid w:val="00F95554"/>
    <w:rsid w:val="00F95AD3"/>
    <w:rsid w:val="00F95B70"/>
    <w:rsid w:val="00F96405"/>
    <w:rsid w:val="00F96EB9"/>
    <w:rsid w:val="00F97110"/>
    <w:rsid w:val="00F973F5"/>
    <w:rsid w:val="00F97CDD"/>
    <w:rsid w:val="00F97D80"/>
    <w:rsid w:val="00FA098E"/>
    <w:rsid w:val="00FA13AF"/>
    <w:rsid w:val="00FA28BA"/>
    <w:rsid w:val="00FA2B2F"/>
    <w:rsid w:val="00FA3412"/>
    <w:rsid w:val="00FA366D"/>
    <w:rsid w:val="00FA3CCB"/>
    <w:rsid w:val="00FA45C3"/>
    <w:rsid w:val="00FA4922"/>
    <w:rsid w:val="00FA51D4"/>
    <w:rsid w:val="00FA52A8"/>
    <w:rsid w:val="00FA5711"/>
    <w:rsid w:val="00FA59E8"/>
    <w:rsid w:val="00FA644D"/>
    <w:rsid w:val="00FA6C33"/>
    <w:rsid w:val="00FA6DF8"/>
    <w:rsid w:val="00FA6FC5"/>
    <w:rsid w:val="00FB02AB"/>
    <w:rsid w:val="00FB1D4D"/>
    <w:rsid w:val="00FB3D5D"/>
    <w:rsid w:val="00FB3EE0"/>
    <w:rsid w:val="00FB3F78"/>
    <w:rsid w:val="00FB419B"/>
    <w:rsid w:val="00FB420E"/>
    <w:rsid w:val="00FB6633"/>
    <w:rsid w:val="00FB776D"/>
    <w:rsid w:val="00FB7B9C"/>
    <w:rsid w:val="00FB7DA2"/>
    <w:rsid w:val="00FC03D0"/>
    <w:rsid w:val="00FC103D"/>
    <w:rsid w:val="00FC15BD"/>
    <w:rsid w:val="00FC207B"/>
    <w:rsid w:val="00FC24CD"/>
    <w:rsid w:val="00FC26F6"/>
    <w:rsid w:val="00FC2C7D"/>
    <w:rsid w:val="00FC33D4"/>
    <w:rsid w:val="00FC34E6"/>
    <w:rsid w:val="00FC3998"/>
    <w:rsid w:val="00FC419B"/>
    <w:rsid w:val="00FC4233"/>
    <w:rsid w:val="00FC5834"/>
    <w:rsid w:val="00FC62EA"/>
    <w:rsid w:val="00FC6676"/>
    <w:rsid w:val="00FC6B39"/>
    <w:rsid w:val="00FC76B8"/>
    <w:rsid w:val="00FC77FC"/>
    <w:rsid w:val="00FD01C5"/>
    <w:rsid w:val="00FD04E0"/>
    <w:rsid w:val="00FD0A4B"/>
    <w:rsid w:val="00FD0E08"/>
    <w:rsid w:val="00FD0F72"/>
    <w:rsid w:val="00FD167B"/>
    <w:rsid w:val="00FD2074"/>
    <w:rsid w:val="00FD21C7"/>
    <w:rsid w:val="00FD2C65"/>
    <w:rsid w:val="00FD390C"/>
    <w:rsid w:val="00FD39C5"/>
    <w:rsid w:val="00FD4195"/>
    <w:rsid w:val="00FD47FC"/>
    <w:rsid w:val="00FD4C8F"/>
    <w:rsid w:val="00FD51CB"/>
    <w:rsid w:val="00FD5AEE"/>
    <w:rsid w:val="00FD5C16"/>
    <w:rsid w:val="00FD783C"/>
    <w:rsid w:val="00FD7DC6"/>
    <w:rsid w:val="00FE02C2"/>
    <w:rsid w:val="00FE1092"/>
    <w:rsid w:val="00FE13C9"/>
    <w:rsid w:val="00FE1A33"/>
    <w:rsid w:val="00FE1E79"/>
    <w:rsid w:val="00FE21F0"/>
    <w:rsid w:val="00FE22DA"/>
    <w:rsid w:val="00FE232D"/>
    <w:rsid w:val="00FE2550"/>
    <w:rsid w:val="00FE2E77"/>
    <w:rsid w:val="00FE3251"/>
    <w:rsid w:val="00FE3601"/>
    <w:rsid w:val="00FE3776"/>
    <w:rsid w:val="00FE37BA"/>
    <w:rsid w:val="00FE3C71"/>
    <w:rsid w:val="00FE5243"/>
    <w:rsid w:val="00FE583D"/>
    <w:rsid w:val="00FE5C5E"/>
    <w:rsid w:val="00FE6283"/>
    <w:rsid w:val="00FE6424"/>
    <w:rsid w:val="00FE6445"/>
    <w:rsid w:val="00FE7FEF"/>
    <w:rsid w:val="00FF0DA3"/>
    <w:rsid w:val="00FF11CE"/>
    <w:rsid w:val="00FF131B"/>
    <w:rsid w:val="00FF1FCC"/>
    <w:rsid w:val="00FF2050"/>
    <w:rsid w:val="00FF26D4"/>
    <w:rsid w:val="00FF3191"/>
    <w:rsid w:val="00FF323B"/>
    <w:rsid w:val="00FF373D"/>
    <w:rsid w:val="00FF387C"/>
    <w:rsid w:val="00FF48A6"/>
    <w:rsid w:val="00FF4DE5"/>
    <w:rsid w:val="00FF5265"/>
    <w:rsid w:val="00FF5AFA"/>
    <w:rsid w:val="00FF6417"/>
    <w:rsid w:val="00FF6F4D"/>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B8FC68"/>
  <w15:chartTrackingRefBased/>
  <w15:docId w15:val="{D98CF7CA-B048-403F-AB99-3A2FB937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A6"/>
  </w:style>
  <w:style w:type="paragraph" w:styleId="Heading1">
    <w:name w:val="heading 1"/>
    <w:basedOn w:val="Normal"/>
    <w:next w:val="Normal"/>
    <w:link w:val="Heading1Char"/>
    <w:uiPriority w:val="9"/>
    <w:qFormat/>
    <w:rsid w:val="005D0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09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090C"/>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D09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09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D090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D090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D09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09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D75"/>
    <w:pPr>
      <w:ind w:left="720"/>
      <w:contextualSpacing/>
    </w:pPr>
  </w:style>
  <w:style w:type="character" w:styleId="Hyperlink">
    <w:name w:val="Hyperlink"/>
    <w:basedOn w:val="DefaultParagraphFont"/>
    <w:uiPriority w:val="99"/>
    <w:unhideWhenUsed/>
    <w:rsid w:val="00277AAF"/>
    <w:rPr>
      <w:color w:val="0563C1" w:themeColor="hyperlink"/>
      <w:u w:val="single"/>
    </w:rPr>
  </w:style>
  <w:style w:type="character" w:styleId="UnresolvedMention">
    <w:name w:val="Unresolved Mention"/>
    <w:basedOn w:val="DefaultParagraphFont"/>
    <w:uiPriority w:val="99"/>
    <w:semiHidden/>
    <w:unhideWhenUsed/>
    <w:rsid w:val="00277AAF"/>
    <w:rPr>
      <w:color w:val="605E5C"/>
      <w:shd w:val="clear" w:color="auto" w:fill="E1DFDD"/>
    </w:rPr>
  </w:style>
  <w:style w:type="paragraph" w:styleId="Bibliography">
    <w:name w:val="Bibliography"/>
    <w:basedOn w:val="Normal"/>
    <w:next w:val="Normal"/>
    <w:uiPriority w:val="37"/>
    <w:unhideWhenUsed/>
    <w:rsid w:val="002B0064"/>
    <w:pPr>
      <w:spacing w:after="0" w:line="240" w:lineRule="auto"/>
      <w:ind w:left="720" w:hanging="720"/>
    </w:pPr>
  </w:style>
  <w:style w:type="paragraph" w:styleId="Header">
    <w:name w:val="header"/>
    <w:basedOn w:val="Normal"/>
    <w:link w:val="HeaderChar"/>
    <w:uiPriority w:val="99"/>
    <w:unhideWhenUsed/>
    <w:rsid w:val="00F60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E57"/>
  </w:style>
  <w:style w:type="paragraph" w:styleId="Footer">
    <w:name w:val="footer"/>
    <w:basedOn w:val="Normal"/>
    <w:link w:val="FooterChar"/>
    <w:uiPriority w:val="99"/>
    <w:unhideWhenUsed/>
    <w:rsid w:val="00F60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E57"/>
  </w:style>
  <w:style w:type="character" w:styleId="CommentReference">
    <w:name w:val="annotation reference"/>
    <w:basedOn w:val="DefaultParagraphFont"/>
    <w:uiPriority w:val="99"/>
    <w:semiHidden/>
    <w:unhideWhenUsed/>
    <w:rsid w:val="00145871"/>
    <w:rPr>
      <w:sz w:val="16"/>
      <w:szCs w:val="16"/>
    </w:rPr>
  </w:style>
  <w:style w:type="paragraph" w:styleId="CommentText">
    <w:name w:val="annotation text"/>
    <w:basedOn w:val="Normal"/>
    <w:link w:val="CommentTextChar"/>
    <w:uiPriority w:val="99"/>
    <w:unhideWhenUsed/>
    <w:rsid w:val="00145871"/>
    <w:pPr>
      <w:spacing w:line="240" w:lineRule="auto"/>
    </w:pPr>
    <w:rPr>
      <w:sz w:val="20"/>
      <w:szCs w:val="20"/>
    </w:rPr>
  </w:style>
  <w:style w:type="character" w:customStyle="1" w:styleId="CommentTextChar">
    <w:name w:val="Comment Text Char"/>
    <w:basedOn w:val="DefaultParagraphFont"/>
    <w:link w:val="CommentText"/>
    <w:uiPriority w:val="99"/>
    <w:rsid w:val="00145871"/>
    <w:rPr>
      <w:sz w:val="20"/>
      <w:szCs w:val="20"/>
    </w:rPr>
  </w:style>
  <w:style w:type="paragraph" w:styleId="CommentSubject">
    <w:name w:val="annotation subject"/>
    <w:basedOn w:val="CommentText"/>
    <w:next w:val="CommentText"/>
    <w:link w:val="CommentSubjectChar"/>
    <w:uiPriority w:val="99"/>
    <w:semiHidden/>
    <w:unhideWhenUsed/>
    <w:rsid w:val="00145871"/>
    <w:rPr>
      <w:b/>
      <w:bCs/>
    </w:rPr>
  </w:style>
  <w:style w:type="character" w:customStyle="1" w:styleId="CommentSubjectChar">
    <w:name w:val="Comment Subject Char"/>
    <w:basedOn w:val="CommentTextChar"/>
    <w:link w:val="CommentSubject"/>
    <w:uiPriority w:val="99"/>
    <w:semiHidden/>
    <w:rsid w:val="00145871"/>
    <w:rPr>
      <w:b/>
      <w:bCs/>
      <w:sz w:val="20"/>
      <w:szCs w:val="20"/>
    </w:rPr>
  </w:style>
  <w:style w:type="character" w:styleId="FollowedHyperlink">
    <w:name w:val="FollowedHyperlink"/>
    <w:basedOn w:val="DefaultParagraphFont"/>
    <w:uiPriority w:val="99"/>
    <w:semiHidden/>
    <w:unhideWhenUsed/>
    <w:rsid w:val="0000631D"/>
    <w:rPr>
      <w:color w:val="954F72" w:themeColor="followedHyperlink"/>
      <w:u w:val="single"/>
    </w:rPr>
  </w:style>
  <w:style w:type="character" w:customStyle="1" w:styleId="MTEquationSection">
    <w:name w:val="MTEquationSection"/>
    <w:basedOn w:val="DefaultParagraphFont"/>
    <w:rsid w:val="009C0217"/>
    <w:rPr>
      <w:b/>
      <w:vanish/>
      <w:color w:val="FF0000"/>
    </w:rPr>
  </w:style>
  <w:style w:type="paragraph" w:customStyle="1" w:styleId="MTDisplayEquation">
    <w:name w:val="MTDisplayEquation"/>
    <w:basedOn w:val="Normal"/>
    <w:next w:val="Normal"/>
    <w:link w:val="MTDisplayEquationChar"/>
    <w:rsid w:val="009C0217"/>
    <w:pPr>
      <w:tabs>
        <w:tab w:val="center" w:pos="4680"/>
        <w:tab w:val="right" w:pos="9360"/>
      </w:tabs>
      <w:spacing w:after="0" w:line="240" w:lineRule="auto"/>
      <w:jc w:val="both"/>
    </w:pPr>
  </w:style>
  <w:style w:type="character" w:customStyle="1" w:styleId="MTDisplayEquationChar">
    <w:name w:val="MTDisplayEquation Char"/>
    <w:basedOn w:val="DefaultParagraphFont"/>
    <w:link w:val="MTDisplayEquation"/>
    <w:rsid w:val="009C0217"/>
  </w:style>
  <w:style w:type="paragraph" w:customStyle="1" w:styleId="msonormal0">
    <w:name w:val="msonormal"/>
    <w:basedOn w:val="Normal"/>
    <w:rsid w:val="001A64D9"/>
    <w:pPr>
      <w:spacing w:before="100" w:beforeAutospacing="1" w:after="100" w:afterAutospacing="1" w:line="240" w:lineRule="auto"/>
    </w:pPr>
    <w:rPr>
      <w:rFonts w:eastAsia="Times New Roman"/>
    </w:rPr>
  </w:style>
  <w:style w:type="paragraph" w:customStyle="1" w:styleId="xl65">
    <w:name w:val="xl65"/>
    <w:basedOn w:val="Normal"/>
    <w:rsid w:val="001A64D9"/>
    <w:pPr>
      <w:shd w:val="clear" w:color="000000" w:fill="FFFFFF"/>
      <w:spacing w:before="100" w:beforeAutospacing="1" w:after="100" w:afterAutospacing="1" w:line="240" w:lineRule="auto"/>
    </w:pPr>
    <w:rPr>
      <w:rFonts w:eastAsia="Times New Roman"/>
    </w:rPr>
  </w:style>
  <w:style w:type="paragraph" w:customStyle="1" w:styleId="xl66">
    <w:name w:val="xl66"/>
    <w:basedOn w:val="Normal"/>
    <w:rsid w:val="001A64D9"/>
    <w:pPr>
      <w:pBdr>
        <w:bottom w:val="single" w:sz="8" w:space="0" w:color="auto"/>
      </w:pBdr>
      <w:shd w:val="clear" w:color="000000" w:fill="FFFFFF"/>
      <w:spacing w:before="100" w:beforeAutospacing="1" w:after="100" w:afterAutospacing="1" w:line="240" w:lineRule="auto"/>
    </w:pPr>
    <w:rPr>
      <w:rFonts w:eastAsia="Times New Roman"/>
    </w:rPr>
  </w:style>
  <w:style w:type="paragraph" w:customStyle="1" w:styleId="xl67">
    <w:name w:val="xl67"/>
    <w:basedOn w:val="Normal"/>
    <w:rsid w:val="001A64D9"/>
    <w:pPr>
      <w:pBdr>
        <w:bottom w:val="single" w:sz="8" w:space="0" w:color="auto"/>
        <w:right w:val="single" w:sz="8" w:space="0" w:color="auto"/>
      </w:pBdr>
      <w:shd w:val="clear" w:color="000000" w:fill="FFFFFF"/>
      <w:spacing w:before="100" w:beforeAutospacing="1" w:after="100" w:afterAutospacing="1" w:line="240" w:lineRule="auto"/>
    </w:pPr>
    <w:rPr>
      <w:rFonts w:eastAsia="Times New Roman"/>
    </w:rPr>
  </w:style>
  <w:style w:type="paragraph" w:customStyle="1" w:styleId="xl68">
    <w:name w:val="xl68"/>
    <w:basedOn w:val="Normal"/>
    <w:rsid w:val="001A64D9"/>
    <w:pPr>
      <w:pBdr>
        <w:left w:val="single" w:sz="8" w:space="0" w:color="auto"/>
        <w:right w:val="single" w:sz="8" w:space="0" w:color="auto"/>
      </w:pBdr>
      <w:shd w:val="clear" w:color="000000" w:fill="FFFFFF"/>
      <w:spacing w:before="100" w:beforeAutospacing="1" w:after="100" w:afterAutospacing="1" w:line="240" w:lineRule="auto"/>
    </w:pPr>
    <w:rPr>
      <w:rFonts w:eastAsia="Times New Roman"/>
    </w:rPr>
  </w:style>
  <w:style w:type="paragraph" w:customStyle="1" w:styleId="xl69">
    <w:name w:val="xl69"/>
    <w:basedOn w:val="Normal"/>
    <w:rsid w:val="001A64D9"/>
    <w:pPr>
      <w:pBdr>
        <w:left w:val="single" w:sz="8" w:space="0" w:color="auto"/>
        <w:right w:val="single" w:sz="8" w:space="0" w:color="auto"/>
      </w:pBdr>
      <w:shd w:val="clear" w:color="000000" w:fill="FFFFFF"/>
      <w:spacing w:before="100" w:beforeAutospacing="1" w:after="100" w:afterAutospacing="1" w:line="240" w:lineRule="auto"/>
    </w:pPr>
    <w:rPr>
      <w:rFonts w:eastAsia="Times New Roman"/>
    </w:rPr>
  </w:style>
  <w:style w:type="paragraph" w:customStyle="1" w:styleId="xl70">
    <w:name w:val="xl70"/>
    <w:basedOn w:val="Normal"/>
    <w:rsid w:val="001A64D9"/>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rPr>
  </w:style>
  <w:style w:type="paragraph" w:customStyle="1" w:styleId="xl71">
    <w:name w:val="xl71"/>
    <w:basedOn w:val="Normal"/>
    <w:rsid w:val="001A64D9"/>
    <w:pPr>
      <w:pBdr>
        <w:left w:val="single" w:sz="8" w:space="0" w:color="auto"/>
        <w:bottom w:val="single" w:sz="8" w:space="0" w:color="auto"/>
      </w:pBdr>
      <w:shd w:val="clear" w:color="000000" w:fill="FFFFFF"/>
      <w:spacing w:before="100" w:beforeAutospacing="1" w:after="100" w:afterAutospacing="1" w:line="240" w:lineRule="auto"/>
    </w:pPr>
    <w:rPr>
      <w:rFonts w:eastAsia="Times New Roman"/>
    </w:rPr>
  </w:style>
  <w:style w:type="paragraph" w:customStyle="1" w:styleId="xl72">
    <w:name w:val="xl72"/>
    <w:basedOn w:val="Normal"/>
    <w:rsid w:val="001A64D9"/>
    <w:pPr>
      <w:pBdr>
        <w:bottom w:val="single" w:sz="8" w:space="0" w:color="auto"/>
        <w:right w:val="single" w:sz="4" w:space="0" w:color="auto"/>
      </w:pBdr>
      <w:shd w:val="clear" w:color="000000" w:fill="FFFFFF"/>
      <w:spacing w:before="100" w:beforeAutospacing="1" w:after="100" w:afterAutospacing="1" w:line="240" w:lineRule="auto"/>
    </w:pPr>
    <w:rPr>
      <w:rFonts w:eastAsia="Times New Roman"/>
    </w:rPr>
  </w:style>
  <w:style w:type="paragraph" w:customStyle="1" w:styleId="xl73">
    <w:name w:val="xl73"/>
    <w:basedOn w:val="Normal"/>
    <w:rsid w:val="001A64D9"/>
    <w:pPr>
      <w:pBdr>
        <w:left w:val="single" w:sz="4" w:space="0" w:color="auto"/>
        <w:bottom w:val="single" w:sz="8" w:space="0" w:color="auto"/>
      </w:pBdr>
      <w:shd w:val="clear" w:color="000000" w:fill="FFFFFF"/>
      <w:spacing w:before="100" w:beforeAutospacing="1" w:after="100" w:afterAutospacing="1" w:line="240" w:lineRule="auto"/>
    </w:pPr>
    <w:rPr>
      <w:rFonts w:eastAsia="Times New Roman"/>
    </w:rPr>
  </w:style>
  <w:style w:type="paragraph" w:customStyle="1" w:styleId="xl74">
    <w:name w:val="xl74"/>
    <w:basedOn w:val="Normal"/>
    <w:rsid w:val="001A64D9"/>
    <w:pPr>
      <w:pBdr>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75">
    <w:name w:val="xl75"/>
    <w:basedOn w:val="Normal"/>
    <w:rsid w:val="001A64D9"/>
    <w:pPr>
      <w:pBdr>
        <w:right w:val="single" w:sz="8"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76">
    <w:name w:val="xl76"/>
    <w:basedOn w:val="Normal"/>
    <w:rsid w:val="001A64D9"/>
    <w:pPr>
      <w:pBdr>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77">
    <w:name w:val="xl77"/>
    <w:basedOn w:val="Normal"/>
    <w:rsid w:val="001A64D9"/>
    <w:pPr>
      <w:pBdr>
        <w:right w:val="single" w:sz="8"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78">
    <w:name w:val="xl78"/>
    <w:basedOn w:val="Normal"/>
    <w:rsid w:val="001A64D9"/>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79">
    <w:name w:val="xl79"/>
    <w:basedOn w:val="Normal"/>
    <w:rsid w:val="001A64D9"/>
    <w:pPr>
      <w:pBdr>
        <w:bottom w:val="single" w:sz="8"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80">
    <w:name w:val="xl80"/>
    <w:basedOn w:val="Normal"/>
    <w:rsid w:val="001A64D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81">
    <w:name w:val="xl81"/>
    <w:basedOn w:val="Normal"/>
    <w:rsid w:val="001A64D9"/>
    <w:pPr>
      <w:pBdr>
        <w:left w:val="single" w:sz="8" w:space="0" w:color="auto"/>
        <w:right w:val="single" w:sz="8" w:space="0" w:color="auto"/>
      </w:pBdr>
      <w:shd w:val="clear" w:color="000000" w:fill="FFFFFF"/>
      <w:spacing w:before="100" w:beforeAutospacing="1" w:after="100" w:afterAutospacing="1" w:line="240" w:lineRule="auto"/>
    </w:pPr>
    <w:rPr>
      <w:rFonts w:eastAsia="Times New Roman"/>
      <w:b/>
      <w:bCs/>
    </w:rPr>
  </w:style>
  <w:style w:type="paragraph" w:customStyle="1" w:styleId="xl82">
    <w:name w:val="xl82"/>
    <w:basedOn w:val="Normal"/>
    <w:rsid w:val="001A64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b/>
      <w:bCs/>
    </w:rPr>
  </w:style>
  <w:style w:type="paragraph" w:customStyle="1" w:styleId="xl83">
    <w:name w:val="xl83"/>
    <w:basedOn w:val="Normal"/>
    <w:rsid w:val="001A64D9"/>
    <w:pPr>
      <w:pBdr>
        <w:top w:val="single" w:sz="8" w:space="0" w:color="auto"/>
      </w:pBdr>
      <w:shd w:val="clear" w:color="000000" w:fill="FFFFFF"/>
      <w:spacing w:before="100" w:beforeAutospacing="1" w:after="100" w:afterAutospacing="1" w:line="240" w:lineRule="auto"/>
    </w:pPr>
    <w:rPr>
      <w:rFonts w:eastAsia="Times New Roman"/>
    </w:rPr>
  </w:style>
  <w:style w:type="paragraph" w:customStyle="1" w:styleId="xl84">
    <w:name w:val="xl84"/>
    <w:basedOn w:val="Normal"/>
    <w:rsid w:val="001A64D9"/>
    <w:pPr>
      <w:pBdr>
        <w:top w:val="single" w:sz="8" w:space="0" w:color="auto"/>
        <w:right w:val="single" w:sz="8" w:space="0" w:color="auto"/>
      </w:pBdr>
      <w:shd w:val="clear" w:color="000000" w:fill="FFFFFF"/>
      <w:spacing w:before="100" w:beforeAutospacing="1" w:after="100" w:afterAutospacing="1" w:line="240" w:lineRule="auto"/>
    </w:pPr>
    <w:rPr>
      <w:rFonts w:eastAsia="Times New Roman"/>
    </w:rPr>
  </w:style>
  <w:style w:type="paragraph" w:customStyle="1" w:styleId="xl85">
    <w:name w:val="xl85"/>
    <w:basedOn w:val="Normal"/>
    <w:rsid w:val="001A64D9"/>
    <w:pPr>
      <w:shd w:val="clear" w:color="000000" w:fill="FFFFFF"/>
      <w:spacing w:before="100" w:beforeAutospacing="1" w:after="100" w:afterAutospacing="1" w:line="240" w:lineRule="auto"/>
      <w:jc w:val="center"/>
      <w:textAlignment w:val="center"/>
    </w:pPr>
    <w:rPr>
      <w:rFonts w:eastAsia="Times New Roman"/>
    </w:rPr>
  </w:style>
  <w:style w:type="paragraph" w:customStyle="1" w:styleId="xl86">
    <w:name w:val="xl86"/>
    <w:basedOn w:val="Normal"/>
    <w:rsid w:val="001A64D9"/>
    <w:pPr>
      <w:shd w:val="clear" w:color="000000" w:fill="FFFFFF"/>
      <w:spacing w:before="100" w:beforeAutospacing="1" w:after="100" w:afterAutospacing="1" w:line="240" w:lineRule="auto"/>
      <w:jc w:val="center"/>
      <w:textAlignment w:val="center"/>
    </w:pPr>
    <w:rPr>
      <w:rFonts w:eastAsia="Times New Roman"/>
    </w:rPr>
  </w:style>
  <w:style w:type="paragraph" w:customStyle="1" w:styleId="xl87">
    <w:name w:val="xl87"/>
    <w:basedOn w:val="Normal"/>
    <w:rsid w:val="001A64D9"/>
    <w:pPr>
      <w:pBdr>
        <w:right w:val="single" w:sz="8" w:space="0" w:color="auto"/>
      </w:pBdr>
      <w:shd w:val="clear" w:color="000000" w:fill="FFFFFF"/>
      <w:spacing w:before="100" w:beforeAutospacing="1" w:after="100" w:afterAutospacing="1" w:line="240" w:lineRule="auto"/>
    </w:pPr>
    <w:rPr>
      <w:rFonts w:eastAsia="Times New Roman"/>
    </w:rPr>
  </w:style>
  <w:style w:type="paragraph" w:customStyle="1" w:styleId="xl88">
    <w:name w:val="xl88"/>
    <w:basedOn w:val="Normal"/>
    <w:rsid w:val="001A64D9"/>
    <w:pPr>
      <w:pBdr>
        <w:top w:val="single" w:sz="8" w:space="0" w:color="auto"/>
        <w:right w:val="single" w:sz="4" w:space="0" w:color="auto"/>
      </w:pBdr>
      <w:shd w:val="clear" w:color="000000" w:fill="FFFFFF"/>
      <w:spacing w:before="100" w:beforeAutospacing="1" w:after="100" w:afterAutospacing="1" w:line="240" w:lineRule="auto"/>
    </w:pPr>
    <w:rPr>
      <w:rFonts w:eastAsia="Times New Roman"/>
    </w:rPr>
  </w:style>
  <w:style w:type="paragraph" w:customStyle="1" w:styleId="xl89">
    <w:name w:val="xl89"/>
    <w:basedOn w:val="Normal"/>
    <w:rsid w:val="001A64D9"/>
    <w:pPr>
      <w:pBdr>
        <w:right w:val="single" w:sz="4" w:space="0" w:color="auto"/>
      </w:pBdr>
      <w:shd w:val="clear" w:color="000000" w:fill="FFFFFF"/>
      <w:spacing w:before="100" w:beforeAutospacing="1" w:after="100" w:afterAutospacing="1" w:line="240" w:lineRule="auto"/>
    </w:pPr>
    <w:rPr>
      <w:rFonts w:eastAsia="Times New Roman"/>
    </w:rPr>
  </w:style>
  <w:style w:type="paragraph" w:customStyle="1" w:styleId="xl90">
    <w:name w:val="xl90"/>
    <w:basedOn w:val="Normal"/>
    <w:rsid w:val="001A64D9"/>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eastAsia="Times New Roman"/>
    </w:rPr>
  </w:style>
  <w:style w:type="paragraph" w:customStyle="1" w:styleId="xl91">
    <w:name w:val="xl91"/>
    <w:basedOn w:val="Normal"/>
    <w:rsid w:val="001A64D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rPr>
  </w:style>
  <w:style w:type="paragraph" w:customStyle="1" w:styleId="xl92">
    <w:name w:val="xl92"/>
    <w:basedOn w:val="Normal"/>
    <w:rsid w:val="001A64D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93">
    <w:name w:val="xl93"/>
    <w:basedOn w:val="Normal"/>
    <w:rsid w:val="001A64D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94">
    <w:name w:val="xl94"/>
    <w:basedOn w:val="Normal"/>
    <w:rsid w:val="001A64D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rPr>
  </w:style>
  <w:style w:type="paragraph" w:customStyle="1" w:styleId="xl95">
    <w:name w:val="xl95"/>
    <w:basedOn w:val="Normal"/>
    <w:rsid w:val="001A64D9"/>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rPr>
  </w:style>
  <w:style w:type="paragraph" w:customStyle="1" w:styleId="xl96">
    <w:name w:val="xl96"/>
    <w:basedOn w:val="Normal"/>
    <w:rsid w:val="001A64D9"/>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rPr>
  </w:style>
  <w:style w:type="paragraph" w:customStyle="1" w:styleId="xl97">
    <w:name w:val="xl97"/>
    <w:basedOn w:val="Normal"/>
    <w:rsid w:val="001A64D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rPr>
  </w:style>
  <w:style w:type="paragraph" w:customStyle="1" w:styleId="xl98">
    <w:name w:val="xl98"/>
    <w:basedOn w:val="Normal"/>
    <w:rsid w:val="001A64D9"/>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rPr>
  </w:style>
  <w:style w:type="paragraph" w:styleId="BalloonText">
    <w:name w:val="Balloon Text"/>
    <w:basedOn w:val="Normal"/>
    <w:link w:val="BalloonTextChar"/>
    <w:uiPriority w:val="99"/>
    <w:semiHidden/>
    <w:unhideWhenUsed/>
    <w:rsid w:val="005D0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90C"/>
    <w:rPr>
      <w:rFonts w:ascii="Segoe UI" w:hAnsi="Segoe UI" w:cs="Segoe UI"/>
      <w:sz w:val="18"/>
      <w:szCs w:val="18"/>
    </w:rPr>
  </w:style>
  <w:style w:type="paragraph" w:styleId="BlockText">
    <w:name w:val="Block Text"/>
    <w:basedOn w:val="Normal"/>
    <w:uiPriority w:val="99"/>
    <w:semiHidden/>
    <w:unhideWhenUsed/>
    <w:rsid w:val="005D09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5D090C"/>
    <w:pPr>
      <w:spacing w:after="120"/>
    </w:pPr>
  </w:style>
  <w:style w:type="character" w:customStyle="1" w:styleId="BodyTextChar">
    <w:name w:val="Body Text Char"/>
    <w:basedOn w:val="DefaultParagraphFont"/>
    <w:link w:val="BodyText"/>
    <w:uiPriority w:val="99"/>
    <w:semiHidden/>
    <w:rsid w:val="005D090C"/>
  </w:style>
  <w:style w:type="paragraph" w:styleId="BodyText2">
    <w:name w:val="Body Text 2"/>
    <w:basedOn w:val="Normal"/>
    <w:link w:val="BodyText2Char"/>
    <w:uiPriority w:val="99"/>
    <w:semiHidden/>
    <w:unhideWhenUsed/>
    <w:rsid w:val="005D090C"/>
    <w:pPr>
      <w:spacing w:after="120" w:line="480" w:lineRule="auto"/>
    </w:pPr>
  </w:style>
  <w:style w:type="character" w:customStyle="1" w:styleId="BodyText2Char">
    <w:name w:val="Body Text 2 Char"/>
    <w:basedOn w:val="DefaultParagraphFont"/>
    <w:link w:val="BodyText2"/>
    <w:uiPriority w:val="99"/>
    <w:semiHidden/>
    <w:rsid w:val="005D090C"/>
  </w:style>
  <w:style w:type="paragraph" w:styleId="BodyText3">
    <w:name w:val="Body Text 3"/>
    <w:basedOn w:val="Normal"/>
    <w:link w:val="BodyText3Char"/>
    <w:uiPriority w:val="99"/>
    <w:semiHidden/>
    <w:unhideWhenUsed/>
    <w:rsid w:val="005D090C"/>
    <w:pPr>
      <w:spacing w:after="120"/>
    </w:pPr>
    <w:rPr>
      <w:sz w:val="16"/>
      <w:szCs w:val="16"/>
    </w:rPr>
  </w:style>
  <w:style w:type="character" w:customStyle="1" w:styleId="BodyText3Char">
    <w:name w:val="Body Text 3 Char"/>
    <w:basedOn w:val="DefaultParagraphFont"/>
    <w:link w:val="BodyText3"/>
    <w:uiPriority w:val="99"/>
    <w:semiHidden/>
    <w:rsid w:val="005D090C"/>
    <w:rPr>
      <w:sz w:val="16"/>
      <w:szCs w:val="16"/>
    </w:rPr>
  </w:style>
  <w:style w:type="paragraph" w:styleId="BodyTextFirstIndent">
    <w:name w:val="Body Text First Indent"/>
    <w:basedOn w:val="BodyText"/>
    <w:link w:val="BodyTextFirstIndentChar"/>
    <w:uiPriority w:val="99"/>
    <w:semiHidden/>
    <w:unhideWhenUsed/>
    <w:rsid w:val="005D090C"/>
    <w:pPr>
      <w:spacing w:after="160"/>
      <w:ind w:firstLine="360"/>
    </w:pPr>
  </w:style>
  <w:style w:type="character" w:customStyle="1" w:styleId="BodyTextFirstIndentChar">
    <w:name w:val="Body Text First Indent Char"/>
    <w:basedOn w:val="BodyTextChar"/>
    <w:link w:val="BodyTextFirstIndent"/>
    <w:uiPriority w:val="99"/>
    <w:semiHidden/>
    <w:rsid w:val="005D090C"/>
  </w:style>
  <w:style w:type="paragraph" w:styleId="BodyTextIndent">
    <w:name w:val="Body Text Indent"/>
    <w:basedOn w:val="Normal"/>
    <w:link w:val="BodyTextIndentChar"/>
    <w:uiPriority w:val="99"/>
    <w:semiHidden/>
    <w:unhideWhenUsed/>
    <w:rsid w:val="005D090C"/>
    <w:pPr>
      <w:spacing w:after="120"/>
      <w:ind w:left="360"/>
    </w:pPr>
  </w:style>
  <w:style w:type="character" w:customStyle="1" w:styleId="BodyTextIndentChar">
    <w:name w:val="Body Text Indent Char"/>
    <w:basedOn w:val="DefaultParagraphFont"/>
    <w:link w:val="BodyTextIndent"/>
    <w:uiPriority w:val="99"/>
    <w:semiHidden/>
    <w:rsid w:val="005D090C"/>
  </w:style>
  <w:style w:type="paragraph" w:styleId="BodyTextFirstIndent2">
    <w:name w:val="Body Text First Indent 2"/>
    <w:basedOn w:val="BodyTextIndent"/>
    <w:link w:val="BodyTextFirstIndent2Char"/>
    <w:uiPriority w:val="99"/>
    <w:semiHidden/>
    <w:unhideWhenUsed/>
    <w:rsid w:val="005D090C"/>
    <w:pPr>
      <w:spacing w:after="160"/>
      <w:ind w:firstLine="360"/>
    </w:pPr>
  </w:style>
  <w:style w:type="character" w:customStyle="1" w:styleId="BodyTextFirstIndent2Char">
    <w:name w:val="Body Text First Indent 2 Char"/>
    <w:basedOn w:val="BodyTextIndentChar"/>
    <w:link w:val="BodyTextFirstIndent2"/>
    <w:uiPriority w:val="99"/>
    <w:semiHidden/>
    <w:rsid w:val="005D090C"/>
  </w:style>
  <w:style w:type="paragraph" w:styleId="BodyTextIndent2">
    <w:name w:val="Body Text Indent 2"/>
    <w:basedOn w:val="Normal"/>
    <w:link w:val="BodyTextIndent2Char"/>
    <w:uiPriority w:val="99"/>
    <w:semiHidden/>
    <w:unhideWhenUsed/>
    <w:rsid w:val="005D090C"/>
    <w:pPr>
      <w:spacing w:after="120" w:line="480" w:lineRule="auto"/>
      <w:ind w:left="360"/>
    </w:pPr>
  </w:style>
  <w:style w:type="character" w:customStyle="1" w:styleId="BodyTextIndent2Char">
    <w:name w:val="Body Text Indent 2 Char"/>
    <w:basedOn w:val="DefaultParagraphFont"/>
    <w:link w:val="BodyTextIndent2"/>
    <w:uiPriority w:val="99"/>
    <w:semiHidden/>
    <w:rsid w:val="005D090C"/>
  </w:style>
  <w:style w:type="paragraph" w:styleId="BodyTextIndent3">
    <w:name w:val="Body Text Indent 3"/>
    <w:basedOn w:val="Normal"/>
    <w:link w:val="BodyTextIndent3Char"/>
    <w:uiPriority w:val="99"/>
    <w:semiHidden/>
    <w:unhideWhenUsed/>
    <w:rsid w:val="005D09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D090C"/>
    <w:rPr>
      <w:sz w:val="16"/>
      <w:szCs w:val="16"/>
    </w:rPr>
  </w:style>
  <w:style w:type="paragraph" w:styleId="Caption">
    <w:name w:val="caption"/>
    <w:basedOn w:val="Normal"/>
    <w:next w:val="Normal"/>
    <w:uiPriority w:val="35"/>
    <w:semiHidden/>
    <w:unhideWhenUsed/>
    <w:qFormat/>
    <w:rsid w:val="005D090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D090C"/>
    <w:pPr>
      <w:spacing w:after="0" w:line="240" w:lineRule="auto"/>
      <w:ind w:left="4320"/>
    </w:pPr>
  </w:style>
  <w:style w:type="character" w:customStyle="1" w:styleId="ClosingChar">
    <w:name w:val="Closing Char"/>
    <w:basedOn w:val="DefaultParagraphFont"/>
    <w:link w:val="Closing"/>
    <w:uiPriority w:val="99"/>
    <w:semiHidden/>
    <w:rsid w:val="005D090C"/>
  </w:style>
  <w:style w:type="paragraph" w:styleId="Date">
    <w:name w:val="Date"/>
    <w:basedOn w:val="Normal"/>
    <w:next w:val="Normal"/>
    <w:link w:val="DateChar"/>
    <w:uiPriority w:val="99"/>
    <w:semiHidden/>
    <w:unhideWhenUsed/>
    <w:rsid w:val="005D090C"/>
  </w:style>
  <w:style w:type="character" w:customStyle="1" w:styleId="DateChar">
    <w:name w:val="Date Char"/>
    <w:basedOn w:val="DefaultParagraphFont"/>
    <w:link w:val="Date"/>
    <w:uiPriority w:val="99"/>
    <w:semiHidden/>
    <w:rsid w:val="005D090C"/>
  </w:style>
  <w:style w:type="paragraph" w:styleId="DocumentMap">
    <w:name w:val="Document Map"/>
    <w:basedOn w:val="Normal"/>
    <w:link w:val="DocumentMapChar"/>
    <w:uiPriority w:val="99"/>
    <w:semiHidden/>
    <w:unhideWhenUsed/>
    <w:rsid w:val="005D090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D090C"/>
    <w:rPr>
      <w:rFonts w:ascii="Segoe UI" w:hAnsi="Segoe UI" w:cs="Segoe UI"/>
      <w:sz w:val="16"/>
      <w:szCs w:val="16"/>
    </w:rPr>
  </w:style>
  <w:style w:type="paragraph" w:styleId="E-mailSignature">
    <w:name w:val="E-mail Signature"/>
    <w:basedOn w:val="Normal"/>
    <w:link w:val="E-mailSignatureChar"/>
    <w:uiPriority w:val="99"/>
    <w:semiHidden/>
    <w:unhideWhenUsed/>
    <w:rsid w:val="005D090C"/>
    <w:pPr>
      <w:spacing w:after="0" w:line="240" w:lineRule="auto"/>
    </w:pPr>
  </w:style>
  <w:style w:type="character" w:customStyle="1" w:styleId="E-mailSignatureChar">
    <w:name w:val="E-mail Signature Char"/>
    <w:basedOn w:val="DefaultParagraphFont"/>
    <w:link w:val="E-mailSignature"/>
    <w:uiPriority w:val="99"/>
    <w:semiHidden/>
    <w:rsid w:val="005D090C"/>
  </w:style>
  <w:style w:type="paragraph" w:styleId="EndnoteText">
    <w:name w:val="endnote text"/>
    <w:basedOn w:val="Normal"/>
    <w:link w:val="EndnoteTextChar"/>
    <w:uiPriority w:val="99"/>
    <w:semiHidden/>
    <w:unhideWhenUsed/>
    <w:rsid w:val="005D09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90C"/>
    <w:rPr>
      <w:sz w:val="20"/>
      <w:szCs w:val="20"/>
    </w:rPr>
  </w:style>
  <w:style w:type="paragraph" w:styleId="EnvelopeAddress">
    <w:name w:val="envelope address"/>
    <w:basedOn w:val="Normal"/>
    <w:uiPriority w:val="99"/>
    <w:semiHidden/>
    <w:unhideWhenUsed/>
    <w:rsid w:val="005D090C"/>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D090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5D090C"/>
    <w:pPr>
      <w:spacing w:after="0" w:line="240" w:lineRule="auto"/>
    </w:pPr>
    <w:rPr>
      <w:sz w:val="20"/>
      <w:szCs w:val="20"/>
    </w:rPr>
  </w:style>
  <w:style w:type="character" w:customStyle="1" w:styleId="FootnoteTextChar">
    <w:name w:val="Footnote Text Char"/>
    <w:basedOn w:val="DefaultParagraphFont"/>
    <w:link w:val="FootnoteText"/>
    <w:rsid w:val="005D090C"/>
    <w:rPr>
      <w:sz w:val="20"/>
      <w:szCs w:val="20"/>
    </w:rPr>
  </w:style>
  <w:style w:type="character" w:customStyle="1" w:styleId="Heading1Char">
    <w:name w:val="Heading 1 Char"/>
    <w:basedOn w:val="DefaultParagraphFont"/>
    <w:link w:val="Heading1"/>
    <w:uiPriority w:val="9"/>
    <w:rsid w:val="005D09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D09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D090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D09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D090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D090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D090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D09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090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D090C"/>
    <w:pPr>
      <w:spacing w:after="0" w:line="240" w:lineRule="auto"/>
    </w:pPr>
    <w:rPr>
      <w:i/>
      <w:iCs/>
    </w:rPr>
  </w:style>
  <w:style w:type="character" w:customStyle="1" w:styleId="HTMLAddressChar">
    <w:name w:val="HTML Address Char"/>
    <w:basedOn w:val="DefaultParagraphFont"/>
    <w:link w:val="HTMLAddress"/>
    <w:uiPriority w:val="99"/>
    <w:semiHidden/>
    <w:rsid w:val="005D090C"/>
    <w:rPr>
      <w:i/>
      <w:iCs/>
    </w:rPr>
  </w:style>
  <w:style w:type="paragraph" w:styleId="HTMLPreformatted">
    <w:name w:val="HTML Preformatted"/>
    <w:basedOn w:val="Normal"/>
    <w:link w:val="HTMLPreformattedChar"/>
    <w:uiPriority w:val="99"/>
    <w:semiHidden/>
    <w:unhideWhenUsed/>
    <w:rsid w:val="005D090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090C"/>
    <w:rPr>
      <w:rFonts w:ascii="Consolas" w:hAnsi="Consolas"/>
      <w:sz w:val="20"/>
      <w:szCs w:val="20"/>
    </w:rPr>
  </w:style>
  <w:style w:type="paragraph" w:styleId="Index1">
    <w:name w:val="index 1"/>
    <w:basedOn w:val="Normal"/>
    <w:next w:val="Normal"/>
    <w:autoRedefine/>
    <w:uiPriority w:val="99"/>
    <w:semiHidden/>
    <w:unhideWhenUsed/>
    <w:rsid w:val="005D090C"/>
    <w:pPr>
      <w:spacing w:after="0" w:line="240" w:lineRule="auto"/>
      <w:ind w:left="240" w:hanging="240"/>
    </w:pPr>
  </w:style>
  <w:style w:type="paragraph" w:styleId="Index2">
    <w:name w:val="index 2"/>
    <w:basedOn w:val="Normal"/>
    <w:next w:val="Normal"/>
    <w:autoRedefine/>
    <w:uiPriority w:val="99"/>
    <w:semiHidden/>
    <w:unhideWhenUsed/>
    <w:rsid w:val="005D090C"/>
    <w:pPr>
      <w:spacing w:after="0" w:line="240" w:lineRule="auto"/>
      <w:ind w:left="480" w:hanging="240"/>
    </w:pPr>
  </w:style>
  <w:style w:type="paragraph" w:styleId="Index3">
    <w:name w:val="index 3"/>
    <w:basedOn w:val="Normal"/>
    <w:next w:val="Normal"/>
    <w:autoRedefine/>
    <w:uiPriority w:val="99"/>
    <w:semiHidden/>
    <w:unhideWhenUsed/>
    <w:rsid w:val="005D090C"/>
    <w:pPr>
      <w:spacing w:after="0" w:line="240" w:lineRule="auto"/>
      <w:ind w:left="720" w:hanging="240"/>
    </w:pPr>
  </w:style>
  <w:style w:type="paragraph" w:styleId="Index4">
    <w:name w:val="index 4"/>
    <w:basedOn w:val="Normal"/>
    <w:next w:val="Normal"/>
    <w:autoRedefine/>
    <w:uiPriority w:val="99"/>
    <w:semiHidden/>
    <w:unhideWhenUsed/>
    <w:rsid w:val="005D090C"/>
    <w:pPr>
      <w:spacing w:after="0" w:line="240" w:lineRule="auto"/>
      <w:ind w:left="960" w:hanging="240"/>
    </w:pPr>
  </w:style>
  <w:style w:type="paragraph" w:styleId="Index5">
    <w:name w:val="index 5"/>
    <w:basedOn w:val="Normal"/>
    <w:next w:val="Normal"/>
    <w:autoRedefine/>
    <w:uiPriority w:val="99"/>
    <w:semiHidden/>
    <w:unhideWhenUsed/>
    <w:rsid w:val="005D090C"/>
    <w:pPr>
      <w:spacing w:after="0" w:line="240" w:lineRule="auto"/>
      <w:ind w:left="1200" w:hanging="240"/>
    </w:pPr>
  </w:style>
  <w:style w:type="paragraph" w:styleId="Index6">
    <w:name w:val="index 6"/>
    <w:basedOn w:val="Normal"/>
    <w:next w:val="Normal"/>
    <w:autoRedefine/>
    <w:uiPriority w:val="99"/>
    <w:semiHidden/>
    <w:unhideWhenUsed/>
    <w:rsid w:val="005D090C"/>
    <w:pPr>
      <w:spacing w:after="0" w:line="240" w:lineRule="auto"/>
      <w:ind w:left="1440" w:hanging="240"/>
    </w:pPr>
  </w:style>
  <w:style w:type="paragraph" w:styleId="Index7">
    <w:name w:val="index 7"/>
    <w:basedOn w:val="Normal"/>
    <w:next w:val="Normal"/>
    <w:autoRedefine/>
    <w:uiPriority w:val="99"/>
    <w:semiHidden/>
    <w:unhideWhenUsed/>
    <w:rsid w:val="005D090C"/>
    <w:pPr>
      <w:spacing w:after="0" w:line="240" w:lineRule="auto"/>
      <w:ind w:left="1680" w:hanging="240"/>
    </w:pPr>
  </w:style>
  <w:style w:type="paragraph" w:styleId="Index8">
    <w:name w:val="index 8"/>
    <w:basedOn w:val="Normal"/>
    <w:next w:val="Normal"/>
    <w:autoRedefine/>
    <w:uiPriority w:val="99"/>
    <w:semiHidden/>
    <w:unhideWhenUsed/>
    <w:rsid w:val="005D090C"/>
    <w:pPr>
      <w:spacing w:after="0" w:line="240" w:lineRule="auto"/>
      <w:ind w:left="1920" w:hanging="240"/>
    </w:pPr>
  </w:style>
  <w:style w:type="paragraph" w:styleId="Index9">
    <w:name w:val="index 9"/>
    <w:basedOn w:val="Normal"/>
    <w:next w:val="Normal"/>
    <w:autoRedefine/>
    <w:uiPriority w:val="99"/>
    <w:semiHidden/>
    <w:unhideWhenUsed/>
    <w:rsid w:val="005D090C"/>
    <w:pPr>
      <w:spacing w:after="0" w:line="240" w:lineRule="auto"/>
      <w:ind w:left="2160" w:hanging="240"/>
    </w:pPr>
  </w:style>
  <w:style w:type="paragraph" w:styleId="IndexHeading">
    <w:name w:val="index heading"/>
    <w:basedOn w:val="Normal"/>
    <w:next w:val="Index1"/>
    <w:uiPriority w:val="99"/>
    <w:semiHidden/>
    <w:unhideWhenUsed/>
    <w:rsid w:val="005D09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09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D090C"/>
    <w:rPr>
      <w:i/>
      <w:iCs/>
      <w:color w:val="4472C4" w:themeColor="accent1"/>
    </w:rPr>
  </w:style>
  <w:style w:type="paragraph" w:styleId="List">
    <w:name w:val="List"/>
    <w:basedOn w:val="Normal"/>
    <w:uiPriority w:val="99"/>
    <w:semiHidden/>
    <w:unhideWhenUsed/>
    <w:rsid w:val="005D090C"/>
    <w:pPr>
      <w:ind w:left="360" w:hanging="360"/>
      <w:contextualSpacing/>
    </w:pPr>
  </w:style>
  <w:style w:type="paragraph" w:styleId="List2">
    <w:name w:val="List 2"/>
    <w:basedOn w:val="Normal"/>
    <w:uiPriority w:val="99"/>
    <w:semiHidden/>
    <w:unhideWhenUsed/>
    <w:rsid w:val="005D090C"/>
    <w:pPr>
      <w:ind w:left="720" w:hanging="360"/>
      <w:contextualSpacing/>
    </w:pPr>
  </w:style>
  <w:style w:type="paragraph" w:styleId="List3">
    <w:name w:val="List 3"/>
    <w:basedOn w:val="Normal"/>
    <w:uiPriority w:val="99"/>
    <w:semiHidden/>
    <w:unhideWhenUsed/>
    <w:rsid w:val="005D090C"/>
    <w:pPr>
      <w:ind w:left="1080" w:hanging="360"/>
      <w:contextualSpacing/>
    </w:pPr>
  </w:style>
  <w:style w:type="paragraph" w:styleId="List4">
    <w:name w:val="List 4"/>
    <w:basedOn w:val="Normal"/>
    <w:uiPriority w:val="99"/>
    <w:semiHidden/>
    <w:unhideWhenUsed/>
    <w:rsid w:val="005D090C"/>
    <w:pPr>
      <w:ind w:left="1440" w:hanging="360"/>
      <w:contextualSpacing/>
    </w:pPr>
  </w:style>
  <w:style w:type="paragraph" w:styleId="List5">
    <w:name w:val="List 5"/>
    <w:basedOn w:val="Normal"/>
    <w:uiPriority w:val="99"/>
    <w:semiHidden/>
    <w:unhideWhenUsed/>
    <w:rsid w:val="005D090C"/>
    <w:pPr>
      <w:ind w:left="1800" w:hanging="360"/>
      <w:contextualSpacing/>
    </w:pPr>
  </w:style>
  <w:style w:type="paragraph" w:styleId="ListBullet">
    <w:name w:val="List Bullet"/>
    <w:basedOn w:val="Normal"/>
    <w:uiPriority w:val="99"/>
    <w:semiHidden/>
    <w:unhideWhenUsed/>
    <w:rsid w:val="005D090C"/>
    <w:pPr>
      <w:numPr>
        <w:numId w:val="14"/>
      </w:numPr>
      <w:contextualSpacing/>
    </w:pPr>
  </w:style>
  <w:style w:type="paragraph" w:styleId="ListBullet2">
    <w:name w:val="List Bullet 2"/>
    <w:basedOn w:val="Normal"/>
    <w:uiPriority w:val="99"/>
    <w:semiHidden/>
    <w:unhideWhenUsed/>
    <w:rsid w:val="005D090C"/>
    <w:pPr>
      <w:numPr>
        <w:numId w:val="15"/>
      </w:numPr>
      <w:contextualSpacing/>
    </w:pPr>
  </w:style>
  <w:style w:type="paragraph" w:styleId="ListBullet3">
    <w:name w:val="List Bullet 3"/>
    <w:basedOn w:val="Normal"/>
    <w:uiPriority w:val="99"/>
    <w:semiHidden/>
    <w:unhideWhenUsed/>
    <w:rsid w:val="005D090C"/>
    <w:pPr>
      <w:numPr>
        <w:numId w:val="16"/>
      </w:numPr>
      <w:contextualSpacing/>
    </w:pPr>
  </w:style>
  <w:style w:type="paragraph" w:styleId="ListBullet4">
    <w:name w:val="List Bullet 4"/>
    <w:basedOn w:val="Normal"/>
    <w:uiPriority w:val="99"/>
    <w:semiHidden/>
    <w:unhideWhenUsed/>
    <w:rsid w:val="005D090C"/>
    <w:pPr>
      <w:numPr>
        <w:numId w:val="17"/>
      </w:numPr>
      <w:contextualSpacing/>
    </w:pPr>
  </w:style>
  <w:style w:type="paragraph" w:styleId="ListBullet5">
    <w:name w:val="List Bullet 5"/>
    <w:basedOn w:val="Normal"/>
    <w:uiPriority w:val="99"/>
    <w:semiHidden/>
    <w:unhideWhenUsed/>
    <w:rsid w:val="005D090C"/>
    <w:pPr>
      <w:numPr>
        <w:numId w:val="18"/>
      </w:numPr>
      <w:contextualSpacing/>
    </w:pPr>
  </w:style>
  <w:style w:type="paragraph" w:styleId="ListContinue">
    <w:name w:val="List Continue"/>
    <w:basedOn w:val="Normal"/>
    <w:uiPriority w:val="99"/>
    <w:semiHidden/>
    <w:unhideWhenUsed/>
    <w:rsid w:val="005D090C"/>
    <w:pPr>
      <w:spacing w:after="120"/>
      <w:ind w:left="360"/>
      <w:contextualSpacing/>
    </w:pPr>
  </w:style>
  <w:style w:type="paragraph" w:styleId="ListContinue2">
    <w:name w:val="List Continue 2"/>
    <w:basedOn w:val="Normal"/>
    <w:uiPriority w:val="99"/>
    <w:semiHidden/>
    <w:unhideWhenUsed/>
    <w:rsid w:val="005D090C"/>
    <w:pPr>
      <w:spacing w:after="120"/>
      <w:ind w:left="720"/>
      <w:contextualSpacing/>
    </w:pPr>
  </w:style>
  <w:style w:type="paragraph" w:styleId="ListContinue3">
    <w:name w:val="List Continue 3"/>
    <w:basedOn w:val="Normal"/>
    <w:uiPriority w:val="99"/>
    <w:semiHidden/>
    <w:unhideWhenUsed/>
    <w:rsid w:val="005D090C"/>
    <w:pPr>
      <w:spacing w:after="120"/>
      <w:ind w:left="1080"/>
      <w:contextualSpacing/>
    </w:pPr>
  </w:style>
  <w:style w:type="paragraph" w:styleId="ListContinue4">
    <w:name w:val="List Continue 4"/>
    <w:basedOn w:val="Normal"/>
    <w:uiPriority w:val="99"/>
    <w:semiHidden/>
    <w:unhideWhenUsed/>
    <w:rsid w:val="005D090C"/>
    <w:pPr>
      <w:spacing w:after="120"/>
      <w:ind w:left="1440"/>
      <w:contextualSpacing/>
    </w:pPr>
  </w:style>
  <w:style w:type="paragraph" w:styleId="ListContinue5">
    <w:name w:val="List Continue 5"/>
    <w:basedOn w:val="Normal"/>
    <w:uiPriority w:val="99"/>
    <w:semiHidden/>
    <w:unhideWhenUsed/>
    <w:rsid w:val="005D090C"/>
    <w:pPr>
      <w:spacing w:after="120"/>
      <w:ind w:left="1800"/>
      <w:contextualSpacing/>
    </w:pPr>
  </w:style>
  <w:style w:type="paragraph" w:styleId="ListNumber">
    <w:name w:val="List Number"/>
    <w:basedOn w:val="Normal"/>
    <w:uiPriority w:val="99"/>
    <w:semiHidden/>
    <w:unhideWhenUsed/>
    <w:rsid w:val="005D090C"/>
    <w:pPr>
      <w:numPr>
        <w:numId w:val="19"/>
      </w:numPr>
      <w:contextualSpacing/>
    </w:pPr>
  </w:style>
  <w:style w:type="paragraph" w:styleId="ListNumber2">
    <w:name w:val="List Number 2"/>
    <w:basedOn w:val="Normal"/>
    <w:uiPriority w:val="99"/>
    <w:semiHidden/>
    <w:unhideWhenUsed/>
    <w:rsid w:val="005D090C"/>
    <w:pPr>
      <w:numPr>
        <w:numId w:val="20"/>
      </w:numPr>
      <w:contextualSpacing/>
    </w:pPr>
  </w:style>
  <w:style w:type="paragraph" w:styleId="ListNumber3">
    <w:name w:val="List Number 3"/>
    <w:basedOn w:val="Normal"/>
    <w:uiPriority w:val="99"/>
    <w:semiHidden/>
    <w:unhideWhenUsed/>
    <w:rsid w:val="005D090C"/>
    <w:pPr>
      <w:numPr>
        <w:numId w:val="21"/>
      </w:numPr>
      <w:contextualSpacing/>
    </w:pPr>
  </w:style>
  <w:style w:type="paragraph" w:styleId="ListNumber4">
    <w:name w:val="List Number 4"/>
    <w:basedOn w:val="Normal"/>
    <w:uiPriority w:val="99"/>
    <w:semiHidden/>
    <w:unhideWhenUsed/>
    <w:rsid w:val="005D090C"/>
    <w:pPr>
      <w:numPr>
        <w:numId w:val="22"/>
      </w:numPr>
      <w:contextualSpacing/>
    </w:pPr>
  </w:style>
  <w:style w:type="paragraph" w:styleId="ListNumber5">
    <w:name w:val="List Number 5"/>
    <w:basedOn w:val="Normal"/>
    <w:uiPriority w:val="99"/>
    <w:semiHidden/>
    <w:unhideWhenUsed/>
    <w:rsid w:val="005D090C"/>
    <w:pPr>
      <w:numPr>
        <w:numId w:val="23"/>
      </w:numPr>
      <w:contextualSpacing/>
    </w:pPr>
  </w:style>
  <w:style w:type="paragraph" w:styleId="MacroText">
    <w:name w:val="macro"/>
    <w:link w:val="MacroTextChar"/>
    <w:uiPriority w:val="99"/>
    <w:semiHidden/>
    <w:unhideWhenUsed/>
    <w:rsid w:val="005D090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D090C"/>
    <w:rPr>
      <w:rFonts w:ascii="Consolas" w:hAnsi="Consolas"/>
      <w:sz w:val="20"/>
      <w:szCs w:val="20"/>
    </w:rPr>
  </w:style>
  <w:style w:type="paragraph" w:styleId="MessageHeader">
    <w:name w:val="Message Header"/>
    <w:basedOn w:val="Normal"/>
    <w:link w:val="MessageHeaderChar"/>
    <w:uiPriority w:val="99"/>
    <w:semiHidden/>
    <w:unhideWhenUsed/>
    <w:rsid w:val="005D090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D090C"/>
    <w:rPr>
      <w:rFonts w:asciiTheme="majorHAnsi" w:eastAsiaTheme="majorEastAsia" w:hAnsiTheme="majorHAnsi" w:cstheme="majorBidi"/>
      <w:shd w:val="pct20" w:color="auto" w:fill="auto"/>
    </w:rPr>
  </w:style>
  <w:style w:type="paragraph" w:styleId="NoSpacing">
    <w:name w:val="No Spacing"/>
    <w:uiPriority w:val="1"/>
    <w:qFormat/>
    <w:rsid w:val="005D090C"/>
    <w:pPr>
      <w:spacing w:after="0" w:line="240" w:lineRule="auto"/>
    </w:pPr>
  </w:style>
  <w:style w:type="paragraph" w:styleId="NormalWeb">
    <w:name w:val="Normal (Web)"/>
    <w:basedOn w:val="Normal"/>
    <w:uiPriority w:val="99"/>
    <w:unhideWhenUsed/>
    <w:rsid w:val="005D090C"/>
  </w:style>
  <w:style w:type="paragraph" w:styleId="NormalIndent">
    <w:name w:val="Normal Indent"/>
    <w:basedOn w:val="Normal"/>
    <w:uiPriority w:val="99"/>
    <w:semiHidden/>
    <w:unhideWhenUsed/>
    <w:rsid w:val="005D090C"/>
    <w:pPr>
      <w:ind w:left="720"/>
    </w:pPr>
  </w:style>
  <w:style w:type="paragraph" w:styleId="NoteHeading">
    <w:name w:val="Note Heading"/>
    <w:basedOn w:val="Normal"/>
    <w:next w:val="Normal"/>
    <w:link w:val="NoteHeadingChar"/>
    <w:uiPriority w:val="99"/>
    <w:semiHidden/>
    <w:unhideWhenUsed/>
    <w:rsid w:val="005D090C"/>
    <w:pPr>
      <w:spacing w:after="0" w:line="240" w:lineRule="auto"/>
    </w:pPr>
  </w:style>
  <w:style w:type="character" w:customStyle="1" w:styleId="NoteHeadingChar">
    <w:name w:val="Note Heading Char"/>
    <w:basedOn w:val="DefaultParagraphFont"/>
    <w:link w:val="NoteHeading"/>
    <w:uiPriority w:val="99"/>
    <w:semiHidden/>
    <w:rsid w:val="005D090C"/>
  </w:style>
  <w:style w:type="paragraph" w:styleId="PlainText">
    <w:name w:val="Plain Text"/>
    <w:basedOn w:val="Normal"/>
    <w:link w:val="PlainTextChar"/>
    <w:uiPriority w:val="99"/>
    <w:semiHidden/>
    <w:unhideWhenUsed/>
    <w:rsid w:val="005D09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090C"/>
    <w:rPr>
      <w:rFonts w:ascii="Consolas" w:hAnsi="Consolas"/>
      <w:sz w:val="21"/>
      <w:szCs w:val="21"/>
    </w:rPr>
  </w:style>
  <w:style w:type="paragraph" w:styleId="Quote">
    <w:name w:val="Quote"/>
    <w:basedOn w:val="Normal"/>
    <w:next w:val="Normal"/>
    <w:link w:val="QuoteChar"/>
    <w:uiPriority w:val="29"/>
    <w:qFormat/>
    <w:rsid w:val="005D090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D090C"/>
    <w:rPr>
      <w:i/>
      <w:iCs/>
      <w:color w:val="404040" w:themeColor="text1" w:themeTint="BF"/>
    </w:rPr>
  </w:style>
  <w:style w:type="paragraph" w:styleId="Salutation">
    <w:name w:val="Salutation"/>
    <w:basedOn w:val="Normal"/>
    <w:next w:val="Normal"/>
    <w:link w:val="SalutationChar"/>
    <w:uiPriority w:val="99"/>
    <w:semiHidden/>
    <w:unhideWhenUsed/>
    <w:rsid w:val="005D090C"/>
  </w:style>
  <w:style w:type="character" w:customStyle="1" w:styleId="SalutationChar">
    <w:name w:val="Salutation Char"/>
    <w:basedOn w:val="DefaultParagraphFont"/>
    <w:link w:val="Salutation"/>
    <w:uiPriority w:val="99"/>
    <w:semiHidden/>
    <w:rsid w:val="005D090C"/>
  </w:style>
  <w:style w:type="paragraph" w:styleId="Signature">
    <w:name w:val="Signature"/>
    <w:basedOn w:val="Normal"/>
    <w:link w:val="SignatureChar"/>
    <w:uiPriority w:val="99"/>
    <w:semiHidden/>
    <w:unhideWhenUsed/>
    <w:rsid w:val="005D090C"/>
    <w:pPr>
      <w:spacing w:after="0" w:line="240" w:lineRule="auto"/>
      <w:ind w:left="4320"/>
    </w:pPr>
  </w:style>
  <w:style w:type="character" w:customStyle="1" w:styleId="SignatureChar">
    <w:name w:val="Signature Char"/>
    <w:basedOn w:val="DefaultParagraphFont"/>
    <w:link w:val="Signature"/>
    <w:uiPriority w:val="99"/>
    <w:semiHidden/>
    <w:rsid w:val="005D090C"/>
  </w:style>
  <w:style w:type="paragraph" w:styleId="Subtitle">
    <w:name w:val="Subtitle"/>
    <w:basedOn w:val="Normal"/>
    <w:next w:val="Normal"/>
    <w:link w:val="SubtitleChar"/>
    <w:uiPriority w:val="11"/>
    <w:qFormat/>
    <w:rsid w:val="005D090C"/>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090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D090C"/>
    <w:pPr>
      <w:spacing w:after="0"/>
      <w:ind w:left="240" w:hanging="240"/>
    </w:pPr>
  </w:style>
  <w:style w:type="paragraph" w:styleId="TableofFigures">
    <w:name w:val="table of figures"/>
    <w:basedOn w:val="Normal"/>
    <w:next w:val="Normal"/>
    <w:uiPriority w:val="99"/>
    <w:semiHidden/>
    <w:unhideWhenUsed/>
    <w:rsid w:val="005D090C"/>
    <w:pPr>
      <w:spacing w:after="0"/>
    </w:pPr>
  </w:style>
  <w:style w:type="paragraph" w:styleId="Title">
    <w:name w:val="Title"/>
    <w:basedOn w:val="Normal"/>
    <w:next w:val="Normal"/>
    <w:link w:val="TitleChar"/>
    <w:uiPriority w:val="10"/>
    <w:qFormat/>
    <w:rsid w:val="005D09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90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D090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D090C"/>
    <w:pPr>
      <w:spacing w:after="100"/>
    </w:pPr>
  </w:style>
  <w:style w:type="paragraph" w:styleId="TOC2">
    <w:name w:val="toc 2"/>
    <w:basedOn w:val="Normal"/>
    <w:next w:val="Normal"/>
    <w:autoRedefine/>
    <w:uiPriority w:val="39"/>
    <w:semiHidden/>
    <w:unhideWhenUsed/>
    <w:rsid w:val="005D090C"/>
    <w:pPr>
      <w:spacing w:after="100"/>
      <w:ind w:left="240"/>
    </w:pPr>
  </w:style>
  <w:style w:type="paragraph" w:styleId="TOC3">
    <w:name w:val="toc 3"/>
    <w:basedOn w:val="Normal"/>
    <w:next w:val="Normal"/>
    <w:autoRedefine/>
    <w:uiPriority w:val="39"/>
    <w:semiHidden/>
    <w:unhideWhenUsed/>
    <w:rsid w:val="005D090C"/>
    <w:pPr>
      <w:spacing w:after="100"/>
      <w:ind w:left="480"/>
    </w:pPr>
  </w:style>
  <w:style w:type="paragraph" w:styleId="TOC4">
    <w:name w:val="toc 4"/>
    <w:basedOn w:val="Normal"/>
    <w:next w:val="Normal"/>
    <w:autoRedefine/>
    <w:uiPriority w:val="39"/>
    <w:semiHidden/>
    <w:unhideWhenUsed/>
    <w:rsid w:val="005D090C"/>
    <w:pPr>
      <w:spacing w:after="100"/>
      <w:ind w:left="720"/>
    </w:pPr>
  </w:style>
  <w:style w:type="paragraph" w:styleId="TOC5">
    <w:name w:val="toc 5"/>
    <w:basedOn w:val="Normal"/>
    <w:next w:val="Normal"/>
    <w:autoRedefine/>
    <w:uiPriority w:val="39"/>
    <w:semiHidden/>
    <w:unhideWhenUsed/>
    <w:rsid w:val="005D090C"/>
    <w:pPr>
      <w:spacing w:after="100"/>
      <w:ind w:left="960"/>
    </w:pPr>
  </w:style>
  <w:style w:type="paragraph" w:styleId="TOC6">
    <w:name w:val="toc 6"/>
    <w:basedOn w:val="Normal"/>
    <w:next w:val="Normal"/>
    <w:autoRedefine/>
    <w:uiPriority w:val="39"/>
    <w:semiHidden/>
    <w:unhideWhenUsed/>
    <w:rsid w:val="005D090C"/>
    <w:pPr>
      <w:spacing w:after="100"/>
      <w:ind w:left="1200"/>
    </w:pPr>
  </w:style>
  <w:style w:type="paragraph" w:styleId="TOC7">
    <w:name w:val="toc 7"/>
    <w:basedOn w:val="Normal"/>
    <w:next w:val="Normal"/>
    <w:autoRedefine/>
    <w:uiPriority w:val="39"/>
    <w:semiHidden/>
    <w:unhideWhenUsed/>
    <w:rsid w:val="005D090C"/>
    <w:pPr>
      <w:spacing w:after="100"/>
      <w:ind w:left="1440"/>
    </w:pPr>
  </w:style>
  <w:style w:type="paragraph" w:styleId="TOC8">
    <w:name w:val="toc 8"/>
    <w:basedOn w:val="Normal"/>
    <w:next w:val="Normal"/>
    <w:autoRedefine/>
    <w:uiPriority w:val="39"/>
    <w:semiHidden/>
    <w:unhideWhenUsed/>
    <w:rsid w:val="005D090C"/>
    <w:pPr>
      <w:spacing w:after="100"/>
      <w:ind w:left="1680"/>
    </w:pPr>
  </w:style>
  <w:style w:type="paragraph" w:styleId="TOC9">
    <w:name w:val="toc 9"/>
    <w:basedOn w:val="Normal"/>
    <w:next w:val="Normal"/>
    <w:autoRedefine/>
    <w:uiPriority w:val="39"/>
    <w:semiHidden/>
    <w:unhideWhenUsed/>
    <w:rsid w:val="005D090C"/>
    <w:pPr>
      <w:spacing w:after="100"/>
      <w:ind w:left="1920"/>
    </w:pPr>
  </w:style>
  <w:style w:type="paragraph" w:styleId="TOCHeading">
    <w:name w:val="TOC Heading"/>
    <w:basedOn w:val="Heading1"/>
    <w:next w:val="Normal"/>
    <w:uiPriority w:val="39"/>
    <w:semiHidden/>
    <w:unhideWhenUsed/>
    <w:qFormat/>
    <w:rsid w:val="005D090C"/>
    <w:pPr>
      <w:outlineLvl w:val="9"/>
    </w:pPr>
  </w:style>
  <w:style w:type="character" w:styleId="FootnoteReference">
    <w:name w:val="footnote reference"/>
    <w:basedOn w:val="DefaultParagraphFont"/>
    <w:semiHidden/>
    <w:unhideWhenUsed/>
    <w:rsid w:val="00957047"/>
    <w:rPr>
      <w:vertAlign w:val="superscript"/>
    </w:rPr>
  </w:style>
  <w:style w:type="paragraph" w:styleId="Revision">
    <w:name w:val="Revision"/>
    <w:hidden/>
    <w:uiPriority w:val="99"/>
    <w:semiHidden/>
    <w:rsid w:val="00D806AC"/>
    <w:pPr>
      <w:spacing w:after="0" w:line="240" w:lineRule="auto"/>
    </w:pPr>
  </w:style>
  <w:style w:type="character" w:styleId="EndnoteReference">
    <w:name w:val="endnote reference"/>
    <w:basedOn w:val="DefaultParagraphFont"/>
    <w:uiPriority w:val="99"/>
    <w:semiHidden/>
    <w:unhideWhenUsed/>
    <w:rsid w:val="007D5C58"/>
    <w:rPr>
      <w:vertAlign w:val="superscript"/>
    </w:rPr>
  </w:style>
  <w:style w:type="character" w:customStyle="1" w:styleId="anchor-text">
    <w:name w:val="anchor-text"/>
    <w:basedOn w:val="DefaultParagraphFont"/>
    <w:rsid w:val="00F6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728">
      <w:bodyDiv w:val="1"/>
      <w:marLeft w:val="0"/>
      <w:marRight w:val="0"/>
      <w:marTop w:val="0"/>
      <w:marBottom w:val="0"/>
      <w:divBdr>
        <w:top w:val="none" w:sz="0" w:space="0" w:color="auto"/>
        <w:left w:val="none" w:sz="0" w:space="0" w:color="auto"/>
        <w:bottom w:val="none" w:sz="0" w:space="0" w:color="auto"/>
        <w:right w:val="none" w:sz="0" w:space="0" w:color="auto"/>
      </w:divBdr>
    </w:div>
    <w:div w:id="62291001">
      <w:bodyDiv w:val="1"/>
      <w:marLeft w:val="0"/>
      <w:marRight w:val="0"/>
      <w:marTop w:val="0"/>
      <w:marBottom w:val="0"/>
      <w:divBdr>
        <w:top w:val="none" w:sz="0" w:space="0" w:color="auto"/>
        <w:left w:val="none" w:sz="0" w:space="0" w:color="auto"/>
        <w:bottom w:val="none" w:sz="0" w:space="0" w:color="auto"/>
        <w:right w:val="none" w:sz="0" w:space="0" w:color="auto"/>
      </w:divBdr>
    </w:div>
    <w:div w:id="70810952">
      <w:bodyDiv w:val="1"/>
      <w:marLeft w:val="0"/>
      <w:marRight w:val="0"/>
      <w:marTop w:val="0"/>
      <w:marBottom w:val="0"/>
      <w:divBdr>
        <w:top w:val="none" w:sz="0" w:space="0" w:color="auto"/>
        <w:left w:val="none" w:sz="0" w:space="0" w:color="auto"/>
        <w:bottom w:val="none" w:sz="0" w:space="0" w:color="auto"/>
        <w:right w:val="none" w:sz="0" w:space="0" w:color="auto"/>
      </w:divBdr>
    </w:div>
    <w:div w:id="106395092">
      <w:bodyDiv w:val="1"/>
      <w:marLeft w:val="0"/>
      <w:marRight w:val="0"/>
      <w:marTop w:val="0"/>
      <w:marBottom w:val="0"/>
      <w:divBdr>
        <w:top w:val="none" w:sz="0" w:space="0" w:color="auto"/>
        <w:left w:val="none" w:sz="0" w:space="0" w:color="auto"/>
        <w:bottom w:val="none" w:sz="0" w:space="0" w:color="auto"/>
        <w:right w:val="none" w:sz="0" w:space="0" w:color="auto"/>
      </w:divBdr>
    </w:div>
    <w:div w:id="116877503">
      <w:bodyDiv w:val="1"/>
      <w:marLeft w:val="0"/>
      <w:marRight w:val="0"/>
      <w:marTop w:val="0"/>
      <w:marBottom w:val="0"/>
      <w:divBdr>
        <w:top w:val="none" w:sz="0" w:space="0" w:color="auto"/>
        <w:left w:val="none" w:sz="0" w:space="0" w:color="auto"/>
        <w:bottom w:val="none" w:sz="0" w:space="0" w:color="auto"/>
        <w:right w:val="none" w:sz="0" w:space="0" w:color="auto"/>
      </w:divBdr>
    </w:div>
    <w:div w:id="201215980">
      <w:bodyDiv w:val="1"/>
      <w:marLeft w:val="0"/>
      <w:marRight w:val="0"/>
      <w:marTop w:val="0"/>
      <w:marBottom w:val="0"/>
      <w:divBdr>
        <w:top w:val="none" w:sz="0" w:space="0" w:color="auto"/>
        <w:left w:val="none" w:sz="0" w:space="0" w:color="auto"/>
        <w:bottom w:val="none" w:sz="0" w:space="0" w:color="auto"/>
        <w:right w:val="none" w:sz="0" w:space="0" w:color="auto"/>
      </w:divBdr>
    </w:div>
    <w:div w:id="230818735">
      <w:bodyDiv w:val="1"/>
      <w:marLeft w:val="0"/>
      <w:marRight w:val="0"/>
      <w:marTop w:val="0"/>
      <w:marBottom w:val="0"/>
      <w:divBdr>
        <w:top w:val="none" w:sz="0" w:space="0" w:color="auto"/>
        <w:left w:val="none" w:sz="0" w:space="0" w:color="auto"/>
        <w:bottom w:val="none" w:sz="0" w:space="0" w:color="auto"/>
        <w:right w:val="none" w:sz="0" w:space="0" w:color="auto"/>
      </w:divBdr>
    </w:div>
    <w:div w:id="405885643">
      <w:bodyDiv w:val="1"/>
      <w:marLeft w:val="0"/>
      <w:marRight w:val="0"/>
      <w:marTop w:val="0"/>
      <w:marBottom w:val="0"/>
      <w:divBdr>
        <w:top w:val="none" w:sz="0" w:space="0" w:color="auto"/>
        <w:left w:val="none" w:sz="0" w:space="0" w:color="auto"/>
        <w:bottom w:val="none" w:sz="0" w:space="0" w:color="auto"/>
        <w:right w:val="none" w:sz="0" w:space="0" w:color="auto"/>
      </w:divBdr>
    </w:div>
    <w:div w:id="726077511">
      <w:bodyDiv w:val="1"/>
      <w:marLeft w:val="0"/>
      <w:marRight w:val="0"/>
      <w:marTop w:val="0"/>
      <w:marBottom w:val="0"/>
      <w:divBdr>
        <w:top w:val="none" w:sz="0" w:space="0" w:color="auto"/>
        <w:left w:val="none" w:sz="0" w:space="0" w:color="auto"/>
        <w:bottom w:val="none" w:sz="0" w:space="0" w:color="auto"/>
        <w:right w:val="none" w:sz="0" w:space="0" w:color="auto"/>
      </w:divBdr>
    </w:div>
    <w:div w:id="843975678">
      <w:bodyDiv w:val="1"/>
      <w:marLeft w:val="0"/>
      <w:marRight w:val="0"/>
      <w:marTop w:val="0"/>
      <w:marBottom w:val="0"/>
      <w:divBdr>
        <w:top w:val="none" w:sz="0" w:space="0" w:color="auto"/>
        <w:left w:val="none" w:sz="0" w:space="0" w:color="auto"/>
        <w:bottom w:val="none" w:sz="0" w:space="0" w:color="auto"/>
        <w:right w:val="none" w:sz="0" w:space="0" w:color="auto"/>
      </w:divBdr>
    </w:div>
    <w:div w:id="1043362812">
      <w:bodyDiv w:val="1"/>
      <w:marLeft w:val="0"/>
      <w:marRight w:val="0"/>
      <w:marTop w:val="0"/>
      <w:marBottom w:val="0"/>
      <w:divBdr>
        <w:top w:val="none" w:sz="0" w:space="0" w:color="auto"/>
        <w:left w:val="none" w:sz="0" w:space="0" w:color="auto"/>
        <w:bottom w:val="none" w:sz="0" w:space="0" w:color="auto"/>
        <w:right w:val="none" w:sz="0" w:space="0" w:color="auto"/>
      </w:divBdr>
    </w:div>
    <w:div w:id="1045443096">
      <w:bodyDiv w:val="1"/>
      <w:marLeft w:val="0"/>
      <w:marRight w:val="0"/>
      <w:marTop w:val="0"/>
      <w:marBottom w:val="0"/>
      <w:divBdr>
        <w:top w:val="none" w:sz="0" w:space="0" w:color="auto"/>
        <w:left w:val="none" w:sz="0" w:space="0" w:color="auto"/>
        <w:bottom w:val="none" w:sz="0" w:space="0" w:color="auto"/>
        <w:right w:val="none" w:sz="0" w:space="0" w:color="auto"/>
      </w:divBdr>
    </w:div>
    <w:div w:id="1117680832">
      <w:bodyDiv w:val="1"/>
      <w:marLeft w:val="0"/>
      <w:marRight w:val="0"/>
      <w:marTop w:val="0"/>
      <w:marBottom w:val="0"/>
      <w:divBdr>
        <w:top w:val="none" w:sz="0" w:space="0" w:color="auto"/>
        <w:left w:val="none" w:sz="0" w:space="0" w:color="auto"/>
        <w:bottom w:val="none" w:sz="0" w:space="0" w:color="auto"/>
        <w:right w:val="none" w:sz="0" w:space="0" w:color="auto"/>
      </w:divBdr>
    </w:div>
    <w:div w:id="1152450898">
      <w:bodyDiv w:val="1"/>
      <w:marLeft w:val="0"/>
      <w:marRight w:val="0"/>
      <w:marTop w:val="0"/>
      <w:marBottom w:val="0"/>
      <w:divBdr>
        <w:top w:val="none" w:sz="0" w:space="0" w:color="auto"/>
        <w:left w:val="none" w:sz="0" w:space="0" w:color="auto"/>
        <w:bottom w:val="none" w:sz="0" w:space="0" w:color="auto"/>
        <w:right w:val="none" w:sz="0" w:space="0" w:color="auto"/>
      </w:divBdr>
    </w:div>
    <w:div w:id="1223322495">
      <w:bodyDiv w:val="1"/>
      <w:marLeft w:val="0"/>
      <w:marRight w:val="0"/>
      <w:marTop w:val="0"/>
      <w:marBottom w:val="0"/>
      <w:divBdr>
        <w:top w:val="none" w:sz="0" w:space="0" w:color="auto"/>
        <w:left w:val="none" w:sz="0" w:space="0" w:color="auto"/>
        <w:bottom w:val="none" w:sz="0" w:space="0" w:color="auto"/>
        <w:right w:val="none" w:sz="0" w:space="0" w:color="auto"/>
      </w:divBdr>
    </w:div>
    <w:div w:id="1232302701">
      <w:bodyDiv w:val="1"/>
      <w:marLeft w:val="0"/>
      <w:marRight w:val="0"/>
      <w:marTop w:val="0"/>
      <w:marBottom w:val="0"/>
      <w:divBdr>
        <w:top w:val="none" w:sz="0" w:space="0" w:color="auto"/>
        <w:left w:val="none" w:sz="0" w:space="0" w:color="auto"/>
        <w:bottom w:val="none" w:sz="0" w:space="0" w:color="auto"/>
        <w:right w:val="none" w:sz="0" w:space="0" w:color="auto"/>
      </w:divBdr>
    </w:div>
    <w:div w:id="1337921238">
      <w:bodyDiv w:val="1"/>
      <w:marLeft w:val="0"/>
      <w:marRight w:val="0"/>
      <w:marTop w:val="0"/>
      <w:marBottom w:val="0"/>
      <w:divBdr>
        <w:top w:val="none" w:sz="0" w:space="0" w:color="auto"/>
        <w:left w:val="none" w:sz="0" w:space="0" w:color="auto"/>
        <w:bottom w:val="none" w:sz="0" w:space="0" w:color="auto"/>
        <w:right w:val="none" w:sz="0" w:space="0" w:color="auto"/>
      </w:divBdr>
    </w:div>
    <w:div w:id="1452479860">
      <w:bodyDiv w:val="1"/>
      <w:marLeft w:val="0"/>
      <w:marRight w:val="0"/>
      <w:marTop w:val="0"/>
      <w:marBottom w:val="0"/>
      <w:divBdr>
        <w:top w:val="none" w:sz="0" w:space="0" w:color="auto"/>
        <w:left w:val="none" w:sz="0" w:space="0" w:color="auto"/>
        <w:bottom w:val="none" w:sz="0" w:space="0" w:color="auto"/>
        <w:right w:val="none" w:sz="0" w:space="0" w:color="auto"/>
      </w:divBdr>
    </w:div>
    <w:div w:id="1519276518">
      <w:bodyDiv w:val="1"/>
      <w:marLeft w:val="0"/>
      <w:marRight w:val="0"/>
      <w:marTop w:val="0"/>
      <w:marBottom w:val="0"/>
      <w:divBdr>
        <w:top w:val="none" w:sz="0" w:space="0" w:color="auto"/>
        <w:left w:val="none" w:sz="0" w:space="0" w:color="auto"/>
        <w:bottom w:val="none" w:sz="0" w:space="0" w:color="auto"/>
        <w:right w:val="none" w:sz="0" w:space="0" w:color="auto"/>
      </w:divBdr>
    </w:div>
    <w:div w:id="1567953810">
      <w:bodyDiv w:val="1"/>
      <w:marLeft w:val="0"/>
      <w:marRight w:val="0"/>
      <w:marTop w:val="0"/>
      <w:marBottom w:val="0"/>
      <w:divBdr>
        <w:top w:val="none" w:sz="0" w:space="0" w:color="auto"/>
        <w:left w:val="none" w:sz="0" w:space="0" w:color="auto"/>
        <w:bottom w:val="none" w:sz="0" w:space="0" w:color="auto"/>
        <w:right w:val="none" w:sz="0" w:space="0" w:color="auto"/>
      </w:divBdr>
    </w:div>
    <w:div w:id="1694109590">
      <w:bodyDiv w:val="1"/>
      <w:marLeft w:val="0"/>
      <w:marRight w:val="0"/>
      <w:marTop w:val="0"/>
      <w:marBottom w:val="0"/>
      <w:divBdr>
        <w:top w:val="none" w:sz="0" w:space="0" w:color="auto"/>
        <w:left w:val="none" w:sz="0" w:space="0" w:color="auto"/>
        <w:bottom w:val="none" w:sz="0" w:space="0" w:color="auto"/>
        <w:right w:val="none" w:sz="0" w:space="0" w:color="auto"/>
      </w:divBdr>
    </w:div>
    <w:div w:id="1772701623">
      <w:bodyDiv w:val="1"/>
      <w:marLeft w:val="0"/>
      <w:marRight w:val="0"/>
      <w:marTop w:val="0"/>
      <w:marBottom w:val="0"/>
      <w:divBdr>
        <w:top w:val="none" w:sz="0" w:space="0" w:color="auto"/>
        <w:left w:val="none" w:sz="0" w:space="0" w:color="auto"/>
        <w:bottom w:val="none" w:sz="0" w:space="0" w:color="auto"/>
        <w:right w:val="none" w:sz="0" w:space="0" w:color="auto"/>
      </w:divBdr>
    </w:div>
    <w:div w:id="1826431047">
      <w:bodyDiv w:val="1"/>
      <w:marLeft w:val="0"/>
      <w:marRight w:val="0"/>
      <w:marTop w:val="0"/>
      <w:marBottom w:val="0"/>
      <w:divBdr>
        <w:top w:val="none" w:sz="0" w:space="0" w:color="auto"/>
        <w:left w:val="none" w:sz="0" w:space="0" w:color="auto"/>
        <w:bottom w:val="none" w:sz="0" w:space="0" w:color="auto"/>
        <w:right w:val="none" w:sz="0" w:space="0" w:color="auto"/>
      </w:divBdr>
    </w:div>
    <w:div w:id="1863591283">
      <w:bodyDiv w:val="1"/>
      <w:marLeft w:val="0"/>
      <w:marRight w:val="0"/>
      <w:marTop w:val="0"/>
      <w:marBottom w:val="0"/>
      <w:divBdr>
        <w:top w:val="none" w:sz="0" w:space="0" w:color="auto"/>
        <w:left w:val="none" w:sz="0" w:space="0" w:color="auto"/>
        <w:bottom w:val="none" w:sz="0" w:space="0" w:color="auto"/>
        <w:right w:val="none" w:sz="0" w:space="0" w:color="auto"/>
      </w:divBdr>
      <w:divsChild>
        <w:div w:id="118502453">
          <w:marLeft w:val="0"/>
          <w:marRight w:val="0"/>
          <w:marTop w:val="240"/>
          <w:marBottom w:val="288"/>
          <w:divBdr>
            <w:top w:val="none" w:sz="0" w:space="0" w:color="auto"/>
            <w:left w:val="none" w:sz="0" w:space="0" w:color="auto"/>
            <w:bottom w:val="none" w:sz="0" w:space="0" w:color="auto"/>
            <w:right w:val="none" w:sz="0" w:space="0" w:color="auto"/>
          </w:divBdr>
          <w:divsChild>
            <w:div w:id="2037731574">
              <w:marLeft w:val="0"/>
              <w:marRight w:val="0"/>
              <w:marTop w:val="0"/>
              <w:marBottom w:val="0"/>
              <w:divBdr>
                <w:top w:val="none" w:sz="0" w:space="0" w:color="auto"/>
                <w:left w:val="none" w:sz="0" w:space="0" w:color="auto"/>
                <w:bottom w:val="none" w:sz="0" w:space="0" w:color="auto"/>
                <w:right w:val="none" w:sz="0" w:space="0" w:color="auto"/>
              </w:divBdr>
              <w:divsChild>
                <w:div w:id="1584030693">
                  <w:marLeft w:val="0"/>
                  <w:marRight w:val="0"/>
                  <w:marTop w:val="0"/>
                  <w:marBottom w:val="0"/>
                  <w:divBdr>
                    <w:top w:val="none" w:sz="0" w:space="0" w:color="auto"/>
                    <w:left w:val="none" w:sz="0" w:space="0" w:color="auto"/>
                    <w:bottom w:val="none" w:sz="0" w:space="0" w:color="auto"/>
                    <w:right w:val="none" w:sz="0" w:space="0" w:color="auto"/>
                  </w:divBdr>
                  <w:divsChild>
                    <w:div w:id="1648825057">
                      <w:marLeft w:val="0"/>
                      <w:marRight w:val="0"/>
                      <w:marTop w:val="0"/>
                      <w:marBottom w:val="0"/>
                      <w:divBdr>
                        <w:top w:val="none" w:sz="0" w:space="0" w:color="auto"/>
                        <w:left w:val="none" w:sz="0" w:space="0" w:color="auto"/>
                        <w:bottom w:val="none" w:sz="0" w:space="0" w:color="auto"/>
                        <w:right w:val="none" w:sz="0" w:space="0" w:color="auto"/>
                      </w:divBdr>
                      <w:divsChild>
                        <w:div w:id="11264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7656">
          <w:marLeft w:val="0"/>
          <w:marRight w:val="0"/>
          <w:marTop w:val="240"/>
          <w:marBottom w:val="288"/>
          <w:divBdr>
            <w:top w:val="none" w:sz="0" w:space="0" w:color="auto"/>
            <w:left w:val="none" w:sz="0" w:space="0" w:color="auto"/>
            <w:bottom w:val="none" w:sz="0" w:space="0" w:color="auto"/>
            <w:right w:val="none" w:sz="0" w:space="0" w:color="auto"/>
          </w:divBdr>
          <w:divsChild>
            <w:div w:id="1607233846">
              <w:marLeft w:val="0"/>
              <w:marRight w:val="0"/>
              <w:marTop w:val="0"/>
              <w:marBottom w:val="0"/>
              <w:divBdr>
                <w:top w:val="none" w:sz="0" w:space="0" w:color="auto"/>
                <w:left w:val="none" w:sz="0" w:space="0" w:color="auto"/>
                <w:bottom w:val="none" w:sz="0" w:space="0" w:color="auto"/>
                <w:right w:val="none" w:sz="0" w:space="0" w:color="auto"/>
              </w:divBdr>
              <w:divsChild>
                <w:div w:id="1152060366">
                  <w:marLeft w:val="0"/>
                  <w:marRight w:val="0"/>
                  <w:marTop w:val="0"/>
                  <w:marBottom w:val="0"/>
                  <w:divBdr>
                    <w:top w:val="none" w:sz="0" w:space="0" w:color="auto"/>
                    <w:left w:val="none" w:sz="0" w:space="0" w:color="auto"/>
                    <w:bottom w:val="none" w:sz="0" w:space="0" w:color="auto"/>
                    <w:right w:val="none" w:sz="0" w:space="0" w:color="auto"/>
                  </w:divBdr>
                  <w:divsChild>
                    <w:div w:id="572813238">
                      <w:marLeft w:val="0"/>
                      <w:marRight w:val="0"/>
                      <w:marTop w:val="0"/>
                      <w:marBottom w:val="0"/>
                      <w:divBdr>
                        <w:top w:val="none" w:sz="0" w:space="0" w:color="auto"/>
                        <w:left w:val="none" w:sz="0" w:space="0" w:color="auto"/>
                        <w:bottom w:val="none" w:sz="0" w:space="0" w:color="auto"/>
                        <w:right w:val="none" w:sz="0" w:space="0" w:color="auto"/>
                      </w:divBdr>
                      <w:divsChild>
                        <w:div w:id="821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23545">
          <w:marLeft w:val="0"/>
          <w:marRight w:val="0"/>
          <w:marTop w:val="240"/>
          <w:marBottom w:val="288"/>
          <w:divBdr>
            <w:top w:val="none" w:sz="0" w:space="0" w:color="auto"/>
            <w:left w:val="none" w:sz="0" w:space="0" w:color="auto"/>
            <w:bottom w:val="none" w:sz="0" w:space="0" w:color="auto"/>
            <w:right w:val="none" w:sz="0" w:space="0" w:color="auto"/>
          </w:divBdr>
          <w:divsChild>
            <w:div w:id="1559897076">
              <w:marLeft w:val="0"/>
              <w:marRight w:val="0"/>
              <w:marTop w:val="0"/>
              <w:marBottom w:val="0"/>
              <w:divBdr>
                <w:top w:val="none" w:sz="0" w:space="0" w:color="auto"/>
                <w:left w:val="none" w:sz="0" w:space="0" w:color="auto"/>
                <w:bottom w:val="none" w:sz="0" w:space="0" w:color="auto"/>
                <w:right w:val="none" w:sz="0" w:space="0" w:color="auto"/>
              </w:divBdr>
              <w:divsChild>
                <w:div w:id="702902112">
                  <w:marLeft w:val="0"/>
                  <w:marRight w:val="0"/>
                  <w:marTop w:val="0"/>
                  <w:marBottom w:val="0"/>
                  <w:divBdr>
                    <w:top w:val="none" w:sz="0" w:space="0" w:color="auto"/>
                    <w:left w:val="none" w:sz="0" w:space="0" w:color="auto"/>
                    <w:bottom w:val="none" w:sz="0" w:space="0" w:color="auto"/>
                    <w:right w:val="none" w:sz="0" w:space="0" w:color="auto"/>
                  </w:divBdr>
                  <w:divsChild>
                    <w:div w:id="1319115936">
                      <w:marLeft w:val="0"/>
                      <w:marRight w:val="0"/>
                      <w:marTop w:val="0"/>
                      <w:marBottom w:val="0"/>
                      <w:divBdr>
                        <w:top w:val="none" w:sz="0" w:space="0" w:color="auto"/>
                        <w:left w:val="none" w:sz="0" w:space="0" w:color="auto"/>
                        <w:bottom w:val="none" w:sz="0" w:space="0" w:color="auto"/>
                        <w:right w:val="none" w:sz="0" w:space="0" w:color="auto"/>
                      </w:divBdr>
                      <w:divsChild>
                        <w:div w:id="15365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60397">
          <w:marLeft w:val="0"/>
          <w:marRight w:val="0"/>
          <w:marTop w:val="240"/>
          <w:marBottom w:val="288"/>
          <w:divBdr>
            <w:top w:val="none" w:sz="0" w:space="0" w:color="auto"/>
            <w:left w:val="none" w:sz="0" w:space="0" w:color="auto"/>
            <w:bottom w:val="none" w:sz="0" w:space="0" w:color="auto"/>
            <w:right w:val="none" w:sz="0" w:space="0" w:color="auto"/>
          </w:divBdr>
          <w:divsChild>
            <w:div w:id="1478186690">
              <w:marLeft w:val="0"/>
              <w:marRight w:val="0"/>
              <w:marTop w:val="0"/>
              <w:marBottom w:val="0"/>
              <w:divBdr>
                <w:top w:val="none" w:sz="0" w:space="0" w:color="auto"/>
                <w:left w:val="none" w:sz="0" w:space="0" w:color="auto"/>
                <w:bottom w:val="none" w:sz="0" w:space="0" w:color="auto"/>
                <w:right w:val="none" w:sz="0" w:space="0" w:color="auto"/>
              </w:divBdr>
              <w:divsChild>
                <w:div w:id="1329401692">
                  <w:marLeft w:val="0"/>
                  <w:marRight w:val="0"/>
                  <w:marTop w:val="0"/>
                  <w:marBottom w:val="0"/>
                  <w:divBdr>
                    <w:top w:val="none" w:sz="0" w:space="0" w:color="auto"/>
                    <w:left w:val="none" w:sz="0" w:space="0" w:color="auto"/>
                    <w:bottom w:val="none" w:sz="0" w:space="0" w:color="auto"/>
                    <w:right w:val="none" w:sz="0" w:space="0" w:color="auto"/>
                  </w:divBdr>
                  <w:divsChild>
                    <w:div w:id="687872547">
                      <w:marLeft w:val="0"/>
                      <w:marRight w:val="0"/>
                      <w:marTop w:val="0"/>
                      <w:marBottom w:val="0"/>
                      <w:divBdr>
                        <w:top w:val="none" w:sz="0" w:space="0" w:color="auto"/>
                        <w:left w:val="none" w:sz="0" w:space="0" w:color="auto"/>
                        <w:bottom w:val="none" w:sz="0" w:space="0" w:color="auto"/>
                        <w:right w:val="none" w:sz="0" w:space="0" w:color="auto"/>
                      </w:divBdr>
                      <w:divsChild>
                        <w:div w:id="147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2.bin"/><Relationship Id="rId80" Type="http://schemas.openxmlformats.org/officeDocument/2006/relationships/image" Target="media/image36.wmf"/><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1.bin"/><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png"/><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5067-3830-4DA8-A2AB-183C3148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19811</Words>
  <Characters>424497</Characters>
  <Application>Microsoft Office Word</Application>
  <DocSecurity>0</DocSecurity>
  <Lines>3537</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Robbennolt</dc:creator>
  <cp:keywords/>
  <dc:description/>
  <cp:lastModifiedBy>Macias, Lisa J</cp:lastModifiedBy>
  <cp:revision>2</cp:revision>
  <cp:lastPrinted>2024-06-22T16:07:00Z</cp:lastPrinted>
  <dcterms:created xsi:type="dcterms:W3CDTF">2025-09-05T19:23:00Z</dcterms:created>
  <dcterms:modified xsi:type="dcterms:W3CDTF">2025-09-05T19:23:00Z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id="uBMkcOGB"/&gt;&lt;style id="http://www.zotero.org/styles/transportation-research-part-b" hasBibliography="1" bibliographyStyleHasBeenSet="1"/&gt;&lt;prefs&gt;&lt;pref name="fieldType" value="Field"/&gt;&lt;pref name="do</vt:lpwstr>
  </property>
  <property fmtid="{D5CDD505-2E9C-101B-9397-08002B2CF9AE}" pid="3" name="ZOTERO_PREF_2">
    <vt:lpwstr>ntAskDelayCitationUpdates" value="true"/&gt;&lt;/prefs&gt;&lt;/data&gt;</vt:lpwstr>
  </property>
  <property fmtid="{D5CDD505-2E9C-101B-9397-08002B2CF9AE}" pid="4" name="MTWinEqns">
    <vt:bool>true</vt:bool>
  </property>
  <property fmtid="{D5CDD505-2E9C-101B-9397-08002B2CF9AE}" pid="5" name="MTEquationNumber2">
    <vt:lpwstr>(#E1)</vt:lpwstr>
  </property>
  <property fmtid="{D5CDD505-2E9C-101B-9397-08002B2CF9AE}" pid="6" name="MTEquationSection">
    <vt:lpwstr>1</vt:lpwstr>
  </property>
</Properties>
</file>