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4F729" w14:textId="61F7044C" w:rsidR="007543B8" w:rsidRPr="00C67550" w:rsidRDefault="002501D1" w:rsidP="007543B8">
      <w:pPr>
        <w:pStyle w:val="Title"/>
        <w:rPr>
          <w:spacing w:val="0"/>
          <w:sz w:val="24"/>
          <w:szCs w:val="24"/>
        </w:rPr>
      </w:pPr>
      <w:bookmarkStart w:id="0" w:name="_GoBack"/>
      <w:bookmarkEnd w:id="0"/>
      <w:r w:rsidRPr="00C67550">
        <w:rPr>
          <w:spacing w:val="0"/>
          <w:sz w:val="24"/>
          <w:szCs w:val="24"/>
        </w:rPr>
        <w:t xml:space="preserve">A Comparison of Online and In-Person Activity Engagement: </w:t>
      </w:r>
    </w:p>
    <w:p w14:paraId="2A4A9E50" w14:textId="7F547656" w:rsidR="00914693" w:rsidRPr="00C67550" w:rsidRDefault="002501D1" w:rsidP="007543B8">
      <w:pPr>
        <w:pStyle w:val="Title"/>
        <w:rPr>
          <w:spacing w:val="0"/>
          <w:sz w:val="24"/>
          <w:szCs w:val="24"/>
        </w:rPr>
      </w:pPr>
      <w:r w:rsidRPr="00C67550">
        <w:rPr>
          <w:spacing w:val="0"/>
          <w:sz w:val="24"/>
          <w:szCs w:val="24"/>
        </w:rPr>
        <w:t>The Case of Shopping and Eating Meals</w:t>
      </w:r>
    </w:p>
    <w:p w14:paraId="0BA8224E" w14:textId="77777777" w:rsidR="00914693" w:rsidRDefault="00914693" w:rsidP="002C31FB"/>
    <w:p w14:paraId="6E450B8E" w14:textId="77777777" w:rsidR="00251434" w:rsidRDefault="00251434" w:rsidP="002C31FB"/>
    <w:p w14:paraId="71C940A2" w14:textId="77777777" w:rsidR="00251434" w:rsidRPr="001C2360" w:rsidRDefault="00251434" w:rsidP="002C31FB"/>
    <w:p w14:paraId="4C38C980" w14:textId="77777777" w:rsidR="007543B8" w:rsidRPr="001C2360" w:rsidRDefault="007543B8" w:rsidP="007543B8">
      <w:r>
        <w:rPr>
          <w:b/>
        </w:rPr>
        <w:t>Felipe F. Dias</w:t>
      </w:r>
    </w:p>
    <w:p w14:paraId="3997120F" w14:textId="77777777" w:rsidR="007543B8" w:rsidRPr="001C2360" w:rsidRDefault="007543B8" w:rsidP="007543B8">
      <w:pPr>
        <w:rPr>
          <w:bCs/>
          <w:kern w:val="32"/>
        </w:rPr>
      </w:pPr>
      <w:r w:rsidRPr="001C2360">
        <w:rPr>
          <w:bCs/>
          <w:kern w:val="32"/>
        </w:rPr>
        <w:t>The University of Texas at Austin</w:t>
      </w:r>
    </w:p>
    <w:p w14:paraId="739CAC21" w14:textId="77777777" w:rsidR="007543B8" w:rsidRPr="001C2360" w:rsidRDefault="007543B8" w:rsidP="007543B8">
      <w:pPr>
        <w:rPr>
          <w:bCs/>
          <w:kern w:val="32"/>
        </w:rPr>
      </w:pPr>
      <w:r w:rsidRPr="001C2360">
        <w:rPr>
          <w:bCs/>
          <w:kern w:val="32"/>
        </w:rPr>
        <w:t>Department of Civil, Architectural and Environmental Engineering</w:t>
      </w:r>
    </w:p>
    <w:p w14:paraId="5C84504B" w14:textId="35242508" w:rsidR="007543B8" w:rsidRPr="001C2360" w:rsidRDefault="007543B8" w:rsidP="007543B8">
      <w:pPr>
        <w:rPr>
          <w:bCs/>
          <w:kern w:val="32"/>
        </w:rPr>
      </w:pPr>
      <w:r w:rsidRPr="001C2360">
        <w:rPr>
          <w:bCs/>
          <w:kern w:val="32"/>
        </w:rPr>
        <w:t xml:space="preserve">301 E. Dean Keeton St. </w:t>
      </w:r>
      <w:r>
        <w:rPr>
          <w:bCs/>
          <w:kern w:val="32"/>
        </w:rPr>
        <w:t>Stop C1761, Austin TX 78712</w:t>
      </w:r>
      <w:r w:rsidR="00B154E8">
        <w:rPr>
          <w:bCs/>
          <w:kern w:val="32"/>
        </w:rPr>
        <w:t>, USA</w:t>
      </w:r>
    </w:p>
    <w:p w14:paraId="5B093313" w14:textId="09FE5FB8" w:rsidR="007543B8" w:rsidRDefault="007543B8" w:rsidP="007543B8">
      <w:pPr>
        <w:rPr>
          <w:b/>
        </w:rPr>
      </w:pPr>
      <w:r w:rsidRPr="001C2360">
        <w:rPr>
          <w:bCs/>
          <w:kern w:val="32"/>
        </w:rPr>
        <w:t xml:space="preserve">Tel: </w:t>
      </w:r>
      <w:r w:rsidR="00B154E8">
        <w:rPr>
          <w:bCs/>
          <w:kern w:val="32"/>
        </w:rPr>
        <w:t>+1-</w:t>
      </w:r>
      <w:r w:rsidRPr="001C2360">
        <w:rPr>
          <w:bCs/>
          <w:kern w:val="32"/>
        </w:rPr>
        <w:t xml:space="preserve">512-471-4535; </w:t>
      </w:r>
      <w:r w:rsidRPr="001C2360">
        <w:rPr>
          <w:bCs/>
          <w:kern w:val="32"/>
          <w:lang w:val="fr-FR"/>
        </w:rPr>
        <w:t xml:space="preserve">Email: </w:t>
      </w:r>
      <w:hyperlink r:id="rId11" w:history="1">
        <w:r w:rsidRPr="00514058">
          <w:rPr>
            <w:rStyle w:val="Hyperlink"/>
          </w:rPr>
          <w:t>fdias@utexas.edu</w:t>
        </w:r>
      </w:hyperlink>
    </w:p>
    <w:p w14:paraId="0AF933FA" w14:textId="77777777" w:rsidR="007543B8" w:rsidRDefault="007543B8" w:rsidP="007543B8">
      <w:pPr>
        <w:rPr>
          <w:b/>
        </w:rPr>
      </w:pPr>
    </w:p>
    <w:p w14:paraId="154BA9A8" w14:textId="77777777" w:rsidR="007543B8" w:rsidRPr="001C2360" w:rsidRDefault="007543B8" w:rsidP="007543B8">
      <w:r>
        <w:rPr>
          <w:b/>
        </w:rPr>
        <w:t>Patricia S. Lavieri</w:t>
      </w:r>
    </w:p>
    <w:p w14:paraId="53530660" w14:textId="77777777" w:rsidR="00052A10" w:rsidRPr="001C2360" w:rsidRDefault="00052A10" w:rsidP="00052A10">
      <w:pPr>
        <w:rPr>
          <w:bCs/>
          <w:kern w:val="32"/>
        </w:rPr>
      </w:pPr>
      <w:r>
        <w:rPr>
          <w:bCs/>
          <w:kern w:val="32"/>
        </w:rPr>
        <w:t>The University of Melbourne</w:t>
      </w:r>
    </w:p>
    <w:p w14:paraId="33287D5F" w14:textId="77777777" w:rsidR="00052A10" w:rsidRPr="001C2360" w:rsidRDefault="00052A10" w:rsidP="00052A10">
      <w:pPr>
        <w:rPr>
          <w:bCs/>
          <w:kern w:val="32"/>
        </w:rPr>
      </w:pPr>
      <w:r w:rsidRPr="001C2360">
        <w:rPr>
          <w:bCs/>
          <w:kern w:val="32"/>
        </w:rPr>
        <w:t xml:space="preserve">Department of </w:t>
      </w:r>
      <w:r>
        <w:rPr>
          <w:bCs/>
          <w:kern w:val="32"/>
        </w:rPr>
        <w:t>Infrastructure</w:t>
      </w:r>
      <w:r w:rsidRPr="001C2360">
        <w:rPr>
          <w:bCs/>
          <w:kern w:val="32"/>
        </w:rPr>
        <w:t xml:space="preserve"> Engineering</w:t>
      </w:r>
    </w:p>
    <w:p w14:paraId="335E7FF4" w14:textId="77777777" w:rsidR="00052A10" w:rsidRPr="002501D1" w:rsidRDefault="00052A10" w:rsidP="00052A10">
      <w:pPr>
        <w:rPr>
          <w:bCs/>
          <w:kern w:val="32"/>
          <w:lang w:val="pt-BR"/>
        </w:rPr>
      </w:pPr>
      <w:r w:rsidRPr="002501D1">
        <w:rPr>
          <w:bCs/>
          <w:kern w:val="32"/>
          <w:lang w:val="pt-BR"/>
        </w:rPr>
        <w:t>Parkville, Victoria 3010, Australia</w:t>
      </w:r>
    </w:p>
    <w:p w14:paraId="4B5F7055" w14:textId="77777777" w:rsidR="00052A10" w:rsidRPr="002501D1" w:rsidRDefault="00052A10" w:rsidP="00052A10">
      <w:pPr>
        <w:rPr>
          <w:b/>
          <w:lang w:val="pt-BR"/>
        </w:rPr>
      </w:pPr>
      <w:r w:rsidRPr="002501D1">
        <w:rPr>
          <w:bCs/>
          <w:kern w:val="32"/>
          <w:lang w:val="pt-BR"/>
        </w:rPr>
        <w:t xml:space="preserve">Tel: +61390353274; </w:t>
      </w:r>
      <w:r w:rsidRPr="001C2360">
        <w:rPr>
          <w:bCs/>
          <w:kern w:val="32"/>
          <w:lang w:val="fr-FR"/>
        </w:rPr>
        <w:t>Email</w:t>
      </w:r>
      <w:r w:rsidRPr="00BF71C4">
        <w:rPr>
          <w:bCs/>
          <w:kern w:val="32"/>
          <w:lang w:val="fr-FR"/>
        </w:rPr>
        <w:t xml:space="preserve">: </w:t>
      </w:r>
      <w:hyperlink r:id="rId12" w:history="1">
        <w:r w:rsidRPr="002501D1">
          <w:rPr>
            <w:rStyle w:val="Hyperlink"/>
            <w:lang w:val="pt-BR"/>
          </w:rPr>
          <w:t>patricia.lavieri@unimelb.edu.au</w:t>
        </w:r>
      </w:hyperlink>
      <w:r w:rsidRPr="002501D1">
        <w:rPr>
          <w:lang w:val="pt-BR"/>
        </w:rPr>
        <w:t xml:space="preserve"> </w:t>
      </w:r>
    </w:p>
    <w:p w14:paraId="1F8C3FE9" w14:textId="77777777" w:rsidR="007543B8" w:rsidRPr="002501D1" w:rsidRDefault="007543B8" w:rsidP="007543B8">
      <w:pPr>
        <w:rPr>
          <w:b/>
          <w:lang w:val="pt-BR"/>
        </w:rPr>
      </w:pPr>
    </w:p>
    <w:p w14:paraId="10493154" w14:textId="77777777" w:rsidR="00401C0D" w:rsidRPr="002501D1" w:rsidRDefault="00401C0D" w:rsidP="00401C0D">
      <w:pPr>
        <w:rPr>
          <w:b/>
          <w:lang w:val="pt-BR"/>
        </w:rPr>
      </w:pPr>
      <w:r>
        <w:rPr>
          <w:b/>
          <w:lang w:val="pt-BR"/>
        </w:rPr>
        <w:t>Shivam Sharda</w:t>
      </w:r>
    </w:p>
    <w:p w14:paraId="62F62021" w14:textId="77777777" w:rsidR="00401C0D" w:rsidRDefault="00401C0D" w:rsidP="00401C0D">
      <w:r w:rsidRPr="001C2360">
        <w:t>Arizona State University</w:t>
      </w:r>
    </w:p>
    <w:p w14:paraId="173B902C" w14:textId="77777777" w:rsidR="00401C0D" w:rsidRPr="001C2360" w:rsidRDefault="00401C0D" w:rsidP="00401C0D">
      <w:r w:rsidRPr="001C2360">
        <w:t>School of Sustainable Engineering and the Built Environment</w:t>
      </w:r>
    </w:p>
    <w:p w14:paraId="631696F6" w14:textId="77777777" w:rsidR="00401C0D" w:rsidRPr="001C2360" w:rsidRDefault="00401C0D" w:rsidP="00401C0D">
      <w:r w:rsidRPr="001C2360">
        <w:t xml:space="preserve">660 S. </w:t>
      </w:r>
      <w:r>
        <w:t>College Avenue, Tempe, AZ 85287-3005</w:t>
      </w:r>
      <w:r>
        <w:rPr>
          <w:bCs/>
          <w:kern w:val="32"/>
        </w:rPr>
        <w:t>, USA</w:t>
      </w:r>
    </w:p>
    <w:p w14:paraId="74AA574C" w14:textId="77777777" w:rsidR="00401C0D" w:rsidRDefault="00401C0D" w:rsidP="00401C0D">
      <w:pPr>
        <w:rPr>
          <w:rStyle w:val="Hyperlink"/>
        </w:rPr>
      </w:pPr>
      <w:r>
        <w:t>Tel: +1-480-</w:t>
      </w:r>
      <w:r w:rsidRPr="00795004">
        <w:t>727-3613</w:t>
      </w:r>
      <w:r w:rsidRPr="001C2360">
        <w:t xml:space="preserve">; Email: </w:t>
      </w:r>
      <w:hyperlink r:id="rId13" w:history="1">
        <w:r w:rsidRPr="005C2857">
          <w:rPr>
            <w:rStyle w:val="Hyperlink"/>
          </w:rPr>
          <w:t>ssharda@asu.edu</w:t>
        </w:r>
      </w:hyperlink>
    </w:p>
    <w:p w14:paraId="45E3E915" w14:textId="77777777" w:rsidR="00401C0D" w:rsidRPr="00026E7E" w:rsidRDefault="00401C0D" w:rsidP="00401C0D">
      <w:pPr>
        <w:rPr>
          <w:rStyle w:val="Hyperlink"/>
          <w:color w:val="000000" w:themeColor="text1"/>
          <w:u w:val="none"/>
        </w:rPr>
      </w:pPr>
    </w:p>
    <w:p w14:paraId="050F70FA" w14:textId="77777777" w:rsidR="007543B8" w:rsidRPr="001C2360" w:rsidRDefault="007543B8" w:rsidP="007543B8">
      <w:pPr>
        <w:rPr>
          <w:b/>
        </w:rPr>
      </w:pPr>
      <w:r>
        <w:rPr>
          <w:b/>
        </w:rPr>
        <w:t>Sara Khoeini</w:t>
      </w:r>
    </w:p>
    <w:p w14:paraId="03BD919A" w14:textId="77777777" w:rsidR="002501D1" w:rsidRDefault="002501D1" w:rsidP="007543B8">
      <w:r>
        <w:t>Arizona State University</w:t>
      </w:r>
    </w:p>
    <w:p w14:paraId="3C6DE47D" w14:textId="48E491E3" w:rsidR="007543B8" w:rsidRPr="001C2360" w:rsidRDefault="007543B8" w:rsidP="007543B8">
      <w:r w:rsidRPr="001C2360">
        <w:t>School of Sustainable Engineering and the Built Environment</w:t>
      </w:r>
    </w:p>
    <w:p w14:paraId="5EE355B1" w14:textId="2614F86B" w:rsidR="007543B8" w:rsidRPr="001C2360" w:rsidRDefault="007543B8" w:rsidP="007543B8">
      <w:r w:rsidRPr="001C2360">
        <w:t xml:space="preserve">660 S. </w:t>
      </w:r>
      <w:r>
        <w:t>College Avenue, Tempe, AZ 85287-3005</w:t>
      </w:r>
      <w:r w:rsidR="00B154E8">
        <w:rPr>
          <w:bCs/>
          <w:kern w:val="32"/>
        </w:rPr>
        <w:t>, USA</w:t>
      </w:r>
    </w:p>
    <w:p w14:paraId="525B4FAD" w14:textId="1805EC75" w:rsidR="007543B8" w:rsidRDefault="007543B8" w:rsidP="007543B8">
      <w:pPr>
        <w:rPr>
          <w:rStyle w:val="Hyperlink"/>
        </w:rPr>
      </w:pPr>
      <w:r>
        <w:t xml:space="preserve">Tel: </w:t>
      </w:r>
      <w:r w:rsidR="00AE2F1F">
        <w:t>+</w:t>
      </w:r>
      <w:r w:rsidR="00B154E8">
        <w:t>1-</w:t>
      </w:r>
      <w:r>
        <w:t>480-</w:t>
      </w:r>
      <w:r w:rsidR="00B90624">
        <w:t>965</w:t>
      </w:r>
      <w:r>
        <w:t>-5047</w:t>
      </w:r>
      <w:r w:rsidRPr="001C2360">
        <w:t xml:space="preserve">; Email: </w:t>
      </w:r>
      <w:hyperlink r:id="rId14" w:history="1">
        <w:r w:rsidRPr="006E2193">
          <w:rPr>
            <w:rStyle w:val="Hyperlink"/>
          </w:rPr>
          <w:t>skhoeini@asu.edu</w:t>
        </w:r>
      </w:hyperlink>
    </w:p>
    <w:p w14:paraId="140C7AAA" w14:textId="77777777" w:rsidR="007543B8" w:rsidRPr="001C2360" w:rsidRDefault="007543B8" w:rsidP="007543B8"/>
    <w:p w14:paraId="3DCA84EE" w14:textId="77777777" w:rsidR="007543B8" w:rsidRPr="001C2360" w:rsidRDefault="007543B8" w:rsidP="007543B8">
      <w:pPr>
        <w:rPr>
          <w:b/>
        </w:rPr>
      </w:pPr>
      <w:r w:rsidRPr="001C2360">
        <w:rPr>
          <w:b/>
        </w:rPr>
        <w:t>Chandra R. Bhat (corresponding author)</w:t>
      </w:r>
    </w:p>
    <w:p w14:paraId="1D5A68A4" w14:textId="77777777" w:rsidR="007543B8" w:rsidRPr="001C2360" w:rsidRDefault="007543B8" w:rsidP="007543B8">
      <w:r w:rsidRPr="001C2360">
        <w:t>The University of Texas at Austin</w:t>
      </w:r>
    </w:p>
    <w:p w14:paraId="306D2EAD" w14:textId="77777777" w:rsidR="007543B8" w:rsidRPr="001C2360" w:rsidRDefault="007543B8" w:rsidP="007543B8">
      <w:r w:rsidRPr="001C2360">
        <w:t>Department of Civil, Architectural and Environmental Engineering</w:t>
      </w:r>
    </w:p>
    <w:p w14:paraId="67A4672E" w14:textId="72277EC8" w:rsidR="007543B8" w:rsidRPr="001C2360" w:rsidRDefault="007543B8" w:rsidP="007543B8">
      <w:r w:rsidRPr="001C2360">
        <w:t>301 E. Dean Keeton St. Stop C1761, Austin TX 78712</w:t>
      </w:r>
      <w:r w:rsidR="00B154E8">
        <w:rPr>
          <w:bCs/>
          <w:kern w:val="32"/>
        </w:rPr>
        <w:t>, USA</w:t>
      </w:r>
    </w:p>
    <w:p w14:paraId="291742BA" w14:textId="021A0D3B" w:rsidR="007543B8" w:rsidRPr="001C2360" w:rsidRDefault="007543B8" w:rsidP="007543B8">
      <w:pPr>
        <w:rPr>
          <w:rStyle w:val="Hyperlink"/>
        </w:rPr>
      </w:pPr>
      <w:r w:rsidRPr="001C2360">
        <w:t xml:space="preserve">Tel: </w:t>
      </w:r>
      <w:r w:rsidR="00AE2F1F">
        <w:t>+</w:t>
      </w:r>
      <w:r w:rsidR="00B154E8">
        <w:t>1-</w:t>
      </w:r>
      <w:r w:rsidRPr="001C2360">
        <w:t xml:space="preserve">512-471-4535; Email: </w:t>
      </w:r>
      <w:hyperlink r:id="rId15" w:history="1">
        <w:r w:rsidRPr="001C2360">
          <w:rPr>
            <w:rStyle w:val="Hyperlink"/>
          </w:rPr>
          <w:t>bhat@mail.utexas.edu</w:t>
        </w:r>
      </w:hyperlink>
    </w:p>
    <w:p w14:paraId="7C67AC70" w14:textId="77777777" w:rsidR="007543B8" w:rsidRDefault="007543B8" w:rsidP="007543B8">
      <w:pPr>
        <w:rPr>
          <w:bCs/>
          <w:kern w:val="32"/>
        </w:rPr>
      </w:pPr>
      <w:r>
        <w:rPr>
          <w:bCs/>
          <w:kern w:val="32"/>
        </w:rPr>
        <w:t>a</w:t>
      </w:r>
      <w:r w:rsidRPr="001C2360">
        <w:rPr>
          <w:bCs/>
          <w:kern w:val="32"/>
        </w:rPr>
        <w:t>nd</w:t>
      </w:r>
    </w:p>
    <w:p w14:paraId="304F40D8" w14:textId="77777777" w:rsidR="007543B8" w:rsidRPr="00697751" w:rsidRDefault="007543B8" w:rsidP="007543B8">
      <w:pPr>
        <w:rPr>
          <w:b/>
        </w:rPr>
      </w:pPr>
      <w:r w:rsidRPr="00E62149">
        <w:t>The Hong Kong Polytechnic University</w:t>
      </w:r>
      <w:r w:rsidRPr="00E62149">
        <w:rPr>
          <w:bCs/>
          <w:kern w:val="32"/>
        </w:rPr>
        <w:t xml:space="preserve">, </w:t>
      </w:r>
      <w:r>
        <w:t xml:space="preserve">Hung </w:t>
      </w:r>
      <w:proofErr w:type="spellStart"/>
      <w:r>
        <w:t>Hom</w:t>
      </w:r>
      <w:proofErr w:type="spellEnd"/>
      <w:r>
        <w:t>, Kowloon, Hong Kong</w:t>
      </w:r>
    </w:p>
    <w:p w14:paraId="6B77778E" w14:textId="77777777" w:rsidR="007543B8" w:rsidRDefault="007543B8" w:rsidP="007543B8">
      <w:pPr>
        <w:rPr>
          <w:i/>
        </w:rPr>
      </w:pPr>
    </w:p>
    <w:p w14:paraId="613281AA" w14:textId="77777777" w:rsidR="007543B8" w:rsidRPr="001C2360" w:rsidRDefault="007543B8" w:rsidP="007543B8">
      <w:pPr>
        <w:rPr>
          <w:b/>
        </w:rPr>
      </w:pPr>
      <w:r w:rsidRPr="001C2360">
        <w:rPr>
          <w:b/>
        </w:rPr>
        <w:t>Ram M. Pendyala</w:t>
      </w:r>
    </w:p>
    <w:p w14:paraId="22194FCB" w14:textId="77777777" w:rsidR="002501D1" w:rsidRDefault="002501D1" w:rsidP="007543B8">
      <w:r>
        <w:t>Arizona State University</w:t>
      </w:r>
    </w:p>
    <w:p w14:paraId="69A532FE" w14:textId="6011B353" w:rsidR="007543B8" w:rsidRPr="001C2360" w:rsidRDefault="007543B8" w:rsidP="007543B8">
      <w:r w:rsidRPr="001C2360">
        <w:t>School of Sustainable Engineering and the Built Environment</w:t>
      </w:r>
    </w:p>
    <w:p w14:paraId="01A22B1F" w14:textId="59380303" w:rsidR="007543B8" w:rsidRPr="001C2360" w:rsidRDefault="007543B8" w:rsidP="007543B8">
      <w:r w:rsidRPr="001C2360">
        <w:t xml:space="preserve">660 S. </w:t>
      </w:r>
      <w:r>
        <w:t>College Avenue, Tempe, AZ 85287-3005</w:t>
      </w:r>
      <w:r w:rsidR="00B154E8">
        <w:rPr>
          <w:bCs/>
          <w:kern w:val="32"/>
        </w:rPr>
        <w:t>, USA</w:t>
      </w:r>
    </w:p>
    <w:p w14:paraId="455CE681" w14:textId="7276CA5C" w:rsidR="007543B8" w:rsidRDefault="007543B8" w:rsidP="007543B8">
      <w:r w:rsidRPr="001C2360">
        <w:t xml:space="preserve">Tel: </w:t>
      </w:r>
      <w:r w:rsidR="00B154E8">
        <w:t>+1-</w:t>
      </w:r>
      <w:r w:rsidRPr="001C2360">
        <w:t>480-</w:t>
      </w:r>
      <w:r>
        <w:t>727-4587</w:t>
      </w:r>
      <w:r w:rsidRPr="001C2360">
        <w:t xml:space="preserve">; Email: </w:t>
      </w:r>
      <w:hyperlink r:id="rId16" w:history="1">
        <w:r w:rsidRPr="001C2360">
          <w:rPr>
            <w:rStyle w:val="Hyperlink"/>
          </w:rPr>
          <w:t>ram.pendyala@asu.edu</w:t>
        </w:r>
      </w:hyperlink>
      <w:r w:rsidRPr="001C2360">
        <w:t xml:space="preserve"> </w:t>
      </w:r>
    </w:p>
    <w:p w14:paraId="2E0B358A" w14:textId="77777777" w:rsidR="00444F57" w:rsidRDefault="00444F57" w:rsidP="007543B8"/>
    <w:p w14:paraId="665BFFB1" w14:textId="77777777" w:rsidR="00444F57" w:rsidRDefault="00444F57" w:rsidP="007543B8"/>
    <w:p w14:paraId="2002CE4A" w14:textId="77777777" w:rsidR="00444F57" w:rsidRDefault="00444F57" w:rsidP="00444F57">
      <w:pPr>
        <w:pStyle w:val="Names"/>
        <w:spacing w:after="0"/>
        <w:contextualSpacing/>
        <w:jc w:val="center"/>
      </w:pPr>
      <w:r w:rsidRPr="004C76F7">
        <w:t>(the list of authors continues on next page)</w:t>
      </w:r>
    </w:p>
    <w:p w14:paraId="3518702B" w14:textId="60480C95" w:rsidR="00444F57" w:rsidRDefault="00444F57" w:rsidP="00BA3692">
      <w:pPr>
        <w:spacing w:after="160" w:line="259" w:lineRule="auto"/>
        <w:jc w:val="left"/>
      </w:pPr>
    </w:p>
    <w:p w14:paraId="600ABFFF" w14:textId="77777777" w:rsidR="00444F57" w:rsidRPr="00BA2FB5" w:rsidRDefault="00444F57" w:rsidP="00BA3692">
      <w:pPr>
        <w:pStyle w:val="Names"/>
        <w:spacing w:after="0" w:line="240" w:lineRule="auto"/>
        <w:contextualSpacing/>
        <w:rPr>
          <w:b/>
        </w:rPr>
      </w:pPr>
      <w:r>
        <w:rPr>
          <w:b/>
        </w:rPr>
        <w:lastRenderedPageBreak/>
        <w:t>A</w:t>
      </w:r>
      <w:r w:rsidRPr="00BA2FB5">
        <w:rPr>
          <w:b/>
        </w:rPr>
        <w:t>bdul R. Pinjari</w:t>
      </w:r>
    </w:p>
    <w:p w14:paraId="17748B4E" w14:textId="77777777" w:rsidR="00444F57" w:rsidRDefault="00444F57" w:rsidP="00BA3692">
      <w:pPr>
        <w:pStyle w:val="Names"/>
        <w:spacing w:after="0" w:line="240" w:lineRule="auto"/>
        <w:contextualSpacing/>
      </w:pPr>
      <w:r w:rsidRPr="00725C16">
        <w:t>Indian Institute of Science</w:t>
      </w:r>
      <w:r>
        <w:t xml:space="preserve"> </w:t>
      </w:r>
    </w:p>
    <w:p w14:paraId="6D10F7DD" w14:textId="77777777" w:rsidR="00444F57" w:rsidRDefault="00444F57" w:rsidP="00BA3692">
      <w:pPr>
        <w:pStyle w:val="Names"/>
        <w:spacing w:after="0" w:line="240" w:lineRule="auto"/>
        <w:contextualSpacing/>
      </w:pPr>
      <w:r w:rsidRPr="00725C16">
        <w:t>Department of Civil Engineering</w:t>
      </w:r>
    </w:p>
    <w:p w14:paraId="3F01D2E5" w14:textId="77777777" w:rsidR="00444F57" w:rsidRDefault="00444F57" w:rsidP="00BA3692">
      <w:pPr>
        <w:pStyle w:val="Names"/>
        <w:spacing w:after="0" w:line="240" w:lineRule="auto"/>
        <w:contextualSpacing/>
      </w:pPr>
      <w:r>
        <w:t>Centre for infrastructure, Sustainable Transportation and Urban Planning (</w:t>
      </w:r>
      <w:proofErr w:type="spellStart"/>
      <w:r>
        <w:t>CiSTUP</w:t>
      </w:r>
      <w:proofErr w:type="spellEnd"/>
      <w:r>
        <w:t>)</w:t>
      </w:r>
    </w:p>
    <w:p w14:paraId="44046D8A" w14:textId="77777777" w:rsidR="00444F57" w:rsidRDefault="00444F57" w:rsidP="00BA3692">
      <w:pPr>
        <w:pStyle w:val="Names"/>
        <w:spacing w:after="0" w:line="240" w:lineRule="auto"/>
        <w:contextualSpacing/>
      </w:pPr>
      <w:r>
        <w:t>SID Complex, IISc Campus, Bengaluru - 560012, Karnataka, India</w:t>
      </w:r>
    </w:p>
    <w:p w14:paraId="78EB1282" w14:textId="77777777" w:rsidR="00444F57" w:rsidRDefault="00444F57" w:rsidP="00BA3692">
      <w:pPr>
        <w:pStyle w:val="Names"/>
        <w:spacing w:after="0" w:line="240" w:lineRule="auto"/>
        <w:contextualSpacing/>
      </w:pPr>
      <w:r>
        <w:t>Tel: +91-80-2293-2043</w:t>
      </w:r>
    </w:p>
    <w:p w14:paraId="6D31FB16" w14:textId="77777777" w:rsidR="00444F57" w:rsidRDefault="00444F57" w:rsidP="00BA3692">
      <w:pPr>
        <w:pStyle w:val="Names"/>
        <w:spacing w:after="0" w:line="240" w:lineRule="auto"/>
        <w:contextualSpacing/>
      </w:pPr>
      <w:r>
        <w:t xml:space="preserve">Email: </w:t>
      </w:r>
      <w:hyperlink r:id="rId17" w:history="1">
        <w:r w:rsidRPr="006012D0">
          <w:rPr>
            <w:rStyle w:val="Hyperlink"/>
          </w:rPr>
          <w:t>abdul@iisc.ac.in</w:t>
        </w:r>
      </w:hyperlink>
      <w:r>
        <w:t xml:space="preserve">  </w:t>
      </w:r>
    </w:p>
    <w:p w14:paraId="317A708E" w14:textId="77777777" w:rsidR="00444F57" w:rsidRDefault="00444F57" w:rsidP="00BA3692">
      <w:pPr>
        <w:pStyle w:val="Names"/>
        <w:spacing w:after="0" w:line="240" w:lineRule="auto"/>
        <w:contextualSpacing/>
        <w:rPr>
          <w:b/>
        </w:rPr>
      </w:pPr>
    </w:p>
    <w:p w14:paraId="2EA4F424" w14:textId="77777777" w:rsidR="00444F57" w:rsidRPr="00BA2FB5" w:rsidRDefault="00444F57" w:rsidP="00BA3692">
      <w:pPr>
        <w:pStyle w:val="Names"/>
        <w:spacing w:after="0" w:line="240" w:lineRule="auto"/>
        <w:contextualSpacing/>
        <w:rPr>
          <w:b/>
        </w:rPr>
      </w:pPr>
      <w:proofErr w:type="spellStart"/>
      <w:r w:rsidRPr="00BA2FB5">
        <w:rPr>
          <w:b/>
        </w:rPr>
        <w:t>Gitakrishnan</w:t>
      </w:r>
      <w:proofErr w:type="spellEnd"/>
      <w:r w:rsidRPr="00BA2FB5">
        <w:rPr>
          <w:b/>
        </w:rPr>
        <w:t xml:space="preserve"> </w:t>
      </w:r>
      <w:proofErr w:type="spellStart"/>
      <w:r w:rsidRPr="00BA2FB5">
        <w:rPr>
          <w:b/>
        </w:rPr>
        <w:t>Ramadurai</w:t>
      </w:r>
      <w:proofErr w:type="spellEnd"/>
    </w:p>
    <w:p w14:paraId="0936CCD1" w14:textId="77777777" w:rsidR="00444F57" w:rsidRDefault="00444F57" w:rsidP="00BA3692">
      <w:pPr>
        <w:pStyle w:val="Names"/>
        <w:spacing w:after="0" w:line="240" w:lineRule="auto"/>
        <w:contextualSpacing/>
      </w:pPr>
      <w:r w:rsidRPr="001E4C4A">
        <w:t>Indian Institute of Technology Madras</w:t>
      </w:r>
    </w:p>
    <w:p w14:paraId="165C2932" w14:textId="77777777" w:rsidR="00444F57" w:rsidRDefault="00444F57" w:rsidP="00BA3692">
      <w:pPr>
        <w:pStyle w:val="Names"/>
        <w:spacing w:after="0" w:line="240" w:lineRule="auto"/>
        <w:contextualSpacing/>
      </w:pPr>
      <w:r w:rsidRPr="001E4C4A">
        <w:t>Department of Civil Engineering</w:t>
      </w:r>
    </w:p>
    <w:p w14:paraId="68A530A3" w14:textId="77777777" w:rsidR="00444F57" w:rsidRDefault="00444F57" w:rsidP="00BA3692">
      <w:pPr>
        <w:pStyle w:val="Names"/>
        <w:spacing w:after="0" w:line="240" w:lineRule="auto"/>
        <w:contextualSpacing/>
      </w:pPr>
      <w:r w:rsidRPr="00E76762">
        <w:t>BSB 229, IIT Madras, Chennai 600036</w:t>
      </w:r>
      <w:r>
        <w:t>, India</w:t>
      </w:r>
      <w:r w:rsidRPr="00E76762">
        <w:t xml:space="preserve"> </w:t>
      </w:r>
    </w:p>
    <w:p w14:paraId="2447D660" w14:textId="77777777" w:rsidR="00444F57" w:rsidRDefault="00444F57" w:rsidP="00BA3692">
      <w:pPr>
        <w:pStyle w:val="Names"/>
        <w:spacing w:after="0" w:line="240" w:lineRule="auto"/>
        <w:contextualSpacing/>
      </w:pPr>
      <w:r>
        <w:t>Tel: +91-44-2257-</w:t>
      </w:r>
      <w:r w:rsidRPr="00DF754E">
        <w:t>4298</w:t>
      </w:r>
    </w:p>
    <w:p w14:paraId="72F7EFB2" w14:textId="77777777" w:rsidR="00444F57" w:rsidRDefault="00444F57" w:rsidP="00BA3692">
      <w:pPr>
        <w:pStyle w:val="Names"/>
        <w:spacing w:after="0" w:line="240" w:lineRule="auto"/>
        <w:contextualSpacing/>
      </w:pPr>
      <w:r>
        <w:t xml:space="preserve">Email: </w:t>
      </w:r>
      <w:hyperlink r:id="rId18" w:history="1">
        <w:r w:rsidRPr="00B56F22">
          <w:rPr>
            <w:rStyle w:val="Hyperlink"/>
          </w:rPr>
          <w:t>gitakrishnan@iitm.ac.in</w:t>
        </w:r>
      </w:hyperlink>
      <w:r>
        <w:t xml:space="preserve"> </w:t>
      </w:r>
    </w:p>
    <w:p w14:paraId="17799710" w14:textId="77777777" w:rsidR="00444F57" w:rsidRDefault="00444F57" w:rsidP="00BA3692">
      <w:pPr>
        <w:pStyle w:val="Names"/>
        <w:spacing w:after="0" w:line="240" w:lineRule="auto"/>
        <w:contextualSpacing/>
        <w:rPr>
          <w:b/>
        </w:rPr>
      </w:pPr>
    </w:p>
    <w:p w14:paraId="79F8A0AC" w14:textId="77777777" w:rsidR="00444F57" w:rsidRPr="00BC14EF" w:rsidRDefault="00444F57" w:rsidP="00BA3692">
      <w:pPr>
        <w:pStyle w:val="Names"/>
        <w:spacing w:after="0" w:line="240" w:lineRule="auto"/>
        <w:contextualSpacing/>
      </w:pPr>
      <w:r w:rsidRPr="00BA2FB5">
        <w:rPr>
          <w:b/>
        </w:rPr>
        <w:t xml:space="preserve">Karthik </w:t>
      </w:r>
      <w:r>
        <w:rPr>
          <w:b/>
        </w:rPr>
        <w:t xml:space="preserve">K. </w:t>
      </w:r>
      <w:r w:rsidRPr="00BA2FB5">
        <w:rPr>
          <w:b/>
        </w:rPr>
        <w:t>Srinivasan</w:t>
      </w:r>
    </w:p>
    <w:p w14:paraId="5238DA53" w14:textId="77777777" w:rsidR="00444F57" w:rsidRDefault="00444F57" w:rsidP="00BA3692">
      <w:pPr>
        <w:pStyle w:val="Names"/>
        <w:spacing w:after="0" w:line="240" w:lineRule="auto"/>
        <w:contextualSpacing/>
      </w:pPr>
      <w:r w:rsidRPr="001E4C4A">
        <w:t>Indian Institute of Technology Madras</w:t>
      </w:r>
    </w:p>
    <w:p w14:paraId="6A1C7519" w14:textId="77777777" w:rsidR="00444F57" w:rsidRDefault="00444F57" w:rsidP="00BA3692">
      <w:pPr>
        <w:pStyle w:val="Names"/>
        <w:spacing w:after="0" w:line="240" w:lineRule="auto"/>
        <w:contextualSpacing/>
      </w:pPr>
      <w:r w:rsidRPr="001E4C4A">
        <w:t>Department of Civil Engineering</w:t>
      </w:r>
    </w:p>
    <w:p w14:paraId="60C51CD7" w14:textId="77777777" w:rsidR="00444F57" w:rsidRDefault="00444F57" w:rsidP="00BA3692">
      <w:pPr>
        <w:pStyle w:val="Names"/>
        <w:spacing w:after="0" w:line="240" w:lineRule="auto"/>
        <w:contextualSpacing/>
      </w:pPr>
      <w:r>
        <w:t xml:space="preserve">BSB </w:t>
      </w:r>
      <w:r w:rsidRPr="00E76762">
        <w:t>235</w:t>
      </w:r>
      <w:r>
        <w:t xml:space="preserve">, IIT Madras, </w:t>
      </w:r>
      <w:r w:rsidRPr="00E76762">
        <w:t>Chennai 600036</w:t>
      </w:r>
      <w:r>
        <w:t>, India</w:t>
      </w:r>
    </w:p>
    <w:p w14:paraId="04F05F5E" w14:textId="77777777" w:rsidR="00444F57" w:rsidRDefault="00444F57" w:rsidP="00BA3692">
      <w:pPr>
        <w:pStyle w:val="Names"/>
        <w:spacing w:after="0" w:line="240" w:lineRule="auto"/>
        <w:contextualSpacing/>
      </w:pPr>
      <w:r>
        <w:t>Tel: +91-44-2257-</w:t>
      </w:r>
      <w:r w:rsidRPr="00975E9E">
        <w:t>4282</w:t>
      </w:r>
    </w:p>
    <w:p w14:paraId="148744E9" w14:textId="77777777" w:rsidR="00444F57" w:rsidRDefault="00444F57" w:rsidP="00BA3692">
      <w:pPr>
        <w:pStyle w:val="Names"/>
        <w:spacing w:after="0" w:line="240" w:lineRule="auto"/>
        <w:contextualSpacing/>
        <w:rPr>
          <w:b/>
        </w:rPr>
      </w:pPr>
      <w:r>
        <w:t xml:space="preserve">Email: </w:t>
      </w:r>
      <w:hyperlink r:id="rId19" w:history="1">
        <w:r w:rsidRPr="00B56F22">
          <w:rPr>
            <w:rStyle w:val="Hyperlink"/>
          </w:rPr>
          <w:t>karthikks@iitm.ac.in</w:t>
        </w:r>
      </w:hyperlink>
      <w:r>
        <w:t xml:space="preserve"> </w:t>
      </w:r>
    </w:p>
    <w:p w14:paraId="246B551F" w14:textId="77777777" w:rsidR="00444F57" w:rsidRDefault="00444F57" w:rsidP="00444F57">
      <w:pPr>
        <w:pStyle w:val="Names"/>
        <w:spacing w:after="0"/>
        <w:contextualSpacing/>
        <w:rPr>
          <w:b/>
        </w:rPr>
      </w:pPr>
    </w:p>
    <w:p w14:paraId="7BA0B9F4" w14:textId="751B9D8F" w:rsidR="00444F57" w:rsidRDefault="00444F57" w:rsidP="007543B8"/>
    <w:p w14:paraId="4F7A56C6" w14:textId="77777777" w:rsidR="00444F57" w:rsidRDefault="00444F57" w:rsidP="007543B8"/>
    <w:p w14:paraId="235FD215" w14:textId="77777777" w:rsidR="00444F57" w:rsidRPr="001C2360" w:rsidRDefault="00444F57" w:rsidP="007543B8"/>
    <w:p w14:paraId="1803BD15" w14:textId="7928A177" w:rsidR="00D96383" w:rsidRDefault="00D96383" w:rsidP="002C31FB"/>
    <w:p w14:paraId="26C75715" w14:textId="4864760D" w:rsidR="00BF7ED4" w:rsidRDefault="00BF7ED4" w:rsidP="002C31FB"/>
    <w:p w14:paraId="5111BE1E" w14:textId="30B7663B" w:rsidR="00BF7ED4" w:rsidRDefault="00BF7ED4" w:rsidP="002C31FB"/>
    <w:p w14:paraId="06D9BD67" w14:textId="6A43D555" w:rsidR="00BF7ED4" w:rsidRDefault="00BF7ED4" w:rsidP="002C31FB"/>
    <w:p w14:paraId="475C1191" w14:textId="321AD2E6" w:rsidR="00BF7ED4" w:rsidRDefault="00BF7ED4" w:rsidP="002C31FB"/>
    <w:p w14:paraId="4A19989F" w14:textId="5300E826" w:rsidR="00BF7ED4" w:rsidRDefault="00BF7ED4" w:rsidP="002C31FB"/>
    <w:p w14:paraId="64D6D238" w14:textId="204B9513" w:rsidR="00BF7ED4" w:rsidRDefault="00BF7ED4" w:rsidP="002C31FB"/>
    <w:p w14:paraId="0EA2AE81" w14:textId="120D51F9" w:rsidR="00BF7ED4" w:rsidRDefault="00BF7ED4" w:rsidP="002C31FB"/>
    <w:p w14:paraId="240E7F65" w14:textId="5B3A1989" w:rsidR="00BF7ED4" w:rsidRDefault="00BF7ED4" w:rsidP="002C31FB"/>
    <w:p w14:paraId="5EF2806C" w14:textId="18359F68" w:rsidR="00BF7ED4" w:rsidRDefault="00BF7ED4" w:rsidP="002C31FB"/>
    <w:p w14:paraId="5C310909" w14:textId="60347735" w:rsidR="00BF7ED4" w:rsidRDefault="00BF7ED4" w:rsidP="002C31FB"/>
    <w:p w14:paraId="57CE1D65" w14:textId="194A902C" w:rsidR="00BF7ED4" w:rsidRDefault="00BF7ED4" w:rsidP="002C31FB"/>
    <w:p w14:paraId="5C89B1B6" w14:textId="29738922" w:rsidR="00BF7ED4" w:rsidRDefault="00BF7ED4" w:rsidP="002C31FB"/>
    <w:p w14:paraId="5060940C" w14:textId="241C8121" w:rsidR="00BF7ED4" w:rsidRDefault="00BF7ED4" w:rsidP="002C31FB"/>
    <w:p w14:paraId="7492909F" w14:textId="5AF3703E" w:rsidR="00BF7ED4" w:rsidRPr="001C2360" w:rsidRDefault="00285C12" w:rsidP="002C31FB">
      <w:r>
        <w:t>February 2020</w:t>
      </w:r>
    </w:p>
    <w:p w14:paraId="1DC3D72D" w14:textId="77777777" w:rsidR="00242191" w:rsidRDefault="00242191" w:rsidP="002C31FB">
      <w:pPr>
        <w:sectPr w:rsidR="00242191" w:rsidSect="002501D1">
          <w:footerReference w:type="default" r:id="rId20"/>
          <w:pgSz w:w="12240" w:h="15840"/>
          <w:pgMar w:top="1440" w:right="1440" w:bottom="1440" w:left="1440" w:header="720" w:footer="720" w:gutter="0"/>
          <w:cols w:space="720"/>
          <w:docGrid w:linePitch="360"/>
        </w:sectPr>
      </w:pPr>
    </w:p>
    <w:p w14:paraId="6A7877DE" w14:textId="77777777" w:rsidR="00001048" w:rsidRPr="00C67550" w:rsidRDefault="000F72EC" w:rsidP="00251434">
      <w:pPr>
        <w:pStyle w:val="Heading1"/>
        <w:numPr>
          <w:ilvl w:val="0"/>
          <w:numId w:val="0"/>
        </w:numPr>
        <w:spacing w:before="0"/>
        <w:rPr>
          <w:caps/>
          <w:smallCaps w:val="0"/>
          <w:sz w:val="24"/>
        </w:rPr>
      </w:pPr>
      <w:r w:rsidRPr="00C67550">
        <w:rPr>
          <w:caps/>
          <w:smallCaps w:val="0"/>
          <w:sz w:val="24"/>
        </w:rPr>
        <w:lastRenderedPageBreak/>
        <w:t>Abstract</w:t>
      </w:r>
    </w:p>
    <w:p w14:paraId="3CB24F43" w14:textId="3590A6FD" w:rsidR="0091622D" w:rsidRDefault="000D10BF" w:rsidP="00BA3692">
      <w:r>
        <w:t xml:space="preserve">The virtual </w:t>
      </w:r>
      <w:r w:rsidR="00BC617E">
        <w:t xml:space="preserve">(online) </w:t>
      </w:r>
      <w:r>
        <w:t xml:space="preserve">and physical </w:t>
      </w:r>
      <w:r w:rsidR="00BC617E">
        <w:t xml:space="preserve">(in-person) </w:t>
      </w:r>
      <w:r>
        <w:t>worlds are increasingly inter-connected</w:t>
      </w:r>
      <w:r w:rsidR="000C788B">
        <w:t xml:space="preserve">. </w:t>
      </w:r>
      <w:r w:rsidR="000F1A51">
        <w:t xml:space="preserve">Although there is considerable research into the effects of information and communication technologies (ICT) on activity-travel choices, there is little understanding of the inter-relationships between </w:t>
      </w:r>
      <w:r w:rsidR="00217D4C">
        <w:t xml:space="preserve">online </w:t>
      </w:r>
      <w:r w:rsidR="000F1A51">
        <w:t xml:space="preserve">and </w:t>
      </w:r>
      <w:r w:rsidR="00217D4C">
        <w:t xml:space="preserve">in-person </w:t>
      </w:r>
      <w:r w:rsidR="000F1A51">
        <w:t xml:space="preserve">activity participation and the extent to which the two worlds complement one another or substitute for one another. Shopping is one of the activity realms in which the virtual and physical spaces are increasingly interacting. This paper aims to unravel the relationships between </w:t>
      </w:r>
      <w:r w:rsidR="00217D4C">
        <w:t xml:space="preserve">online </w:t>
      </w:r>
      <w:r w:rsidR="000F1A51">
        <w:t xml:space="preserve">and </w:t>
      </w:r>
      <w:r w:rsidR="00217D4C">
        <w:t xml:space="preserve">in-person </w:t>
      </w:r>
      <w:r w:rsidR="000F1A51">
        <w:t xml:space="preserve">activity engagement in the shopping domain, while explicitly distinguishing between shopping for non-grocery goods, grocery products, and ready-to-eat meals. Data from the 2017 Puget Sound household travel survey is used to estimate a multivariate ordered </w:t>
      </w:r>
      <w:proofErr w:type="spellStart"/>
      <w:r w:rsidR="000F1A51">
        <w:t>probit</w:t>
      </w:r>
      <w:proofErr w:type="spellEnd"/>
      <w:r w:rsidR="000F1A51">
        <w:t xml:space="preserve"> model of the number of days in a week that a sample of households engages in </w:t>
      </w:r>
      <w:r w:rsidR="00217D4C">
        <w:t xml:space="preserve">in-person </w:t>
      </w:r>
      <w:r w:rsidR="000F1A51">
        <w:t xml:space="preserve">activity engagement and </w:t>
      </w:r>
      <w:r w:rsidR="00217D4C">
        <w:t xml:space="preserve">online </w:t>
      </w:r>
      <w:r w:rsidR="000F1A51">
        <w:t xml:space="preserve">activity engagement for each of these shopping activity types – leading to a model of six endogenous outcomes. Model results show that there are intricate complementary and substitution effects between </w:t>
      </w:r>
      <w:r w:rsidR="00217D4C">
        <w:t xml:space="preserve">in-person </w:t>
      </w:r>
      <w:r w:rsidR="000F1A51">
        <w:t xml:space="preserve">and </w:t>
      </w:r>
      <w:r w:rsidR="00217D4C">
        <w:t xml:space="preserve">online </w:t>
      </w:r>
      <w:r w:rsidR="000F1A51">
        <w:t xml:space="preserve">shopping activities, </w:t>
      </w:r>
      <w:r w:rsidR="0091622D">
        <w:t xml:space="preserve">that these activities are considered as a single packaged bundle, </w:t>
      </w:r>
      <w:r w:rsidR="000F1A51">
        <w:t xml:space="preserve">and </w:t>
      </w:r>
      <w:r w:rsidR="0091622D">
        <w:t xml:space="preserve">that </w:t>
      </w:r>
      <w:r w:rsidR="000F1A51">
        <w:t>the frequencies of these activities are significantly affected by income, built environment attributes, and household structure.</w:t>
      </w:r>
      <w:r w:rsidR="00A629EF">
        <w:t xml:space="preserve"> </w:t>
      </w:r>
      <w:r w:rsidR="000F1A51">
        <w:t xml:space="preserve">The findings suggest that travel forecasting models should incorporate model components that capture the interplay between </w:t>
      </w:r>
      <w:r w:rsidR="00EC5BA7">
        <w:t>in-person</w:t>
      </w:r>
      <w:r w:rsidR="000F1A51">
        <w:t xml:space="preserve"> and </w:t>
      </w:r>
      <w:r w:rsidR="00EC5BA7">
        <w:t xml:space="preserve">online </w:t>
      </w:r>
      <w:r w:rsidR="000F1A51">
        <w:t>shopping engagement</w:t>
      </w:r>
      <w:r w:rsidR="000C788B">
        <w:t xml:space="preserve"> and explicitly</w:t>
      </w:r>
      <w:r w:rsidR="000F1A51">
        <w:t xml:space="preserve"> distinguish between non-grocery and grocery shopping activities</w:t>
      </w:r>
      <w:r w:rsidR="000C788B">
        <w:t xml:space="preserve">. Policies that help bridge the digital divide so that households of all socio-economic strata can access goods and services in the virtual world would help improve quality of life for all. </w:t>
      </w:r>
      <w:r w:rsidR="0091622D">
        <w:t xml:space="preserve">Finally, the paper highlights the need to bring passenger and freight demand modeling, at least within urban contexts, into a single integrated structure. </w:t>
      </w:r>
    </w:p>
    <w:p w14:paraId="268DED85" w14:textId="77777777" w:rsidR="00914693" w:rsidRDefault="00914693" w:rsidP="002C31FB"/>
    <w:p w14:paraId="2DDDDDA3" w14:textId="77777777" w:rsidR="00D96383" w:rsidRDefault="00D96383" w:rsidP="002C31FB"/>
    <w:p w14:paraId="338C7348" w14:textId="68777BB6" w:rsidR="00914693" w:rsidRPr="0090406B" w:rsidRDefault="00914693" w:rsidP="002C31FB">
      <w:pPr>
        <w:rPr>
          <w:iCs/>
        </w:rPr>
      </w:pPr>
      <w:r w:rsidRPr="00755941">
        <w:rPr>
          <w:i/>
        </w:rPr>
        <w:t>Keywords:</w:t>
      </w:r>
      <w:r w:rsidR="0090406B">
        <w:rPr>
          <w:i/>
        </w:rPr>
        <w:t xml:space="preserve"> </w:t>
      </w:r>
      <w:r w:rsidR="0090406B">
        <w:rPr>
          <w:iCs/>
        </w:rPr>
        <w:t xml:space="preserve">physical and virtual activity engagement, shopping activities, eat-meal activities, multivariate ordered </w:t>
      </w:r>
      <w:proofErr w:type="spellStart"/>
      <w:r w:rsidR="0090406B">
        <w:rPr>
          <w:iCs/>
        </w:rPr>
        <w:t>probit</w:t>
      </w:r>
      <w:proofErr w:type="spellEnd"/>
      <w:r w:rsidR="0090406B">
        <w:rPr>
          <w:iCs/>
        </w:rPr>
        <w:t xml:space="preserve"> model, ICT effects on travel behavior, substitution and complementarity effects </w:t>
      </w:r>
    </w:p>
    <w:p w14:paraId="2E2F6C6C" w14:textId="77777777" w:rsidR="00DA4DD0" w:rsidRDefault="00DA4DD0" w:rsidP="002C31FB"/>
    <w:p w14:paraId="6C5F27D9" w14:textId="77777777" w:rsidR="00DA4DD0" w:rsidRDefault="00DA4DD0" w:rsidP="002C31FB"/>
    <w:p w14:paraId="1988AE04" w14:textId="77777777" w:rsidR="00DA4DD0" w:rsidRDefault="00DA4DD0" w:rsidP="002C31FB"/>
    <w:p w14:paraId="2B887E6F" w14:textId="77777777" w:rsidR="00DA4DD0" w:rsidRDefault="00DA4DD0" w:rsidP="002C31FB">
      <w:pPr>
        <w:sectPr w:rsidR="00DA4DD0" w:rsidSect="00251434">
          <w:headerReference w:type="default" r:id="rId21"/>
          <w:footerReference w:type="default" r:id="rId22"/>
          <w:pgSz w:w="12240" w:h="15840"/>
          <w:pgMar w:top="1440" w:right="1440" w:bottom="1440" w:left="1440" w:header="720" w:footer="720" w:gutter="0"/>
          <w:cols w:space="720"/>
          <w:docGrid w:linePitch="360"/>
        </w:sectPr>
      </w:pPr>
    </w:p>
    <w:p w14:paraId="2E673DE5" w14:textId="77777777" w:rsidR="00914693" w:rsidRPr="00251434" w:rsidRDefault="000F72EC" w:rsidP="00251434">
      <w:pPr>
        <w:pStyle w:val="Heading1"/>
        <w:spacing w:before="0"/>
        <w:rPr>
          <w:caps/>
          <w:smallCaps w:val="0"/>
          <w:sz w:val="24"/>
        </w:rPr>
      </w:pPr>
      <w:r w:rsidRPr="00251434">
        <w:rPr>
          <w:caps/>
          <w:smallCaps w:val="0"/>
          <w:sz w:val="24"/>
        </w:rPr>
        <w:lastRenderedPageBreak/>
        <w:t>Introduction</w:t>
      </w:r>
    </w:p>
    <w:p w14:paraId="49BE3E4D" w14:textId="748D9241" w:rsidR="00D54B41" w:rsidRDefault="00BC7802" w:rsidP="002C31FB">
      <w:r>
        <w:t xml:space="preserve">The widespread adoption of information and communication technologies (ICT) has greatly enabled individuals to harness the power of the internet-of-things (IoT) </w:t>
      </w:r>
      <w:r w:rsidR="00D54E08">
        <w:t>to conduct daily activities,</w:t>
      </w:r>
      <w:r w:rsidR="00250712">
        <w:t xml:space="preserve"> </w:t>
      </w:r>
      <w:r w:rsidR="00D54E08">
        <w:t xml:space="preserve">access goods and amenities anywhere anytime, and fully exploit the convenience afforded by the sharing economy and delivery-based services. </w:t>
      </w:r>
      <w:r w:rsidR="00250712">
        <w:t>As the technological landscape and the types of services enabled by connectivity continue to evolve, activities that previously required</w:t>
      </w:r>
      <w:r w:rsidR="00392565">
        <w:t>,</w:t>
      </w:r>
      <w:r w:rsidR="00250712">
        <w:t xml:space="preserve"> or were mostly undertaken through</w:t>
      </w:r>
      <w:r w:rsidR="00392565">
        <w:t>,</w:t>
      </w:r>
      <w:r w:rsidR="00250712">
        <w:t xml:space="preserve"> in-person (face-to-face) physical travel and interaction</w:t>
      </w:r>
      <w:r w:rsidR="00392565">
        <w:t xml:space="preserve"> are increasingly being accomplished online through virtual interactions of various types.</w:t>
      </w:r>
      <w:r w:rsidR="00713781">
        <w:t xml:space="preserve"> </w:t>
      </w:r>
      <w:r w:rsidR="00392565">
        <w:t xml:space="preserve">A combination of the internet (media), smartphones and tablets (tools), providers (services), and </w:t>
      </w:r>
      <w:r w:rsidR="0003785C">
        <w:t>Long Term Evolution (</w:t>
      </w:r>
      <w:r w:rsidR="00392565">
        <w:t>LTE</w:t>
      </w:r>
      <w:r w:rsidR="0003785C">
        <w:t>) wireless communication standards</w:t>
      </w:r>
      <w:r w:rsidR="00392565">
        <w:t xml:space="preserve"> (the infrastructure) is providing users with ubiquitous virtual access to work, shop, play, study, and communicate virtually. Although the effects of ICT on people’s activity-travel behavior has been studied extensively in the past (e.g., see </w:t>
      </w:r>
      <w:r w:rsidR="005E39CD">
        <w:t>reviews by</w:t>
      </w:r>
      <w:r w:rsidR="00243420">
        <w:t xml:space="preserve"> </w:t>
      </w:r>
      <w:proofErr w:type="spellStart"/>
      <w:r w:rsidR="00243420">
        <w:t>Golob</w:t>
      </w:r>
      <w:proofErr w:type="spellEnd"/>
      <w:r w:rsidR="00243420">
        <w:t xml:space="preserve"> and Regan, 2001;</w:t>
      </w:r>
      <w:r w:rsidR="005E39CD">
        <w:t xml:space="preserve"> </w:t>
      </w:r>
      <w:r w:rsidR="00BD23C5">
        <w:t xml:space="preserve">Kenyon, 2010; </w:t>
      </w:r>
      <w:r w:rsidR="00392565">
        <w:t>Andreev et al., 2010</w:t>
      </w:r>
      <w:r w:rsidR="00243420">
        <w:t>;</w:t>
      </w:r>
      <w:r w:rsidR="00392565">
        <w:t xml:space="preserve"> </w:t>
      </w:r>
      <w:proofErr w:type="spellStart"/>
      <w:r w:rsidR="00E33E6F" w:rsidRPr="008102B8">
        <w:rPr>
          <w:shd w:val="clear" w:color="auto" w:fill="FFFFFF"/>
        </w:rPr>
        <w:t>Aguiléra</w:t>
      </w:r>
      <w:proofErr w:type="spellEnd"/>
      <w:r w:rsidR="00392565">
        <w:t xml:space="preserve"> et al., 2012</w:t>
      </w:r>
      <w:r w:rsidR="00243420">
        <w:t>;</w:t>
      </w:r>
      <w:r w:rsidR="00340CFB">
        <w:t xml:space="preserve"> and </w:t>
      </w:r>
      <w:proofErr w:type="spellStart"/>
      <w:r w:rsidR="0080186F" w:rsidRPr="00E55D8B">
        <w:rPr>
          <w:color w:val="222222"/>
          <w:shd w:val="clear" w:color="auto" w:fill="FFFFFF"/>
        </w:rPr>
        <w:t>Gösslin</w:t>
      </w:r>
      <w:r w:rsidR="0080186F">
        <w:rPr>
          <w:color w:val="222222"/>
          <w:shd w:val="clear" w:color="auto" w:fill="FFFFFF"/>
        </w:rPr>
        <w:t>g</w:t>
      </w:r>
      <w:proofErr w:type="spellEnd"/>
      <w:r w:rsidR="0080186F">
        <w:t>, 2018</w:t>
      </w:r>
      <w:r w:rsidR="005E39CD">
        <w:t>), this topic area warrants constant attention in light of the rapid evolution of technology and online services in the marketplace and the significant growth in ownership and use of smartphones. The share of the population owning a smartphone in the U</w:t>
      </w:r>
      <w:r w:rsidR="00C20013">
        <w:t>.</w:t>
      </w:r>
      <w:r w:rsidR="005E39CD">
        <w:t>S</w:t>
      </w:r>
      <w:r w:rsidR="00C20013">
        <w:t>.</w:t>
      </w:r>
      <w:r w:rsidR="005E39CD">
        <w:t xml:space="preserve"> has grown from just about 20 percent in 2010 to about 70 percent in 2017. In 2016 alone, 1.5 billion smartphones were sold worldwide (Statista, 2018). </w:t>
      </w:r>
    </w:p>
    <w:p w14:paraId="6E9FAA2F" w14:textId="11861217" w:rsidR="00F20825" w:rsidRDefault="00966945" w:rsidP="00B129A2">
      <w:pPr>
        <w:ind w:firstLine="708"/>
      </w:pPr>
      <w:r>
        <w:tab/>
        <w:t>This paper aims to study the interplay between physical (in-person) activity engagement and virtual (online) activity engagemen</w:t>
      </w:r>
      <w:r w:rsidR="007B5B4D">
        <w:t xml:space="preserve">t in the </w:t>
      </w:r>
      <w:r w:rsidR="007B5B4D">
        <w:rPr>
          <w:i/>
          <w:iCs/>
        </w:rPr>
        <w:t xml:space="preserve">shopping </w:t>
      </w:r>
      <w:r w:rsidR="007B5B4D">
        <w:t xml:space="preserve">and </w:t>
      </w:r>
      <w:r w:rsidR="007B5B4D">
        <w:rPr>
          <w:i/>
          <w:iCs/>
        </w:rPr>
        <w:t xml:space="preserve">eat-meal </w:t>
      </w:r>
      <w:r w:rsidR="007B5B4D">
        <w:t>activity space</w:t>
      </w:r>
      <w:r w:rsidR="00BC617E">
        <w:t xml:space="preserve"> (in this paper, the labels “virtual” and “online”, as well as the labels “physical” and “in-person”</w:t>
      </w:r>
      <w:r w:rsidR="00F20825">
        <w:t>, are used</w:t>
      </w:r>
      <w:r w:rsidR="00BC617E">
        <w:t xml:space="preserve"> interchangeably)</w:t>
      </w:r>
      <w:r w:rsidR="004D4722">
        <w:t xml:space="preserve">. </w:t>
      </w:r>
      <w:r w:rsidR="009F416F">
        <w:t>Indeed</w:t>
      </w:r>
      <w:r w:rsidR="004D4722">
        <w:t xml:space="preserve">, a number of previous studies have examined the relationship between in-person shopping and online shopping for goods and services (Cao et al., 2012; Zhou and Wang, 2014; Lee et al., 2017; </w:t>
      </w:r>
      <w:proofErr w:type="spellStart"/>
      <w:r w:rsidR="004D4722">
        <w:t>Zhai</w:t>
      </w:r>
      <w:proofErr w:type="spellEnd"/>
      <w:r w:rsidR="004D4722">
        <w:t xml:space="preserve"> et al., 2017).</w:t>
      </w:r>
      <w:r w:rsidR="004D2B97">
        <w:rPr>
          <w:rStyle w:val="FootnoteReference"/>
        </w:rPr>
        <w:footnoteReference w:id="1"/>
      </w:r>
      <w:r w:rsidR="004D4722">
        <w:t xml:space="preserve"> Many of these studies have largely treated shopping as a single activity category without drawing a distinction between different types of shopping activities (e.g., grocery shopping versus shopping for non-grocery items); and because</w:t>
      </w:r>
      <w:r w:rsidR="0003785C">
        <w:t xml:space="preserve"> the</w:t>
      </w:r>
      <w:r w:rsidR="004D4722">
        <w:t xml:space="preserve"> </w:t>
      </w:r>
      <w:r w:rsidR="0003785C">
        <w:t xml:space="preserve">actual use </w:t>
      </w:r>
      <w:r w:rsidR="004D4722">
        <w:t xml:space="preserve">of online grocery shopping </w:t>
      </w:r>
      <w:r w:rsidR="0003785C">
        <w:t>has not been widespread until relatively recently</w:t>
      </w:r>
      <w:r w:rsidR="004D4722">
        <w:t>, past research has largely focused on shopping for goods that are not purchased very frequently</w:t>
      </w:r>
      <w:r w:rsidR="00F20825">
        <w:t xml:space="preserve"> – </w:t>
      </w:r>
      <w:r w:rsidR="004D4722">
        <w:t>such</w:t>
      </w:r>
      <w:r w:rsidR="00F20825">
        <w:t xml:space="preserve"> </w:t>
      </w:r>
      <w:r w:rsidR="004D4722">
        <w:t>as electronics, clothing, specialty items, and books</w:t>
      </w:r>
      <w:r w:rsidR="00475D03">
        <w:t xml:space="preserve"> (see Xi et al., 2018</w:t>
      </w:r>
      <w:r w:rsidR="008F0F50">
        <w:t>;</w:t>
      </w:r>
      <w:r w:rsidR="00475D03">
        <w:t xml:space="preserve"> Shi et al., 2019; Zhen et al., 2016)</w:t>
      </w:r>
      <w:r w:rsidR="00067146">
        <w:t>.</w:t>
      </w:r>
    </w:p>
    <w:p w14:paraId="1D42A271" w14:textId="4D6C9088" w:rsidR="00B129A2" w:rsidRPr="008D3590" w:rsidRDefault="00932E5B" w:rsidP="00B129A2">
      <w:pPr>
        <w:ind w:firstLine="708"/>
      </w:pPr>
      <w:r>
        <w:t>Recently,</w:t>
      </w:r>
      <w:r w:rsidR="00BC617E">
        <w:t xml:space="preserve"> </w:t>
      </w:r>
      <w:r>
        <w:t xml:space="preserve">a few studies have begun to explore the relationship between in-store and online shopping for groceries (e.g., </w:t>
      </w:r>
      <w:proofErr w:type="spellStart"/>
      <w:r>
        <w:t>Suel</w:t>
      </w:r>
      <w:proofErr w:type="spellEnd"/>
      <w:r>
        <w:t xml:space="preserve"> et al., 2015; </w:t>
      </w:r>
      <w:proofErr w:type="spellStart"/>
      <w:r>
        <w:t>Suel</w:t>
      </w:r>
      <w:proofErr w:type="spellEnd"/>
      <w:r>
        <w:t xml:space="preserve"> et al., 2018)</w:t>
      </w:r>
      <w:r w:rsidR="00475D03">
        <w:t>.</w:t>
      </w:r>
      <w:r>
        <w:t xml:space="preserve"> </w:t>
      </w:r>
      <w:r w:rsidR="00541318">
        <w:t xml:space="preserve">Some others examine the relationship </w:t>
      </w:r>
      <w:r>
        <w:t>among multiple shopping dimensions and/or the interaction</w:t>
      </w:r>
      <w:r w:rsidR="000A48E4">
        <w:t>s</w:t>
      </w:r>
      <w:r>
        <w:t xml:space="preserve"> between multiple types of </w:t>
      </w:r>
      <w:r w:rsidR="009E19A9">
        <w:t xml:space="preserve">aggregate </w:t>
      </w:r>
      <w:r>
        <w:t>online and in-person activit</w:t>
      </w:r>
      <w:r w:rsidR="009E19A9">
        <w:t>y purposes</w:t>
      </w:r>
      <w:r w:rsidR="005A0C44">
        <w:t xml:space="preserve"> in which </w:t>
      </w:r>
      <w:r w:rsidR="00541318">
        <w:t xml:space="preserve">shopping is considered as a single category (either including both grocery and non-grocery purposes as one category or focusing only on </w:t>
      </w:r>
      <w:r w:rsidR="005527DE">
        <w:t xml:space="preserve">one of these purposes; </w:t>
      </w:r>
      <w:r w:rsidR="009E19A9">
        <w:t xml:space="preserve">see, for example, </w:t>
      </w:r>
      <w:r>
        <w:t>Ding and Lu, 201</w:t>
      </w:r>
      <w:r w:rsidR="00A8778D">
        <w:t>7</w:t>
      </w:r>
      <w:r>
        <w:t xml:space="preserve">; </w:t>
      </w:r>
      <w:r w:rsidR="00043F95">
        <w:t>Pawlak et al., 2015</w:t>
      </w:r>
      <w:r w:rsidR="00B870BD">
        <w:t xml:space="preserve">; </w:t>
      </w:r>
      <w:r w:rsidR="00B129A2" w:rsidRPr="008D3590">
        <w:t>Lila and Anjaneyulu, 2016</w:t>
      </w:r>
      <w:r w:rsidR="00B129A2">
        <w:t xml:space="preserve">; </w:t>
      </w:r>
      <w:r>
        <w:t>Lavieri et al., 2018).</w:t>
      </w:r>
      <w:r w:rsidR="007B5B4D">
        <w:t xml:space="preserve"> </w:t>
      </w:r>
      <w:bookmarkStart w:id="1" w:name="_Hlk505149221"/>
      <w:r w:rsidR="00B129A2">
        <w:t>Perhaps</w:t>
      </w:r>
      <w:r w:rsidR="0020660F">
        <w:t xml:space="preserve">, </w:t>
      </w:r>
      <w:r w:rsidR="00B129A2">
        <w:t xml:space="preserve">more importantly, as explained by Lavieri et al. (2018), most earlier studies assume </w:t>
      </w:r>
      <w:r w:rsidR="00BC617E">
        <w:t>online</w:t>
      </w:r>
      <w:r w:rsidR="00B129A2">
        <w:t xml:space="preserve"> activity participation as being exo</w:t>
      </w:r>
      <w:r w:rsidR="00BC617E">
        <w:t>genous to in-person</w:t>
      </w:r>
      <w:r w:rsidR="00B129A2">
        <w:t xml:space="preserve"> activity participatio</w:t>
      </w:r>
      <w:r w:rsidR="00BC617E">
        <w:t>n (that is, they examine online</w:t>
      </w:r>
      <w:r w:rsidR="00B129A2">
        <w:t xml:space="preserve"> activity participation first, </w:t>
      </w:r>
      <w:r w:rsidR="00BC617E">
        <w:t xml:space="preserve">and then use online activity behavior as a determinant of in-person </w:t>
      </w:r>
      <w:r w:rsidR="00B129A2">
        <w:t>participation in a strictly sequential fashion</w:t>
      </w:r>
      <w:r w:rsidR="00D40015">
        <w:t>; see, for example, Shi et al., 2019</w:t>
      </w:r>
      <w:r w:rsidR="008F0F50">
        <w:t>;</w:t>
      </w:r>
      <w:r w:rsidR="00475D03">
        <w:t xml:space="preserve"> Xi et al., 2018</w:t>
      </w:r>
      <w:r w:rsidR="008F0F50">
        <w:t>;</w:t>
      </w:r>
      <w:r w:rsidR="00475D03">
        <w:t xml:space="preserve"> and Lee et al., 2017</w:t>
      </w:r>
      <w:r w:rsidR="00B129A2">
        <w:t xml:space="preserve">). </w:t>
      </w:r>
      <w:r w:rsidR="005527DE">
        <w:t xml:space="preserve">A recent literature review </w:t>
      </w:r>
      <w:r w:rsidR="00CD7F80">
        <w:t>(</w:t>
      </w:r>
      <w:proofErr w:type="spellStart"/>
      <w:r w:rsidR="00CD7F80">
        <w:t>Yousefi</w:t>
      </w:r>
      <w:proofErr w:type="spellEnd"/>
      <w:r w:rsidR="00CD7F80">
        <w:t xml:space="preserve"> and </w:t>
      </w:r>
      <w:proofErr w:type="spellStart"/>
      <w:r w:rsidR="00CD7F80">
        <w:t>Dadasahpoor</w:t>
      </w:r>
      <w:proofErr w:type="spellEnd"/>
      <w:r w:rsidR="00CD7F80">
        <w:t xml:space="preserve">, 2020) </w:t>
      </w:r>
      <w:r w:rsidR="005527DE">
        <w:t>of the effects</w:t>
      </w:r>
      <w:r w:rsidR="0021509B">
        <w:t xml:space="preserve"> of ICT use</w:t>
      </w:r>
      <w:r w:rsidR="005527DE">
        <w:t xml:space="preserve"> on urban spatial structure </w:t>
      </w:r>
      <w:r w:rsidR="00CD7F80">
        <w:t xml:space="preserve">that reviewed </w:t>
      </w:r>
      <w:r w:rsidR="00CD7F80">
        <w:lastRenderedPageBreak/>
        <w:t xml:space="preserve">130 articles published between 2000 and 2018 also makes clear the implicit </w:t>
      </w:r>
      <w:r w:rsidR="005527DE">
        <w:t xml:space="preserve">assumption </w:t>
      </w:r>
      <w:r w:rsidR="00CD7F80">
        <w:t xml:space="preserve">in most earlier studies that online activity is an exogenous precursor to in-person activity participation. </w:t>
      </w:r>
      <w:r w:rsidR="00B129A2">
        <w:t>Ho</w:t>
      </w:r>
      <w:r w:rsidR="00BC617E">
        <w:t xml:space="preserve">wever, it is </w:t>
      </w:r>
      <w:r w:rsidR="00F20825">
        <w:t>possible</w:t>
      </w:r>
      <w:r w:rsidR="00BC617E">
        <w:t xml:space="preserve"> that online and in-person</w:t>
      </w:r>
      <w:r w:rsidR="00B129A2">
        <w:t xml:space="preserve"> activity participation choices are consi</w:t>
      </w:r>
      <w:r w:rsidR="004D2B97">
        <w:t>dered as a multi-dimensional whole</w:t>
      </w:r>
      <w:r w:rsidR="00B129A2">
        <w:t xml:space="preserve"> (that is, </w:t>
      </w:r>
      <w:r w:rsidR="004D2B97">
        <w:t>as a joint package</w:t>
      </w:r>
      <w:r w:rsidR="00B129A2">
        <w:t>), with unobserved individual factors (</w:t>
      </w:r>
      <w:r w:rsidR="00F20825">
        <w:t xml:space="preserve">e.g., </w:t>
      </w:r>
      <w:r w:rsidR="00B129A2">
        <w:t>tech-savvine</w:t>
      </w:r>
      <w:r w:rsidR="00BC617E">
        <w:t xml:space="preserve">ss and green lifestyle) jointly </w:t>
      </w:r>
      <w:r w:rsidR="00B129A2">
        <w:t xml:space="preserve">impacting </w:t>
      </w:r>
      <w:r w:rsidR="00BC617E">
        <w:t xml:space="preserve">online as well as in-person </w:t>
      </w:r>
      <w:r w:rsidR="00B129A2">
        <w:t>parti</w:t>
      </w:r>
      <w:r w:rsidR="00BC617E">
        <w:t xml:space="preserve">cipation </w:t>
      </w:r>
      <w:r w:rsidR="00F20825">
        <w:t xml:space="preserve">in </w:t>
      </w:r>
      <w:r w:rsidR="00BC617E">
        <w:t>multiple</w:t>
      </w:r>
      <w:r w:rsidR="00B129A2">
        <w:t xml:space="preserve"> activity types. </w:t>
      </w:r>
      <w:bookmarkEnd w:id="1"/>
    </w:p>
    <w:p w14:paraId="1D988390" w14:textId="44864C6C" w:rsidR="007B5B4D" w:rsidRDefault="00F20825" w:rsidP="007B5B4D">
      <w:pPr>
        <w:ind w:firstLine="720"/>
      </w:pPr>
      <w:r>
        <w:t>This</w:t>
      </w:r>
      <w:r w:rsidR="00B129A2">
        <w:t xml:space="preserve"> study aims to take a deep dive into the</w:t>
      </w:r>
      <w:r>
        <w:t xml:space="preserve"> pursuit of</w:t>
      </w:r>
      <w:r w:rsidR="00B129A2">
        <w:t xml:space="preserve"> s</w:t>
      </w:r>
      <w:r w:rsidR="00BC617E">
        <w:t xml:space="preserve">hopping and eat-meal </w:t>
      </w:r>
      <w:r>
        <w:t>activities</w:t>
      </w:r>
      <w:r w:rsidR="00BC617E">
        <w:t xml:space="preserve">, </w:t>
      </w:r>
      <w:r w:rsidR="00B129A2">
        <w:t xml:space="preserve">in both the virtual and physical realms simultaneously. </w:t>
      </w:r>
      <w:r w:rsidR="007B5B4D">
        <w:t>In particular, the paper strives to fill a critical gap</w:t>
      </w:r>
      <w:r w:rsidR="00932E5B">
        <w:t xml:space="preserve"> in understanding the interactions between </w:t>
      </w:r>
      <w:r w:rsidR="00C15EE2">
        <w:t xml:space="preserve">in-person </w:t>
      </w:r>
      <w:r w:rsidR="00932E5B">
        <w:t xml:space="preserve">and </w:t>
      </w:r>
      <w:r w:rsidR="00C15EE2">
        <w:t xml:space="preserve">online </w:t>
      </w:r>
      <w:r w:rsidR="00932E5B">
        <w:t xml:space="preserve">shopping engagement </w:t>
      </w:r>
      <w:r>
        <w:t xml:space="preserve">while </w:t>
      </w:r>
      <w:r w:rsidR="00932E5B">
        <w:t>explicitly distinguishing between different types of shoppin</w:t>
      </w:r>
      <w:r w:rsidR="004D2B97">
        <w:t>g</w:t>
      </w:r>
      <w:r w:rsidR="00932E5B">
        <w:t xml:space="preserve"> activities. Traditional in-person shopping </w:t>
      </w:r>
      <w:r w:rsidR="00B434BC">
        <w:t xml:space="preserve">(for all types of goods) </w:t>
      </w:r>
      <w:r w:rsidR="00932E5B">
        <w:t xml:space="preserve">at brick-and-mortar stores continues to be possible today (although it may be argued that the options are </w:t>
      </w:r>
      <w:r w:rsidR="00F93645">
        <w:t xml:space="preserve">decreasing as brick-and-mortar stores fold and go out of business). </w:t>
      </w:r>
      <w:r w:rsidR="00B434BC">
        <w:t>In the virtual space, a variety of options have emerged. People may purchase goods and services through online shopping sites (such as Amazon</w:t>
      </w:r>
      <w:r w:rsidR="00E1120C">
        <w:t xml:space="preserve"> or virtual portals of retailers</w:t>
      </w:r>
      <w:r w:rsidR="00B434BC">
        <w:t xml:space="preserve">) and have them delivered directly to the home or to the nearest brick-and-mortar store location (where people can pick-up the goods when notified to do so). </w:t>
      </w:r>
      <w:r w:rsidR="00421191">
        <w:t xml:space="preserve">More recently, grocery stores have introduced and expanded their </w:t>
      </w:r>
      <w:r w:rsidR="00421191" w:rsidRPr="00421191">
        <w:rPr>
          <w:i/>
          <w:iCs/>
        </w:rPr>
        <w:t>online</w:t>
      </w:r>
      <w:r w:rsidR="00421191">
        <w:t xml:space="preserve"> grocery shopping ecosystems, providing people the ability to purchase groceries online and either pick them up at the store or have them delivered within short time-windows to the home. </w:t>
      </w:r>
      <w:r w:rsidR="00E1120C">
        <w:t xml:space="preserve">The ability to purchase perishables online and pick them up or have them delivered just-in-time has greatly expanded the online grocery shopping business.  </w:t>
      </w:r>
    </w:p>
    <w:p w14:paraId="66F45713" w14:textId="5F70C050" w:rsidR="00C02A9C" w:rsidRDefault="00E1120C" w:rsidP="007B5B4D">
      <w:pPr>
        <w:ind w:firstLine="720"/>
      </w:pPr>
      <w:r>
        <w:t>In addition to shopping for grocery and non-grocery items in these different ways, another major development is in the purchase and delivery of fully</w:t>
      </w:r>
      <w:r w:rsidR="008E636E">
        <w:t xml:space="preserve"> </w:t>
      </w:r>
      <w:r>
        <w:t xml:space="preserve">cooked meals. While this was previously largely limited to the pizza delivery business, the options have now greatly expanded with the emergence of crowd-shipping services. Many restaurants have partnered with services such as Uber Eats, </w:t>
      </w:r>
      <w:proofErr w:type="spellStart"/>
      <w:r>
        <w:t>Grubhub</w:t>
      </w:r>
      <w:proofErr w:type="spellEnd"/>
      <w:r>
        <w:t xml:space="preserve">, </w:t>
      </w:r>
      <w:proofErr w:type="spellStart"/>
      <w:r>
        <w:t>DoorDash</w:t>
      </w:r>
      <w:proofErr w:type="spellEnd"/>
      <w:r>
        <w:t xml:space="preserve">, and Postmates enabling people to order fresh cooked meals online (through a smartphone app) and have the fully prepared ready-to-eat meals delivered to the home.  Because these delivery services rely on the </w:t>
      </w:r>
      <w:r w:rsidR="00C02A9C">
        <w:t xml:space="preserve">participation of the </w:t>
      </w:r>
      <w:r w:rsidR="00C02A9C">
        <w:rPr>
          <w:i/>
          <w:iCs/>
        </w:rPr>
        <w:t>crowd</w:t>
      </w:r>
      <w:r w:rsidR="00C02A9C">
        <w:t xml:space="preserve">, they do not have to own and maintain fleets or pay employees.  Moreover, the geographic reach is extensive as the services rely on private citizens to perform deliveries using their own vehicles (similar to ride-hailing services).  </w:t>
      </w:r>
    </w:p>
    <w:p w14:paraId="53C09CED" w14:textId="038EB39A" w:rsidR="00B06C99" w:rsidRDefault="00C02A9C" w:rsidP="002C31FB">
      <w:r>
        <w:tab/>
        <w:t xml:space="preserve">In short, at least three different types of </w:t>
      </w:r>
      <w:r w:rsidR="00183813">
        <w:t xml:space="preserve">in-person </w:t>
      </w:r>
      <w:r>
        <w:t xml:space="preserve">and </w:t>
      </w:r>
      <w:r w:rsidR="00183813">
        <w:t xml:space="preserve">online </w:t>
      </w:r>
      <w:r>
        <w:t xml:space="preserve">shopping and meal consumption activities are possible. Non-grocery items can be purchased at the store or online; grocery items can be purchased at the store or online; and prepared meals can be purchased and eaten at a restaurant or ordered online and delivered to the home. </w:t>
      </w:r>
      <w:r w:rsidR="00143D7E">
        <w:t>This paper considers these six types of online/in-person shopping and eat-meal activities as a package decision and explores the inter-relationships amon</w:t>
      </w:r>
      <w:r w:rsidR="004D2B97">
        <w:t>g them</w:t>
      </w:r>
      <w:r w:rsidR="00280943">
        <w:t>.</w:t>
      </w:r>
      <w:r w:rsidR="004D2B97">
        <w:t xml:space="preserve"> </w:t>
      </w:r>
      <w:r w:rsidR="00F20825">
        <w:t xml:space="preserve">The effort is motivated by the desire </w:t>
      </w:r>
      <w:r w:rsidR="00361BDF">
        <w:t xml:space="preserve">to seek answers to the following questions. </w:t>
      </w:r>
      <w:r w:rsidR="00143D7E">
        <w:t>To what extent are there common unobserved facto</w:t>
      </w:r>
      <w:r w:rsidR="00361BDF">
        <w:t>rs that impact these activities</w:t>
      </w:r>
      <w:r w:rsidR="00F20825">
        <w:t>, thus calling for a joint model system</w:t>
      </w:r>
      <w:r w:rsidR="00143D7E">
        <w:t>? Do t</w:t>
      </w:r>
      <w:r>
        <w:t>hese activities complement one another or substitute for one another? Are there both direct and cross-effects among these different types of shopping and eat-meal activities? An exploration of</w:t>
      </w:r>
      <w:r w:rsidR="007B5B4D">
        <w:t xml:space="preserve"> such</w:t>
      </w:r>
      <w:r>
        <w:t xml:space="preserve"> inter-relationships between </w:t>
      </w:r>
      <w:r w:rsidR="009E7515">
        <w:t xml:space="preserve">in-person </w:t>
      </w:r>
      <w:r>
        <w:t xml:space="preserve">and </w:t>
      </w:r>
      <w:r w:rsidR="009E7515">
        <w:t xml:space="preserve">online </w:t>
      </w:r>
      <w:r>
        <w:t>activi</w:t>
      </w:r>
      <w:r w:rsidR="007B5B4D">
        <w:t>ty</w:t>
      </w:r>
      <w:r>
        <w:t xml:space="preserve"> engagement would help advance an understanding of how the emergence of online shopping and delivery-based services are influencing activity-travel patterns and choices.</w:t>
      </w:r>
      <w:r w:rsidR="007B5B4D">
        <w:t xml:space="preserve">  These insights are critically needed for forecasting activity-travel behaviors in an increasingly connected and internet-enabled world.  </w:t>
      </w:r>
    </w:p>
    <w:p w14:paraId="38F7CED9" w14:textId="21EC11B1" w:rsidR="007B5B4D" w:rsidRDefault="00B06C99" w:rsidP="00285C12">
      <w:pPr>
        <w:ind w:firstLine="720"/>
      </w:pPr>
      <w:r>
        <w:t xml:space="preserve">In summary, </w:t>
      </w:r>
      <w:r w:rsidR="0003785C">
        <w:t xml:space="preserve">the </w:t>
      </w:r>
      <w:r>
        <w:t xml:space="preserve">current </w:t>
      </w:r>
      <w:r w:rsidR="0003785C">
        <w:t xml:space="preserve">paper may be distinguished from earlier examinations of online and physical activities in three important ways. </w:t>
      </w:r>
      <w:r w:rsidR="0003785C" w:rsidRPr="00285C12">
        <w:rPr>
          <w:u w:val="single"/>
        </w:rPr>
        <w:t>First</w:t>
      </w:r>
      <w:r w:rsidR="0003785C">
        <w:t xml:space="preserve">, the paper explicitly considers </w:t>
      </w:r>
      <w:r w:rsidR="00460FF5">
        <w:t xml:space="preserve">three </w:t>
      </w:r>
      <w:r w:rsidR="00460FF5">
        <w:lastRenderedPageBreak/>
        <w:t xml:space="preserve">potentially inter-related </w:t>
      </w:r>
      <w:r w:rsidR="00CD7F80">
        <w:t xml:space="preserve">shopping/meals </w:t>
      </w:r>
      <w:r w:rsidR="00280943">
        <w:t>activity purposes</w:t>
      </w:r>
      <w:r w:rsidR="00460FF5">
        <w:t xml:space="preserve">, and models both the online as well as in-person participation variants of these three activity purposes. </w:t>
      </w:r>
      <w:r w:rsidR="0003785C">
        <w:t>Doing so is important as online providers</w:t>
      </w:r>
      <w:r w:rsidR="00280943">
        <w:t xml:space="preserve"> such as Amazon today allow</w:t>
      </w:r>
      <w:r w:rsidR="0003785C">
        <w:t xml:space="preserve"> online </w:t>
      </w:r>
      <w:r w:rsidR="001B3BD6">
        <w:t xml:space="preserve">grocery, </w:t>
      </w:r>
      <w:r w:rsidR="0003785C">
        <w:t>non-grocery shopping</w:t>
      </w:r>
      <w:r w:rsidR="001B3BD6">
        <w:t>, as well as the ability to order meals, all</w:t>
      </w:r>
      <w:r w:rsidR="0003785C">
        <w:t xml:space="preserve"> under</w:t>
      </w:r>
      <w:r w:rsidR="001B3BD6">
        <w:t xml:space="preserve"> a single online platform. S</w:t>
      </w:r>
      <w:r w:rsidR="0003785C">
        <w:t>imilarly stores such as Walmart and Costco allow the physical shopping of both grocery and non-grocery shopping</w:t>
      </w:r>
      <w:r w:rsidR="001B3BD6">
        <w:t>, as well as having a meal, all</w:t>
      </w:r>
      <w:r w:rsidR="0003785C">
        <w:t xml:space="preserve"> under one roof. Thus, it is of interest to understand </w:t>
      </w:r>
      <w:r>
        <w:t xml:space="preserve">the rich interplay in the interrelationships in </w:t>
      </w:r>
      <w:r w:rsidR="00280943">
        <w:t>the activity types</w:t>
      </w:r>
      <w:r>
        <w:t xml:space="preserve">, both online and offline, and to examine if and how these activities are reshaping urban activity-travel patterns and time-use patterns. </w:t>
      </w:r>
      <w:r w:rsidR="00460FF5">
        <w:t xml:space="preserve">For example, it is possible that an individual from a household who goes in-person shopping at Walmart for groceries happens to come across an electronic item that is prominently advertised, then returns home and undertakes research online for the electronic item, and then makes another trip to purchase the advertised item in person because of a sale available only at the store. </w:t>
      </w:r>
      <w:r w:rsidR="001B3BD6">
        <w:t xml:space="preserve">This is a case where in-person grocery shopping impacts in-person non-grocery shopping. </w:t>
      </w:r>
      <w:r w:rsidR="00460FF5">
        <w:t>Or perhap</w:t>
      </w:r>
      <w:r w:rsidR="001B3BD6">
        <w:t>s this individual, after pursuing in-person grocery shopping</w:t>
      </w:r>
      <w:r w:rsidR="00280943">
        <w:t>,</w:t>
      </w:r>
      <w:r w:rsidR="001B3BD6">
        <w:t xml:space="preserve"> comes home to </w:t>
      </w:r>
      <w:r w:rsidR="00C85CEB">
        <w:t xml:space="preserve">undertake additional research and then </w:t>
      </w:r>
      <w:r w:rsidR="001B3BD6">
        <w:t>purchase</w:t>
      </w:r>
      <w:r w:rsidR="00C85CEB">
        <w:t>s the</w:t>
      </w:r>
      <w:r w:rsidR="001B3BD6">
        <w:t xml:space="preserve"> electronic item online. </w:t>
      </w:r>
      <w:r w:rsidR="00C85CEB">
        <w:t xml:space="preserve">This is a case where in-person grocery shopping impacts online non-grocery shopping. </w:t>
      </w:r>
      <w:r w:rsidR="001B3BD6">
        <w:t xml:space="preserve">In both of these (and other possible) cases, there may be substitutions and complementarities between the in-person and online platforms </w:t>
      </w:r>
      <w:r w:rsidR="001B3BD6" w:rsidRPr="00285C12">
        <w:rPr>
          <w:i/>
        </w:rPr>
        <w:t xml:space="preserve">across </w:t>
      </w:r>
      <w:r w:rsidR="001B3BD6">
        <w:t>activity purposes, not just within</w:t>
      </w:r>
      <w:r w:rsidR="00280943">
        <w:t xml:space="preserve"> a </w:t>
      </w:r>
      <w:r w:rsidR="00280943" w:rsidRPr="00285C12">
        <w:rPr>
          <w:i/>
        </w:rPr>
        <w:t>single</w:t>
      </w:r>
      <w:r w:rsidR="001B3BD6" w:rsidRPr="00285C12">
        <w:rPr>
          <w:i/>
        </w:rPr>
        <w:t xml:space="preserve"> </w:t>
      </w:r>
      <w:r w:rsidR="001B3BD6">
        <w:t xml:space="preserve">activity purpose. </w:t>
      </w:r>
      <w:r w:rsidR="001B3BD6" w:rsidRPr="00285C12">
        <w:rPr>
          <w:u w:val="single"/>
        </w:rPr>
        <w:t>Second</w:t>
      </w:r>
      <w:r w:rsidR="001B3BD6">
        <w:t xml:space="preserve">, </w:t>
      </w:r>
      <w:r w:rsidR="005274E5">
        <w:t>the combinations</w:t>
      </w:r>
      <w:r w:rsidR="00C85CEB">
        <w:t xml:space="preserve"> of online versus in-person activity participations</w:t>
      </w:r>
      <w:r w:rsidR="005274E5">
        <w:t xml:space="preserve"> are modeled </w:t>
      </w:r>
      <w:r w:rsidR="005274E5" w:rsidRPr="00285C12">
        <w:rPr>
          <w:i/>
        </w:rPr>
        <w:t>jointly</w:t>
      </w:r>
      <w:r w:rsidR="00C85CEB">
        <w:t xml:space="preserve"> in our study,</w:t>
      </w:r>
      <w:r w:rsidR="005274E5">
        <w:t xml:space="preserve"> rather than assuming </w:t>
      </w:r>
      <w:r w:rsidR="005274E5" w:rsidRPr="00285C12">
        <w:rPr>
          <w:i/>
        </w:rPr>
        <w:t>a priori</w:t>
      </w:r>
      <w:r w:rsidR="005274E5">
        <w:t xml:space="preserve"> that there are no unobserved factors that impact these alternatives. The latter approach </w:t>
      </w:r>
      <w:r w:rsidR="00280943">
        <w:t>can</w:t>
      </w:r>
      <w:r w:rsidR="005274E5">
        <w:t xml:space="preserve"> underestimate or overestimate substitution/complementarity ef</w:t>
      </w:r>
      <w:r w:rsidR="00C85CEB">
        <w:t>fects. For example,</w:t>
      </w:r>
      <w:r w:rsidR="005274E5">
        <w:t xml:space="preserve"> </w:t>
      </w:r>
      <w:r w:rsidR="00C85CEB">
        <w:t xml:space="preserve">consider </w:t>
      </w:r>
      <w:r w:rsidR="005274E5">
        <w:t>households that are pre-disposed to both online and in-person grocery shopping (due to factors not observed in the data, such as a generic penchant for grocery shopping and eating). If a methodology that ignores such unobserved correlations is applied, and online grocery shopping is used as an exogenous variable in predicting in-person grocery shopping, there would be an exaggeration of any complementary effect of  online grocery shoppin</w:t>
      </w:r>
      <w:r w:rsidR="00C85CEB">
        <w:t xml:space="preserve">g on in-person shopping, and a resulting </w:t>
      </w:r>
      <w:r w:rsidR="005274E5">
        <w:t xml:space="preserve">overestimation of grocery shopping trips due to the increasing penetrations of broadband internet in households. On the other hand, if such unobserved effects are controlled for, one can estimate the “uncorrupted” complementary/substitution effects of one </w:t>
      </w:r>
      <w:r w:rsidR="00280943">
        <w:t>platform-activity purpose combination on another</w:t>
      </w:r>
      <w:r w:rsidR="005274E5">
        <w:t xml:space="preserve">. </w:t>
      </w:r>
      <w:r w:rsidR="00280943" w:rsidRPr="00285C12">
        <w:rPr>
          <w:u w:val="single"/>
        </w:rPr>
        <w:t>Third</w:t>
      </w:r>
      <w:r w:rsidR="00280943">
        <w:t xml:space="preserve">, the model in this paper does not impose a structure </w:t>
      </w:r>
      <w:r w:rsidR="00280943">
        <w:rPr>
          <w:i/>
          <w:iCs/>
        </w:rPr>
        <w:t>a priori</w:t>
      </w:r>
      <w:r w:rsidR="00280943">
        <w:t xml:space="preserve"> wherein online activities are determined first and then exogenously influence in-person activity participation. </w:t>
      </w:r>
      <w:r w:rsidR="00C22E88">
        <w:t>In fact, a</w:t>
      </w:r>
      <w:r w:rsidR="00C22E88" w:rsidRPr="008D3590">
        <w:t xml:space="preserve"> significant amount</w:t>
      </w:r>
      <w:r w:rsidR="00C22E88">
        <w:t xml:space="preserve"> of earlier</w:t>
      </w:r>
      <w:r w:rsidR="00C22E88" w:rsidRPr="008D3590">
        <w:t xml:space="preserve"> empirical work </w:t>
      </w:r>
      <w:r w:rsidR="00C22E88">
        <w:t xml:space="preserve">in this space is based on </w:t>
      </w:r>
      <w:r w:rsidR="00C22E88" w:rsidRPr="008D3590">
        <w:t xml:space="preserve">the typology developed by Salomon (1986) </w:t>
      </w:r>
      <w:r w:rsidR="00C22E88">
        <w:t>(and used by many later empirical studies</w:t>
      </w:r>
      <w:r w:rsidR="00CD7F80">
        <w:t>, such as those discussed earlier</w:t>
      </w:r>
      <w:r w:rsidR="00C22E88">
        <w:t>) that proposes</w:t>
      </w:r>
      <w:r w:rsidR="00C22E88" w:rsidRPr="008D3590">
        <w:t xml:space="preserve"> </w:t>
      </w:r>
      <w:r w:rsidR="00C22E88">
        <w:t>six</w:t>
      </w:r>
      <w:r w:rsidR="00C22E88" w:rsidRPr="008D3590">
        <w:t xml:space="preserve"> main impacts of </w:t>
      </w:r>
      <w:r w:rsidR="00C22E88">
        <w:t>virtual activities</w:t>
      </w:r>
      <w:r w:rsidR="00C22E88" w:rsidRPr="008D3590">
        <w:t xml:space="preserve"> on personal </w:t>
      </w:r>
      <w:r w:rsidR="00C22E88">
        <w:t xml:space="preserve">physical </w:t>
      </w:r>
      <w:r w:rsidR="00C22E88" w:rsidRPr="008D3590">
        <w:t>activities and travel: substitution (replacement of a location-based activity by a tele-activity, thus eliminating travel), complementarity (a virtual</w:t>
      </w:r>
      <w:r w:rsidR="00C22E88">
        <w:t xml:space="preserve"> </w:t>
      </w:r>
      <w:r w:rsidR="00C22E88" w:rsidRPr="008D3590">
        <w:t>activity leads to new location-based activities), modification (virtual activity changes the timing, duration or place of a location-based activity), neutrality (there is no observed effect of the virtual activity on location-based activities)</w:t>
      </w:r>
      <w:r w:rsidR="00C22E88">
        <w:t>, a</w:t>
      </w:r>
      <w:r w:rsidR="00C22E88" w:rsidRPr="008D3590">
        <w:t>ctivity fragmentation (splitting of a certain activity into several smaller pieces that can be performed at different times and locations</w:t>
      </w:r>
      <w:r w:rsidR="00C22E88">
        <w:t xml:space="preserve">, because </w:t>
      </w:r>
      <w:r w:rsidR="00C22E88" w:rsidRPr="008D3590">
        <w:t>ICT allows remote and continuous access to files, information, and people</w:t>
      </w:r>
      <w:r w:rsidR="00C22E88">
        <w:t>), and m</w:t>
      </w:r>
      <w:r w:rsidR="00C22E88" w:rsidRPr="008D3590">
        <w:t>ultitaskin</w:t>
      </w:r>
      <w:r w:rsidR="00C22E88">
        <w:t>g (</w:t>
      </w:r>
      <w:r w:rsidR="00C22E88" w:rsidRPr="008D3590">
        <w:t>the simultaneous realization of two or more activities during the same time period</w:t>
      </w:r>
      <w:r w:rsidR="00C22E88">
        <w:t xml:space="preserve">, such as </w:t>
      </w:r>
      <w:r w:rsidR="00C22E88" w:rsidRPr="008D3590">
        <w:t xml:space="preserve">teleworking or shopping online while traveling as a passenger </w:t>
      </w:r>
      <w:r w:rsidR="00C22E88">
        <w:t xml:space="preserve">or even physically shopping </w:t>
      </w:r>
      <w:r w:rsidR="00C22E88" w:rsidRPr="008D3590">
        <w:t>at the same time</w:t>
      </w:r>
      <w:r w:rsidR="00C22E88">
        <w:t xml:space="preserve">). Such an </w:t>
      </w:r>
      <w:r w:rsidR="00C22E88" w:rsidRPr="00285C12">
        <w:rPr>
          <w:i/>
        </w:rPr>
        <w:t>a priori</w:t>
      </w:r>
      <w:r w:rsidR="00C22E88">
        <w:t xml:space="preserve"> framework can be </w:t>
      </w:r>
      <w:r w:rsidR="00C22E88" w:rsidRPr="008D3590">
        <w:t>seriously limiting</w:t>
      </w:r>
      <w:r w:rsidR="00C22E88">
        <w:t>, in the sense that it</w:t>
      </w:r>
      <w:r w:rsidR="00C22E88" w:rsidRPr="008D3590">
        <w:t xml:space="preserve"> assumes that </w:t>
      </w:r>
      <w:r w:rsidR="00C22E88">
        <w:t xml:space="preserve">online </w:t>
      </w:r>
      <w:r w:rsidR="00C22E88" w:rsidRPr="008D3590">
        <w:t xml:space="preserve">decisions </w:t>
      </w:r>
      <w:r w:rsidR="00C22E88">
        <w:t>are determined first and exogenously affect in-person decisions. O</w:t>
      </w:r>
      <w:r w:rsidR="00C22E88" w:rsidRPr="008D3590">
        <w:t>ur viewpoint</w:t>
      </w:r>
      <w:r w:rsidR="00C22E88">
        <w:t>, on the other hand,</w:t>
      </w:r>
      <w:r w:rsidR="00C22E88" w:rsidRPr="008D3590">
        <w:t xml:space="preserve"> models virtual and physical activity participations as a joint package </w:t>
      </w:r>
      <w:r w:rsidR="00C22E88" w:rsidRPr="008D3590">
        <w:lastRenderedPageBreak/>
        <w:t>decision</w:t>
      </w:r>
      <w:r w:rsidR="00C22E88">
        <w:t xml:space="preserve">, thus alleviating endogeneity bias issues in the interactions between virtual activities and physical activity engagement. </w:t>
      </w:r>
    </w:p>
    <w:p w14:paraId="05623F50" w14:textId="148CDC10" w:rsidR="00C02A9C" w:rsidRDefault="007B5B4D" w:rsidP="002C31FB">
      <w:r>
        <w:tab/>
        <w:t>This paper utilizes data from the 201</w:t>
      </w:r>
      <w:r w:rsidR="001C6E2A">
        <w:t>7</w:t>
      </w:r>
      <w:r>
        <w:t xml:space="preserve"> Puget Sound Regional Household Travel Survey to conduct </w:t>
      </w:r>
      <w:r w:rsidR="001C6E2A">
        <w:t>an</w:t>
      </w:r>
      <w:r>
        <w:t xml:space="preserve"> analysis of the relationships between </w:t>
      </w:r>
      <w:r w:rsidR="001E3731">
        <w:t xml:space="preserve">in-person </w:t>
      </w:r>
      <w:r>
        <w:t xml:space="preserve">and </w:t>
      </w:r>
      <w:r w:rsidR="001E3731">
        <w:t xml:space="preserve">online </w:t>
      </w:r>
      <w:r>
        <w:t>shopping and meal activities. The data includes a week</w:t>
      </w:r>
      <w:r w:rsidR="001C6E2A">
        <w:t>’s</w:t>
      </w:r>
      <w:r>
        <w:t xml:space="preserve"> worth of activity-travel patterns together with information about deliveries of various types of goods and services to the home (based on online purchases). Thus, the data is ideally suited for exploring the types of relationsh</w:t>
      </w:r>
      <w:r w:rsidR="00251434">
        <w:t xml:space="preserve">ips of interest in this study. </w:t>
      </w:r>
      <w:r>
        <w:t xml:space="preserve">A multivariate ordered </w:t>
      </w:r>
      <w:proofErr w:type="spellStart"/>
      <w:r>
        <w:t>probit</w:t>
      </w:r>
      <w:proofErr w:type="spellEnd"/>
      <w:r>
        <w:t xml:space="preserve"> modeling methodology is employed to capture correlated unobserved attributes that may simultaneously affect the pursuit of multiple types of </w:t>
      </w:r>
      <w:r w:rsidR="009E7515">
        <w:t xml:space="preserve">in-person </w:t>
      </w:r>
      <w:r>
        <w:t xml:space="preserve">and/or </w:t>
      </w:r>
      <w:r w:rsidR="009E7515">
        <w:t xml:space="preserve">online </w:t>
      </w:r>
      <w:r>
        <w:t xml:space="preserve">shopping and meal activities. </w:t>
      </w:r>
      <w:r w:rsidR="007E2D47">
        <w:t xml:space="preserve">The model system is structured in a way to tease out relationships among endogenous variables (i.e., </w:t>
      </w:r>
      <w:r w:rsidR="000D5BC3">
        <w:t>in-person</w:t>
      </w:r>
      <w:r w:rsidR="007E2D47">
        <w:t xml:space="preserve"> and </w:t>
      </w:r>
      <w:r w:rsidR="000D5BC3">
        <w:t>online</w:t>
      </w:r>
      <w:r w:rsidR="007E2D47">
        <w:t xml:space="preserve"> activity engagement) while explicitly accounting for </w:t>
      </w:r>
      <w:r w:rsidR="00143D7E">
        <w:t xml:space="preserve">the </w:t>
      </w:r>
      <w:r w:rsidR="007E2D47">
        <w:t>influence of exogenous variables such as socio-demographic characteristics an</w:t>
      </w:r>
      <w:r w:rsidR="00251434">
        <w:t xml:space="preserve">d built environment attributes. </w:t>
      </w:r>
      <w:r w:rsidR="0060481D">
        <w:t xml:space="preserve">Relationships among the endogenous variables constitute the complementary and substitution effects of interest in this paper.  </w:t>
      </w:r>
    </w:p>
    <w:p w14:paraId="07B7206F" w14:textId="7F4047C6" w:rsidR="00CD365D" w:rsidRDefault="0060481D" w:rsidP="0060481D">
      <w:r>
        <w:tab/>
        <w:t>The remainder of this paper is organi</w:t>
      </w:r>
      <w:r w:rsidR="00251434">
        <w:t xml:space="preserve">zed as follows. </w:t>
      </w:r>
      <w:r>
        <w:t>The next section provides a description of the data.  The third section presents the modeling methodology while the fourth section offers detail</w:t>
      </w:r>
      <w:r w:rsidR="00251434">
        <w:t xml:space="preserve">s on model estimation results. </w:t>
      </w:r>
      <w:r>
        <w:t xml:space="preserve">Concluding remarks and a discussion of the implications of the findings are presented in the fifth and final section. </w:t>
      </w:r>
    </w:p>
    <w:p w14:paraId="05289E73" w14:textId="77777777" w:rsidR="0060481D" w:rsidRPr="00251434" w:rsidRDefault="0060481D" w:rsidP="0060481D"/>
    <w:p w14:paraId="1763F966" w14:textId="2EA0C49C" w:rsidR="00914693" w:rsidRPr="00251434" w:rsidRDefault="003012E0" w:rsidP="004A3ED5">
      <w:pPr>
        <w:pStyle w:val="Heading1"/>
        <w:spacing w:before="0"/>
        <w:rPr>
          <w:caps/>
          <w:smallCaps w:val="0"/>
          <w:sz w:val="24"/>
        </w:rPr>
      </w:pPr>
      <w:r w:rsidRPr="00251434">
        <w:rPr>
          <w:caps/>
          <w:smallCaps w:val="0"/>
          <w:sz w:val="24"/>
        </w:rPr>
        <w:t xml:space="preserve">Data </w:t>
      </w:r>
      <w:r w:rsidR="003F5D66" w:rsidRPr="00251434">
        <w:rPr>
          <w:caps/>
          <w:smallCaps w:val="0"/>
          <w:sz w:val="24"/>
        </w:rPr>
        <w:t>D</w:t>
      </w:r>
      <w:r w:rsidRPr="00251434">
        <w:rPr>
          <w:caps/>
          <w:smallCaps w:val="0"/>
          <w:sz w:val="24"/>
        </w:rPr>
        <w:t>escription</w:t>
      </w:r>
    </w:p>
    <w:p w14:paraId="4ADD9897" w14:textId="716BA3C5" w:rsidR="00CD55D1" w:rsidRDefault="003F5D66" w:rsidP="0060481D">
      <w:r>
        <w:t xml:space="preserve">The data for this study is derived from the 2017 Puget Sound Regional Household Travel Survey, which collected detailed household- and person-level socio-economic, demographic, and activity-travel pattern information from residents throughout the Puget Sound (Greater Seattle) region (PSRC, 2018). The survey is a rather typical comprehensive household travel survey, except for a few distinctive features. The survey offered multiple modes for households to furnish activity-travel information. Based on responses in a recruitment phase of the survey (that gathered standard socio-economic and demographic information), </w:t>
      </w:r>
      <w:r w:rsidR="00CD55D1">
        <w:t xml:space="preserve">some households were provided the option to furnish activity-travel diary information in the reporting phase of the survey through the use of a smartphone app. If all household members owned relatively new smartphones (less than four years old) and the household fell within a certain quota (number of households that the app could handle in each travel diary week), then that household was given a choice of reporting activity-travel diary information using the </w:t>
      </w:r>
      <w:proofErr w:type="spellStart"/>
      <w:r w:rsidR="00CD55D1">
        <w:rPr>
          <w:i/>
          <w:iCs/>
        </w:rPr>
        <w:t>rMove</w:t>
      </w:r>
      <w:proofErr w:type="spellEnd"/>
      <w:r w:rsidR="00CD55D1">
        <w:t xml:space="preserve"> smartphone app. Otherwise, households furnished activity-travel diary information using a standard web-based online survey. Whereas households </w:t>
      </w:r>
      <w:r w:rsidR="00144074">
        <w:t xml:space="preserve">who </w:t>
      </w:r>
      <w:r w:rsidR="00CD55D1">
        <w:t>respond</w:t>
      </w:r>
      <w:r w:rsidR="00144074">
        <w:t>ed</w:t>
      </w:r>
      <w:r w:rsidR="00CD55D1">
        <w:t xml:space="preserve"> using </w:t>
      </w:r>
      <w:proofErr w:type="spellStart"/>
      <w:r w:rsidR="00CD55D1">
        <w:rPr>
          <w:i/>
          <w:iCs/>
        </w:rPr>
        <w:t>rMove</w:t>
      </w:r>
      <w:proofErr w:type="spellEnd"/>
      <w:r w:rsidR="00CD55D1">
        <w:t xml:space="preserve"> furnished activity-travel and related information for an entire week, households responding via the web survey furnished activity-travel information only for one day (similar to many other household travel surveys).</w:t>
      </w:r>
    </w:p>
    <w:p w14:paraId="21274866" w14:textId="3678118C" w:rsidR="00CD55D1" w:rsidRPr="00CD55D1" w:rsidRDefault="00CD55D1" w:rsidP="00CD55D1">
      <w:r>
        <w:tab/>
        <w:t xml:space="preserve">In addition to collecting revealed preference data about activity-travel behavior, the survey gathered information about home-deliveries of goods, </w:t>
      </w:r>
      <w:r w:rsidR="00D15DF4">
        <w:t>groceries</w:t>
      </w:r>
      <w:r>
        <w:t xml:space="preserve">, and meals purchased online over a one-week period. Because the </w:t>
      </w:r>
      <w:r w:rsidR="00473082">
        <w:t xml:space="preserve">online </w:t>
      </w:r>
      <w:r>
        <w:t xml:space="preserve">activity-driven home-deliveries data is based on a time-window of a week, the physical activity-travel participation data should also be based on a week so that the </w:t>
      </w:r>
      <w:r w:rsidR="00473082">
        <w:t>online</w:t>
      </w:r>
      <w:r>
        <w:t xml:space="preserve"> and </w:t>
      </w:r>
      <w:r w:rsidR="00473082">
        <w:t xml:space="preserve">in-person </w:t>
      </w:r>
      <w:r>
        <w:t xml:space="preserve">activity engagement can be compared for equivalent time periods. For this reason, only the sample of respondents that provided seven-day activity-travel data using the </w:t>
      </w:r>
      <w:proofErr w:type="spellStart"/>
      <w:r>
        <w:rPr>
          <w:i/>
          <w:iCs/>
        </w:rPr>
        <w:t>rMove</w:t>
      </w:r>
      <w:proofErr w:type="spellEnd"/>
      <w:r>
        <w:t xml:space="preserve"> app is extracted for use in this study.  </w:t>
      </w:r>
    </w:p>
    <w:p w14:paraId="4DC76D30" w14:textId="75C6526D" w:rsidR="00824E93" w:rsidRDefault="00CD55D1" w:rsidP="00CD365D">
      <w:r>
        <w:tab/>
        <w:t>A description of the data is furnished in Table 1. The table also shows corresponding demographic information for the Puget Sound Region (PSR) as a whole</w:t>
      </w:r>
      <w:r w:rsidR="00CF4263">
        <w:t xml:space="preserve">, with a view to provide insights on the extent to which the analysis sample differs from the general population. The </w:t>
      </w:r>
      <w:r w:rsidR="00CF4263">
        <w:lastRenderedPageBreak/>
        <w:t xml:space="preserve">subsample of households furnishing data through the </w:t>
      </w:r>
      <w:proofErr w:type="spellStart"/>
      <w:r w:rsidR="00CF4263">
        <w:rPr>
          <w:i/>
          <w:iCs/>
        </w:rPr>
        <w:t>rMove</w:t>
      </w:r>
      <w:proofErr w:type="spellEnd"/>
      <w:r w:rsidR="00CF4263">
        <w:rPr>
          <w:i/>
          <w:iCs/>
        </w:rPr>
        <w:t xml:space="preserve"> </w:t>
      </w:r>
      <w:r w:rsidR="00CF4263">
        <w:t>app has to meet certain criteria to be eligible to do so, and then self-selects into the smartphone-app based mode of data collection. As such, this subsample of households is likely to differ from the general population with respect to various socio-economic, demographic, residential, and activity-travel characteristics.</w:t>
      </w:r>
      <w:r w:rsidR="008F0F50">
        <w:t xml:space="preserve"> </w:t>
      </w:r>
      <w:r w:rsidR="00CF4263">
        <w:t xml:space="preserve">As these households furnished one week of activity-travel information through a smartphone-app, it is plausible to expect that these households will be </w:t>
      </w:r>
      <w:r w:rsidR="007E5347">
        <w:t xml:space="preserve">smaller in size, </w:t>
      </w:r>
      <w:r w:rsidR="00CF4263">
        <w:t>younger, urban, and educated</w:t>
      </w:r>
      <w:r w:rsidR="007E5347">
        <w:t xml:space="preserve">, </w:t>
      </w:r>
      <w:r w:rsidR="00CF4263">
        <w:t xml:space="preserve">who are comfortable with using technology for a variety of applications (tech-savvy) </w:t>
      </w:r>
      <w:r w:rsidR="00CF4263" w:rsidRPr="002501D1">
        <w:t>(</w:t>
      </w:r>
      <w:r w:rsidR="008C56E1" w:rsidRPr="002501D1">
        <w:t xml:space="preserve">Astroza et al., 2017; Lavieri et al., </w:t>
      </w:r>
      <w:r w:rsidR="006203AD" w:rsidRPr="002501D1">
        <w:t>2017</w:t>
      </w:r>
      <w:r w:rsidR="00CF4263" w:rsidRPr="002501D1">
        <w:t>).</w:t>
      </w:r>
      <w:r w:rsidR="00CF4263">
        <w:t xml:space="preserve"> </w:t>
      </w:r>
      <w:r w:rsidR="007602A1">
        <w:t xml:space="preserve">However, given that the objective of the paper is to study interactions between </w:t>
      </w:r>
      <w:r w:rsidR="00142937">
        <w:t xml:space="preserve">in-person </w:t>
      </w:r>
      <w:r w:rsidR="007602A1">
        <w:t xml:space="preserve">and </w:t>
      </w:r>
      <w:r w:rsidR="00142937">
        <w:t xml:space="preserve">online </w:t>
      </w:r>
      <w:r w:rsidR="007602A1">
        <w:t>activity engagement, this type of skew in the make-up of the sample is warranted and desirable to ensure that there are sufficient records with home-deliveries over the course of a week for various shopping and meal purposes.</w:t>
      </w:r>
    </w:p>
    <w:p w14:paraId="54550965" w14:textId="77777777" w:rsidR="00824E93" w:rsidRPr="00824E93" w:rsidRDefault="00824E93" w:rsidP="00CD365D">
      <w:pPr>
        <w:rPr>
          <w:sz w:val="16"/>
          <w:szCs w:val="16"/>
        </w:rPr>
      </w:pPr>
    </w:p>
    <w:p w14:paraId="30AA118A" w14:textId="2C1ED45E" w:rsidR="00824E93" w:rsidRDefault="00824E93" w:rsidP="00824E93">
      <w:pPr>
        <w:pStyle w:val="Caption"/>
        <w:keepNext/>
        <w:spacing w:after="80"/>
      </w:pPr>
      <w:bookmarkStart w:id="2" w:name="_Ref13672561"/>
      <w:r>
        <w:t xml:space="preserve">Table </w:t>
      </w:r>
      <w:r w:rsidR="002718A2">
        <w:fldChar w:fldCharType="begin"/>
      </w:r>
      <w:r w:rsidR="002718A2">
        <w:instrText xml:space="preserve"> SEQ Table \* ARABIC </w:instrText>
      </w:r>
      <w:r w:rsidR="002718A2">
        <w:fldChar w:fldCharType="separate"/>
      </w:r>
      <w:r>
        <w:rPr>
          <w:noProof/>
        </w:rPr>
        <w:t>1</w:t>
      </w:r>
      <w:r w:rsidR="002718A2">
        <w:rPr>
          <w:noProof/>
        </w:rPr>
        <w:fldChar w:fldCharType="end"/>
      </w:r>
      <w:bookmarkEnd w:id="2"/>
      <w:r w:rsidR="00C335DA">
        <w:rPr>
          <w:noProof/>
        </w:rPr>
        <w:t>.</w:t>
      </w:r>
      <w:r>
        <w:t xml:space="preserve"> </w:t>
      </w:r>
      <w:r w:rsidRPr="008063DE">
        <w:t xml:space="preserve">Description of </w:t>
      </w:r>
      <w:r>
        <w:t>Sample</w:t>
      </w:r>
      <w:r w:rsidRPr="008063DE">
        <w:t xml:space="preserve"> (n=705) </w:t>
      </w:r>
      <w:r>
        <w:t>Relative to</w:t>
      </w:r>
      <w:r w:rsidRPr="008063DE">
        <w:t xml:space="preserve"> Puget Sound Region</w:t>
      </w:r>
    </w:p>
    <w:tbl>
      <w:tblPr>
        <w:tblW w:w="9517" w:type="dxa"/>
        <w:jc w:val="center"/>
        <w:tblLook w:val="04A0" w:firstRow="1" w:lastRow="0" w:firstColumn="1" w:lastColumn="0" w:noHBand="0" w:noVBand="1"/>
      </w:tblPr>
      <w:tblGrid>
        <w:gridCol w:w="3307"/>
        <w:gridCol w:w="731"/>
        <w:gridCol w:w="639"/>
        <w:gridCol w:w="804"/>
        <w:gridCol w:w="2020"/>
        <w:gridCol w:w="731"/>
        <w:gridCol w:w="639"/>
        <w:gridCol w:w="804"/>
      </w:tblGrid>
      <w:tr w:rsidR="00824E93" w:rsidRPr="00884CAC" w14:paraId="0CA19D38" w14:textId="77777777" w:rsidTr="00824E93">
        <w:trPr>
          <w:trHeight w:val="20"/>
          <w:jc w:val="center"/>
        </w:trPr>
        <w:tc>
          <w:tcPr>
            <w:tcW w:w="4677" w:type="dxa"/>
            <w:gridSpan w:val="3"/>
            <w:tcBorders>
              <w:top w:val="double" w:sz="6" w:space="0" w:color="auto"/>
              <w:left w:val="double" w:sz="6" w:space="0" w:color="auto"/>
              <w:bottom w:val="double" w:sz="6" w:space="0" w:color="auto"/>
              <w:right w:val="double" w:sz="6" w:space="0" w:color="000000"/>
            </w:tcBorders>
            <w:shd w:val="clear" w:color="000000" w:fill="D9D9D9"/>
            <w:noWrap/>
            <w:tcMar>
              <w:left w:w="72" w:type="dxa"/>
              <w:right w:w="72" w:type="dxa"/>
            </w:tcMar>
            <w:vAlign w:val="center"/>
            <w:hideMark/>
          </w:tcPr>
          <w:p w14:paraId="076F9C40" w14:textId="77777777" w:rsidR="00824E93" w:rsidRPr="00884CAC" w:rsidRDefault="00824E93" w:rsidP="00C335DA">
            <w:pPr>
              <w:jc w:val="center"/>
              <w:rPr>
                <w:rFonts w:eastAsia="Times New Roman"/>
                <w:b/>
                <w:bCs/>
                <w:color w:val="000000"/>
                <w:sz w:val="22"/>
                <w:szCs w:val="22"/>
              </w:rPr>
            </w:pPr>
            <w:r w:rsidRPr="00884CAC">
              <w:rPr>
                <w:rFonts w:eastAsia="Times New Roman"/>
                <w:b/>
                <w:bCs/>
                <w:color w:val="000000"/>
                <w:sz w:val="22"/>
                <w:szCs w:val="22"/>
              </w:rPr>
              <w:t>Sample</w:t>
            </w:r>
          </w:p>
        </w:tc>
        <w:tc>
          <w:tcPr>
            <w:tcW w:w="804" w:type="dxa"/>
            <w:tcBorders>
              <w:top w:val="double" w:sz="6" w:space="0" w:color="auto"/>
              <w:left w:val="nil"/>
              <w:bottom w:val="double" w:sz="6" w:space="0" w:color="auto"/>
              <w:right w:val="nil"/>
            </w:tcBorders>
            <w:shd w:val="clear" w:color="000000" w:fill="D9D9D9"/>
            <w:noWrap/>
            <w:tcMar>
              <w:left w:w="72" w:type="dxa"/>
              <w:right w:w="72" w:type="dxa"/>
            </w:tcMar>
            <w:vAlign w:val="center"/>
            <w:hideMark/>
          </w:tcPr>
          <w:p w14:paraId="5FC9F0CE" w14:textId="77777777" w:rsidR="00824E93" w:rsidRPr="00884CAC" w:rsidRDefault="00824E93" w:rsidP="00C335DA">
            <w:pPr>
              <w:jc w:val="center"/>
              <w:rPr>
                <w:rFonts w:eastAsia="Times New Roman"/>
                <w:b/>
                <w:bCs/>
                <w:color w:val="000000"/>
                <w:sz w:val="22"/>
                <w:szCs w:val="22"/>
              </w:rPr>
            </w:pPr>
            <w:r w:rsidRPr="00884CAC">
              <w:rPr>
                <w:rFonts w:eastAsia="Times New Roman"/>
                <w:b/>
                <w:bCs/>
                <w:color w:val="000000"/>
                <w:sz w:val="22"/>
                <w:szCs w:val="22"/>
              </w:rPr>
              <w:t>Region</w:t>
            </w:r>
          </w:p>
        </w:tc>
        <w:tc>
          <w:tcPr>
            <w:tcW w:w="3390" w:type="dxa"/>
            <w:gridSpan w:val="3"/>
            <w:tcBorders>
              <w:top w:val="double" w:sz="6" w:space="0" w:color="auto"/>
              <w:left w:val="double" w:sz="6" w:space="0" w:color="auto"/>
              <w:bottom w:val="double" w:sz="6" w:space="0" w:color="auto"/>
              <w:right w:val="double" w:sz="6" w:space="0" w:color="000000"/>
            </w:tcBorders>
            <w:shd w:val="clear" w:color="000000" w:fill="D9D9D9"/>
            <w:noWrap/>
            <w:tcMar>
              <w:left w:w="72" w:type="dxa"/>
              <w:right w:w="72" w:type="dxa"/>
            </w:tcMar>
            <w:vAlign w:val="center"/>
            <w:hideMark/>
          </w:tcPr>
          <w:p w14:paraId="6127F975" w14:textId="77777777" w:rsidR="00824E93" w:rsidRPr="00884CAC" w:rsidRDefault="00824E93" w:rsidP="00C335DA">
            <w:pPr>
              <w:jc w:val="center"/>
              <w:rPr>
                <w:rFonts w:eastAsia="Times New Roman"/>
                <w:b/>
                <w:bCs/>
                <w:color w:val="000000"/>
                <w:sz w:val="22"/>
                <w:szCs w:val="22"/>
              </w:rPr>
            </w:pPr>
            <w:r w:rsidRPr="00884CAC">
              <w:rPr>
                <w:rFonts w:eastAsia="Times New Roman"/>
                <w:b/>
                <w:bCs/>
                <w:color w:val="000000"/>
                <w:sz w:val="22"/>
                <w:szCs w:val="22"/>
              </w:rPr>
              <w:t>Sample</w:t>
            </w:r>
          </w:p>
        </w:tc>
        <w:tc>
          <w:tcPr>
            <w:tcW w:w="646" w:type="dxa"/>
            <w:tcBorders>
              <w:top w:val="double" w:sz="6" w:space="0" w:color="auto"/>
              <w:left w:val="nil"/>
              <w:bottom w:val="double" w:sz="6" w:space="0" w:color="auto"/>
              <w:right w:val="double" w:sz="6" w:space="0" w:color="auto"/>
            </w:tcBorders>
            <w:shd w:val="clear" w:color="000000" w:fill="D9D9D9"/>
            <w:noWrap/>
            <w:tcMar>
              <w:left w:w="72" w:type="dxa"/>
              <w:right w:w="72" w:type="dxa"/>
            </w:tcMar>
            <w:vAlign w:val="center"/>
            <w:hideMark/>
          </w:tcPr>
          <w:p w14:paraId="5599E98D" w14:textId="77777777" w:rsidR="00824E93" w:rsidRPr="00884CAC" w:rsidRDefault="00824E93" w:rsidP="00C335DA">
            <w:pPr>
              <w:jc w:val="center"/>
              <w:rPr>
                <w:rFonts w:eastAsia="Times New Roman"/>
                <w:b/>
                <w:bCs/>
                <w:color w:val="000000"/>
                <w:sz w:val="22"/>
                <w:szCs w:val="22"/>
              </w:rPr>
            </w:pPr>
            <w:r w:rsidRPr="00884CAC">
              <w:rPr>
                <w:rFonts w:eastAsia="Times New Roman"/>
                <w:b/>
                <w:bCs/>
                <w:color w:val="000000"/>
                <w:sz w:val="22"/>
                <w:szCs w:val="22"/>
              </w:rPr>
              <w:t>Region</w:t>
            </w:r>
          </w:p>
        </w:tc>
      </w:tr>
      <w:tr w:rsidR="00824E93" w:rsidRPr="00884CAC" w14:paraId="0AEF283D" w14:textId="77777777" w:rsidTr="00824E93">
        <w:trPr>
          <w:trHeight w:val="20"/>
          <w:jc w:val="center"/>
        </w:trPr>
        <w:tc>
          <w:tcPr>
            <w:tcW w:w="3307" w:type="dxa"/>
            <w:tcBorders>
              <w:top w:val="nil"/>
              <w:left w:val="double" w:sz="6" w:space="0" w:color="auto"/>
              <w:bottom w:val="double" w:sz="6" w:space="0" w:color="auto"/>
              <w:right w:val="nil"/>
            </w:tcBorders>
            <w:shd w:val="clear" w:color="000000" w:fill="F2F2F2"/>
            <w:tcMar>
              <w:left w:w="72" w:type="dxa"/>
              <w:right w:w="72" w:type="dxa"/>
            </w:tcMar>
            <w:vAlign w:val="center"/>
            <w:hideMark/>
          </w:tcPr>
          <w:p w14:paraId="2F191C66" w14:textId="77777777" w:rsidR="00824E93" w:rsidRPr="00884CAC" w:rsidRDefault="00824E93" w:rsidP="00C335DA">
            <w:pPr>
              <w:jc w:val="left"/>
              <w:rPr>
                <w:rFonts w:eastAsia="Times New Roman"/>
                <w:b/>
                <w:bCs/>
                <w:i/>
                <w:iCs/>
                <w:color w:val="000000"/>
                <w:sz w:val="22"/>
                <w:szCs w:val="22"/>
              </w:rPr>
            </w:pPr>
            <w:r w:rsidRPr="00884CAC">
              <w:rPr>
                <w:rFonts w:eastAsia="Times New Roman"/>
                <w:b/>
                <w:bCs/>
                <w:i/>
                <w:iCs/>
                <w:color w:val="000000"/>
                <w:sz w:val="22"/>
                <w:szCs w:val="22"/>
              </w:rPr>
              <w:t>Household structure</w:t>
            </w:r>
          </w:p>
        </w:tc>
        <w:tc>
          <w:tcPr>
            <w:tcW w:w="731" w:type="dxa"/>
            <w:tcBorders>
              <w:top w:val="nil"/>
              <w:left w:val="nil"/>
              <w:bottom w:val="double" w:sz="6" w:space="0" w:color="auto"/>
              <w:right w:val="nil"/>
            </w:tcBorders>
            <w:shd w:val="clear" w:color="000000" w:fill="F2F2F2"/>
            <w:noWrap/>
            <w:tcMar>
              <w:left w:w="72" w:type="dxa"/>
              <w:right w:w="72" w:type="dxa"/>
            </w:tcMar>
            <w:vAlign w:val="center"/>
            <w:hideMark/>
          </w:tcPr>
          <w:p w14:paraId="71635197"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Count</w:t>
            </w:r>
          </w:p>
        </w:tc>
        <w:tc>
          <w:tcPr>
            <w:tcW w:w="639" w:type="dxa"/>
            <w:tcBorders>
              <w:top w:val="nil"/>
              <w:left w:val="nil"/>
              <w:bottom w:val="double" w:sz="6" w:space="0" w:color="auto"/>
              <w:right w:val="double" w:sz="6" w:space="0" w:color="auto"/>
            </w:tcBorders>
            <w:shd w:val="clear" w:color="000000" w:fill="F2F2F2"/>
            <w:noWrap/>
            <w:tcMar>
              <w:left w:w="72" w:type="dxa"/>
              <w:right w:w="72" w:type="dxa"/>
            </w:tcMar>
            <w:vAlign w:val="center"/>
            <w:hideMark/>
          </w:tcPr>
          <w:p w14:paraId="0A3DF436"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w:t>
            </w:r>
          </w:p>
        </w:tc>
        <w:tc>
          <w:tcPr>
            <w:tcW w:w="804" w:type="dxa"/>
            <w:tcBorders>
              <w:top w:val="nil"/>
              <w:left w:val="nil"/>
              <w:bottom w:val="double" w:sz="6" w:space="0" w:color="auto"/>
              <w:right w:val="double" w:sz="6" w:space="0" w:color="auto"/>
            </w:tcBorders>
            <w:shd w:val="clear" w:color="000000" w:fill="F2F2F2"/>
            <w:noWrap/>
            <w:tcMar>
              <w:left w:w="72" w:type="dxa"/>
              <w:right w:w="72" w:type="dxa"/>
            </w:tcMar>
            <w:vAlign w:val="center"/>
            <w:hideMark/>
          </w:tcPr>
          <w:p w14:paraId="05CE73E4"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w:t>
            </w:r>
          </w:p>
        </w:tc>
        <w:tc>
          <w:tcPr>
            <w:tcW w:w="2020" w:type="dxa"/>
            <w:tcBorders>
              <w:top w:val="nil"/>
              <w:left w:val="nil"/>
              <w:bottom w:val="double" w:sz="6" w:space="0" w:color="auto"/>
              <w:right w:val="nil"/>
            </w:tcBorders>
            <w:shd w:val="clear" w:color="000000" w:fill="F2F2F2"/>
            <w:noWrap/>
            <w:tcMar>
              <w:left w:w="72" w:type="dxa"/>
              <w:right w:w="72" w:type="dxa"/>
            </w:tcMar>
            <w:vAlign w:val="center"/>
            <w:hideMark/>
          </w:tcPr>
          <w:p w14:paraId="5C40B51D" w14:textId="77777777" w:rsidR="00824E93" w:rsidRPr="00884CAC" w:rsidRDefault="00824E93" w:rsidP="00C335DA">
            <w:pPr>
              <w:jc w:val="left"/>
              <w:rPr>
                <w:rFonts w:eastAsia="Times New Roman"/>
                <w:b/>
                <w:bCs/>
                <w:i/>
                <w:iCs/>
                <w:color w:val="000000"/>
                <w:sz w:val="22"/>
                <w:szCs w:val="22"/>
              </w:rPr>
            </w:pPr>
            <w:r w:rsidRPr="00884CAC">
              <w:rPr>
                <w:rFonts w:eastAsia="Times New Roman"/>
                <w:b/>
                <w:bCs/>
                <w:i/>
                <w:iCs/>
                <w:color w:val="000000"/>
                <w:sz w:val="22"/>
                <w:szCs w:val="22"/>
              </w:rPr>
              <w:t>Household type</w:t>
            </w:r>
          </w:p>
        </w:tc>
        <w:tc>
          <w:tcPr>
            <w:tcW w:w="731" w:type="dxa"/>
            <w:tcBorders>
              <w:top w:val="nil"/>
              <w:left w:val="nil"/>
              <w:bottom w:val="double" w:sz="6" w:space="0" w:color="auto"/>
              <w:right w:val="nil"/>
            </w:tcBorders>
            <w:shd w:val="clear" w:color="000000" w:fill="F2F2F2"/>
            <w:noWrap/>
            <w:tcMar>
              <w:left w:w="72" w:type="dxa"/>
              <w:right w:w="72" w:type="dxa"/>
            </w:tcMar>
            <w:vAlign w:val="center"/>
            <w:hideMark/>
          </w:tcPr>
          <w:p w14:paraId="3970F7B9"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Count</w:t>
            </w:r>
          </w:p>
        </w:tc>
        <w:tc>
          <w:tcPr>
            <w:tcW w:w="639" w:type="dxa"/>
            <w:tcBorders>
              <w:top w:val="nil"/>
              <w:left w:val="nil"/>
              <w:bottom w:val="double" w:sz="6" w:space="0" w:color="auto"/>
              <w:right w:val="double" w:sz="6" w:space="0" w:color="auto"/>
            </w:tcBorders>
            <w:shd w:val="clear" w:color="000000" w:fill="F2F2F2"/>
            <w:noWrap/>
            <w:tcMar>
              <w:left w:w="72" w:type="dxa"/>
              <w:right w:w="72" w:type="dxa"/>
            </w:tcMar>
            <w:vAlign w:val="center"/>
            <w:hideMark/>
          </w:tcPr>
          <w:p w14:paraId="3DDC340C"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w:t>
            </w:r>
          </w:p>
        </w:tc>
        <w:tc>
          <w:tcPr>
            <w:tcW w:w="646" w:type="dxa"/>
            <w:tcBorders>
              <w:top w:val="nil"/>
              <w:left w:val="nil"/>
              <w:bottom w:val="double" w:sz="6" w:space="0" w:color="auto"/>
              <w:right w:val="double" w:sz="6" w:space="0" w:color="auto"/>
            </w:tcBorders>
            <w:shd w:val="clear" w:color="000000" w:fill="F2F2F2"/>
            <w:noWrap/>
            <w:tcMar>
              <w:left w:w="72" w:type="dxa"/>
              <w:right w:w="72" w:type="dxa"/>
            </w:tcMar>
            <w:vAlign w:val="center"/>
            <w:hideMark/>
          </w:tcPr>
          <w:p w14:paraId="43C580E8"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w:t>
            </w:r>
          </w:p>
        </w:tc>
      </w:tr>
      <w:tr w:rsidR="00824E93" w:rsidRPr="00884CAC" w14:paraId="348C9632" w14:textId="77777777" w:rsidTr="00824E93">
        <w:trPr>
          <w:trHeight w:val="20"/>
          <w:jc w:val="center"/>
        </w:trPr>
        <w:tc>
          <w:tcPr>
            <w:tcW w:w="3307" w:type="dxa"/>
            <w:tcBorders>
              <w:top w:val="nil"/>
              <w:left w:val="double" w:sz="6" w:space="0" w:color="auto"/>
              <w:bottom w:val="nil"/>
              <w:right w:val="nil"/>
            </w:tcBorders>
            <w:shd w:val="clear" w:color="auto" w:fill="auto"/>
            <w:noWrap/>
            <w:tcMar>
              <w:left w:w="72" w:type="dxa"/>
              <w:right w:w="72" w:type="dxa"/>
            </w:tcMar>
            <w:vAlign w:val="center"/>
            <w:hideMark/>
          </w:tcPr>
          <w:p w14:paraId="13E76B7A"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Single adult - No children</w:t>
            </w:r>
          </w:p>
        </w:tc>
        <w:tc>
          <w:tcPr>
            <w:tcW w:w="731" w:type="dxa"/>
            <w:tcBorders>
              <w:top w:val="nil"/>
              <w:left w:val="nil"/>
              <w:bottom w:val="nil"/>
              <w:right w:val="nil"/>
            </w:tcBorders>
            <w:shd w:val="clear" w:color="auto" w:fill="auto"/>
            <w:noWrap/>
            <w:tcMar>
              <w:left w:w="72" w:type="dxa"/>
              <w:right w:w="72" w:type="dxa"/>
            </w:tcMar>
            <w:vAlign w:val="center"/>
            <w:hideMark/>
          </w:tcPr>
          <w:p w14:paraId="3012ED74"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328</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612C5594"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46.52</w:t>
            </w:r>
          </w:p>
        </w:tc>
        <w:tc>
          <w:tcPr>
            <w:tcW w:w="804" w:type="dxa"/>
            <w:tcBorders>
              <w:top w:val="nil"/>
              <w:left w:val="nil"/>
              <w:bottom w:val="nil"/>
              <w:right w:val="double" w:sz="6" w:space="0" w:color="auto"/>
            </w:tcBorders>
            <w:shd w:val="clear" w:color="auto" w:fill="auto"/>
            <w:noWrap/>
            <w:tcMar>
              <w:left w:w="72" w:type="dxa"/>
              <w:right w:w="72" w:type="dxa"/>
            </w:tcMar>
            <w:vAlign w:val="center"/>
            <w:hideMark/>
          </w:tcPr>
          <w:p w14:paraId="7CDBF1D1"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27.46</w:t>
            </w:r>
          </w:p>
        </w:tc>
        <w:tc>
          <w:tcPr>
            <w:tcW w:w="2020" w:type="dxa"/>
            <w:tcBorders>
              <w:top w:val="nil"/>
              <w:left w:val="nil"/>
              <w:bottom w:val="nil"/>
              <w:right w:val="nil"/>
            </w:tcBorders>
            <w:shd w:val="clear" w:color="auto" w:fill="auto"/>
            <w:noWrap/>
            <w:tcMar>
              <w:left w:w="72" w:type="dxa"/>
              <w:right w:w="72" w:type="dxa"/>
            </w:tcMar>
            <w:vAlign w:val="center"/>
            <w:hideMark/>
          </w:tcPr>
          <w:p w14:paraId="1CD8E413"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Detached house</w:t>
            </w:r>
          </w:p>
        </w:tc>
        <w:tc>
          <w:tcPr>
            <w:tcW w:w="731" w:type="dxa"/>
            <w:tcBorders>
              <w:top w:val="nil"/>
              <w:left w:val="nil"/>
              <w:bottom w:val="nil"/>
              <w:right w:val="nil"/>
            </w:tcBorders>
            <w:shd w:val="clear" w:color="auto" w:fill="auto"/>
            <w:noWrap/>
            <w:tcMar>
              <w:left w:w="72" w:type="dxa"/>
              <w:right w:w="72" w:type="dxa"/>
            </w:tcMar>
            <w:vAlign w:val="center"/>
            <w:hideMark/>
          </w:tcPr>
          <w:p w14:paraId="47B27E33"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165</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25A04771"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23.40</w:t>
            </w:r>
          </w:p>
        </w:tc>
        <w:tc>
          <w:tcPr>
            <w:tcW w:w="646" w:type="dxa"/>
            <w:tcBorders>
              <w:top w:val="nil"/>
              <w:left w:val="nil"/>
              <w:bottom w:val="nil"/>
              <w:right w:val="double" w:sz="6" w:space="0" w:color="auto"/>
            </w:tcBorders>
            <w:shd w:val="clear" w:color="auto" w:fill="auto"/>
            <w:noWrap/>
            <w:tcMar>
              <w:left w:w="72" w:type="dxa"/>
              <w:right w:w="72" w:type="dxa"/>
            </w:tcMar>
            <w:vAlign w:val="center"/>
            <w:hideMark/>
          </w:tcPr>
          <w:p w14:paraId="10E17685"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59.78</w:t>
            </w:r>
          </w:p>
        </w:tc>
      </w:tr>
      <w:tr w:rsidR="00824E93" w:rsidRPr="00884CAC" w14:paraId="75B057D9" w14:textId="77777777" w:rsidTr="00824E93">
        <w:trPr>
          <w:trHeight w:val="20"/>
          <w:jc w:val="center"/>
        </w:trPr>
        <w:tc>
          <w:tcPr>
            <w:tcW w:w="3307" w:type="dxa"/>
            <w:tcBorders>
              <w:top w:val="nil"/>
              <w:left w:val="double" w:sz="6" w:space="0" w:color="auto"/>
              <w:bottom w:val="nil"/>
              <w:right w:val="nil"/>
            </w:tcBorders>
            <w:shd w:val="clear" w:color="auto" w:fill="auto"/>
            <w:noWrap/>
            <w:tcMar>
              <w:left w:w="72" w:type="dxa"/>
              <w:right w:w="72" w:type="dxa"/>
            </w:tcMar>
            <w:vAlign w:val="center"/>
            <w:hideMark/>
          </w:tcPr>
          <w:p w14:paraId="106AD9C1"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Single adult - With children</w:t>
            </w:r>
          </w:p>
        </w:tc>
        <w:tc>
          <w:tcPr>
            <w:tcW w:w="731" w:type="dxa"/>
            <w:tcBorders>
              <w:top w:val="nil"/>
              <w:left w:val="nil"/>
              <w:bottom w:val="nil"/>
              <w:right w:val="nil"/>
            </w:tcBorders>
            <w:shd w:val="clear" w:color="auto" w:fill="auto"/>
            <w:noWrap/>
            <w:tcMar>
              <w:left w:w="72" w:type="dxa"/>
              <w:right w:w="72" w:type="dxa"/>
            </w:tcMar>
            <w:vAlign w:val="center"/>
            <w:hideMark/>
          </w:tcPr>
          <w:p w14:paraId="6E306F91"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20</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5334FF31"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2.84</w:t>
            </w:r>
          </w:p>
        </w:tc>
        <w:tc>
          <w:tcPr>
            <w:tcW w:w="804" w:type="dxa"/>
            <w:tcBorders>
              <w:top w:val="nil"/>
              <w:left w:val="nil"/>
              <w:bottom w:val="nil"/>
              <w:right w:val="double" w:sz="6" w:space="0" w:color="auto"/>
            </w:tcBorders>
            <w:shd w:val="clear" w:color="auto" w:fill="auto"/>
            <w:noWrap/>
            <w:tcMar>
              <w:left w:w="72" w:type="dxa"/>
              <w:right w:w="72" w:type="dxa"/>
            </w:tcMar>
            <w:vAlign w:val="center"/>
            <w:hideMark/>
          </w:tcPr>
          <w:p w14:paraId="332EDBD6"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1.84</w:t>
            </w:r>
          </w:p>
        </w:tc>
        <w:tc>
          <w:tcPr>
            <w:tcW w:w="2020" w:type="dxa"/>
            <w:tcBorders>
              <w:top w:val="nil"/>
              <w:left w:val="nil"/>
              <w:bottom w:val="nil"/>
              <w:right w:val="nil"/>
            </w:tcBorders>
            <w:shd w:val="clear" w:color="auto" w:fill="auto"/>
            <w:tcMar>
              <w:left w:w="72" w:type="dxa"/>
              <w:right w:w="72" w:type="dxa"/>
            </w:tcMar>
            <w:vAlign w:val="center"/>
            <w:hideMark/>
          </w:tcPr>
          <w:p w14:paraId="27B45CD6"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Attached house</w:t>
            </w:r>
          </w:p>
        </w:tc>
        <w:tc>
          <w:tcPr>
            <w:tcW w:w="731" w:type="dxa"/>
            <w:tcBorders>
              <w:top w:val="nil"/>
              <w:left w:val="nil"/>
              <w:bottom w:val="nil"/>
              <w:right w:val="nil"/>
            </w:tcBorders>
            <w:shd w:val="clear" w:color="auto" w:fill="auto"/>
            <w:noWrap/>
            <w:tcMar>
              <w:left w:w="72" w:type="dxa"/>
              <w:right w:w="72" w:type="dxa"/>
            </w:tcMar>
            <w:vAlign w:val="center"/>
            <w:hideMark/>
          </w:tcPr>
          <w:p w14:paraId="4D5A4B25"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66</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1C019645"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9.36</w:t>
            </w:r>
          </w:p>
        </w:tc>
        <w:tc>
          <w:tcPr>
            <w:tcW w:w="646" w:type="dxa"/>
            <w:tcBorders>
              <w:top w:val="nil"/>
              <w:left w:val="nil"/>
              <w:bottom w:val="nil"/>
              <w:right w:val="double" w:sz="6" w:space="0" w:color="auto"/>
            </w:tcBorders>
            <w:shd w:val="clear" w:color="auto" w:fill="auto"/>
            <w:noWrap/>
            <w:tcMar>
              <w:left w:w="72" w:type="dxa"/>
              <w:right w:w="72" w:type="dxa"/>
            </w:tcMar>
            <w:vAlign w:val="center"/>
            <w:hideMark/>
          </w:tcPr>
          <w:p w14:paraId="03EEA804"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7.27</w:t>
            </w:r>
          </w:p>
        </w:tc>
      </w:tr>
      <w:tr w:rsidR="00824E93" w:rsidRPr="00884CAC" w14:paraId="79F8E8EC" w14:textId="77777777" w:rsidTr="00824E93">
        <w:trPr>
          <w:trHeight w:val="20"/>
          <w:jc w:val="center"/>
        </w:trPr>
        <w:tc>
          <w:tcPr>
            <w:tcW w:w="3307" w:type="dxa"/>
            <w:tcBorders>
              <w:top w:val="nil"/>
              <w:left w:val="double" w:sz="6" w:space="0" w:color="auto"/>
              <w:bottom w:val="nil"/>
              <w:right w:val="nil"/>
            </w:tcBorders>
            <w:shd w:val="clear" w:color="auto" w:fill="auto"/>
            <w:tcMar>
              <w:left w:w="72" w:type="dxa"/>
              <w:right w:w="72" w:type="dxa"/>
            </w:tcMar>
            <w:vAlign w:val="center"/>
            <w:hideMark/>
          </w:tcPr>
          <w:p w14:paraId="09271B18"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Two or more adults - No children</w:t>
            </w:r>
          </w:p>
        </w:tc>
        <w:tc>
          <w:tcPr>
            <w:tcW w:w="731" w:type="dxa"/>
            <w:tcBorders>
              <w:top w:val="nil"/>
              <w:left w:val="nil"/>
              <w:bottom w:val="nil"/>
              <w:right w:val="nil"/>
            </w:tcBorders>
            <w:shd w:val="clear" w:color="auto" w:fill="auto"/>
            <w:noWrap/>
            <w:tcMar>
              <w:left w:w="72" w:type="dxa"/>
              <w:right w:w="72" w:type="dxa"/>
            </w:tcMar>
            <w:vAlign w:val="center"/>
            <w:hideMark/>
          </w:tcPr>
          <w:p w14:paraId="3C47138D"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263</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0DC5EC08"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37.30</w:t>
            </w:r>
          </w:p>
        </w:tc>
        <w:tc>
          <w:tcPr>
            <w:tcW w:w="804" w:type="dxa"/>
            <w:tcBorders>
              <w:top w:val="nil"/>
              <w:left w:val="nil"/>
              <w:bottom w:val="nil"/>
              <w:right w:val="double" w:sz="6" w:space="0" w:color="auto"/>
            </w:tcBorders>
            <w:shd w:val="clear" w:color="auto" w:fill="auto"/>
            <w:noWrap/>
            <w:tcMar>
              <w:left w:w="72" w:type="dxa"/>
              <w:right w:w="72" w:type="dxa"/>
            </w:tcMar>
            <w:vAlign w:val="center"/>
            <w:hideMark/>
          </w:tcPr>
          <w:p w14:paraId="7CFCA048"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44.64</w:t>
            </w:r>
          </w:p>
        </w:tc>
        <w:tc>
          <w:tcPr>
            <w:tcW w:w="2020" w:type="dxa"/>
            <w:tcBorders>
              <w:top w:val="nil"/>
              <w:left w:val="nil"/>
              <w:bottom w:val="nil"/>
              <w:right w:val="nil"/>
            </w:tcBorders>
            <w:shd w:val="clear" w:color="auto" w:fill="auto"/>
            <w:noWrap/>
            <w:tcMar>
              <w:left w:w="72" w:type="dxa"/>
              <w:right w:w="72" w:type="dxa"/>
            </w:tcMar>
            <w:vAlign w:val="center"/>
            <w:hideMark/>
          </w:tcPr>
          <w:p w14:paraId="029DDEE6"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Apartments/condos</w:t>
            </w:r>
          </w:p>
        </w:tc>
        <w:tc>
          <w:tcPr>
            <w:tcW w:w="731" w:type="dxa"/>
            <w:tcBorders>
              <w:top w:val="nil"/>
              <w:left w:val="nil"/>
              <w:bottom w:val="nil"/>
              <w:right w:val="nil"/>
            </w:tcBorders>
            <w:shd w:val="clear" w:color="auto" w:fill="auto"/>
            <w:noWrap/>
            <w:tcMar>
              <w:left w:w="72" w:type="dxa"/>
              <w:right w:w="72" w:type="dxa"/>
            </w:tcMar>
            <w:vAlign w:val="center"/>
            <w:hideMark/>
          </w:tcPr>
          <w:p w14:paraId="7D7CD107"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469</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386BF195"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66.52</w:t>
            </w:r>
          </w:p>
        </w:tc>
        <w:tc>
          <w:tcPr>
            <w:tcW w:w="646" w:type="dxa"/>
            <w:tcBorders>
              <w:top w:val="nil"/>
              <w:left w:val="nil"/>
              <w:bottom w:val="nil"/>
              <w:right w:val="double" w:sz="6" w:space="0" w:color="auto"/>
            </w:tcBorders>
            <w:shd w:val="clear" w:color="auto" w:fill="auto"/>
            <w:noWrap/>
            <w:tcMar>
              <w:left w:w="72" w:type="dxa"/>
              <w:right w:w="72" w:type="dxa"/>
            </w:tcMar>
            <w:vAlign w:val="center"/>
            <w:hideMark/>
          </w:tcPr>
          <w:p w14:paraId="201FAB3C"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31.33</w:t>
            </w:r>
          </w:p>
        </w:tc>
      </w:tr>
      <w:tr w:rsidR="00824E93" w:rsidRPr="00884CAC" w14:paraId="1656CBEF" w14:textId="77777777" w:rsidTr="00824E93">
        <w:trPr>
          <w:trHeight w:val="20"/>
          <w:jc w:val="center"/>
        </w:trPr>
        <w:tc>
          <w:tcPr>
            <w:tcW w:w="3307" w:type="dxa"/>
            <w:tcBorders>
              <w:top w:val="nil"/>
              <w:left w:val="double" w:sz="6" w:space="0" w:color="auto"/>
              <w:bottom w:val="nil"/>
              <w:right w:val="nil"/>
            </w:tcBorders>
            <w:shd w:val="clear" w:color="auto" w:fill="auto"/>
            <w:tcMar>
              <w:left w:w="72" w:type="dxa"/>
              <w:right w:w="72" w:type="dxa"/>
            </w:tcMar>
            <w:vAlign w:val="center"/>
            <w:hideMark/>
          </w:tcPr>
          <w:p w14:paraId="5D0C948D"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Two or more adults - With children</w:t>
            </w:r>
          </w:p>
        </w:tc>
        <w:tc>
          <w:tcPr>
            <w:tcW w:w="731" w:type="dxa"/>
            <w:tcBorders>
              <w:top w:val="nil"/>
              <w:left w:val="nil"/>
              <w:bottom w:val="nil"/>
              <w:right w:val="nil"/>
            </w:tcBorders>
            <w:shd w:val="clear" w:color="auto" w:fill="auto"/>
            <w:noWrap/>
            <w:tcMar>
              <w:left w:w="72" w:type="dxa"/>
              <w:right w:w="72" w:type="dxa"/>
            </w:tcMar>
            <w:vAlign w:val="center"/>
            <w:hideMark/>
          </w:tcPr>
          <w:p w14:paraId="46ABD7F0"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94</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4987EF8C"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13.34</w:t>
            </w:r>
          </w:p>
        </w:tc>
        <w:tc>
          <w:tcPr>
            <w:tcW w:w="804" w:type="dxa"/>
            <w:tcBorders>
              <w:top w:val="nil"/>
              <w:left w:val="nil"/>
              <w:bottom w:val="double" w:sz="6" w:space="0" w:color="auto"/>
              <w:right w:val="double" w:sz="6" w:space="0" w:color="auto"/>
            </w:tcBorders>
            <w:shd w:val="clear" w:color="auto" w:fill="auto"/>
            <w:noWrap/>
            <w:tcMar>
              <w:left w:w="72" w:type="dxa"/>
              <w:right w:w="72" w:type="dxa"/>
            </w:tcMar>
            <w:vAlign w:val="center"/>
            <w:hideMark/>
          </w:tcPr>
          <w:p w14:paraId="7EFDB422"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26.06</w:t>
            </w:r>
          </w:p>
        </w:tc>
        <w:tc>
          <w:tcPr>
            <w:tcW w:w="2020" w:type="dxa"/>
            <w:tcBorders>
              <w:top w:val="nil"/>
              <w:left w:val="nil"/>
              <w:bottom w:val="double" w:sz="6" w:space="0" w:color="auto"/>
              <w:right w:val="nil"/>
            </w:tcBorders>
            <w:shd w:val="clear" w:color="auto" w:fill="auto"/>
            <w:noWrap/>
            <w:tcMar>
              <w:left w:w="72" w:type="dxa"/>
              <w:right w:w="72" w:type="dxa"/>
            </w:tcMar>
            <w:vAlign w:val="center"/>
            <w:hideMark/>
          </w:tcPr>
          <w:p w14:paraId="65F47A3B"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Other</w:t>
            </w:r>
          </w:p>
        </w:tc>
        <w:tc>
          <w:tcPr>
            <w:tcW w:w="731" w:type="dxa"/>
            <w:tcBorders>
              <w:top w:val="nil"/>
              <w:left w:val="nil"/>
              <w:bottom w:val="double" w:sz="6" w:space="0" w:color="auto"/>
              <w:right w:val="nil"/>
            </w:tcBorders>
            <w:shd w:val="clear" w:color="auto" w:fill="auto"/>
            <w:noWrap/>
            <w:tcMar>
              <w:left w:w="72" w:type="dxa"/>
              <w:right w:w="72" w:type="dxa"/>
            </w:tcMar>
            <w:vAlign w:val="center"/>
            <w:hideMark/>
          </w:tcPr>
          <w:p w14:paraId="6F020944"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5</w:t>
            </w:r>
          </w:p>
        </w:tc>
        <w:tc>
          <w:tcPr>
            <w:tcW w:w="639" w:type="dxa"/>
            <w:tcBorders>
              <w:top w:val="nil"/>
              <w:left w:val="nil"/>
              <w:bottom w:val="double" w:sz="6" w:space="0" w:color="auto"/>
              <w:right w:val="double" w:sz="6" w:space="0" w:color="auto"/>
            </w:tcBorders>
            <w:shd w:val="clear" w:color="auto" w:fill="auto"/>
            <w:noWrap/>
            <w:tcMar>
              <w:left w:w="72" w:type="dxa"/>
              <w:right w:w="72" w:type="dxa"/>
            </w:tcMar>
            <w:vAlign w:val="center"/>
            <w:hideMark/>
          </w:tcPr>
          <w:p w14:paraId="3C2A5BC2"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0.72</w:t>
            </w:r>
          </w:p>
        </w:tc>
        <w:tc>
          <w:tcPr>
            <w:tcW w:w="646" w:type="dxa"/>
            <w:tcBorders>
              <w:top w:val="nil"/>
              <w:left w:val="nil"/>
              <w:bottom w:val="nil"/>
              <w:right w:val="double" w:sz="6" w:space="0" w:color="auto"/>
            </w:tcBorders>
            <w:shd w:val="clear" w:color="auto" w:fill="auto"/>
            <w:noWrap/>
            <w:tcMar>
              <w:left w:w="72" w:type="dxa"/>
              <w:right w:w="72" w:type="dxa"/>
            </w:tcMar>
            <w:vAlign w:val="center"/>
            <w:hideMark/>
          </w:tcPr>
          <w:p w14:paraId="400EE43D"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1.62</w:t>
            </w:r>
          </w:p>
        </w:tc>
      </w:tr>
      <w:tr w:rsidR="00824E93" w:rsidRPr="00884CAC" w14:paraId="53F37C5F" w14:textId="77777777" w:rsidTr="00824E93">
        <w:trPr>
          <w:trHeight w:val="20"/>
          <w:jc w:val="center"/>
        </w:trPr>
        <w:tc>
          <w:tcPr>
            <w:tcW w:w="3307" w:type="dxa"/>
            <w:tcBorders>
              <w:top w:val="double" w:sz="6" w:space="0" w:color="auto"/>
              <w:left w:val="double" w:sz="6" w:space="0" w:color="auto"/>
              <w:bottom w:val="double" w:sz="6" w:space="0" w:color="auto"/>
              <w:right w:val="nil"/>
            </w:tcBorders>
            <w:shd w:val="clear" w:color="000000" w:fill="F2F2F2"/>
            <w:tcMar>
              <w:left w:w="72" w:type="dxa"/>
              <w:right w:w="72" w:type="dxa"/>
            </w:tcMar>
            <w:vAlign w:val="center"/>
            <w:hideMark/>
          </w:tcPr>
          <w:p w14:paraId="1ADA4626" w14:textId="77777777" w:rsidR="00824E93" w:rsidRPr="00884CAC" w:rsidRDefault="00824E93" w:rsidP="00C335DA">
            <w:pPr>
              <w:jc w:val="left"/>
              <w:rPr>
                <w:rFonts w:eastAsia="Times New Roman"/>
                <w:b/>
                <w:bCs/>
                <w:i/>
                <w:iCs/>
                <w:color w:val="000000"/>
                <w:sz w:val="22"/>
                <w:szCs w:val="22"/>
              </w:rPr>
            </w:pPr>
            <w:r w:rsidRPr="00884CAC">
              <w:rPr>
                <w:rFonts w:eastAsia="Times New Roman"/>
                <w:b/>
                <w:bCs/>
                <w:i/>
                <w:iCs/>
                <w:color w:val="000000"/>
                <w:sz w:val="22"/>
                <w:szCs w:val="22"/>
              </w:rPr>
              <w:t>Employment status</w:t>
            </w:r>
          </w:p>
        </w:tc>
        <w:tc>
          <w:tcPr>
            <w:tcW w:w="731" w:type="dxa"/>
            <w:tcBorders>
              <w:top w:val="double" w:sz="6" w:space="0" w:color="auto"/>
              <w:left w:val="nil"/>
              <w:bottom w:val="double" w:sz="6" w:space="0" w:color="auto"/>
              <w:right w:val="nil"/>
            </w:tcBorders>
            <w:shd w:val="clear" w:color="000000" w:fill="F2F2F2"/>
            <w:noWrap/>
            <w:tcMar>
              <w:left w:w="72" w:type="dxa"/>
              <w:right w:w="72" w:type="dxa"/>
            </w:tcMar>
            <w:vAlign w:val="center"/>
            <w:hideMark/>
          </w:tcPr>
          <w:p w14:paraId="42C1EDBB"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Count</w:t>
            </w:r>
          </w:p>
        </w:tc>
        <w:tc>
          <w:tcPr>
            <w:tcW w:w="639" w:type="dxa"/>
            <w:tcBorders>
              <w:top w:val="double" w:sz="6" w:space="0" w:color="auto"/>
              <w:left w:val="nil"/>
              <w:bottom w:val="double" w:sz="6" w:space="0" w:color="auto"/>
              <w:right w:val="double" w:sz="6" w:space="0" w:color="auto"/>
            </w:tcBorders>
            <w:shd w:val="clear" w:color="000000" w:fill="F2F2F2"/>
            <w:noWrap/>
            <w:tcMar>
              <w:left w:w="72" w:type="dxa"/>
              <w:right w:w="72" w:type="dxa"/>
            </w:tcMar>
            <w:vAlign w:val="center"/>
            <w:hideMark/>
          </w:tcPr>
          <w:p w14:paraId="24C9F52E"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w:t>
            </w:r>
          </w:p>
        </w:tc>
        <w:tc>
          <w:tcPr>
            <w:tcW w:w="804" w:type="dxa"/>
            <w:tcBorders>
              <w:top w:val="nil"/>
              <w:left w:val="nil"/>
              <w:bottom w:val="double" w:sz="6" w:space="0" w:color="auto"/>
              <w:right w:val="double" w:sz="6" w:space="0" w:color="auto"/>
            </w:tcBorders>
            <w:shd w:val="clear" w:color="000000" w:fill="F2F2F2"/>
            <w:noWrap/>
            <w:tcMar>
              <w:left w:w="72" w:type="dxa"/>
              <w:right w:w="72" w:type="dxa"/>
            </w:tcMar>
            <w:vAlign w:val="center"/>
            <w:hideMark/>
          </w:tcPr>
          <w:p w14:paraId="72CF9BCE"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w:t>
            </w:r>
          </w:p>
        </w:tc>
        <w:tc>
          <w:tcPr>
            <w:tcW w:w="2020" w:type="dxa"/>
            <w:tcBorders>
              <w:top w:val="nil"/>
              <w:left w:val="nil"/>
              <w:bottom w:val="double" w:sz="6" w:space="0" w:color="auto"/>
              <w:right w:val="nil"/>
            </w:tcBorders>
            <w:shd w:val="clear" w:color="000000" w:fill="F2F2F2"/>
            <w:noWrap/>
            <w:tcMar>
              <w:left w:w="72" w:type="dxa"/>
              <w:right w:w="72" w:type="dxa"/>
            </w:tcMar>
            <w:vAlign w:val="center"/>
            <w:hideMark/>
          </w:tcPr>
          <w:p w14:paraId="21993396" w14:textId="77777777" w:rsidR="00824E93" w:rsidRPr="00884CAC" w:rsidRDefault="00824E93" w:rsidP="00C335DA">
            <w:pPr>
              <w:jc w:val="left"/>
              <w:rPr>
                <w:rFonts w:eastAsia="Times New Roman"/>
                <w:b/>
                <w:bCs/>
                <w:i/>
                <w:iCs/>
                <w:color w:val="000000"/>
                <w:sz w:val="22"/>
                <w:szCs w:val="22"/>
              </w:rPr>
            </w:pPr>
            <w:r w:rsidRPr="00884CAC">
              <w:rPr>
                <w:rFonts w:eastAsia="Times New Roman"/>
                <w:b/>
                <w:bCs/>
                <w:i/>
                <w:iCs/>
                <w:color w:val="000000"/>
                <w:sz w:val="22"/>
                <w:szCs w:val="22"/>
              </w:rPr>
              <w:t>Vehicle availability</w:t>
            </w:r>
          </w:p>
        </w:tc>
        <w:tc>
          <w:tcPr>
            <w:tcW w:w="731" w:type="dxa"/>
            <w:tcBorders>
              <w:top w:val="nil"/>
              <w:left w:val="nil"/>
              <w:bottom w:val="double" w:sz="6" w:space="0" w:color="auto"/>
              <w:right w:val="nil"/>
            </w:tcBorders>
            <w:shd w:val="clear" w:color="000000" w:fill="F2F2F2"/>
            <w:noWrap/>
            <w:tcMar>
              <w:left w:w="72" w:type="dxa"/>
              <w:right w:w="72" w:type="dxa"/>
            </w:tcMar>
            <w:vAlign w:val="center"/>
            <w:hideMark/>
          </w:tcPr>
          <w:p w14:paraId="0D5CBDD0"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Count</w:t>
            </w:r>
          </w:p>
        </w:tc>
        <w:tc>
          <w:tcPr>
            <w:tcW w:w="639" w:type="dxa"/>
            <w:tcBorders>
              <w:top w:val="nil"/>
              <w:left w:val="nil"/>
              <w:bottom w:val="double" w:sz="6" w:space="0" w:color="auto"/>
              <w:right w:val="double" w:sz="6" w:space="0" w:color="auto"/>
            </w:tcBorders>
            <w:shd w:val="clear" w:color="000000" w:fill="F2F2F2"/>
            <w:noWrap/>
            <w:tcMar>
              <w:left w:w="72" w:type="dxa"/>
              <w:right w:w="72" w:type="dxa"/>
            </w:tcMar>
            <w:vAlign w:val="center"/>
            <w:hideMark/>
          </w:tcPr>
          <w:p w14:paraId="39EA9081"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w:t>
            </w:r>
          </w:p>
        </w:tc>
        <w:tc>
          <w:tcPr>
            <w:tcW w:w="646" w:type="dxa"/>
            <w:tcBorders>
              <w:top w:val="double" w:sz="6" w:space="0" w:color="auto"/>
              <w:left w:val="nil"/>
              <w:bottom w:val="double" w:sz="6" w:space="0" w:color="auto"/>
              <w:right w:val="double" w:sz="6" w:space="0" w:color="auto"/>
            </w:tcBorders>
            <w:shd w:val="clear" w:color="000000" w:fill="F2F2F2"/>
            <w:noWrap/>
            <w:tcMar>
              <w:left w:w="72" w:type="dxa"/>
              <w:right w:w="72" w:type="dxa"/>
            </w:tcMar>
            <w:vAlign w:val="center"/>
            <w:hideMark/>
          </w:tcPr>
          <w:p w14:paraId="76B68AB0"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w:t>
            </w:r>
          </w:p>
        </w:tc>
      </w:tr>
      <w:tr w:rsidR="00824E93" w:rsidRPr="00884CAC" w14:paraId="5F738B3E" w14:textId="77777777" w:rsidTr="00824E93">
        <w:trPr>
          <w:trHeight w:val="20"/>
          <w:jc w:val="center"/>
        </w:trPr>
        <w:tc>
          <w:tcPr>
            <w:tcW w:w="3307" w:type="dxa"/>
            <w:tcBorders>
              <w:top w:val="nil"/>
              <w:left w:val="double" w:sz="6" w:space="0" w:color="auto"/>
              <w:bottom w:val="nil"/>
              <w:right w:val="nil"/>
            </w:tcBorders>
            <w:shd w:val="clear" w:color="auto" w:fill="auto"/>
            <w:noWrap/>
            <w:tcMar>
              <w:left w:w="72" w:type="dxa"/>
              <w:right w:w="72" w:type="dxa"/>
            </w:tcMar>
            <w:vAlign w:val="center"/>
            <w:hideMark/>
          </w:tcPr>
          <w:p w14:paraId="3EF71ADC"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No workers in household</w:t>
            </w:r>
          </w:p>
        </w:tc>
        <w:tc>
          <w:tcPr>
            <w:tcW w:w="731" w:type="dxa"/>
            <w:tcBorders>
              <w:top w:val="nil"/>
              <w:left w:val="nil"/>
              <w:bottom w:val="nil"/>
              <w:right w:val="nil"/>
            </w:tcBorders>
            <w:shd w:val="clear" w:color="auto" w:fill="auto"/>
            <w:noWrap/>
            <w:tcMar>
              <w:left w:w="72" w:type="dxa"/>
              <w:right w:w="72" w:type="dxa"/>
            </w:tcMar>
            <w:vAlign w:val="center"/>
            <w:hideMark/>
          </w:tcPr>
          <w:p w14:paraId="28CE354D"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57</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09DF9A7A"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8.09</w:t>
            </w:r>
          </w:p>
        </w:tc>
        <w:tc>
          <w:tcPr>
            <w:tcW w:w="804" w:type="dxa"/>
            <w:tcBorders>
              <w:top w:val="nil"/>
              <w:left w:val="nil"/>
              <w:bottom w:val="nil"/>
              <w:right w:val="double" w:sz="6" w:space="0" w:color="auto"/>
            </w:tcBorders>
            <w:shd w:val="clear" w:color="auto" w:fill="auto"/>
            <w:noWrap/>
            <w:tcMar>
              <w:left w:w="72" w:type="dxa"/>
              <w:right w:w="72" w:type="dxa"/>
            </w:tcMar>
            <w:vAlign w:val="center"/>
            <w:hideMark/>
          </w:tcPr>
          <w:p w14:paraId="6235E314"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21.25</w:t>
            </w:r>
          </w:p>
        </w:tc>
        <w:tc>
          <w:tcPr>
            <w:tcW w:w="2020" w:type="dxa"/>
            <w:tcBorders>
              <w:top w:val="nil"/>
              <w:left w:val="nil"/>
              <w:bottom w:val="nil"/>
              <w:right w:val="nil"/>
            </w:tcBorders>
            <w:shd w:val="clear" w:color="auto" w:fill="auto"/>
            <w:noWrap/>
            <w:tcMar>
              <w:left w:w="72" w:type="dxa"/>
              <w:right w:w="72" w:type="dxa"/>
            </w:tcMar>
            <w:vAlign w:val="center"/>
            <w:hideMark/>
          </w:tcPr>
          <w:p w14:paraId="48556F46"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None</w:t>
            </w:r>
          </w:p>
        </w:tc>
        <w:tc>
          <w:tcPr>
            <w:tcW w:w="731" w:type="dxa"/>
            <w:tcBorders>
              <w:top w:val="nil"/>
              <w:left w:val="nil"/>
              <w:bottom w:val="nil"/>
              <w:right w:val="nil"/>
            </w:tcBorders>
            <w:shd w:val="clear" w:color="auto" w:fill="auto"/>
            <w:noWrap/>
            <w:tcMar>
              <w:left w:w="72" w:type="dxa"/>
              <w:right w:w="72" w:type="dxa"/>
            </w:tcMar>
            <w:vAlign w:val="center"/>
            <w:hideMark/>
          </w:tcPr>
          <w:p w14:paraId="109AB7AF"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140</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1A857397"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19.86</w:t>
            </w:r>
          </w:p>
        </w:tc>
        <w:tc>
          <w:tcPr>
            <w:tcW w:w="646" w:type="dxa"/>
            <w:tcBorders>
              <w:top w:val="nil"/>
              <w:left w:val="nil"/>
              <w:bottom w:val="nil"/>
              <w:right w:val="double" w:sz="6" w:space="0" w:color="auto"/>
            </w:tcBorders>
            <w:shd w:val="clear" w:color="auto" w:fill="auto"/>
            <w:noWrap/>
            <w:tcMar>
              <w:left w:w="72" w:type="dxa"/>
              <w:right w:w="72" w:type="dxa"/>
            </w:tcMar>
            <w:vAlign w:val="center"/>
            <w:hideMark/>
          </w:tcPr>
          <w:p w14:paraId="0CB0387B"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8.29</w:t>
            </w:r>
          </w:p>
        </w:tc>
      </w:tr>
      <w:tr w:rsidR="00824E93" w:rsidRPr="00884CAC" w14:paraId="44632F3E" w14:textId="77777777" w:rsidTr="00824E93">
        <w:trPr>
          <w:trHeight w:val="20"/>
          <w:jc w:val="center"/>
        </w:trPr>
        <w:tc>
          <w:tcPr>
            <w:tcW w:w="3307" w:type="dxa"/>
            <w:tcBorders>
              <w:top w:val="nil"/>
              <w:left w:val="double" w:sz="6" w:space="0" w:color="auto"/>
              <w:bottom w:val="nil"/>
              <w:right w:val="nil"/>
            </w:tcBorders>
            <w:shd w:val="clear" w:color="auto" w:fill="auto"/>
            <w:tcMar>
              <w:left w:w="72" w:type="dxa"/>
              <w:right w:w="72" w:type="dxa"/>
            </w:tcMar>
            <w:vAlign w:val="center"/>
            <w:hideMark/>
          </w:tcPr>
          <w:p w14:paraId="6EB1AB14"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Single worker in household</w:t>
            </w:r>
          </w:p>
        </w:tc>
        <w:tc>
          <w:tcPr>
            <w:tcW w:w="731" w:type="dxa"/>
            <w:tcBorders>
              <w:top w:val="nil"/>
              <w:left w:val="nil"/>
              <w:bottom w:val="nil"/>
              <w:right w:val="nil"/>
            </w:tcBorders>
            <w:shd w:val="clear" w:color="auto" w:fill="auto"/>
            <w:noWrap/>
            <w:tcMar>
              <w:left w:w="72" w:type="dxa"/>
              <w:right w:w="72" w:type="dxa"/>
            </w:tcMar>
            <w:vAlign w:val="center"/>
            <w:hideMark/>
          </w:tcPr>
          <w:p w14:paraId="30FD0B23"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406</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76A114B4"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57.59</w:t>
            </w:r>
          </w:p>
        </w:tc>
        <w:tc>
          <w:tcPr>
            <w:tcW w:w="804" w:type="dxa"/>
            <w:tcBorders>
              <w:top w:val="nil"/>
              <w:left w:val="nil"/>
              <w:bottom w:val="nil"/>
              <w:right w:val="double" w:sz="6" w:space="0" w:color="auto"/>
            </w:tcBorders>
            <w:shd w:val="clear" w:color="auto" w:fill="auto"/>
            <w:noWrap/>
            <w:tcMar>
              <w:left w:w="72" w:type="dxa"/>
              <w:right w:w="72" w:type="dxa"/>
            </w:tcMar>
            <w:vAlign w:val="center"/>
            <w:hideMark/>
          </w:tcPr>
          <w:p w14:paraId="1CA4392D"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39.26</w:t>
            </w:r>
          </w:p>
        </w:tc>
        <w:tc>
          <w:tcPr>
            <w:tcW w:w="2020" w:type="dxa"/>
            <w:tcBorders>
              <w:top w:val="nil"/>
              <w:left w:val="nil"/>
              <w:bottom w:val="nil"/>
              <w:right w:val="nil"/>
            </w:tcBorders>
            <w:shd w:val="clear" w:color="auto" w:fill="auto"/>
            <w:tcMar>
              <w:left w:w="72" w:type="dxa"/>
              <w:right w:w="72" w:type="dxa"/>
            </w:tcMar>
            <w:vAlign w:val="center"/>
            <w:hideMark/>
          </w:tcPr>
          <w:p w14:paraId="63322985"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&lt; 1 per adult</w:t>
            </w:r>
          </w:p>
        </w:tc>
        <w:tc>
          <w:tcPr>
            <w:tcW w:w="731" w:type="dxa"/>
            <w:tcBorders>
              <w:top w:val="nil"/>
              <w:left w:val="nil"/>
              <w:bottom w:val="nil"/>
              <w:right w:val="nil"/>
            </w:tcBorders>
            <w:shd w:val="clear" w:color="auto" w:fill="auto"/>
            <w:noWrap/>
            <w:tcMar>
              <w:left w:w="72" w:type="dxa"/>
              <w:right w:w="72" w:type="dxa"/>
            </w:tcMar>
            <w:vAlign w:val="center"/>
            <w:hideMark/>
          </w:tcPr>
          <w:p w14:paraId="166FB9AC"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154</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5732B39B"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21.84</w:t>
            </w:r>
          </w:p>
        </w:tc>
        <w:tc>
          <w:tcPr>
            <w:tcW w:w="646" w:type="dxa"/>
            <w:tcBorders>
              <w:top w:val="nil"/>
              <w:left w:val="nil"/>
              <w:bottom w:val="nil"/>
              <w:right w:val="double" w:sz="6" w:space="0" w:color="auto"/>
            </w:tcBorders>
            <w:shd w:val="clear" w:color="auto" w:fill="auto"/>
            <w:noWrap/>
            <w:tcMar>
              <w:left w:w="72" w:type="dxa"/>
              <w:right w:w="72" w:type="dxa"/>
            </w:tcMar>
            <w:vAlign w:val="center"/>
            <w:hideMark/>
          </w:tcPr>
          <w:p w14:paraId="4F211D05"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15.89</w:t>
            </w:r>
          </w:p>
        </w:tc>
      </w:tr>
      <w:tr w:rsidR="00824E93" w:rsidRPr="00884CAC" w14:paraId="5A903093" w14:textId="77777777" w:rsidTr="00824E93">
        <w:trPr>
          <w:trHeight w:val="20"/>
          <w:jc w:val="center"/>
        </w:trPr>
        <w:tc>
          <w:tcPr>
            <w:tcW w:w="3307" w:type="dxa"/>
            <w:tcBorders>
              <w:top w:val="nil"/>
              <w:left w:val="double" w:sz="6" w:space="0" w:color="auto"/>
              <w:bottom w:val="nil"/>
              <w:right w:val="nil"/>
            </w:tcBorders>
            <w:shd w:val="clear" w:color="auto" w:fill="auto"/>
            <w:tcMar>
              <w:left w:w="72" w:type="dxa"/>
              <w:right w:w="72" w:type="dxa"/>
            </w:tcMar>
            <w:vAlign w:val="center"/>
            <w:hideMark/>
          </w:tcPr>
          <w:p w14:paraId="2C1842FA"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Multiple workers in household</w:t>
            </w:r>
          </w:p>
        </w:tc>
        <w:tc>
          <w:tcPr>
            <w:tcW w:w="731" w:type="dxa"/>
            <w:tcBorders>
              <w:top w:val="nil"/>
              <w:left w:val="nil"/>
              <w:bottom w:val="nil"/>
              <w:right w:val="nil"/>
            </w:tcBorders>
            <w:shd w:val="clear" w:color="auto" w:fill="auto"/>
            <w:noWrap/>
            <w:tcMar>
              <w:left w:w="72" w:type="dxa"/>
              <w:right w:w="72" w:type="dxa"/>
            </w:tcMar>
            <w:vAlign w:val="center"/>
            <w:hideMark/>
          </w:tcPr>
          <w:p w14:paraId="39CE486A"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242</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39BCCAF2"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34.32</w:t>
            </w:r>
          </w:p>
        </w:tc>
        <w:tc>
          <w:tcPr>
            <w:tcW w:w="804" w:type="dxa"/>
            <w:tcBorders>
              <w:top w:val="nil"/>
              <w:left w:val="nil"/>
              <w:bottom w:val="nil"/>
              <w:right w:val="double" w:sz="6" w:space="0" w:color="auto"/>
            </w:tcBorders>
            <w:shd w:val="clear" w:color="auto" w:fill="auto"/>
            <w:noWrap/>
            <w:tcMar>
              <w:left w:w="72" w:type="dxa"/>
              <w:right w:w="72" w:type="dxa"/>
            </w:tcMar>
            <w:vAlign w:val="center"/>
            <w:hideMark/>
          </w:tcPr>
          <w:p w14:paraId="1AC287D9"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39.49</w:t>
            </w:r>
          </w:p>
        </w:tc>
        <w:tc>
          <w:tcPr>
            <w:tcW w:w="2020" w:type="dxa"/>
            <w:tcBorders>
              <w:top w:val="nil"/>
              <w:left w:val="nil"/>
              <w:bottom w:val="nil"/>
              <w:right w:val="nil"/>
            </w:tcBorders>
            <w:shd w:val="clear" w:color="auto" w:fill="auto"/>
            <w:noWrap/>
            <w:tcMar>
              <w:left w:w="72" w:type="dxa"/>
              <w:right w:w="72" w:type="dxa"/>
            </w:tcMar>
            <w:vAlign w:val="center"/>
            <w:hideMark/>
          </w:tcPr>
          <w:p w14:paraId="33E252D2"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 1 per adult</w:t>
            </w:r>
          </w:p>
        </w:tc>
        <w:tc>
          <w:tcPr>
            <w:tcW w:w="731" w:type="dxa"/>
            <w:tcBorders>
              <w:top w:val="nil"/>
              <w:left w:val="nil"/>
              <w:bottom w:val="nil"/>
              <w:right w:val="nil"/>
            </w:tcBorders>
            <w:shd w:val="clear" w:color="auto" w:fill="auto"/>
            <w:noWrap/>
            <w:tcMar>
              <w:left w:w="72" w:type="dxa"/>
              <w:right w:w="72" w:type="dxa"/>
            </w:tcMar>
            <w:vAlign w:val="center"/>
            <w:hideMark/>
          </w:tcPr>
          <w:p w14:paraId="0C90049B"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356</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0C0D5846"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50.50</w:t>
            </w:r>
          </w:p>
        </w:tc>
        <w:tc>
          <w:tcPr>
            <w:tcW w:w="646" w:type="dxa"/>
            <w:tcBorders>
              <w:top w:val="nil"/>
              <w:left w:val="nil"/>
              <w:bottom w:val="nil"/>
              <w:right w:val="double" w:sz="6" w:space="0" w:color="auto"/>
            </w:tcBorders>
            <w:shd w:val="clear" w:color="auto" w:fill="auto"/>
            <w:noWrap/>
            <w:tcMar>
              <w:left w:w="72" w:type="dxa"/>
              <w:right w:w="72" w:type="dxa"/>
            </w:tcMar>
            <w:vAlign w:val="center"/>
            <w:hideMark/>
          </w:tcPr>
          <w:p w14:paraId="77001E1D"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56.28</w:t>
            </w:r>
          </w:p>
        </w:tc>
      </w:tr>
      <w:tr w:rsidR="00824E93" w:rsidRPr="00884CAC" w14:paraId="182004B5" w14:textId="77777777" w:rsidTr="00824E93">
        <w:trPr>
          <w:trHeight w:val="20"/>
          <w:jc w:val="center"/>
        </w:trPr>
        <w:tc>
          <w:tcPr>
            <w:tcW w:w="3307" w:type="dxa"/>
            <w:tcBorders>
              <w:top w:val="double" w:sz="6" w:space="0" w:color="auto"/>
              <w:left w:val="double" w:sz="6" w:space="0" w:color="auto"/>
              <w:bottom w:val="double" w:sz="6" w:space="0" w:color="auto"/>
              <w:right w:val="nil"/>
            </w:tcBorders>
            <w:shd w:val="clear" w:color="000000" w:fill="F2F2F2"/>
            <w:tcMar>
              <w:left w:w="72" w:type="dxa"/>
              <w:right w:w="72" w:type="dxa"/>
            </w:tcMar>
            <w:vAlign w:val="center"/>
            <w:hideMark/>
          </w:tcPr>
          <w:p w14:paraId="68A462EC" w14:textId="77777777" w:rsidR="00824E93" w:rsidRPr="00884CAC" w:rsidRDefault="00824E93" w:rsidP="00C335DA">
            <w:pPr>
              <w:jc w:val="left"/>
              <w:rPr>
                <w:rFonts w:eastAsia="Times New Roman"/>
                <w:b/>
                <w:bCs/>
                <w:i/>
                <w:iCs/>
                <w:color w:val="000000"/>
                <w:sz w:val="22"/>
                <w:szCs w:val="22"/>
              </w:rPr>
            </w:pPr>
            <w:r w:rsidRPr="00884CAC">
              <w:rPr>
                <w:rFonts w:eastAsia="Times New Roman"/>
                <w:b/>
                <w:bCs/>
                <w:i/>
                <w:iCs/>
                <w:color w:val="000000"/>
                <w:sz w:val="22"/>
                <w:szCs w:val="22"/>
              </w:rPr>
              <w:t>Residential density</w:t>
            </w:r>
          </w:p>
        </w:tc>
        <w:tc>
          <w:tcPr>
            <w:tcW w:w="731" w:type="dxa"/>
            <w:tcBorders>
              <w:top w:val="double" w:sz="6" w:space="0" w:color="auto"/>
              <w:left w:val="nil"/>
              <w:bottom w:val="double" w:sz="6" w:space="0" w:color="auto"/>
              <w:right w:val="nil"/>
            </w:tcBorders>
            <w:shd w:val="clear" w:color="000000" w:fill="F2F2F2"/>
            <w:noWrap/>
            <w:tcMar>
              <w:left w:w="72" w:type="dxa"/>
              <w:right w:w="72" w:type="dxa"/>
            </w:tcMar>
            <w:vAlign w:val="center"/>
            <w:hideMark/>
          </w:tcPr>
          <w:p w14:paraId="0573EAAE"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Count</w:t>
            </w:r>
          </w:p>
        </w:tc>
        <w:tc>
          <w:tcPr>
            <w:tcW w:w="639" w:type="dxa"/>
            <w:tcBorders>
              <w:top w:val="double" w:sz="6" w:space="0" w:color="auto"/>
              <w:left w:val="nil"/>
              <w:bottom w:val="double" w:sz="6" w:space="0" w:color="auto"/>
              <w:right w:val="double" w:sz="6" w:space="0" w:color="auto"/>
            </w:tcBorders>
            <w:shd w:val="clear" w:color="000000" w:fill="F2F2F2"/>
            <w:noWrap/>
            <w:tcMar>
              <w:left w:w="72" w:type="dxa"/>
              <w:right w:w="72" w:type="dxa"/>
            </w:tcMar>
            <w:vAlign w:val="center"/>
            <w:hideMark/>
          </w:tcPr>
          <w:p w14:paraId="4AFEBAC0"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w:t>
            </w:r>
          </w:p>
        </w:tc>
        <w:tc>
          <w:tcPr>
            <w:tcW w:w="804" w:type="dxa"/>
            <w:tcBorders>
              <w:top w:val="double" w:sz="6" w:space="0" w:color="auto"/>
              <w:left w:val="nil"/>
              <w:bottom w:val="double" w:sz="6" w:space="0" w:color="auto"/>
              <w:right w:val="double" w:sz="6" w:space="0" w:color="auto"/>
            </w:tcBorders>
            <w:shd w:val="clear" w:color="000000" w:fill="F2F2F2"/>
            <w:noWrap/>
            <w:tcMar>
              <w:left w:w="72" w:type="dxa"/>
              <w:right w:w="72" w:type="dxa"/>
            </w:tcMar>
            <w:vAlign w:val="center"/>
            <w:hideMark/>
          </w:tcPr>
          <w:p w14:paraId="294F31AA"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w:t>
            </w:r>
          </w:p>
        </w:tc>
        <w:tc>
          <w:tcPr>
            <w:tcW w:w="2020" w:type="dxa"/>
            <w:tcBorders>
              <w:top w:val="nil"/>
              <w:left w:val="nil"/>
              <w:bottom w:val="nil"/>
              <w:right w:val="nil"/>
            </w:tcBorders>
            <w:shd w:val="clear" w:color="auto" w:fill="auto"/>
            <w:noWrap/>
            <w:tcMar>
              <w:left w:w="72" w:type="dxa"/>
              <w:right w:w="72" w:type="dxa"/>
            </w:tcMar>
            <w:vAlign w:val="center"/>
            <w:hideMark/>
          </w:tcPr>
          <w:p w14:paraId="5E311F65"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&gt; 1 per adult</w:t>
            </w:r>
          </w:p>
        </w:tc>
        <w:tc>
          <w:tcPr>
            <w:tcW w:w="731" w:type="dxa"/>
            <w:tcBorders>
              <w:top w:val="nil"/>
              <w:left w:val="nil"/>
              <w:bottom w:val="nil"/>
              <w:right w:val="nil"/>
            </w:tcBorders>
            <w:shd w:val="clear" w:color="auto" w:fill="auto"/>
            <w:noWrap/>
            <w:tcMar>
              <w:left w:w="72" w:type="dxa"/>
              <w:right w:w="72" w:type="dxa"/>
            </w:tcMar>
            <w:vAlign w:val="center"/>
            <w:hideMark/>
          </w:tcPr>
          <w:p w14:paraId="1D8E6153"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55</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7A387BC0"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7.80</w:t>
            </w:r>
          </w:p>
        </w:tc>
        <w:tc>
          <w:tcPr>
            <w:tcW w:w="646" w:type="dxa"/>
            <w:tcBorders>
              <w:top w:val="nil"/>
              <w:left w:val="nil"/>
              <w:bottom w:val="nil"/>
              <w:right w:val="double" w:sz="6" w:space="0" w:color="auto"/>
            </w:tcBorders>
            <w:shd w:val="clear" w:color="auto" w:fill="auto"/>
            <w:noWrap/>
            <w:tcMar>
              <w:left w:w="72" w:type="dxa"/>
              <w:right w:w="72" w:type="dxa"/>
            </w:tcMar>
            <w:vAlign w:val="center"/>
            <w:hideMark/>
          </w:tcPr>
          <w:p w14:paraId="63F06358"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19.54</w:t>
            </w:r>
          </w:p>
        </w:tc>
      </w:tr>
      <w:tr w:rsidR="00824E93" w:rsidRPr="00884CAC" w14:paraId="009CCAE2" w14:textId="77777777" w:rsidTr="00824E93">
        <w:trPr>
          <w:trHeight w:val="20"/>
          <w:jc w:val="center"/>
        </w:trPr>
        <w:tc>
          <w:tcPr>
            <w:tcW w:w="3307" w:type="dxa"/>
            <w:tcBorders>
              <w:top w:val="nil"/>
              <w:left w:val="double" w:sz="6" w:space="0" w:color="auto"/>
              <w:bottom w:val="nil"/>
              <w:right w:val="nil"/>
            </w:tcBorders>
            <w:shd w:val="clear" w:color="auto" w:fill="auto"/>
            <w:noWrap/>
            <w:tcMar>
              <w:left w:w="72" w:type="dxa"/>
              <w:right w:w="72" w:type="dxa"/>
            </w:tcMar>
            <w:vAlign w:val="center"/>
            <w:hideMark/>
          </w:tcPr>
          <w:p w14:paraId="1F615026"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 xml:space="preserve">&lt;2,000 </w:t>
            </w:r>
            <w:proofErr w:type="spellStart"/>
            <w:r w:rsidRPr="00884CAC">
              <w:rPr>
                <w:rFonts w:eastAsia="Times New Roman"/>
                <w:color w:val="000000"/>
                <w:sz w:val="22"/>
                <w:szCs w:val="22"/>
              </w:rPr>
              <w:t>hh</w:t>
            </w:r>
            <w:proofErr w:type="spellEnd"/>
            <w:r w:rsidRPr="00884CAC">
              <w:rPr>
                <w:rFonts w:eastAsia="Times New Roman"/>
                <w:color w:val="000000"/>
                <w:sz w:val="22"/>
                <w:szCs w:val="22"/>
              </w:rPr>
              <w:t>/km</w:t>
            </w:r>
            <w:r w:rsidRPr="00884CAC">
              <w:rPr>
                <w:rFonts w:eastAsia="Times New Roman"/>
                <w:color w:val="000000"/>
                <w:sz w:val="22"/>
                <w:szCs w:val="22"/>
                <w:vertAlign w:val="superscript"/>
              </w:rPr>
              <w:t>2</w:t>
            </w:r>
          </w:p>
        </w:tc>
        <w:tc>
          <w:tcPr>
            <w:tcW w:w="731" w:type="dxa"/>
            <w:tcBorders>
              <w:top w:val="nil"/>
              <w:left w:val="nil"/>
              <w:bottom w:val="nil"/>
              <w:right w:val="nil"/>
            </w:tcBorders>
            <w:shd w:val="clear" w:color="auto" w:fill="auto"/>
            <w:noWrap/>
            <w:tcMar>
              <w:left w:w="72" w:type="dxa"/>
              <w:right w:w="72" w:type="dxa"/>
            </w:tcMar>
            <w:vAlign w:val="center"/>
            <w:hideMark/>
          </w:tcPr>
          <w:p w14:paraId="734C84B6"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134</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598C4230"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19.01</w:t>
            </w:r>
          </w:p>
        </w:tc>
        <w:tc>
          <w:tcPr>
            <w:tcW w:w="804" w:type="dxa"/>
            <w:tcBorders>
              <w:top w:val="nil"/>
              <w:left w:val="nil"/>
              <w:bottom w:val="nil"/>
              <w:right w:val="double" w:sz="6" w:space="0" w:color="auto"/>
            </w:tcBorders>
            <w:shd w:val="clear" w:color="auto" w:fill="auto"/>
            <w:noWrap/>
            <w:tcMar>
              <w:left w:w="72" w:type="dxa"/>
              <w:right w:w="72" w:type="dxa"/>
            </w:tcMar>
            <w:vAlign w:val="center"/>
            <w:hideMark/>
          </w:tcPr>
          <w:p w14:paraId="74D3FFE1"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49.96</w:t>
            </w:r>
          </w:p>
        </w:tc>
        <w:tc>
          <w:tcPr>
            <w:tcW w:w="2020" w:type="dxa"/>
            <w:tcBorders>
              <w:top w:val="double" w:sz="6" w:space="0" w:color="auto"/>
              <w:left w:val="nil"/>
              <w:bottom w:val="double" w:sz="6" w:space="0" w:color="auto"/>
              <w:right w:val="nil"/>
            </w:tcBorders>
            <w:shd w:val="clear" w:color="000000" w:fill="F2F2F2"/>
            <w:noWrap/>
            <w:tcMar>
              <w:left w:w="72" w:type="dxa"/>
              <w:right w:w="72" w:type="dxa"/>
            </w:tcMar>
            <w:vAlign w:val="center"/>
            <w:hideMark/>
          </w:tcPr>
          <w:p w14:paraId="040C4FC8" w14:textId="77777777" w:rsidR="00824E93" w:rsidRPr="00884CAC" w:rsidRDefault="00824E93" w:rsidP="00C335DA">
            <w:pPr>
              <w:jc w:val="left"/>
              <w:rPr>
                <w:rFonts w:eastAsia="Times New Roman"/>
                <w:b/>
                <w:bCs/>
                <w:i/>
                <w:iCs/>
                <w:color w:val="000000"/>
                <w:sz w:val="22"/>
                <w:szCs w:val="22"/>
              </w:rPr>
            </w:pPr>
            <w:r w:rsidRPr="00884CAC">
              <w:rPr>
                <w:rFonts w:eastAsia="Times New Roman"/>
                <w:b/>
                <w:bCs/>
                <w:i/>
                <w:iCs/>
                <w:color w:val="000000"/>
                <w:sz w:val="22"/>
                <w:szCs w:val="22"/>
              </w:rPr>
              <w:t>Income</w:t>
            </w:r>
          </w:p>
        </w:tc>
        <w:tc>
          <w:tcPr>
            <w:tcW w:w="731" w:type="dxa"/>
            <w:tcBorders>
              <w:top w:val="double" w:sz="6" w:space="0" w:color="auto"/>
              <w:left w:val="nil"/>
              <w:bottom w:val="double" w:sz="6" w:space="0" w:color="auto"/>
              <w:right w:val="nil"/>
            </w:tcBorders>
            <w:shd w:val="clear" w:color="000000" w:fill="F2F2F2"/>
            <w:noWrap/>
            <w:tcMar>
              <w:left w:w="72" w:type="dxa"/>
              <w:right w:w="72" w:type="dxa"/>
            </w:tcMar>
            <w:vAlign w:val="center"/>
            <w:hideMark/>
          </w:tcPr>
          <w:p w14:paraId="675D54A4"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Count</w:t>
            </w:r>
          </w:p>
        </w:tc>
        <w:tc>
          <w:tcPr>
            <w:tcW w:w="639" w:type="dxa"/>
            <w:tcBorders>
              <w:top w:val="double" w:sz="6" w:space="0" w:color="auto"/>
              <w:left w:val="nil"/>
              <w:bottom w:val="double" w:sz="6" w:space="0" w:color="auto"/>
              <w:right w:val="double" w:sz="6" w:space="0" w:color="auto"/>
            </w:tcBorders>
            <w:shd w:val="clear" w:color="000000" w:fill="F2F2F2"/>
            <w:noWrap/>
            <w:tcMar>
              <w:left w:w="72" w:type="dxa"/>
              <w:right w:w="72" w:type="dxa"/>
            </w:tcMar>
            <w:vAlign w:val="center"/>
            <w:hideMark/>
          </w:tcPr>
          <w:p w14:paraId="0284FF22"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w:t>
            </w:r>
          </w:p>
        </w:tc>
        <w:tc>
          <w:tcPr>
            <w:tcW w:w="646" w:type="dxa"/>
            <w:tcBorders>
              <w:top w:val="double" w:sz="6" w:space="0" w:color="auto"/>
              <w:left w:val="nil"/>
              <w:bottom w:val="double" w:sz="6" w:space="0" w:color="auto"/>
              <w:right w:val="double" w:sz="6" w:space="0" w:color="auto"/>
            </w:tcBorders>
            <w:shd w:val="clear" w:color="000000" w:fill="F2F2F2"/>
            <w:noWrap/>
            <w:tcMar>
              <w:left w:w="72" w:type="dxa"/>
              <w:right w:w="72" w:type="dxa"/>
            </w:tcMar>
            <w:vAlign w:val="center"/>
            <w:hideMark/>
          </w:tcPr>
          <w:p w14:paraId="433C6FE0"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w:t>
            </w:r>
          </w:p>
        </w:tc>
      </w:tr>
      <w:tr w:rsidR="00824E93" w:rsidRPr="00884CAC" w14:paraId="2C748411" w14:textId="77777777" w:rsidTr="00824E93">
        <w:trPr>
          <w:trHeight w:val="20"/>
          <w:jc w:val="center"/>
        </w:trPr>
        <w:tc>
          <w:tcPr>
            <w:tcW w:w="3307" w:type="dxa"/>
            <w:tcBorders>
              <w:top w:val="nil"/>
              <w:left w:val="double" w:sz="6" w:space="0" w:color="auto"/>
              <w:bottom w:val="nil"/>
              <w:right w:val="nil"/>
            </w:tcBorders>
            <w:shd w:val="clear" w:color="auto" w:fill="auto"/>
            <w:noWrap/>
            <w:tcMar>
              <w:left w:w="72" w:type="dxa"/>
              <w:right w:w="72" w:type="dxa"/>
            </w:tcMar>
            <w:vAlign w:val="center"/>
            <w:hideMark/>
          </w:tcPr>
          <w:p w14:paraId="1A1FF6CD"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 xml:space="preserve">2,000-4,000 </w:t>
            </w:r>
            <w:proofErr w:type="spellStart"/>
            <w:r w:rsidRPr="00884CAC">
              <w:rPr>
                <w:rFonts w:eastAsia="Times New Roman"/>
                <w:color w:val="000000"/>
                <w:sz w:val="22"/>
                <w:szCs w:val="22"/>
              </w:rPr>
              <w:t>hh</w:t>
            </w:r>
            <w:proofErr w:type="spellEnd"/>
            <w:r w:rsidRPr="00884CAC">
              <w:rPr>
                <w:rFonts w:eastAsia="Times New Roman"/>
                <w:color w:val="000000"/>
                <w:sz w:val="22"/>
                <w:szCs w:val="22"/>
              </w:rPr>
              <w:t>/km</w:t>
            </w:r>
            <w:r w:rsidRPr="00884CAC">
              <w:rPr>
                <w:rFonts w:eastAsia="Times New Roman"/>
                <w:color w:val="000000"/>
                <w:sz w:val="22"/>
                <w:szCs w:val="22"/>
                <w:vertAlign w:val="superscript"/>
              </w:rPr>
              <w:t>2</w:t>
            </w:r>
          </w:p>
        </w:tc>
        <w:tc>
          <w:tcPr>
            <w:tcW w:w="731" w:type="dxa"/>
            <w:tcBorders>
              <w:top w:val="nil"/>
              <w:left w:val="nil"/>
              <w:bottom w:val="nil"/>
              <w:right w:val="nil"/>
            </w:tcBorders>
            <w:shd w:val="clear" w:color="auto" w:fill="auto"/>
            <w:noWrap/>
            <w:tcMar>
              <w:left w:w="72" w:type="dxa"/>
              <w:right w:w="72" w:type="dxa"/>
            </w:tcMar>
            <w:vAlign w:val="center"/>
            <w:hideMark/>
          </w:tcPr>
          <w:p w14:paraId="574BE0E0"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151</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14FEE4E1"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21.42</w:t>
            </w:r>
          </w:p>
        </w:tc>
        <w:tc>
          <w:tcPr>
            <w:tcW w:w="804" w:type="dxa"/>
            <w:tcBorders>
              <w:top w:val="nil"/>
              <w:left w:val="nil"/>
              <w:bottom w:val="nil"/>
              <w:right w:val="double" w:sz="6" w:space="0" w:color="auto"/>
            </w:tcBorders>
            <w:shd w:val="clear" w:color="auto" w:fill="auto"/>
            <w:noWrap/>
            <w:tcMar>
              <w:left w:w="72" w:type="dxa"/>
              <w:right w:w="72" w:type="dxa"/>
            </w:tcMar>
            <w:vAlign w:val="center"/>
            <w:hideMark/>
          </w:tcPr>
          <w:p w14:paraId="119F5253"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28.23</w:t>
            </w:r>
          </w:p>
        </w:tc>
        <w:tc>
          <w:tcPr>
            <w:tcW w:w="2020" w:type="dxa"/>
            <w:tcBorders>
              <w:top w:val="nil"/>
              <w:left w:val="nil"/>
              <w:bottom w:val="nil"/>
              <w:right w:val="nil"/>
            </w:tcBorders>
            <w:shd w:val="clear" w:color="auto" w:fill="auto"/>
            <w:tcMar>
              <w:left w:w="72" w:type="dxa"/>
              <w:right w:w="72" w:type="dxa"/>
            </w:tcMar>
            <w:vAlign w:val="center"/>
            <w:hideMark/>
          </w:tcPr>
          <w:p w14:paraId="2825F1AD"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&lt; $25,000</w:t>
            </w:r>
          </w:p>
        </w:tc>
        <w:tc>
          <w:tcPr>
            <w:tcW w:w="731" w:type="dxa"/>
            <w:tcBorders>
              <w:top w:val="nil"/>
              <w:left w:val="nil"/>
              <w:bottom w:val="nil"/>
              <w:right w:val="nil"/>
            </w:tcBorders>
            <w:shd w:val="clear" w:color="auto" w:fill="auto"/>
            <w:noWrap/>
            <w:tcMar>
              <w:left w:w="72" w:type="dxa"/>
              <w:right w:w="72" w:type="dxa"/>
            </w:tcMar>
            <w:vAlign w:val="center"/>
            <w:hideMark/>
          </w:tcPr>
          <w:p w14:paraId="52B5442D"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67</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0F055362"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9.50</w:t>
            </w:r>
          </w:p>
        </w:tc>
        <w:tc>
          <w:tcPr>
            <w:tcW w:w="646" w:type="dxa"/>
            <w:tcBorders>
              <w:top w:val="nil"/>
              <w:left w:val="nil"/>
              <w:bottom w:val="nil"/>
              <w:right w:val="double" w:sz="6" w:space="0" w:color="auto"/>
            </w:tcBorders>
            <w:shd w:val="clear" w:color="auto" w:fill="auto"/>
            <w:noWrap/>
            <w:tcMar>
              <w:left w:w="72" w:type="dxa"/>
              <w:right w:w="72" w:type="dxa"/>
            </w:tcMar>
            <w:vAlign w:val="center"/>
            <w:hideMark/>
          </w:tcPr>
          <w:p w14:paraId="5A5C92B1"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14.52</w:t>
            </w:r>
          </w:p>
        </w:tc>
      </w:tr>
      <w:tr w:rsidR="00824E93" w:rsidRPr="00884CAC" w14:paraId="2799E4BF" w14:textId="77777777" w:rsidTr="00824E93">
        <w:trPr>
          <w:trHeight w:val="20"/>
          <w:jc w:val="center"/>
        </w:trPr>
        <w:tc>
          <w:tcPr>
            <w:tcW w:w="3307" w:type="dxa"/>
            <w:tcBorders>
              <w:top w:val="nil"/>
              <w:left w:val="double" w:sz="6" w:space="0" w:color="auto"/>
              <w:bottom w:val="nil"/>
              <w:right w:val="nil"/>
            </w:tcBorders>
            <w:shd w:val="clear" w:color="auto" w:fill="auto"/>
            <w:noWrap/>
            <w:tcMar>
              <w:left w:w="72" w:type="dxa"/>
              <w:right w:w="72" w:type="dxa"/>
            </w:tcMar>
            <w:vAlign w:val="center"/>
            <w:hideMark/>
          </w:tcPr>
          <w:p w14:paraId="0CFB4C02"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 xml:space="preserve">4,000-8,000 </w:t>
            </w:r>
            <w:proofErr w:type="spellStart"/>
            <w:r w:rsidRPr="00884CAC">
              <w:rPr>
                <w:rFonts w:eastAsia="Times New Roman"/>
                <w:color w:val="000000"/>
                <w:sz w:val="22"/>
                <w:szCs w:val="22"/>
              </w:rPr>
              <w:t>hh</w:t>
            </w:r>
            <w:proofErr w:type="spellEnd"/>
            <w:r w:rsidRPr="00884CAC">
              <w:rPr>
                <w:rFonts w:eastAsia="Times New Roman"/>
                <w:color w:val="000000"/>
                <w:sz w:val="22"/>
                <w:szCs w:val="22"/>
              </w:rPr>
              <w:t>/km</w:t>
            </w:r>
            <w:r w:rsidRPr="00884CAC">
              <w:rPr>
                <w:rFonts w:eastAsia="Times New Roman"/>
                <w:color w:val="000000"/>
                <w:sz w:val="22"/>
                <w:szCs w:val="22"/>
                <w:vertAlign w:val="superscript"/>
              </w:rPr>
              <w:t>2</w:t>
            </w:r>
          </w:p>
        </w:tc>
        <w:tc>
          <w:tcPr>
            <w:tcW w:w="731" w:type="dxa"/>
            <w:tcBorders>
              <w:top w:val="nil"/>
              <w:left w:val="nil"/>
              <w:bottom w:val="nil"/>
              <w:right w:val="nil"/>
            </w:tcBorders>
            <w:shd w:val="clear" w:color="auto" w:fill="auto"/>
            <w:noWrap/>
            <w:tcMar>
              <w:left w:w="72" w:type="dxa"/>
              <w:right w:w="72" w:type="dxa"/>
            </w:tcMar>
            <w:vAlign w:val="center"/>
            <w:hideMark/>
          </w:tcPr>
          <w:p w14:paraId="1F9F9550"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160</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482FD476"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22.70</w:t>
            </w:r>
          </w:p>
        </w:tc>
        <w:tc>
          <w:tcPr>
            <w:tcW w:w="804" w:type="dxa"/>
            <w:tcBorders>
              <w:top w:val="nil"/>
              <w:left w:val="nil"/>
              <w:bottom w:val="nil"/>
              <w:right w:val="double" w:sz="6" w:space="0" w:color="auto"/>
            </w:tcBorders>
            <w:shd w:val="clear" w:color="auto" w:fill="auto"/>
            <w:noWrap/>
            <w:tcMar>
              <w:left w:w="72" w:type="dxa"/>
              <w:right w:w="72" w:type="dxa"/>
            </w:tcMar>
            <w:vAlign w:val="center"/>
            <w:hideMark/>
          </w:tcPr>
          <w:p w14:paraId="6DF687C2"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12.93</w:t>
            </w:r>
          </w:p>
        </w:tc>
        <w:tc>
          <w:tcPr>
            <w:tcW w:w="2020" w:type="dxa"/>
            <w:tcBorders>
              <w:top w:val="nil"/>
              <w:left w:val="nil"/>
              <w:bottom w:val="nil"/>
              <w:right w:val="nil"/>
            </w:tcBorders>
            <w:shd w:val="clear" w:color="auto" w:fill="auto"/>
            <w:tcMar>
              <w:left w:w="72" w:type="dxa"/>
              <w:right w:w="72" w:type="dxa"/>
            </w:tcMar>
            <w:vAlign w:val="center"/>
            <w:hideMark/>
          </w:tcPr>
          <w:p w14:paraId="25C315F7"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$25,000-$49,999</w:t>
            </w:r>
          </w:p>
        </w:tc>
        <w:tc>
          <w:tcPr>
            <w:tcW w:w="731" w:type="dxa"/>
            <w:tcBorders>
              <w:top w:val="nil"/>
              <w:left w:val="nil"/>
              <w:bottom w:val="nil"/>
              <w:right w:val="nil"/>
            </w:tcBorders>
            <w:shd w:val="clear" w:color="auto" w:fill="auto"/>
            <w:noWrap/>
            <w:tcMar>
              <w:left w:w="72" w:type="dxa"/>
              <w:right w:w="72" w:type="dxa"/>
            </w:tcMar>
            <w:vAlign w:val="center"/>
            <w:hideMark/>
          </w:tcPr>
          <w:p w14:paraId="482E5B34"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115</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356DB5C1"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16.31</w:t>
            </w:r>
          </w:p>
        </w:tc>
        <w:tc>
          <w:tcPr>
            <w:tcW w:w="646" w:type="dxa"/>
            <w:tcBorders>
              <w:top w:val="nil"/>
              <w:left w:val="nil"/>
              <w:bottom w:val="nil"/>
              <w:right w:val="double" w:sz="6" w:space="0" w:color="auto"/>
            </w:tcBorders>
            <w:shd w:val="clear" w:color="auto" w:fill="auto"/>
            <w:noWrap/>
            <w:tcMar>
              <w:left w:w="72" w:type="dxa"/>
              <w:right w:w="72" w:type="dxa"/>
            </w:tcMar>
            <w:vAlign w:val="center"/>
            <w:hideMark/>
          </w:tcPr>
          <w:p w14:paraId="4CE27B1D"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16.49</w:t>
            </w:r>
          </w:p>
        </w:tc>
      </w:tr>
      <w:tr w:rsidR="00824E93" w:rsidRPr="00884CAC" w14:paraId="0F3B94DB" w14:textId="77777777" w:rsidTr="00824E93">
        <w:trPr>
          <w:trHeight w:val="20"/>
          <w:jc w:val="center"/>
        </w:trPr>
        <w:tc>
          <w:tcPr>
            <w:tcW w:w="3307" w:type="dxa"/>
            <w:tcBorders>
              <w:top w:val="nil"/>
              <w:left w:val="double" w:sz="6" w:space="0" w:color="auto"/>
              <w:bottom w:val="nil"/>
              <w:right w:val="nil"/>
            </w:tcBorders>
            <w:shd w:val="clear" w:color="auto" w:fill="auto"/>
            <w:noWrap/>
            <w:tcMar>
              <w:left w:w="72" w:type="dxa"/>
              <w:right w:w="72" w:type="dxa"/>
            </w:tcMar>
            <w:vAlign w:val="center"/>
            <w:hideMark/>
          </w:tcPr>
          <w:p w14:paraId="55E94BBA"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 xml:space="preserve">&gt;8,000 </w:t>
            </w:r>
            <w:proofErr w:type="spellStart"/>
            <w:r w:rsidRPr="00884CAC">
              <w:rPr>
                <w:rFonts w:eastAsia="Times New Roman"/>
                <w:color w:val="000000"/>
                <w:sz w:val="22"/>
                <w:szCs w:val="22"/>
              </w:rPr>
              <w:t>hh</w:t>
            </w:r>
            <w:proofErr w:type="spellEnd"/>
            <w:r w:rsidRPr="00884CAC">
              <w:rPr>
                <w:rFonts w:eastAsia="Times New Roman"/>
                <w:color w:val="000000"/>
                <w:sz w:val="22"/>
                <w:szCs w:val="22"/>
              </w:rPr>
              <w:t>/km</w:t>
            </w:r>
            <w:r w:rsidRPr="00884CAC">
              <w:rPr>
                <w:rFonts w:eastAsia="Times New Roman"/>
                <w:color w:val="000000"/>
                <w:sz w:val="22"/>
                <w:szCs w:val="22"/>
                <w:vertAlign w:val="superscript"/>
              </w:rPr>
              <w:t>2</w:t>
            </w:r>
          </w:p>
        </w:tc>
        <w:tc>
          <w:tcPr>
            <w:tcW w:w="731" w:type="dxa"/>
            <w:tcBorders>
              <w:top w:val="nil"/>
              <w:left w:val="nil"/>
              <w:bottom w:val="nil"/>
              <w:right w:val="nil"/>
            </w:tcBorders>
            <w:shd w:val="clear" w:color="auto" w:fill="auto"/>
            <w:noWrap/>
            <w:tcMar>
              <w:left w:w="72" w:type="dxa"/>
              <w:right w:w="72" w:type="dxa"/>
            </w:tcMar>
            <w:vAlign w:val="center"/>
            <w:hideMark/>
          </w:tcPr>
          <w:p w14:paraId="720AFE53"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260</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2ACBBB9A"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36.87</w:t>
            </w:r>
          </w:p>
        </w:tc>
        <w:tc>
          <w:tcPr>
            <w:tcW w:w="804" w:type="dxa"/>
            <w:tcBorders>
              <w:top w:val="nil"/>
              <w:left w:val="nil"/>
              <w:bottom w:val="nil"/>
              <w:right w:val="double" w:sz="6" w:space="0" w:color="auto"/>
            </w:tcBorders>
            <w:shd w:val="clear" w:color="auto" w:fill="auto"/>
            <w:noWrap/>
            <w:tcMar>
              <w:left w:w="72" w:type="dxa"/>
              <w:right w:w="72" w:type="dxa"/>
            </w:tcMar>
            <w:vAlign w:val="center"/>
            <w:hideMark/>
          </w:tcPr>
          <w:p w14:paraId="64E8C9C0"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8.88</w:t>
            </w:r>
          </w:p>
        </w:tc>
        <w:tc>
          <w:tcPr>
            <w:tcW w:w="2020" w:type="dxa"/>
            <w:tcBorders>
              <w:top w:val="nil"/>
              <w:left w:val="nil"/>
              <w:bottom w:val="nil"/>
              <w:right w:val="nil"/>
            </w:tcBorders>
            <w:shd w:val="clear" w:color="auto" w:fill="auto"/>
            <w:tcMar>
              <w:left w:w="72" w:type="dxa"/>
              <w:right w:w="72" w:type="dxa"/>
            </w:tcMar>
            <w:vAlign w:val="center"/>
            <w:hideMark/>
          </w:tcPr>
          <w:p w14:paraId="5190BD8A"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$50,000-$74,999</w:t>
            </w:r>
          </w:p>
        </w:tc>
        <w:tc>
          <w:tcPr>
            <w:tcW w:w="731" w:type="dxa"/>
            <w:tcBorders>
              <w:top w:val="nil"/>
              <w:left w:val="nil"/>
              <w:bottom w:val="nil"/>
              <w:right w:val="nil"/>
            </w:tcBorders>
            <w:shd w:val="clear" w:color="auto" w:fill="auto"/>
            <w:noWrap/>
            <w:tcMar>
              <w:left w:w="72" w:type="dxa"/>
              <w:right w:w="72" w:type="dxa"/>
            </w:tcMar>
            <w:vAlign w:val="center"/>
            <w:hideMark/>
          </w:tcPr>
          <w:p w14:paraId="38C43B76"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121</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5B2A0006"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17.16</w:t>
            </w:r>
          </w:p>
        </w:tc>
        <w:tc>
          <w:tcPr>
            <w:tcW w:w="646" w:type="dxa"/>
            <w:tcBorders>
              <w:top w:val="nil"/>
              <w:left w:val="nil"/>
              <w:bottom w:val="nil"/>
              <w:right w:val="double" w:sz="6" w:space="0" w:color="auto"/>
            </w:tcBorders>
            <w:shd w:val="clear" w:color="auto" w:fill="auto"/>
            <w:noWrap/>
            <w:tcMar>
              <w:left w:w="72" w:type="dxa"/>
              <w:right w:w="72" w:type="dxa"/>
            </w:tcMar>
            <w:vAlign w:val="center"/>
            <w:hideMark/>
          </w:tcPr>
          <w:p w14:paraId="754FBE11"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15.85</w:t>
            </w:r>
          </w:p>
        </w:tc>
      </w:tr>
      <w:tr w:rsidR="00824E93" w:rsidRPr="00884CAC" w14:paraId="41D49251" w14:textId="77777777" w:rsidTr="00824E93">
        <w:trPr>
          <w:trHeight w:val="20"/>
          <w:jc w:val="center"/>
        </w:trPr>
        <w:tc>
          <w:tcPr>
            <w:tcW w:w="3307" w:type="dxa"/>
            <w:tcBorders>
              <w:top w:val="double" w:sz="6" w:space="0" w:color="auto"/>
              <w:left w:val="double" w:sz="6" w:space="0" w:color="auto"/>
              <w:bottom w:val="double" w:sz="6" w:space="0" w:color="auto"/>
              <w:right w:val="nil"/>
            </w:tcBorders>
            <w:shd w:val="clear" w:color="000000" w:fill="F2F2F2"/>
            <w:tcMar>
              <w:left w:w="72" w:type="dxa"/>
              <w:right w:w="72" w:type="dxa"/>
            </w:tcMar>
            <w:vAlign w:val="center"/>
            <w:hideMark/>
          </w:tcPr>
          <w:p w14:paraId="7BCA40A4" w14:textId="77777777" w:rsidR="00824E93" w:rsidRPr="00884CAC" w:rsidRDefault="00824E93" w:rsidP="00C335DA">
            <w:pPr>
              <w:jc w:val="left"/>
              <w:rPr>
                <w:rFonts w:eastAsia="Times New Roman"/>
                <w:b/>
                <w:bCs/>
                <w:i/>
                <w:iCs/>
                <w:color w:val="000000"/>
                <w:sz w:val="22"/>
                <w:szCs w:val="22"/>
              </w:rPr>
            </w:pPr>
            <w:r w:rsidRPr="00884CAC">
              <w:rPr>
                <w:rFonts w:eastAsia="Times New Roman"/>
                <w:b/>
                <w:bCs/>
                <w:i/>
                <w:iCs/>
                <w:color w:val="000000"/>
                <w:sz w:val="22"/>
                <w:szCs w:val="22"/>
              </w:rPr>
              <w:t>Household tenure</w:t>
            </w:r>
          </w:p>
        </w:tc>
        <w:tc>
          <w:tcPr>
            <w:tcW w:w="731" w:type="dxa"/>
            <w:tcBorders>
              <w:top w:val="double" w:sz="6" w:space="0" w:color="auto"/>
              <w:left w:val="nil"/>
              <w:bottom w:val="double" w:sz="6" w:space="0" w:color="auto"/>
              <w:right w:val="nil"/>
            </w:tcBorders>
            <w:shd w:val="clear" w:color="000000" w:fill="F2F2F2"/>
            <w:noWrap/>
            <w:tcMar>
              <w:left w:w="72" w:type="dxa"/>
              <w:right w:w="72" w:type="dxa"/>
            </w:tcMar>
            <w:vAlign w:val="center"/>
            <w:hideMark/>
          </w:tcPr>
          <w:p w14:paraId="191EBE6E"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Count</w:t>
            </w:r>
          </w:p>
        </w:tc>
        <w:tc>
          <w:tcPr>
            <w:tcW w:w="639" w:type="dxa"/>
            <w:tcBorders>
              <w:top w:val="double" w:sz="6" w:space="0" w:color="auto"/>
              <w:left w:val="nil"/>
              <w:bottom w:val="double" w:sz="6" w:space="0" w:color="auto"/>
              <w:right w:val="double" w:sz="6" w:space="0" w:color="auto"/>
            </w:tcBorders>
            <w:shd w:val="clear" w:color="000000" w:fill="F2F2F2"/>
            <w:noWrap/>
            <w:tcMar>
              <w:left w:w="72" w:type="dxa"/>
              <w:right w:w="72" w:type="dxa"/>
            </w:tcMar>
            <w:vAlign w:val="center"/>
            <w:hideMark/>
          </w:tcPr>
          <w:p w14:paraId="4B7C3656"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w:t>
            </w:r>
          </w:p>
        </w:tc>
        <w:tc>
          <w:tcPr>
            <w:tcW w:w="804" w:type="dxa"/>
            <w:tcBorders>
              <w:top w:val="double" w:sz="6" w:space="0" w:color="auto"/>
              <w:left w:val="nil"/>
              <w:bottom w:val="double" w:sz="6" w:space="0" w:color="auto"/>
              <w:right w:val="double" w:sz="6" w:space="0" w:color="auto"/>
            </w:tcBorders>
            <w:shd w:val="clear" w:color="000000" w:fill="F2F2F2"/>
            <w:noWrap/>
            <w:tcMar>
              <w:left w:w="72" w:type="dxa"/>
              <w:right w:w="72" w:type="dxa"/>
            </w:tcMar>
            <w:vAlign w:val="center"/>
            <w:hideMark/>
          </w:tcPr>
          <w:p w14:paraId="773D59CE" w14:textId="77777777" w:rsidR="00824E93" w:rsidRPr="00884CAC" w:rsidRDefault="00824E93" w:rsidP="00C335DA">
            <w:pPr>
              <w:jc w:val="right"/>
              <w:rPr>
                <w:rFonts w:eastAsia="Times New Roman"/>
                <w:b/>
                <w:bCs/>
                <w:color w:val="000000"/>
                <w:sz w:val="22"/>
                <w:szCs w:val="22"/>
              </w:rPr>
            </w:pPr>
            <w:r w:rsidRPr="00884CAC">
              <w:rPr>
                <w:rFonts w:eastAsia="Times New Roman"/>
                <w:b/>
                <w:bCs/>
                <w:color w:val="000000"/>
                <w:sz w:val="22"/>
                <w:szCs w:val="22"/>
              </w:rPr>
              <w:t>%</w:t>
            </w:r>
          </w:p>
        </w:tc>
        <w:tc>
          <w:tcPr>
            <w:tcW w:w="2020" w:type="dxa"/>
            <w:tcBorders>
              <w:top w:val="nil"/>
              <w:left w:val="nil"/>
              <w:bottom w:val="nil"/>
              <w:right w:val="nil"/>
            </w:tcBorders>
            <w:shd w:val="clear" w:color="auto" w:fill="auto"/>
            <w:tcMar>
              <w:left w:w="72" w:type="dxa"/>
              <w:right w:w="72" w:type="dxa"/>
            </w:tcMar>
            <w:vAlign w:val="center"/>
            <w:hideMark/>
          </w:tcPr>
          <w:p w14:paraId="07AB2881"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$75,000-$99,999</w:t>
            </w:r>
          </w:p>
        </w:tc>
        <w:tc>
          <w:tcPr>
            <w:tcW w:w="731" w:type="dxa"/>
            <w:tcBorders>
              <w:top w:val="nil"/>
              <w:left w:val="nil"/>
              <w:bottom w:val="nil"/>
              <w:right w:val="nil"/>
            </w:tcBorders>
            <w:shd w:val="clear" w:color="auto" w:fill="auto"/>
            <w:noWrap/>
            <w:tcMar>
              <w:left w:w="72" w:type="dxa"/>
              <w:right w:w="72" w:type="dxa"/>
            </w:tcMar>
            <w:vAlign w:val="center"/>
            <w:hideMark/>
          </w:tcPr>
          <w:p w14:paraId="4C3D894C"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116</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6FC8F76E"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16.45</w:t>
            </w:r>
          </w:p>
        </w:tc>
        <w:tc>
          <w:tcPr>
            <w:tcW w:w="646" w:type="dxa"/>
            <w:tcBorders>
              <w:top w:val="nil"/>
              <w:left w:val="nil"/>
              <w:bottom w:val="nil"/>
              <w:right w:val="double" w:sz="6" w:space="0" w:color="auto"/>
            </w:tcBorders>
            <w:shd w:val="clear" w:color="auto" w:fill="auto"/>
            <w:noWrap/>
            <w:tcMar>
              <w:left w:w="72" w:type="dxa"/>
              <w:right w:w="72" w:type="dxa"/>
            </w:tcMar>
            <w:vAlign w:val="center"/>
            <w:hideMark/>
          </w:tcPr>
          <w:p w14:paraId="0BC93A77"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15.30</w:t>
            </w:r>
          </w:p>
        </w:tc>
      </w:tr>
      <w:tr w:rsidR="00824E93" w:rsidRPr="00884CAC" w14:paraId="5926E1CF" w14:textId="77777777" w:rsidTr="00824E93">
        <w:trPr>
          <w:trHeight w:val="20"/>
          <w:jc w:val="center"/>
        </w:trPr>
        <w:tc>
          <w:tcPr>
            <w:tcW w:w="3307" w:type="dxa"/>
            <w:tcBorders>
              <w:top w:val="nil"/>
              <w:left w:val="double" w:sz="6" w:space="0" w:color="auto"/>
              <w:bottom w:val="nil"/>
              <w:right w:val="nil"/>
            </w:tcBorders>
            <w:shd w:val="clear" w:color="auto" w:fill="auto"/>
            <w:noWrap/>
            <w:tcMar>
              <w:left w:w="72" w:type="dxa"/>
              <w:right w:w="72" w:type="dxa"/>
            </w:tcMar>
            <w:vAlign w:val="center"/>
            <w:hideMark/>
          </w:tcPr>
          <w:p w14:paraId="12FDF1EA"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Rent</w:t>
            </w:r>
          </w:p>
        </w:tc>
        <w:tc>
          <w:tcPr>
            <w:tcW w:w="731" w:type="dxa"/>
            <w:tcBorders>
              <w:top w:val="nil"/>
              <w:left w:val="nil"/>
              <w:bottom w:val="nil"/>
              <w:right w:val="nil"/>
            </w:tcBorders>
            <w:shd w:val="clear" w:color="auto" w:fill="auto"/>
            <w:noWrap/>
            <w:tcMar>
              <w:left w:w="72" w:type="dxa"/>
              <w:right w:w="72" w:type="dxa"/>
            </w:tcMar>
            <w:vAlign w:val="center"/>
            <w:hideMark/>
          </w:tcPr>
          <w:p w14:paraId="3336523C"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415</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45FD926D"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58.87</w:t>
            </w:r>
          </w:p>
        </w:tc>
        <w:tc>
          <w:tcPr>
            <w:tcW w:w="804" w:type="dxa"/>
            <w:tcBorders>
              <w:top w:val="nil"/>
              <w:left w:val="nil"/>
              <w:bottom w:val="nil"/>
              <w:right w:val="double" w:sz="6" w:space="0" w:color="auto"/>
            </w:tcBorders>
            <w:shd w:val="clear" w:color="auto" w:fill="auto"/>
            <w:noWrap/>
            <w:tcMar>
              <w:left w:w="72" w:type="dxa"/>
              <w:right w:w="72" w:type="dxa"/>
            </w:tcMar>
            <w:vAlign w:val="center"/>
            <w:hideMark/>
          </w:tcPr>
          <w:p w14:paraId="2BE73624"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32.93</w:t>
            </w:r>
          </w:p>
        </w:tc>
        <w:tc>
          <w:tcPr>
            <w:tcW w:w="2020" w:type="dxa"/>
            <w:tcBorders>
              <w:top w:val="nil"/>
              <w:left w:val="nil"/>
              <w:bottom w:val="nil"/>
              <w:right w:val="nil"/>
            </w:tcBorders>
            <w:shd w:val="clear" w:color="auto" w:fill="auto"/>
            <w:noWrap/>
            <w:tcMar>
              <w:left w:w="72" w:type="dxa"/>
              <w:right w:w="72" w:type="dxa"/>
            </w:tcMar>
            <w:vAlign w:val="center"/>
            <w:hideMark/>
          </w:tcPr>
          <w:p w14:paraId="6014D50C"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≥$100,000</w:t>
            </w:r>
          </w:p>
        </w:tc>
        <w:tc>
          <w:tcPr>
            <w:tcW w:w="731" w:type="dxa"/>
            <w:tcBorders>
              <w:top w:val="nil"/>
              <w:left w:val="nil"/>
              <w:bottom w:val="nil"/>
              <w:right w:val="nil"/>
            </w:tcBorders>
            <w:shd w:val="clear" w:color="auto" w:fill="auto"/>
            <w:noWrap/>
            <w:tcMar>
              <w:left w:w="72" w:type="dxa"/>
              <w:right w:w="72" w:type="dxa"/>
            </w:tcMar>
            <w:vAlign w:val="center"/>
            <w:hideMark/>
          </w:tcPr>
          <w:p w14:paraId="1A3E22A0"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286</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5CC311DD"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40.58</w:t>
            </w:r>
          </w:p>
        </w:tc>
        <w:tc>
          <w:tcPr>
            <w:tcW w:w="646" w:type="dxa"/>
            <w:tcBorders>
              <w:top w:val="nil"/>
              <w:left w:val="nil"/>
              <w:bottom w:val="nil"/>
              <w:right w:val="double" w:sz="6" w:space="0" w:color="auto"/>
            </w:tcBorders>
            <w:shd w:val="clear" w:color="auto" w:fill="auto"/>
            <w:noWrap/>
            <w:tcMar>
              <w:left w:w="72" w:type="dxa"/>
              <w:right w:w="72" w:type="dxa"/>
            </w:tcMar>
            <w:vAlign w:val="center"/>
            <w:hideMark/>
          </w:tcPr>
          <w:p w14:paraId="42913EE6"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37.84</w:t>
            </w:r>
          </w:p>
        </w:tc>
      </w:tr>
      <w:tr w:rsidR="00824E93" w:rsidRPr="00884CAC" w14:paraId="15AA2DD1" w14:textId="77777777" w:rsidTr="00824E93">
        <w:trPr>
          <w:trHeight w:val="20"/>
          <w:jc w:val="center"/>
        </w:trPr>
        <w:tc>
          <w:tcPr>
            <w:tcW w:w="3307" w:type="dxa"/>
            <w:tcBorders>
              <w:top w:val="nil"/>
              <w:left w:val="double" w:sz="6" w:space="0" w:color="auto"/>
              <w:bottom w:val="nil"/>
              <w:right w:val="nil"/>
            </w:tcBorders>
            <w:shd w:val="clear" w:color="auto" w:fill="auto"/>
            <w:tcMar>
              <w:left w:w="72" w:type="dxa"/>
              <w:right w:w="72" w:type="dxa"/>
            </w:tcMar>
            <w:vAlign w:val="center"/>
            <w:hideMark/>
          </w:tcPr>
          <w:p w14:paraId="43B19D63"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Own</w:t>
            </w:r>
          </w:p>
        </w:tc>
        <w:tc>
          <w:tcPr>
            <w:tcW w:w="731" w:type="dxa"/>
            <w:tcBorders>
              <w:top w:val="nil"/>
              <w:left w:val="nil"/>
              <w:bottom w:val="nil"/>
              <w:right w:val="nil"/>
            </w:tcBorders>
            <w:shd w:val="clear" w:color="auto" w:fill="auto"/>
            <w:noWrap/>
            <w:tcMar>
              <w:left w:w="72" w:type="dxa"/>
              <w:right w:w="72" w:type="dxa"/>
            </w:tcMar>
            <w:vAlign w:val="center"/>
            <w:hideMark/>
          </w:tcPr>
          <w:p w14:paraId="0FEFBAFB"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279</w:t>
            </w: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7AE4E4C1"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39.57</w:t>
            </w:r>
          </w:p>
        </w:tc>
        <w:tc>
          <w:tcPr>
            <w:tcW w:w="804" w:type="dxa"/>
            <w:tcBorders>
              <w:top w:val="nil"/>
              <w:left w:val="nil"/>
              <w:bottom w:val="nil"/>
              <w:right w:val="double" w:sz="6" w:space="0" w:color="auto"/>
            </w:tcBorders>
            <w:shd w:val="clear" w:color="auto" w:fill="auto"/>
            <w:noWrap/>
            <w:tcMar>
              <w:left w:w="72" w:type="dxa"/>
              <w:right w:w="72" w:type="dxa"/>
            </w:tcMar>
            <w:vAlign w:val="center"/>
            <w:hideMark/>
          </w:tcPr>
          <w:p w14:paraId="3A28BB72"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60.63</w:t>
            </w:r>
          </w:p>
        </w:tc>
        <w:tc>
          <w:tcPr>
            <w:tcW w:w="2020" w:type="dxa"/>
            <w:tcBorders>
              <w:top w:val="nil"/>
              <w:left w:val="nil"/>
              <w:bottom w:val="nil"/>
              <w:right w:val="nil"/>
            </w:tcBorders>
            <w:shd w:val="clear" w:color="auto" w:fill="auto"/>
            <w:noWrap/>
            <w:tcMar>
              <w:left w:w="72" w:type="dxa"/>
              <w:right w:w="72" w:type="dxa"/>
            </w:tcMar>
            <w:vAlign w:val="center"/>
            <w:hideMark/>
          </w:tcPr>
          <w:p w14:paraId="47ABDDA7" w14:textId="77777777" w:rsidR="00824E93" w:rsidRPr="00884CAC" w:rsidRDefault="00824E93" w:rsidP="00C335DA">
            <w:pPr>
              <w:jc w:val="right"/>
              <w:rPr>
                <w:rFonts w:eastAsia="Times New Roman"/>
                <w:color w:val="000000"/>
                <w:sz w:val="22"/>
                <w:szCs w:val="22"/>
              </w:rPr>
            </w:pPr>
          </w:p>
        </w:tc>
        <w:tc>
          <w:tcPr>
            <w:tcW w:w="731" w:type="dxa"/>
            <w:tcBorders>
              <w:top w:val="nil"/>
              <w:left w:val="nil"/>
              <w:bottom w:val="nil"/>
              <w:right w:val="nil"/>
            </w:tcBorders>
            <w:shd w:val="clear" w:color="auto" w:fill="auto"/>
            <w:noWrap/>
            <w:tcMar>
              <w:left w:w="72" w:type="dxa"/>
              <w:right w:w="72" w:type="dxa"/>
            </w:tcMar>
            <w:vAlign w:val="center"/>
            <w:hideMark/>
          </w:tcPr>
          <w:p w14:paraId="27633652" w14:textId="77777777" w:rsidR="00824E93" w:rsidRPr="00884CAC" w:rsidRDefault="00824E93" w:rsidP="00C335DA">
            <w:pPr>
              <w:jc w:val="left"/>
              <w:rPr>
                <w:rFonts w:eastAsia="Times New Roman"/>
                <w:sz w:val="20"/>
                <w:szCs w:val="20"/>
              </w:rPr>
            </w:pPr>
          </w:p>
        </w:tc>
        <w:tc>
          <w:tcPr>
            <w:tcW w:w="639" w:type="dxa"/>
            <w:tcBorders>
              <w:top w:val="nil"/>
              <w:left w:val="nil"/>
              <w:bottom w:val="nil"/>
              <w:right w:val="double" w:sz="6" w:space="0" w:color="auto"/>
            </w:tcBorders>
            <w:shd w:val="clear" w:color="auto" w:fill="auto"/>
            <w:noWrap/>
            <w:tcMar>
              <w:left w:w="72" w:type="dxa"/>
              <w:right w:w="72" w:type="dxa"/>
            </w:tcMar>
            <w:vAlign w:val="center"/>
            <w:hideMark/>
          </w:tcPr>
          <w:p w14:paraId="2427BBC9" w14:textId="77777777" w:rsidR="00824E93" w:rsidRPr="00884CAC" w:rsidRDefault="00824E93" w:rsidP="00C335DA">
            <w:pPr>
              <w:jc w:val="left"/>
              <w:rPr>
                <w:rFonts w:ascii="Calibri" w:eastAsia="Times New Roman" w:hAnsi="Calibri" w:cs="Calibri"/>
                <w:color w:val="000000"/>
                <w:sz w:val="22"/>
                <w:szCs w:val="22"/>
              </w:rPr>
            </w:pPr>
            <w:r w:rsidRPr="00884CAC">
              <w:rPr>
                <w:rFonts w:ascii="Calibri" w:eastAsia="Times New Roman" w:hAnsi="Calibri" w:cs="Calibri"/>
                <w:color w:val="000000"/>
                <w:sz w:val="22"/>
                <w:szCs w:val="22"/>
              </w:rPr>
              <w:t> </w:t>
            </w:r>
          </w:p>
        </w:tc>
        <w:tc>
          <w:tcPr>
            <w:tcW w:w="646" w:type="dxa"/>
            <w:tcBorders>
              <w:top w:val="nil"/>
              <w:left w:val="nil"/>
              <w:bottom w:val="nil"/>
              <w:right w:val="double" w:sz="6" w:space="0" w:color="auto"/>
            </w:tcBorders>
            <w:shd w:val="clear" w:color="auto" w:fill="auto"/>
            <w:noWrap/>
            <w:tcMar>
              <w:left w:w="72" w:type="dxa"/>
              <w:right w:w="72" w:type="dxa"/>
            </w:tcMar>
            <w:vAlign w:val="center"/>
            <w:hideMark/>
          </w:tcPr>
          <w:p w14:paraId="235BD940" w14:textId="77777777" w:rsidR="00824E93" w:rsidRPr="00884CAC" w:rsidRDefault="00824E93" w:rsidP="00C335DA">
            <w:pPr>
              <w:jc w:val="left"/>
              <w:rPr>
                <w:rFonts w:ascii="Calibri" w:eastAsia="Times New Roman" w:hAnsi="Calibri" w:cs="Calibri"/>
                <w:color w:val="000000"/>
                <w:sz w:val="22"/>
                <w:szCs w:val="22"/>
              </w:rPr>
            </w:pPr>
            <w:r w:rsidRPr="00884CAC">
              <w:rPr>
                <w:rFonts w:ascii="Calibri" w:eastAsia="Times New Roman" w:hAnsi="Calibri" w:cs="Calibri"/>
                <w:color w:val="000000"/>
                <w:sz w:val="22"/>
                <w:szCs w:val="22"/>
              </w:rPr>
              <w:t> </w:t>
            </w:r>
          </w:p>
        </w:tc>
      </w:tr>
      <w:tr w:rsidR="00824E93" w:rsidRPr="00884CAC" w14:paraId="338F433E" w14:textId="77777777" w:rsidTr="00824E93">
        <w:trPr>
          <w:trHeight w:val="20"/>
          <w:jc w:val="center"/>
        </w:trPr>
        <w:tc>
          <w:tcPr>
            <w:tcW w:w="3307" w:type="dxa"/>
            <w:tcBorders>
              <w:top w:val="nil"/>
              <w:left w:val="double" w:sz="6" w:space="0" w:color="auto"/>
              <w:bottom w:val="double" w:sz="6" w:space="0" w:color="auto"/>
              <w:right w:val="nil"/>
            </w:tcBorders>
            <w:shd w:val="clear" w:color="auto" w:fill="auto"/>
            <w:tcMar>
              <w:left w:w="72" w:type="dxa"/>
              <w:right w:w="72" w:type="dxa"/>
            </w:tcMar>
            <w:vAlign w:val="center"/>
            <w:hideMark/>
          </w:tcPr>
          <w:p w14:paraId="3CAC5BEE" w14:textId="77777777" w:rsidR="00824E93" w:rsidRPr="00884CAC" w:rsidRDefault="00824E93" w:rsidP="00C335DA">
            <w:pPr>
              <w:jc w:val="left"/>
              <w:rPr>
                <w:rFonts w:eastAsia="Times New Roman"/>
                <w:color w:val="000000"/>
                <w:sz w:val="22"/>
                <w:szCs w:val="22"/>
              </w:rPr>
            </w:pPr>
            <w:r w:rsidRPr="00884CAC">
              <w:rPr>
                <w:rFonts w:eastAsia="Times New Roman"/>
                <w:color w:val="000000"/>
                <w:sz w:val="22"/>
                <w:szCs w:val="22"/>
              </w:rPr>
              <w:t>Other</w:t>
            </w:r>
          </w:p>
        </w:tc>
        <w:tc>
          <w:tcPr>
            <w:tcW w:w="731" w:type="dxa"/>
            <w:tcBorders>
              <w:top w:val="nil"/>
              <w:left w:val="nil"/>
              <w:bottom w:val="double" w:sz="6" w:space="0" w:color="auto"/>
              <w:right w:val="nil"/>
            </w:tcBorders>
            <w:shd w:val="clear" w:color="auto" w:fill="auto"/>
            <w:noWrap/>
            <w:tcMar>
              <w:left w:w="72" w:type="dxa"/>
              <w:right w:w="72" w:type="dxa"/>
            </w:tcMar>
            <w:vAlign w:val="center"/>
            <w:hideMark/>
          </w:tcPr>
          <w:p w14:paraId="3B4F8B5C"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11</w:t>
            </w:r>
          </w:p>
        </w:tc>
        <w:tc>
          <w:tcPr>
            <w:tcW w:w="639" w:type="dxa"/>
            <w:tcBorders>
              <w:top w:val="nil"/>
              <w:left w:val="nil"/>
              <w:bottom w:val="double" w:sz="6" w:space="0" w:color="auto"/>
              <w:right w:val="double" w:sz="6" w:space="0" w:color="auto"/>
            </w:tcBorders>
            <w:shd w:val="clear" w:color="auto" w:fill="auto"/>
            <w:noWrap/>
            <w:tcMar>
              <w:left w:w="72" w:type="dxa"/>
              <w:right w:w="72" w:type="dxa"/>
            </w:tcMar>
            <w:vAlign w:val="center"/>
            <w:hideMark/>
          </w:tcPr>
          <w:p w14:paraId="75A2105A"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1.56</w:t>
            </w:r>
          </w:p>
        </w:tc>
        <w:tc>
          <w:tcPr>
            <w:tcW w:w="804" w:type="dxa"/>
            <w:tcBorders>
              <w:top w:val="nil"/>
              <w:left w:val="nil"/>
              <w:bottom w:val="double" w:sz="6" w:space="0" w:color="auto"/>
              <w:right w:val="double" w:sz="6" w:space="0" w:color="auto"/>
            </w:tcBorders>
            <w:shd w:val="clear" w:color="auto" w:fill="auto"/>
            <w:noWrap/>
            <w:tcMar>
              <w:left w:w="72" w:type="dxa"/>
              <w:right w:w="72" w:type="dxa"/>
            </w:tcMar>
            <w:vAlign w:val="center"/>
            <w:hideMark/>
          </w:tcPr>
          <w:p w14:paraId="655A34EB" w14:textId="77777777" w:rsidR="00824E93" w:rsidRPr="00884CAC" w:rsidRDefault="00824E93" w:rsidP="00C335DA">
            <w:pPr>
              <w:jc w:val="right"/>
              <w:rPr>
                <w:rFonts w:eastAsia="Times New Roman"/>
                <w:color w:val="000000"/>
                <w:sz w:val="22"/>
                <w:szCs w:val="22"/>
              </w:rPr>
            </w:pPr>
            <w:r w:rsidRPr="00884CAC">
              <w:rPr>
                <w:rFonts w:eastAsia="Times New Roman"/>
                <w:color w:val="000000"/>
                <w:sz w:val="22"/>
                <w:szCs w:val="22"/>
              </w:rPr>
              <w:t>6.44</w:t>
            </w:r>
          </w:p>
        </w:tc>
        <w:tc>
          <w:tcPr>
            <w:tcW w:w="2020" w:type="dxa"/>
            <w:tcBorders>
              <w:top w:val="nil"/>
              <w:left w:val="nil"/>
              <w:bottom w:val="double" w:sz="6" w:space="0" w:color="auto"/>
              <w:right w:val="nil"/>
            </w:tcBorders>
            <w:shd w:val="clear" w:color="auto" w:fill="auto"/>
            <w:noWrap/>
            <w:tcMar>
              <w:left w:w="72" w:type="dxa"/>
              <w:right w:w="72" w:type="dxa"/>
            </w:tcMar>
            <w:vAlign w:val="center"/>
            <w:hideMark/>
          </w:tcPr>
          <w:p w14:paraId="50AD0EAF" w14:textId="77777777" w:rsidR="00824E93" w:rsidRPr="00884CAC" w:rsidRDefault="00824E93" w:rsidP="00C335DA">
            <w:pPr>
              <w:jc w:val="left"/>
              <w:rPr>
                <w:rFonts w:ascii="Calibri" w:eastAsia="Times New Roman" w:hAnsi="Calibri" w:cs="Calibri"/>
                <w:color w:val="000000"/>
                <w:sz w:val="22"/>
                <w:szCs w:val="22"/>
              </w:rPr>
            </w:pPr>
            <w:r w:rsidRPr="00884CAC">
              <w:rPr>
                <w:rFonts w:ascii="Calibri" w:eastAsia="Times New Roman" w:hAnsi="Calibri" w:cs="Calibri"/>
                <w:color w:val="000000"/>
                <w:sz w:val="22"/>
                <w:szCs w:val="22"/>
              </w:rPr>
              <w:t> </w:t>
            </w:r>
          </w:p>
        </w:tc>
        <w:tc>
          <w:tcPr>
            <w:tcW w:w="731" w:type="dxa"/>
            <w:tcBorders>
              <w:top w:val="nil"/>
              <w:left w:val="nil"/>
              <w:bottom w:val="double" w:sz="6" w:space="0" w:color="auto"/>
              <w:right w:val="nil"/>
            </w:tcBorders>
            <w:shd w:val="clear" w:color="auto" w:fill="auto"/>
            <w:noWrap/>
            <w:tcMar>
              <w:left w:w="72" w:type="dxa"/>
              <w:right w:w="72" w:type="dxa"/>
            </w:tcMar>
            <w:vAlign w:val="center"/>
            <w:hideMark/>
          </w:tcPr>
          <w:p w14:paraId="1A193E52" w14:textId="77777777" w:rsidR="00824E93" w:rsidRPr="00884CAC" w:rsidRDefault="00824E93" w:rsidP="00C335DA">
            <w:pPr>
              <w:jc w:val="left"/>
              <w:rPr>
                <w:rFonts w:ascii="Calibri" w:eastAsia="Times New Roman" w:hAnsi="Calibri" w:cs="Calibri"/>
                <w:color w:val="000000"/>
                <w:sz w:val="22"/>
                <w:szCs w:val="22"/>
              </w:rPr>
            </w:pPr>
            <w:r w:rsidRPr="00884CAC">
              <w:rPr>
                <w:rFonts w:ascii="Calibri" w:eastAsia="Times New Roman" w:hAnsi="Calibri" w:cs="Calibri"/>
                <w:color w:val="000000"/>
                <w:sz w:val="22"/>
                <w:szCs w:val="22"/>
              </w:rPr>
              <w:t> </w:t>
            </w:r>
          </w:p>
        </w:tc>
        <w:tc>
          <w:tcPr>
            <w:tcW w:w="639" w:type="dxa"/>
            <w:tcBorders>
              <w:top w:val="nil"/>
              <w:left w:val="nil"/>
              <w:bottom w:val="double" w:sz="6" w:space="0" w:color="auto"/>
              <w:right w:val="double" w:sz="6" w:space="0" w:color="auto"/>
            </w:tcBorders>
            <w:shd w:val="clear" w:color="auto" w:fill="auto"/>
            <w:noWrap/>
            <w:tcMar>
              <w:left w:w="72" w:type="dxa"/>
              <w:right w:w="72" w:type="dxa"/>
            </w:tcMar>
            <w:vAlign w:val="center"/>
            <w:hideMark/>
          </w:tcPr>
          <w:p w14:paraId="55789519" w14:textId="77777777" w:rsidR="00824E93" w:rsidRPr="00884CAC" w:rsidRDefault="00824E93" w:rsidP="00C335DA">
            <w:pPr>
              <w:jc w:val="left"/>
              <w:rPr>
                <w:rFonts w:ascii="Calibri" w:eastAsia="Times New Roman" w:hAnsi="Calibri" w:cs="Calibri"/>
                <w:color w:val="000000"/>
                <w:sz w:val="22"/>
                <w:szCs w:val="22"/>
              </w:rPr>
            </w:pPr>
            <w:r w:rsidRPr="00884CAC">
              <w:rPr>
                <w:rFonts w:ascii="Calibri" w:eastAsia="Times New Roman" w:hAnsi="Calibri" w:cs="Calibri"/>
                <w:color w:val="000000"/>
                <w:sz w:val="22"/>
                <w:szCs w:val="22"/>
              </w:rPr>
              <w:t> </w:t>
            </w:r>
          </w:p>
        </w:tc>
        <w:tc>
          <w:tcPr>
            <w:tcW w:w="646" w:type="dxa"/>
            <w:tcBorders>
              <w:top w:val="nil"/>
              <w:left w:val="nil"/>
              <w:bottom w:val="double" w:sz="6" w:space="0" w:color="auto"/>
              <w:right w:val="double" w:sz="6" w:space="0" w:color="auto"/>
            </w:tcBorders>
            <w:shd w:val="clear" w:color="auto" w:fill="auto"/>
            <w:noWrap/>
            <w:tcMar>
              <w:left w:w="72" w:type="dxa"/>
              <w:right w:w="72" w:type="dxa"/>
            </w:tcMar>
            <w:vAlign w:val="center"/>
            <w:hideMark/>
          </w:tcPr>
          <w:p w14:paraId="0DFCBA99" w14:textId="77777777" w:rsidR="00824E93" w:rsidRPr="00884CAC" w:rsidRDefault="00824E93" w:rsidP="00C335DA">
            <w:pPr>
              <w:jc w:val="left"/>
              <w:rPr>
                <w:rFonts w:ascii="Calibri" w:eastAsia="Times New Roman" w:hAnsi="Calibri" w:cs="Calibri"/>
                <w:color w:val="000000"/>
                <w:sz w:val="22"/>
                <w:szCs w:val="22"/>
              </w:rPr>
            </w:pPr>
            <w:r w:rsidRPr="00884CAC">
              <w:rPr>
                <w:rFonts w:ascii="Calibri" w:eastAsia="Times New Roman" w:hAnsi="Calibri" w:cs="Calibri"/>
                <w:color w:val="000000"/>
                <w:sz w:val="22"/>
                <w:szCs w:val="22"/>
              </w:rPr>
              <w:t> </w:t>
            </w:r>
          </w:p>
        </w:tc>
      </w:tr>
    </w:tbl>
    <w:p w14:paraId="372D56CD" w14:textId="77777777" w:rsidR="00824E93" w:rsidRPr="00824E93" w:rsidRDefault="00CF4263" w:rsidP="00824E93">
      <w:pPr>
        <w:rPr>
          <w:sz w:val="16"/>
          <w:szCs w:val="16"/>
        </w:rPr>
      </w:pPr>
      <w:r>
        <w:tab/>
      </w:r>
    </w:p>
    <w:p w14:paraId="6442A95C" w14:textId="19ED1438" w:rsidR="00884CAC" w:rsidRDefault="00D052F1" w:rsidP="00824E93">
      <w:pPr>
        <w:ind w:firstLine="720"/>
      </w:pPr>
      <w:r>
        <w:t>The total sample size is 705 households (after extensive data cleaning)</w:t>
      </w:r>
      <w:r w:rsidR="00144074">
        <w:t xml:space="preserve"> </w:t>
      </w:r>
      <w:r w:rsidR="00143D7E">
        <w:t>and</w:t>
      </w:r>
      <w:r w:rsidR="00144074">
        <w:t>,</w:t>
      </w:r>
      <w:r w:rsidR="00760F7C">
        <w:t xml:space="preserve"> as expected,</w:t>
      </w:r>
      <w:r w:rsidR="007E5347">
        <w:t xml:space="preserve"> </w:t>
      </w:r>
      <w:r>
        <w:t>is heavily comprised of single person households, who account for 46.5 percent of the sample (in contrast to just 27.5 percent in the general population). Households with multiple adults and one or more children comprise 13.3 percent of the sample, just about one-half of that in the general population (where the corresponding percentage is 26 percent).</w:t>
      </w:r>
      <w:r w:rsidR="008F0F50">
        <w:t xml:space="preserve"> </w:t>
      </w:r>
      <w:r w:rsidR="007E5347">
        <w:t>Compared to the general population, households that reside in higher-density areas are over-represented; in the sample, nearly 37 percent of the households reside in areas with density greater than 8000 households/km</w:t>
      </w:r>
      <w:r w:rsidR="007E5347">
        <w:rPr>
          <w:vertAlign w:val="superscript"/>
        </w:rPr>
        <w:t>2</w:t>
      </w:r>
      <w:r w:rsidR="007E5347">
        <w:t>; the corresponding percent in the populati</w:t>
      </w:r>
      <w:r w:rsidR="00A8778D">
        <w:t>on stands at just 8.9 percent.</w:t>
      </w:r>
      <w:r w:rsidR="008F0F50">
        <w:t xml:space="preserve"> </w:t>
      </w:r>
      <w:r w:rsidR="007E5347">
        <w:t xml:space="preserve">Consistent with this residential pattern, nearly 59 percent of the sample are renters; in the general population, only 33 percent of households are renters. Consistent with the household tenure distribution, the housing unit type distribution shows a similar skew relative to the general population. While nearly 60 percent of households in the general population live in single family detached houses, only 23.4 percent of sample households do so. Just about two-thirds of the households in the sample reside in apartments and condominiums.   </w:t>
      </w:r>
    </w:p>
    <w:p w14:paraId="69126822" w14:textId="4C60F9D8" w:rsidR="00FC2836" w:rsidRDefault="00FC2836" w:rsidP="00FC2836">
      <w:bookmarkStart w:id="3" w:name="_Ref521259955"/>
      <w:r>
        <w:lastRenderedPageBreak/>
        <w:tab/>
      </w:r>
      <w:r w:rsidR="00760F7C">
        <w:t>T</w:t>
      </w:r>
      <w:r>
        <w:t xml:space="preserve">he sample skews towards single-worker households. While 39.3 percent of households in the population have one worker, the corresponding fraction in the sample stands at 57.6 percent.  While 21.3 percent of households in the general population have no workers, only 8.1 percent of households in the sample have no workers. Vehicle </w:t>
      </w:r>
      <w:r w:rsidR="00760F7C">
        <w:t xml:space="preserve">availability </w:t>
      </w:r>
      <w:r>
        <w:t xml:space="preserve">shows a similar skew as well.  Nearly 20 percent of households in the sample have no vehicle, compared to just 8.3 percent in the general population. It is clear the sample has an over-representation of urban car-free households; hence their activity-travel patterns are not likely to be representative of the general population, but the data set is likely to offer rich information for analyzing relationships between </w:t>
      </w:r>
      <w:r w:rsidR="00B622F2">
        <w:t xml:space="preserve">in-person </w:t>
      </w:r>
      <w:r>
        <w:t xml:space="preserve">and </w:t>
      </w:r>
      <w:r w:rsidR="00B622F2">
        <w:t xml:space="preserve">online </w:t>
      </w:r>
      <w:r>
        <w:t xml:space="preserve">activity engagement. Income distributions are somewhat more similar between the sample and general population (when compared with other characteristics), with some differences in the lowest and highest income categories. The respondent subsample has a smaller percent of households in the lowest income category (&lt; $25,000 per year) and a slightly larger percentage in the highest income category (≥ $100,000 per year).  </w:t>
      </w:r>
    </w:p>
    <w:p w14:paraId="0231D817" w14:textId="4BE189CF" w:rsidR="00FC2836" w:rsidRDefault="00FC2836" w:rsidP="00824E93">
      <w:pPr>
        <w:spacing w:after="80"/>
      </w:pPr>
      <w:r>
        <w:tab/>
        <w:t>Table 2 presents the distribution of six different activity types of sp</w:t>
      </w:r>
      <w:r w:rsidR="00251434">
        <w:t xml:space="preserve">ecific interest in this study. </w:t>
      </w:r>
      <w:r>
        <w:t xml:space="preserve">These six variables constitute the endogenous variables for the subsequent </w:t>
      </w:r>
      <w:r w:rsidR="008670B0">
        <w:t xml:space="preserve">multivariate </w:t>
      </w:r>
      <w:r>
        <w:t>modeling effor</w:t>
      </w:r>
      <w:r w:rsidR="008670B0">
        <w:t xml:space="preserve">t, and are as follows: </w:t>
      </w:r>
      <w:r>
        <w:t xml:space="preserve"> </w:t>
      </w:r>
    </w:p>
    <w:p w14:paraId="4803261F" w14:textId="77777777" w:rsidR="008670B0" w:rsidRDefault="008670B0" w:rsidP="008670B0">
      <w:pPr>
        <w:pStyle w:val="ListParagraph"/>
        <w:numPr>
          <w:ilvl w:val="0"/>
          <w:numId w:val="23"/>
        </w:numPr>
      </w:pPr>
      <w:r>
        <w:t>Number of days in which there was at least one package delivered to the household</w:t>
      </w:r>
    </w:p>
    <w:p w14:paraId="3BDA5F89" w14:textId="77777777" w:rsidR="008670B0" w:rsidRDefault="008670B0" w:rsidP="008670B0">
      <w:pPr>
        <w:pStyle w:val="ListParagraph"/>
        <w:numPr>
          <w:ilvl w:val="0"/>
          <w:numId w:val="23"/>
        </w:numPr>
      </w:pPr>
      <w:r>
        <w:t>Number of days in which there was at least one grocery delivery to the household</w:t>
      </w:r>
    </w:p>
    <w:p w14:paraId="438FD04E" w14:textId="77777777" w:rsidR="008670B0" w:rsidRDefault="008670B0" w:rsidP="008670B0">
      <w:pPr>
        <w:pStyle w:val="ListParagraph"/>
        <w:numPr>
          <w:ilvl w:val="0"/>
          <w:numId w:val="23"/>
        </w:numPr>
      </w:pPr>
      <w:r>
        <w:t>Number of days in which there was at least one meal delivery to the household</w:t>
      </w:r>
    </w:p>
    <w:p w14:paraId="7F370963" w14:textId="47ABCBD6" w:rsidR="008670B0" w:rsidRDefault="008670B0" w:rsidP="008670B0">
      <w:pPr>
        <w:pStyle w:val="ListParagraph"/>
        <w:numPr>
          <w:ilvl w:val="0"/>
          <w:numId w:val="23"/>
        </w:numPr>
      </w:pPr>
      <w:r>
        <w:t xml:space="preserve">Number of days in which there was at least one </w:t>
      </w:r>
      <w:r w:rsidR="00760F7C">
        <w:t>episode</w:t>
      </w:r>
      <w:r>
        <w:t xml:space="preserve"> for general shopping purposes (excluding grocery shopping)</w:t>
      </w:r>
    </w:p>
    <w:p w14:paraId="7D701EFC" w14:textId="3406D416" w:rsidR="008670B0" w:rsidRDefault="008670B0" w:rsidP="008670B0">
      <w:pPr>
        <w:pStyle w:val="ListParagraph"/>
        <w:numPr>
          <w:ilvl w:val="0"/>
          <w:numId w:val="23"/>
        </w:numPr>
      </w:pPr>
      <w:r>
        <w:t xml:space="preserve">Number of days in which there was at least one </w:t>
      </w:r>
      <w:r w:rsidR="00760F7C">
        <w:t>episode</w:t>
      </w:r>
      <w:r>
        <w:t xml:space="preserve"> </w:t>
      </w:r>
      <w:r w:rsidR="00760F7C">
        <w:t xml:space="preserve">of </w:t>
      </w:r>
      <w:r>
        <w:t>grocery shopping</w:t>
      </w:r>
    </w:p>
    <w:p w14:paraId="5161ABD9" w14:textId="6685353F" w:rsidR="008670B0" w:rsidRDefault="008670B0" w:rsidP="008670B0">
      <w:pPr>
        <w:pStyle w:val="ListParagraph"/>
        <w:numPr>
          <w:ilvl w:val="0"/>
          <w:numId w:val="23"/>
        </w:numPr>
      </w:pPr>
      <w:r>
        <w:t xml:space="preserve">Number of days in which there was at least one </w:t>
      </w:r>
      <w:r w:rsidR="00760F7C">
        <w:t>episode</w:t>
      </w:r>
      <w:r>
        <w:t xml:space="preserve"> </w:t>
      </w:r>
      <w:r w:rsidR="00760F7C">
        <w:t xml:space="preserve">to go to </w:t>
      </w:r>
      <w:r>
        <w:t>restaurant/eating establishment</w:t>
      </w:r>
    </w:p>
    <w:p w14:paraId="2B0A78E1" w14:textId="77777777" w:rsidR="008670B0" w:rsidRPr="00824E93" w:rsidRDefault="008670B0" w:rsidP="008670B0">
      <w:pPr>
        <w:rPr>
          <w:sz w:val="16"/>
          <w:szCs w:val="16"/>
        </w:rPr>
      </w:pPr>
    </w:p>
    <w:p w14:paraId="6ABB8F00" w14:textId="35C5EA19" w:rsidR="00FC2836" w:rsidRDefault="008670B0" w:rsidP="00824E93">
      <w:pPr>
        <w:pStyle w:val="Caption"/>
        <w:keepNext/>
        <w:spacing w:after="80"/>
      </w:pPr>
      <w:bookmarkStart w:id="4" w:name="_Ref13672874"/>
      <w:r>
        <w:t>T</w:t>
      </w:r>
      <w:r w:rsidR="00FC2836">
        <w:t xml:space="preserve">able </w:t>
      </w:r>
      <w:r w:rsidR="00FC2836">
        <w:rPr>
          <w:noProof/>
        </w:rPr>
        <w:fldChar w:fldCharType="begin"/>
      </w:r>
      <w:r w:rsidR="00FC2836">
        <w:rPr>
          <w:noProof/>
        </w:rPr>
        <w:instrText xml:space="preserve"> SEQ Table \* ARABIC </w:instrText>
      </w:r>
      <w:r w:rsidR="00FC2836">
        <w:rPr>
          <w:noProof/>
        </w:rPr>
        <w:fldChar w:fldCharType="separate"/>
      </w:r>
      <w:r w:rsidR="00A8778D">
        <w:rPr>
          <w:noProof/>
        </w:rPr>
        <w:t>2</w:t>
      </w:r>
      <w:r w:rsidR="00FC2836">
        <w:rPr>
          <w:noProof/>
        </w:rPr>
        <w:fldChar w:fldCharType="end"/>
      </w:r>
      <w:bookmarkEnd w:id="3"/>
      <w:bookmarkEnd w:id="4"/>
      <w:r w:rsidR="00C335DA">
        <w:rPr>
          <w:noProof/>
        </w:rPr>
        <w:t>.</w:t>
      </w:r>
      <w:r w:rsidR="00FC2836">
        <w:t xml:space="preserve"> Distribution of </w:t>
      </w:r>
      <w:r>
        <w:t>W</w:t>
      </w:r>
      <w:r w:rsidR="00FC2836">
        <w:t xml:space="preserve">eekly </w:t>
      </w:r>
      <w:r>
        <w:t>O</w:t>
      </w:r>
      <w:r w:rsidR="00FC2836">
        <w:t xml:space="preserve">ccurrences of </w:t>
      </w:r>
      <w:r>
        <w:t>D</w:t>
      </w:r>
      <w:r w:rsidR="00FC2836">
        <w:t xml:space="preserve">elivery and </w:t>
      </w:r>
      <w:r>
        <w:t>I</w:t>
      </w:r>
      <w:r w:rsidR="00FC2836">
        <w:t xml:space="preserve">n-person </w:t>
      </w:r>
      <w:r>
        <w:t>T</w:t>
      </w:r>
      <w:r w:rsidR="00FC2836">
        <w:t xml:space="preserve">rips by </w:t>
      </w:r>
      <w:r>
        <w:t>T</w:t>
      </w:r>
      <w:r w:rsidR="00FC2836">
        <w:t>ype</w:t>
      </w:r>
    </w:p>
    <w:tbl>
      <w:tblPr>
        <w:tblW w:w="9450" w:type="dxa"/>
        <w:tblLook w:val="04A0" w:firstRow="1" w:lastRow="0" w:firstColumn="1" w:lastColumn="0" w:noHBand="0" w:noVBand="1"/>
      </w:tblPr>
      <w:tblGrid>
        <w:gridCol w:w="1260"/>
        <w:gridCol w:w="731"/>
        <w:gridCol w:w="639"/>
        <w:gridCol w:w="731"/>
        <w:gridCol w:w="639"/>
        <w:gridCol w:w="731"/>
        <w:gridCol w:w="639"/>
        <w:gridCol w:w="20"/>
        <w:gridCol w:w="711"/>
        <w:gridCol w:w="649"/>
        <w:gridCol w:w="731"/>
        <w:gridCol w:w="639"/>
        <w:gridCol w:w="731"/>
        <w:gridCol w:w="639"/>
      </w:tblGrid>
      <w:tr w:rsidR="00FC2836" w:rsidRPr="00464659" w14:paraId="64E19920" w14:textId="77777777" w:rsidTr="00C20013">
        <w:trPr>
          <w:trHeight w:val="317"/>
        </w:trPr>
        <w:tc>
          <w:tcPr>
            <w:tcW w:w="1260" w:type="dxa"/>
            <w:vMerge w:val="restart"/>
            <w:tcBorders>
              <w:top w:val="double" w:sz="6" w:space="0" w:color="auto"/>
              <w:left w:val="double" w:sz="6" w:space="0" w:color="auto"/>
              <w:bottom w:val="double" w:sz="6" w:space="0" w:color="000000"/>
              <w:right w:val="double" w:sz="6" w:space="0" w:color="auto"/>
            </w:tcBorders>
            <w:shd w:val="clear" w:color="auto" w:fill="D9D9D9" w:themeFill="background1" w:themeFillShade="D9"/>
            <w:tcMar>
              <w:left w:w="72" w:type="dxa"/>
              <w:right w:w="72" w:type="dxa"/>
            </w:tcMar>
            <w:vAlign w:val="center"/>
            <w:hideMark/>
          </w:tcPr>
          <w:p w14:paraId="3869E08C" w14:textId="3CC9014B" w:rsidR="00FC2836" w:rsidRPr="00486FCE" w:rsidRDefault="00FC2836" w:rsidP="006B44CE">
            <w:pPr>
              <w:jc w:val="center"/>
              <w:rPr>
                <w:rFonts w:eastAsia="Times New Roman"/>
                <w:b/>
                <w:i/>
                <w:color w:val="000000"/>
                <w:sz w:val="22"/>
                <w:szCs w:val="22"/>
              </w:rPr>
            </w:pPr>
            <w:r w:rsidRPr="00486FCE">
              <w:rPr>
                <w:rFonts w:eastAsia="Times New Roman"/>
                <w:b/>
                <w:i/>
                <w:color w:val="000000"/>
                <w:sz w:val="22"/>
                <w:szCs w:val="22"/>
              </w:rPr>
              <w:t xml:space="preserve">Days in week with deliveries or </w:t>
            </w:r>
            <w:r w:rsidR="00C22352">
              <w:rPr>
                <w:rFonts w:eastAsia="Times New Roman"/>
                <w:b/>
                <w:i/>
                <w:color w:val="000000"/>
                <w:sz w:val="22"/>
                <w:szCs w:val="22"/>
              </w:rPr>
              <w:t>episode</w:t>
            </w:r>
            <w:r w:rsidRPr="00486FCE">
              <w:rPr>
                <w:rFonts w:eastAsia="Times New Roman"/>
                <w:b/>
                <w:i/>
                <w:color w:val="000000"/>
                <w:sz w:val="22"/>
                <w:szCs w:val="22"/>
              </w:rPr>
              <w:t>s</w:t>
            </w:r>
          </w:p>
        </w:tc>
        <w:tc>
          <w:tcPr>
            <w:tcW w:w="4130" w:type="dxa"/>
            <w:gridSpan w:val="7"/>
            <w:tcBorders>
              <w:top w:val="double" w:sz="6" w:space="0" w:color="auto"/>
              <w:left w:val="nil"/>
              <w:bottom w:val="double" w:sz="6" w:space="0" w:color="auto"/>
              <w:right w:val="double" w:sz="6" w:space="0" w:color="000000"/>
            </w:tcBorders>
            <w:shd w:val="clear" w:color="auto" w:fill="D9D9D9" w:themeFill="background1" w:themeFillShade="D9"/>
            <w:noWrap/>
            <w:tcMar>
              <w:left w:w="72" w:type="dxa"/>
              <w:right w:w="72" w:type="dxa"/>
            </w:tcMar>
            <w:vAlign w:val="center"/>
            <w:hideMark/>
          </w:tcPr>
          <w:p w14:paraId="50D823C4" w14:textId="145116A0" w:rsidR="00FC2836" w:rsidRPr="00486FCE" w:rsidRDefault="008670B0" w:rsidP="006B44CE">
            <w:pPr>
              <w:jc w:val="center"/>
              <w:rPr>
                <w:rFonts w:eastAsia="Times New Roman"/>
                <w:b/>
                <w:i/>
                <w:color w:val="000000"/>
                <w:sz w:val="22"/>
                <w:szCs w:val="22"/>
              </w:rPr>
            </w:pPr>
            <w:r>
              <w:rPr>
                <w:rFonts w:eastAsia="Times New Roman"/>
                <w:b/>
                <w:i/>
                <w:color w:val="000000"/>
                <w:sz w:val="22"/>
                <w:szCs w:val="22"/>
              </w:rPr>
              <w:t>D</w:t>
            </w:r>
            <w:r w:rsidR="00FC2836" w:rsidRPr="00486FCE">
              <w:rPr>
                <w:rFonts w:eastAsia="Times New Roman"/>
                <w:b/>
                <w:i/>
                <w:color w:val="000000"/>
                <w:sz w:val="22"/>
                <w:szCs w:val="22"/>
              </w:rPr>
              <w:t>eliveries to house by type</w:t>
            </w:r>
          </w:p>
        </w:tc>
        <w:tc>
          <w:tcPr>
            <w:tcW w:w="4060" w:type="dxa"/>
            <w:gridSpan w:val="6"/>
            <w:tcBorders>
              <w:top w:val="double" w:sz="6" w:space="0" w:color="auto"/>
              <w:left w:val="nil"/>
              <w:bottom w:val="double" w:sz="6" w:space="0" w:color="auto"/>
              <w:right w:val="double" w:sz="6" w:space="0" w:color="000000"/>
            </w:tcBorders>
            <w:shd w:val="clear" w:color="auto" w:fill="D9D9D9" w:themeFill="background1" w:themeFillShade="D9"/>
            <w:noWrap/>
            <w:tcMar>
              <w:left w:w="72" w:type="dxa"/>
              <w:right w:w="72" w:type="dxa"/>
            </w:tcMar>
            <w:vAlign w:val="center"/>
            <w:hideMark/>
          </w:tcPr>
          <w:p w14:paraId="0EE0E5EE" w14:textId="064368B3" w:rsidR="00FC2836" w:rsidRPr="00486FCE" w:rsidRDefault="008670B0" w:rsidP="006B44CE">
            <w:pPr>
              <w:jc w:val="center"/>
              <w:rPr>
                <w:rFonts w:eastAsia="Times New Roman"/>
                <w:b/>
                <w:i/>
                <w:color w:val="000000"/>
                <w:sz w:val="22"/>
                <w:szCs w:val="22"/>
              </w:rPr>
            </w:pPr>
            <w:r>
              <w:rPr>
                <w:rFonts w:eastAsia="Times New Roman"/>
                <w:b/>
                <w:i/>
                <w:color w:val="000000"/>
                <w:sz w:val="22"/>
                <w:szCs w:val="22"/>
              </w:rPr>
              <w:t>I</w:t>
            </w:r>
            <w:r w:rsidR="00FC2836" w:rsidRPr="00486FCE">
              <w:rPr>
                <w:rFonts w:eastAsia="Times New Roman"/>
                <w:b/>
                <w:i/>
                <w:color w:val="000000"/>
                <w:sz w:val="22"/>
                <w:szCs w:val="22"/>
              </w:rPr>
              <w:t>n</w:t>
            </w:r>
            <w:r>
              <w:rPr>
                <w:rFonts w:eastAsia="Times New Roman"/>
                <w:b/>
                <w:i/>
                <w:color w:val="000000"/>
                <w:sz w:val="22"/>
                <w:szCs w:val="22"/>
              </w:rPr>
              <w:t>-</w:t>
            </w:r>
            <w:r w:rsidR="00FC2836" w:rsidRPr="00486FCE">
              <w:rPr>
                <w:rFonts w:eastAsia="Times New Roman"/>
                <w:b/>
                <w:i/>
                <w:color w:val="000000"/>
                <w:sz w:val="22"/>
                <w:szCs w:val="22"/>
              </w:rPr>
              <w:t xml:space="preserve">person </w:t>
            </w:r>
            <w:r w:rsidR="00C22352">
              <w:rPr>
                <w:rFonts w:eastAsia="Times New Roman"/>
                <w:b/>
                <w:i/>
                <w:color w:val="000000"/>
                <w:sz w:val="22"/>
                <w:szCs w:val="22"/>
              </w:rPr>
              <w:t>episodes</w:t>
            </w:r>
            <w:r w:rsidR="00FC2836" w:rsidRPr="00486FCE">
              <w:rPr>
                <w:rFonts w:eastAsia="Times New Roman"/>
                <w:b/>
                <w:i/>
                <w:color w:val="000000"/>
                <w:sz w:val="22"/>
                <w:szCs w:val="22"/>
              </w:rPr>
              <w:t xml:space="preserve"> by type</w:t>
            </w:r>
          </w:p>
        </w:tc>
      </w:tr>
      <w:tr w:rsidR="00FC2836" w:rsidRPr="00464659" w14:paraId="634D1DBC" w14:textId="77777777" w:rsidTr="00C20013">
        <w:trPr>
          <w:trHeight w:val="317"/>
        </w:trPr>
        <w:tc>
          <w:tcPr>
            <w:tcW w:w="1260" w:type="dxa"/>
            <w:vMerge/>
            <w:tcBorders>
              <w:top w:val="double" w:sz="6" w:space="0" w:color="auto"/>
              <w:left w:val="double" w:sz="6" w:space="0" w:color="auto"/>
              <w:bottom w:val="double" w:sz="6" w:space="0" w:color="000000"/>
              <w:right w:val="double" w:sz="6" w:space="0" w:color="auto"/>
            </w:tcBorders>
            <w:shd w:val="clear" w:color="auto" w:fill="D9D9D9" w:themeFill="background1" w:themeFillShade="D9"/>
            <w:tcMar>
              <w:left w:w="72" w:type="dxa"/>
              <w:right w:w="72" w:type="dxa"/>
            </w:tcMar>
            <w:vAlign w:val="center"/>
            <w:hideMark/>
          </w:tcPr>
          <w:p w14:paraId="3DBC4D46" w14:textId="77777777" w:rsidR="00FC2836" w:rsidRPr="00464659" w:rsidRDefault="00FC2836" w:rsidP="006B44CE">
            <w:pPr>
              <w:jc w:val="left"/>
              <w:rPr>
                <w:rFonts w:eastAsia="Times New Roman"/>
                <w:color w:val="000000"/>
                <w:sz w:val="22"/>
                <w:szCs w:val="22"/>
              </w:rPr>
            </w:pPr>
          </w:p>
        </w:tc>
        <w:tc>
          <w:tcPr>
            <w:tcW w:w="1370" w:type="dxa"/>
            <w:gridSpan w:val="2"/>
            <w:tcBorders>
              <w:top w:val="double" w:sz="6" w:space="0" w:color="auto"/>
              <w:left w:val="nil"/>
              <w:bottom w:val="single" w:sz="4" w:space="0" w:color="auto"/>
              <w:right w:val="double" w:sz="6" w:space="0" w:color="000000"/>
            </w:tcBorders>
            <w:shd w:val="clear" w:color="auto" w:fill="D9D9D9" w:themeFill="background1" w:themeFillShade="D9"/>
            <w:noWrap/>
            <w:tcMar>
              <w:left w:w="72" w:type="dxa"/>
              <w:right w:w="72" w:type="dxa"/>
            </w:tcMar>
            <w:vAlign w:val="center"/>
            <w:hideMark/>
          </w:tcPr>
          <w:p w14:paraId="7BED3870" w14:textId="77777777" w:rsidR="00FC2836" w:rsidRPr="00486FCE" w:rsidRDefault="00FC2836" w:rsidP="006B44CE">
            <w:pPr>
              <w:jc w:val="center"/>
              <w:rPr>
                <w:rFonts w:eastAsia="Times New Roman"/>
                <w:b/>
                <w:i/>
                <w:color w:val="000000"/>
                <w:sz w:val="22"/>
                <w:szCs w:val="22"/>
              </w:rPr>
            </w:pPr>
            <w:r w:rsidRPr="00486FCE">
              <w:rPr>
                <w:rFonts w:eastAsia="Times New Roman"/>
                <w:b/>
                <w:i/>
                <w:color w:val="000000"/>
                <w:sz w:val="22"/>
                <w:szCs w:val="22"/>
              </w:rPr>
              <w:t>Packages</w:t>
            </w:r>
          </w:p>
        </w:tc>
        <w:tc>
          <w:tcPr>
            <w:tcW w:w="1370" w:type="dxa"/>
            <w:gridSpan w:val="2"/>
            <w:tcBorders>
              <w:top w:val="double" w:sz="6" w:space="0" w:color="auto"/>
              <w:left w:val="nil"/>
              <w:bottom w:val="single" w:sz="4" w:space="0" w:color="auto"/>
              <w:right w:val="double" w:sz="6" w:space="0" w:color="000000"/>
            </w:tcBorders>
            <w:shd w:val="clear" w:color="auto" w:fill="D9D9D9" w:themeFill="background1" w:themeFillShade="D9"/>
            <w:noWrap/>
            <w:tcMar>
              <w:left w:w="72" w:type="dxa"/>
              <w:right w:w="72" w:type="dxa"/>
            </w:tcMar>
            <w:vAlign w:val="center"/>
            <w:hideMark/>
          </w:tcPr>
          <w:p w14:paraId="569B21DD" w14:textId="77777777" w:rsidR="00FC2836" w:rsidRPr="00486FCE" w:rsidRDefault="00FC2836" w:rsidP="006B44CE">
            <w:pPr>
              <w:jc w:val="center"/>
              <w:rPr>
                <w:rFonts w:eastAsia="Times New Roman"/>
                <w:b/>
                <w:i/>
                <w:color w:val="000000"/>
                <w:sz w:val="22"/>
                <w:szCs w:val="22"/>
              </w:rPr>
            </w:pPr>
            <w:r w:rsidRPr="00486FCE">
              <w:rPr>
                <w:rFonts w:eastAsia="Times New Roman"/>
                <w:b/>
                <w:i/>
                <w:color w:val="000000"/>
                <w:sz w:val="22"/>
                <w:szCs w:val="22"/>
              </w:rPr>
              <w:t>Groceries</w:t>
            </w:r>
          </w:p>
        </w:tc>
        <w:tc>
          <w:tcPr>
            <w:tcW w:w="1370" w:type="dxa"/>
            <w:gridSpan w:val="2"/>
            <w:tcBorders>
              <w:top w:val="double" w:sz="6" w:space="0" w:color="auto"/>
              <w:left w:val="nil"/>
              <w:bottom w:val="single" w:sz="4" w:space="0" w:color="auto"/>
              <w:right w:val="double" w:sz="6" w:space="0" w:color="000000"/>
            </w:tcBorders>
            <w:shd w:val="clear" w:color="auto" w:fill="D9D9D9" w:themeFill="background1" w:themeFillShade="D9"/>
            <w:noWrap/>
            <w:tcMar>
              <w:left w:w="72" w:type="dxa"/>
              <w:right w:w="72" w:type="dxa"/>
            </w:tcMar>
            <w:vAlign w:val="center"/>
            <w:hideMark/>
          </w:tcPr>
          <w:p w14:paraId="186EFAD2" w14:textId="77777777" w:rsidR="00FC2836" w:rsidRPr="00486FCE" w:rsidRDefault="00FC2836" w:rsidP="006B44CE">
            <w:pPr>
              <w:jc w:val="center"/>
              <w:rPr>
                <w:rFonts w:eastAsia="Times New Roman"/>
                <w:b/>
                <w:i/>
                <w:color w:val="000000"/>
                <w:sz w:val="22"/>
                <w:szCs w:val="22"/>
              </w:rPr>
            </w:pPr>
            <w:r>
              <w:rPr>
                <w:rFonts w:eastAsia="Times New Roman"/>
                <w:b/>
                <w:i/>
                <w:color w:val="000000"/>
                <w:sz w:val="22"/>
                <w:szCs w:val="22"/>
              </w:rPr>
              <w:t>Meals</w:t>
            </w:r>
          </w:p>
        </w:tc>
        <w:tc>
          <w:tcPr>
            <w:tcW w:w="1380" w:type="dxa"/>
            <w:gridSpan w:val="3"/>
            <w:tcBorders>
              <w:top w:val="double" w:sz="6" w:space="0" w:color="auto"/>
              <w:left w:val="nil"/>
              <w:bottom w:val="single" w:sz="4" w:space="0" w:color="auto"/>
              <w:right w:val="double" w:sz="6" w:space="0" w:color="000000"/>
            </w:tcBorders>
            <w:shd w:val="clear" w:color="auto" w:fill="D9D9D9" w:themeFill="background1" w:themeFillShade="D9"/>
            <w:noWrap/>
            <w:tcMar>
              <w:left w:w="72" w:type="dxa"/>
              <w:right w:w="72" w:type="dxa"/>
            </w:tcMar>
            <w:vAlign w:val="center"/>
            <w:hideMark/>
          </w:tcPr>
          <w:p w14:paraId="74991477" w14:textId="77777777" w:rsidR="00FC2836" w:rsidRPr="00486FCE" w:rsidRDefault="00FC2836" w:rsidP="006B44CE">
            <w:pPr>
              <w:jc w:val="center"/>
              <w:rPr>
                <w:rFonts w:eastAsia="Times New Roman"/>
                <w:b/>
                <w:i/>
                <w:color w:val="000000"/>
                <w:sz w:val="22"/>
                <w:szCs w:val="22"/>
              </w:rPr>
            </w:pPr>
            <w:r w:rsidRPr="00486FCE">
              <w:rPr>
                <w:rFonts w:eastAsia="Times New Roman"/>
                <w:b/>
                <w:i/>
                <w:color w:val="000000"/>
                <w:sz w:val="22"/>
                <w:szCs w:val="22"/>
              </w:rPr>
              <w:t>Shopping</w:t>
            </w:r>
          </w:p>
        </w:tc>
        <w:tc>
          <w:tcPr>
            <w:tcW w:w="1370" w:type="dxa"/>
            <w:gridSpan w:val="2"/>
            <w:tcBorders>
              <w:top w:val="double" w:sz="6" w:space="0" w:color="auto"/>
              <w:left w:val="nil"/>
              <w:bottom w:val="single" w:sz="4" w:space="0" w:color="auto"/>
              <w:right w:val="double" w:sz="6" w:space="0" w:color="000000"/>
            </w:tcBorders>
            <w:shd w:val="clear" w:color="auto" w:fill="D9D9D9" w:themeFill="background1" w:themeFillShade="D9"/>
            <w:noWrap/>
            <w:tcMar>
              <w:left w:w="72" w:type="dxa"/>
              <w:right w:w="72" w:type="dxa"/>
            </w:tcMar>
            <w:vAlign w:val="center"/>
            <w:hideMark/>
          </w:tcPr>
          <w:p w14:paraId="2FB312B1" w14:textId="77777777" w:rsidR="00FC2836" w:rsidRPr="00486FCE" w:rsidRDefault="00FC2836" w:rsidP="006B44CE">
            <w:pPr>
              <w:jc w:val="center"/>
              <w:rPr>
                <w:rFonts w:eastAsia="Times New Roman"/>
                <w:b/>
                <w:i/>
                <w:color w:val="000000"/>
                <w:sz w:val="22"/>
                <w:szCs w:val="22"/>
              </w:rPr>
            </w:pPr>
            <w:r w:rsidRPr="00486FCE">
              <w:rPr>
                <w:rFonts w:eastAsia="Times New Roman"/>
                <w:b/>
                <w:i/>
                <w:color w:val="000000"/>
                <w:sz w:val="22"/>
                <w:szCs w:val="22"/>
              </w:rPr>
              <w:t>Groceries</w:t>
            </w:r>
          </w:p>
        </w:tc>
        <w:tc>
          <w:tcPr>
            <w:tcW w:w="1330" w:type="dxa"/>
            <w:gridSpan w:val="2"/>
            <w:tcBorders>
              <w:top w:val="double" w:sz="6" w:space="0" w:color="auto"/>
              <w:left w:val="nil"/>
              <w:bottom w:val="single" w:sz="4" w:space="0" w:color="auto"/>
              <w:right w:val="double" w:sz="6" w:space="0" w:color="000000"/>
            </w:tcBorders>
            <w:shd w:val="clear" w:color="auto" w:fill="D9D9D9" w:themeFill="background1" w:themeFillShade="D9"/>
            <w:noWrap/>
            <w:tcMar>
              <w:left w:w="72" w:type="dxa"/>
              <w:right w:w="72" w:type="dxa"/>
            </w:tcMar>
            <w:vAlign w:val="center"/>
            <w:hideMark/>
          </w:tcPr>
          <w:p w14:paraId="03E0D4B7" w14:textId="77777777" w:rsidR="00FC2836" w:rsidRPr="00486FCE" w:rsidRDefault="00FC2836" w:rsidP="006B44CE">
            <w:pPr>
              <w:jc w:val="center"/>
              <w:rPr>
                <w:rFonts w:eastAsia="Times New Roman"/>
                <w:b/>
                <w:i/>
                <w:color w:val="000000"/>
                <w:sz w:val="22"/>
                <w:szCs w:val="22"/>
              </w:rPr>
            </w:pPr>
            <w:r>
              <w:rPr>
                <w:rFonts w:eastAsia="Times New Roman"/>
                <w:b/>
                <w:i/>
                <w:color w:val="000000"/>
                <w:sz w:val="22"/>
                <w:szCs w:val="22"/>
              </w:rPr>
              <w:t>Meals</w:t>
            </w:r>
          </w:p>
        </w:tc>
      </w:tr>
      <w:tr w:rsidR="00FC2836" w:rsidRPr="00464659" w14:paraId="10B6BF57" w14:textId="77777777" w:rsidTr="00C20013">
        <w:trPr>
          <w:trHeight w:val="288"/>
        </w:trPr>
        <w:tc>
          <w:tcPr>
            <w:tcW w:w="1260" w:type="dxa"/>
            <w:vMerge/>
            <w:tcBorders>
              <w:top w:val="double" w:sz="6" w:space="0" w:color="auto"/>
              <w:left w:val="double" w:sz="6" w:space="0" w:color="auto"/>
              <w:bottom w:val="double" w:sz="6" w:space="0" w:color="000000"/>
              <w:right w:val="double" w:sz="6" w:space="0" w:color="auto"/>
            </w:tcBorders>
            <w:shd w:val="clear" w:color="auto" w:fill="D9D9D9" w:themeFill="background1" w:themeFillShade="D9"/>
            <w:tcMar>
              <w:left w:w="72" w:type="dxa"/>
              <w:right w:w="72" w:type="dxa"/>
            </w:tcMar>
            <w:vAlign w:val="center"/>
            <w:hideMark/>
          </w:tcPr>
          <w:p w14:paraId="207AAA69" w14:textId="77777777" w:rsidR="00FC2836" w:rsidRPr="00464659" w:rsidRDefault="00FC2836" w:rsidP="006B44CE">
            <w:pPr>
              <w:jc w:val="left"/>
              <w:rPr>
                <w:rFonts w:eastAsia="Times New Roman"/>
                <w:color w:val="000000"/>
                <w:sz w:val="22"/>
                <w:szCs w:val="22"/>
              </w:rPr>
            </w:pPr>
          </w:p>
        </w:tc>
        <w:tc>
          <w:tcPr>
            <w:tcW w:w="731" w:type="dxa"/>
            <w:tcBorders>
              <w:top w:val="single" w:sz="4" w:space="0" w:color="auto"/>
              <w:left w:val="nil"/>
              <w:bottom w:val="double" w:sz="6" w:space="0" w:color="auto"/>
              <w:right w:val="nil"/>
            </w:tcBorders>
            <w:shd w:val="clear" w:color="auto" w:fill="D9D9D9" w:themeFill="background1" w:themeFillShade="D9"/>
            <w:noWrap/>
            <w:tcMar>
              <w:left w:w="72" w:type="dxa"/>
              <w:right w:w="72" w:type="dxa"/>
            </w:tcMar>
            <w:vAlign w:val="center"/>
            <w:hideMark/>
          </w:tcPr>
          <w:p w14:paraId="1CE85451" w14:textId="77777777" w:rsidR="00FC2836" w:rsidRPr="00486FCE" w:rsidRDefault="00FC2836" w:rsidP="006B44CE">
            <w:pPr>
              <w:jc w:val="center"/>
              <w:rPr>
                <w:rFonts w:eastAsia="Times New Roman"/>
                <w:b/>
                <w:color w:val="000000"/>
                <w:sz w:val="22"/>
                <w:szCs w:val="22"/>
              </w:rPr>
            </w:pPr>
            <w:r w:rsidRPr="00486FCE">
              <w:rPr>
                <w:rFonts w:eastAsia="Times New Roman"/>
                <w:b/>
                <w:color w:val="000000"/>
                <w:sz w:val="22"/>
                <w:szCs w:val="22"/>
              </w:rPr>
              <w:t>Count</w:t>
            </w:r>
          </w:p>
        </w:tc>
        <w:tc>
          <w:tcPr>
            <w:tcW w:w="639" w:type="dxa"/>
            <w:tcBorders>
              <w:top w:val="single" w:sz="4" w:space="0" w:color="auto"/>
              <w:left w:val="nil"/>
              <w:bottom w:val="double" w:sz="6" w:space="0" w:color="auto"/>
              <w:right w:val="double" w:sz="6" w:space="0" w:color="auto"/>
            </w:tcBorders>
            <w:shd w:val="clear" w:color="auto" w:fill="D9D9D9" w:themeFill="background1" w:themeFillShade="D9"/>
            <w:noWrap/>
            <w:tcMar>
              <w:left w:w="72" w:type="dxa"/>
              <w:right w:w="72" w:type="dxa"/>
            </w:tcMar>
            <w:vAlign w:val="center"/>
            <w:hideMark/>
          </w:tcPr>
          <w:p w14:paraId="17F7568F" w14:textId="77777777" w:rsidR="00FC2836" w:rsidRPr="00486FCE" w:rsidRDefault="00FC2836" w:rsidP="006B44CE">
            <w:pPr>
              <w:jc w:val="center"/>
              <w:rPr>
                <w:rFonts w:eastAsia="Times New Roman"/>
                <w:b/>
                <w:color w:val="000000"/>
                <w:sz w:val="22"/>
                <w:szCs w:val="22"/>
              </w:rPr>
            </w:pPr>
            <w:r w:rsidRPr="00486FCE">
              <w:rPr>
                <w:rFonts w:eastAsia="Times New Roman"/>
                <w:b/>
                <w:color w:val="000000"/>
                <w:sz w:val="22"/>
                <w:szCs w:val="22"/>
              </w:rPr>
              <w:t>%</w:t>
            </w:r>
          </w:p>
        </w:tc>
        <w:tc>
          <w:tcPr>
            <w:tcW w:w="731" w:type="dxa"/>
            <w:tcBorders>
              <w:top w:val="single" w:sz="4" w:space="0" w:color="auto"/>
              <w:left w:val="nil"/>
              <w:bottom w:val="double" w:sz="6" w:space="0" w:color="auto"/>
              <w:right w:val="nil"/>
            </w:tcBorders>
            <w:shd w:val="clear" w:color="auto" w:fill="D9D9D9" w:themeFill="background1" w:themeFillShade="D9"/>
            <w:noWrap/>
            <w:tcMar>
              <w:left w:w="72" w:type="dxa"/>
              <w:right w:w="72" w:type="dxa"/>
            </w:tcMar>
            <w:vAlign w:val="center"/>
            <w:hideMark/>
          </w:tcPr>
          <w:p w14:paraId="06C06918" w14:textId="77777777" w:rsidR="00FC2836" w:rsidRPr="00486FCE" w:rsidRDefault="00FC2836" w:rsidP="006B44CE">
            <w:pPr>
              <w:jc w:val="center"/>
              <w:rPr>
                <w:rFonts w:eastAsia="Times New Roman"/>
                <w:b/>
                <w:color w:val="000000"/>
                <w:sz w:val="22"/>
                <w:szCs w:val="22"/>
              </w:rPr>
            </w:pPr>
            <w:r w:rsidRPr="00486FCE">
              <w:rPr>
                <w:rFonts w:eastAsia="Times New Roman"/>
                <w:b/>
                <w:color w:val="000000"/>
                <w:sz w:val="22"/>
                <w:szCs w:val="22"/>
              </w:rPr>
              <w:t>Count</w:t>
            </w:r>
          </w:p>
        </w:tc>
        <w:tc>
          <w:tcPr>
            <w:tcW w:w="639" w:type="dxa"/>
            <w:tcBorders>
              <w:top w:val="single" w:sz="4" w:space="0" w:color="auto"/>
              <w:left w:val="nil"/>
              <w:bottom w:val="double" w:sz="6" w:space="0" w:color="auto"/>
              <w:right w:val="double" w:sz="6" w:space="0" w:color="auto"/>
            </w:tcBorders>
            <w:shd w:val="clear" w:color="auto" w:fill="D9D9D9" w:themeFill="background1" w:themeFillShade="D9"/>
            <w:noWrap/>
            <w:tcMar>
              <w:left w:w="72" w:type="dxa"/>
              <w:right w:w="72" w:type="dxa"/>
            </w:tcMar>
            <w:vAlign w:val="center"/>
            <w:hideMark/>
          </w:tcPr>
          <w:p w14:paraId="1E8C7997" w14:textId="77777777" w:rsidR="00FC2836" w:rsidRPr="00486FCE" w:rsidRDefault="00FC2836" w:rsidP="006B44CE">
            <w:pPr>
              <w:jc w:val="center"/>
              <w:rPr>
                <w:rFonts w:eastAsia="Times New Roman"/>
                <w:b/>
                <w:color w:val="000000"/>
                <w:sz w:val="22"/>
                <w:szCs w:val="22"/>
              </w:rPr>
            </w:pPr>
            <w:r w:rsidRPr="00486FCE">
              <w:rPr>
                <w:rFonts w:eastAsia="Times New Roman"/>
                <w:b/>
                <w:color w:val="000000"/>
                <w:sz w:val="22"/>
                <w:szCs w:val="22"/>
              </w:rPr>
              <w:t>%</w:t>
            </w:r>
          </w:p>
        </w:tc>
        <w:tc>
          <w:tcPr>
            <w:tcW w:w="731" w:type="dxa"/>
            <w:tcBorders>
              <w:top w:val="single" w:sz="4" w:space="0" w:color="auto"/>
              <w:left w:val="nil"/>
              <w:bottom w:val="double" w:sz="6" w:space="0" w:color="auto"/>
              <w:right w:val="nil"/>
            </w:tcBorders>
            <w:shd w:val="clear" w:color="auto" w:fill="D9D9D9" w:themeFill="background1" w:themeFillShade="D9"/>
            <w:noWrap/>
            <w:tcMar>
              <w:left w:w="72" w:type="dxa"/>
              <w:right w:w="72" w:type="dxa"/>
            </w:tcMar>
            <w:vAlign w:val="center"/>
            <w:hideMark/>
          </w:tcPr>
          <w:p w14:paraId="0E214E5B" w14:textId="77777777" w:rsidR="00FC2836" w:rsidRPr="00486FCE" w:rsidRDefault="00FC2836" w:rsidP="006B44CE">
            <w:pPr>
              <w:jc w:val="center"/>
              <w:rPr>
                <w:rFonts w:eastAsia="Times New Roman"/>
                <w:b/>
                <w:color w:val="000000"/>
                <w:sz w:val="22"/>
                <w:szCs w:val="22"/>
              </w:rPr>
            </w:pPr>
            <w:r w:rsidRPr="00486FCE">
              <w:rPr>
                <w:rFonts w:eastAsia="Times New Roman"/>
                <w:b/>
                <w:color w:val="000000"/>
                <w:sz w:val="22"/>
                <w:szCs w:val="22"/>
              </w:rPr>
              <w:t>Count</w:t>
            </w:r>
          </w:p>
        </w:tc>
        <w:tc>
          <w:tcPr>
            <w:tcW w:w="639" w:type="dxa"/>
            <w:tcBorders>
              <w:top w:val="single" w:sz="4" w:space="0" w:color="auto"/>
              <w:left w:val="nil"/>
              <w:bottom w:val="double" w:sz="6" w:space="0" w:color="auto"/>
              <w:right w:val="double" w:sz="6" w:space="0" w:color="auto"/>
            </w:tcBorders>
            <w:shd w:val="clear" w:color="auto" w:fill="D9D9D9" w:themeFill="background1" w:themeFillShade="D9"/>
            <w:noWrap/>
            <w:tcMar>
              <w:left w:w="72" w:type="dxa"/>
              <w:right w:w="72" w:type="dxa"/>
            </w:tcMar>
            <w:vAlign w:val="center"/>
            <w:hideMark/>
          </w:tcPr>
          <w:p w14:paraId="2EC7AAE3" w14:textId="77777777" w:rsidR="00FC2836" w:rsidRPr="00486FCE" w:rsidRDefault="00FC2836" w:rsidP="006B44CE">
            <w:pPr>
              <w:jc w:val="center"/>
              <w:rPr>
                <w:rFonts w:eastAsia="Times New Roman"/>
                <w:b/>
                <w:color w:val="000000"/>
                <w:sz w:val="22"/>
                <w:szCs w:val="22"/>
              </w:rPr>
            </w:pPr>
            <w:r w:rsidRPr="00486FCE">
              <w:rPr>
                <w:rFonts w:eastAsia="Times New Roman"/>
                <w:b/>
                <w:color w:val="000000"/>
                <w:sz w:val="22"/>
                <w:szCs w:val="22"/>
              </w:rPr>
              <w:t>%</w:t>
            </w:r>
          </w:p>
        </w:tc>
        <w:tc>
          <w:tcPr>
            <w:tcW w:w="731" w:type="dxa"/>
            <w:gridSpan w:val="2"/>
            <w:tcBorders>
              <w:top w:val="single" w:sz="4" w:space="0" w:color="auto"/>
              <w:left w:val="nil"/>
              <w:bottom w:val="double" w:sz="6" w:space="0" w:color="auto"/>
              <w:right w:val="nil"/>
            </w:tcBorders>
            <w:shd w:val="clear" w:color="auto" w:fill="D9D9D9" w:themeFill="background1" w:themeFillShade="D9"/>
            <w:noWrap/>
            <w:tcMar>
              <w:left w:w="72" w:type="dxa"/>
              <w:right w:w="72" w:type="dxa"/>
            </w:tcMar>
            <w:vAlign w:val="center"/>
            <w:hideMark/>
          </w:tcPr>
          <w:p w14:paraId="3CF39849" w14:textId="77777777" w:rsidR="00FC2836" w:rsidRPr="00486FCE" w:rsidRDefault="00FC2836" w:rsidP="006B44CE">
            <w:pPr>
              <w:jc w:val="center"/>
              <w:rPr>
                <w:rFonts w:eastAsia="Times New Roman"/>
                <w:b/>
                <w:color w:val="000000"/>
                <w:sz w:val="22"/>
                <w:szCs w:val="22"/>
              </w:rPr>
            </w:pPr>
            <w:r w:rsidRPr="00486FCE">
              <w:rPr>
                <w:rFonts w:eastAsia="Times New Roman"/>
                <w:b/>
                <w:color w:val="000000"/>
                <w:sz w:val="22"/>
                <w:szCs w:val="22"/>
              </w:rPr>
              <w:t>Count</w:t>
            </w:r>
          </w:p>
        </w:tc>
        <w:tc>
          <w:tcPr>
            <w:tcW w:w="649" w:type="dxa"/>
            <w:tcBorders>
              <w:top w:val="single" w:sz="4" w:space="0" w:color="auto"/>
              <w:left w:val="nil"/>
              <w:bottom w:val="double" w:sz="6" w:space="0" w:color="auto"/>
              <w:right w:val="double" w:sz="6" w:space="0" w:color="auto"/>
            </w:tcBorders>
            <w:shd w:val="clear" w:color="auto" w:fill="D9D9D9" w:themeFill="background1" w:themeFillShade="D9"/>
            <w:noWrap/>
            <w:tcMar>
              <w:left w:w="72" w:type="dxa"/>
              <w:right w:w="72" w:type="dxa"/>
            </w:tcMar>
            <w:vAlign w:val="center"/>
            <w:hideMark/>
          </w:tcPr>
          <w:p w14:paraId="68260FD8" w14:textId="77777777" w:rsidR="00FC2836" w:rsidRPr="00486FCE" w:rsidRDefault="00FC2836" w:rsidP="006B44CE">
            <w:pPr>
              <w:jc w:val="center"/>
              <w:rPr>
                <w:rFonts w:eastAsia="Times New Roman"/>
                <w:b/>
                <w:color w:val="000000"/>
                <w:sz w:val="22"/>
                <w:szCs w:val="22"/>
              </w:rPr>
            </w:pPr>
            <w:r w:rsidRPr="00486FCE">
              <w:rPr>
                <w:rFonts w:eastAsia="Times New Roman"/>
                <w:b/>
                <w:color w:val="000000"/>
                <w:sz w:val="22"/>
                <w:szCs w:val="22"/>
              </w:rPr>
              <w:t>%</w:t>
            </w:r>
          </w:p>
        </w:tc>
        <w:tc>
          <w:tcPr>
            <w:tcW w:w="731" w:type="dxa"/>
            <w:tcBorders>
              <w:top w:val="single" w:sz="4" w:space="0" w:color="auto"/>
              <w:left w:val="nil"/>
              <w:bottom w:val="double" w:sz="6" w:space="0" w:color="auto"/>
              <w:right w:val="nil"/>
            </w:tcBorders>
            <w:shd w:val="clear" w:color="auto" w:fill="D9D9D9" w:themeFill="background1" w:themeFillShade="D9"/>
            <w:noWrap/>
            <w:tcMar>
              <w:left w:w="72" w:type="dxa"/>
              <w:right w:w="72" w:type="dxa"/>
            </w:tcMar>
            <w:vAlign w:val="center"/>
            <w:hideMark/>
          </w:tcPr>
          <w:p w14:paraId="173ABDD1" w14:textId="77777777" w:rsidR="00FC2836" w:rsidRPr="00486FCE" w:rsidRDefault="00FC2836" w:rsidP="006B44CE">
            <w:pPr>
              <w:jc w:val="center"/>
              <w:rPr>
                <w:rFonts w:eastAsia="Times New Roman"/>
                <w:b/>
                <w:color w:val="000000"/>
                <w:sz w:val="22"/>
                <w:szCs w:val="22"/>
              </w:rPr>
            </w:pPr>
            <w:r w:rsidRPr="00486FCE">
              <w:rPr>
                <w:rFonts w:eastAsia="Times New Roman"/>
                <w:b/>
                <w:color w:val="000000"/>
                <w:sz w:val="22"/>
                <w:szCs w:val="22"/>
              </w:rPr>
              <w:t>Count</w:t>
            </w:r>
          </w:p>
        </w:tc>
        <w:tc>
          <w:tcPr>
            <w:tcW w:w="639" w:type="dxa"/>
            <w:tcBorders>
              <w:top w:val="single" w:sz="4" w:space="0" w:color="auto"/>
              <w:left w:val="nil"/>
              <w:bottom w:val="double" w:sz="6" w:space="0" w:color="auto"/>
              <w:right w:val="double" w:sz="6" w:space="0" w:color="auto"/>
            </w:tcBorders>
            <w:shd w:val="clear" w:color="auto" w:fill="D9D9D9" w:themeFill="background1" w:themeFillShade="D9"/>
            <w:noWrap/>
            <w:tcMar>
              <w:left w:w="72" w:type="dxa"/>
              <w:right w:w="72" w:type="dxa"/>
            </w:tcMar>
            <w:vAlign w:val="center"/>
            <w:hideMark/>
          </w:tcPr>
          <w:p w14:paraId="4390C76D" w14:textId="77777777" w:rsidR="00FC2836" w:rsidRPr="00486FCE" w:rsidRDefault="00FC2836" w:rsidP="006B44CE">
            <w:pPr>
              <w:jc w:val="center"/>
              <w:rPr>
                <w:rFonts w:eastAsia="Times New Roman"/>
                <w:b/>
                <w:color w:val="000000"/>
                <w:sz w:val="22"/>
                <w:szCs w:val="22"/>
              </w:rPr>
            </w:pPr>
            <w:r w:rsidRPr="00486FCE">
              <w:rPr>
                <w:rFonts w:eastAsia="Times New Roman"/>
                <w:b/>
                <w:color w:val="000000"/>
                <w:sz w:val="22"/>
                <w:szCs w:val="22"/>
              </w:rPr>
              <w:t>%</w:t>
            </w:r>
          </w:p>
        </w:tc>
        <w:tc>
          <w:tcPr>
            <w:tcW w:w="731" w:type="dxa"/>
            <w:tcBorders>
              <w:top w:val="single" w:sz="4" w:space="0" w:color="auto"/>
              <w:left w:val="nil"/>
              <w:bottom w:val="double" w:sz="6" w:space="0" w:color="auto"/>
              <w:right w:val="nil"/>
            </w:tcBorders>
            <w:shd w:val="clear" w:color="auto" w:fill="D9D9D9" w:themeFill="background1" w:themeFillShade="D9"/>
            <w:noWrap/>
            <w:tcMar>
              <w:left w:w="72" w:type="dxa"/>
              <w:right w:w="72" w:type="dxa"/>
            </w:tcMar>
            <w:vAlign w:val="center"/>
            <w:hideMark/>
          </w:tcPr>
          <w:p w14:paraId="243F8BE6" w14:textId="77777777" w:rsidR="00FC2836" w:rsidRPr="00486FCE" w:rsidRDefault="00FC2836" w:rsidP="006B44CE">
            <w:pPr>
              <w:jc w:val="center"/>
              <w:rPr>
                <w:rFonts w:eastAsia="Times New Roman"/>
                <w:b/>
                <w:color w:val="000000"/>
                <w:sz w:val="22"/>
                <w:szCs w:val="22"/>
              </w:rPr>
            </w:pPr>
            <w:r w:rsidRPr="00486FCE">
              <w:rPr>
                <w:rFonts w:eastAsia="Times New Roman"/>
                <w:b/>
                <w:color w:val="000000"/>
                <w:sz w:val="22"/>
                <w:szCs w:val="22"/>
              </w:rPr>
              <w:t>Count</w:t>
            </w:r>
          </w:p>
        </w:tc>
        <w:tc>
          <w:tcPr>
            <w:tcW w:w="599" w:type="dxa"/>
            <w:tcBorders>
              <w:top w:val="single" w:sz="4" w:space="0" w:color="auto"/>
              <w:left w:val="nil"/>
              <w:bottom w:val="double" w:sz="6" w:space="0" w:color="auto"/>
              <w:right w:val="double" w:sz="6" w:space="0" w:color="auto"/>
            </w:tcBorders>
            <w:shd w:val="clear" w:color="auto" w:fill="D9D9D9" w:themeFill="background1" w:themeFillShade="D9"/>
            <w:noWrap/>
            <w:tcMar>
              <w:left w:w="72" w:type="dxa"/>
              <w:right w:w="72" w:type="dxa"/>
            </w:tcMar>
            <w:vAlign w:val="center"/>
            <w:hideMark/>
          </w:tcPr>
          <w:p w14:paraId="34E6AE3A" w14:textId="77777777" w:rsidR="00FC2836" w:rsidRPr="00486FCE" w:rsidRDefault="00FC2836" w:rsidP="006B44CE">
            <w:pPr>
              <w:jc w:val="center"/>
              <w:rPr>
                <w:rFonts w:eastAsia="Times New Roman"/>
                <w:b/>
                <w:color w:val="000000"/>
                <w:sz w:val="22"/>
                <w:szCs w:val="22"/>
              </w:rPr>
            </w:pPr>
            <w:r w:rsidRPr="00486FCE">
              <w:rPr>
                <w:rFonts w:eastAsia="Times New Roman"/>
                <w:b/>
                <w:color w:val="000000"/>
                <w:sz w:val="22"/>
                <w:szCs w:val="22"/>
              </w:rPr>
              <w:t>%</w:t>
            </w:r>
          </w:p>
        </w:tc>
      </w:tr>
      <w:tr w:rsidR="00FC2836" w:rsidRPr="00464659" w14:paraId="2A4EC51B" w14:textId="77777777" w:rsidTr="00C20013">
        <w:trPr>
          <w:trHeight w:val="173"/>
        </w:trPr>
        <w:tc>
          <w:tcPr>
            <w:tcW w:w="1260" w:type="dxa"/>
            <w:tcBorders>
              <w:top w:val="double" w:sz="6" w:space="0" w:color="auto"/>
              <w:left w:val="double" w:sz="6" w:space="0" w:color="auto"/>
              <w:bottom w:val="nil"/>
              <w:right w:val="double" w:sz="6" w:space="0" w:color="auto"/>
            </w:tcBorders>
            <w:shd w:val="clear" w:color="auto" w:fill="auto"/>
            <w:noWrap/>
            <w:tcMar>
              <w:left w:w="72" w:type="dxa"/>
              <w:right w:w="72" w:type="dxa"/>
            </w:tcMar>
            <w:vAlign w:val="bottom"/>
            <w:hideMark/>
          </w:tcPr>
          <w:p w14:paraId="4DD71F08" w14:textId="77777777" w:rsidR="00FC2836" w:rsidRPr="00464659" w:rsidRDefault="00FC2836" w:rsidP="008670B0">
            <w:pPr>
              <w:jc w:val="center"/>
              <w:rPr>
                <w:rFonts w:eastAsia="Times New Roman"/>
                <w:color w:val="000000"/>
                <w:sz w:val="22"/>
                <w:szCs w:val="22"/>
              </w:rPr>
            </w:pPr>
            <w:r w:rsidRPr="00464659">
              <w:rPr>
                <w:rFonts w:eastAsia="Times New Roman"/>
                <w:color w:val="000000"/>
                <w:sz w:val="22"/>
                <w:szCs w:val="22"/>
              </w:rPr>
              <w:t>0</w:t>
            </w:r>
          </w:p>
        </w:tc>
        <w:tc>
          <w:tcPr>
            <w:tcW w:w="731" w:type="dxa"/>
            <w:tcBorders>
              <w:top w:val="nil"/>
              <w:left w:val="double" w:sz="6" w:space="0" w:color="auto"/>
              <w:bottom w:val="nil"/>
              <w:right w:val="nil"/>
            </w:tcBorders>
            <w:shd w:val="clear" w:color="auto" w:fill="auto"/>
            <w:noWrap/>
            <w:tcMar>
              <w:left w:w="72" w:type="dxa"/>
              <w:right w:w="72" w:type="dxa"/>
            </w:tcMar>
            <w:vAlign w:val="bottom"/>
            <w:hideMark/>
          </w:tcPr>
          <w:p w14:paraId="50CE591C"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281</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173D73E5"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39.86</w:t>
            </w:r>
          </w:p>
        </w:tc>
        <w:tc>
          <w:tcPr>
            <w:tcW w:w="731" w:type="dxa"/>
            <w:tcBorders>
              <w:top w:val="nil"/>
              <w:left w:val="nil"/>
              <w:bottom w:val="nil"/>
              <w:right w:val="nil"/>
            </w:tcBorders>
            <w:shd w:val="clear" w:color="auto" w:fill="auto"/>
            <w:noWrap/>
            <w:tcMar>
              <w:left w:w="72" w:type="dxa"/>
              <w:right w:w="72" w:type="dxa"/>
            </w:tcMar>
            <w:vAlign w:val="bottom"/>
            <w:hideMark/>
          </w:tcPr>
          <w:p w14:paraId="2B93E12C"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628</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63322BAD"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89.08</w:t>
            </w:r>
          </w:p>
        </w:tc>
        <w:tc>
          <w:tcPr>
            <w:tcW w:w="731" w:type="dxa"/>
            <w:tcBorders>
              <w:top w:val="nil"/>
              <w:left w:val="nil"/>
              <w:bottom w:val="nil"/>
              <w:right w:val="nil"/>
            </w:tcBorders>
            <w:shd w:val="clear" w:color="auto" w:fill="auto"/>
            <w:noWrap/>
            <w:tcMar>
              <w:left w:w="72" w:type="dxa"/>
              <w:right w:w="72" w:type="dxa"/>
            </w:tcMar>
            <w:vAlign w:val="bottom"/>
            <w:hideMark/>
          </w:tcPr>
          <w:p w14:paraId="16C26BC2"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608</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3BACB822"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86.24</w:t>
            </w:r>
          </w:p>
        </w:tc>
        <w:tc>
          <w:tcPr>
            <w:tcW w:w="731" w:type="dxa"/>
            <w:gridSpan w:val="2"/>
            <w:tcBorders>
              <w:top w:val="nil"/>
              <w:left w:val="nil"/>
              <w:bottom w:val="nil"/>
              <w:right w:val="nil"/>
            </w:tcBorders>
            <w:shd w:val="clear" w:color="auto" w:fill="auto"/>
            <w:noWrap/>
            <w:tcMar>
              <w:left w:w="72" w:type="dxa"/>
              <w:right w:w="72" w:type="dxa"/>
            </w:tcMar>
            <w:vAlign w:val="bottom"/>
            <w:hideMark/>
          </w:tcPr>
          <w:p w14:paraId="6C20D534"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229</w:t>
            </w:r>
          </w:p>
        </w:tc>
        <w:tc>
          <w:tcPr>
            <w:tcW w:w="649" w:type="dxa"/>
            <w:tcBorders>
              <w:top w:val="nil"/>
              <w:left w:val="nil"/>
              <w:bottom w:val="nil"/>
              <w:right w:val="double" w:sz="6" w:space="0" w:color="auto"/>
            </w:tcBorders>
            <w:shd w:val="clear" w:color="auto" w:fill="auto"/>
            <w:noWrap/>
            <w:tcMar>
              <w:left w:w="72" w:type="dxa"/>
              <w:right w:w="72" w:type="dxa"/>
            </w:tcMar>
            <w:vAlign w:val="bottom"/>
            <w:hideMark/>
          </w:tcPr>
          <w:p w14:paraId="42A01876"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32.48</w:t>
            </w:r>
          </w:p>
        </w:tc>
        <w:tc>
          <w:tcPr>
            <w:tcW w:w="731" w:type="dxa"/>
            <w:tcBorders>
              <w:top w:val="nil"/>
              <w:left w:val="nil"/>
              <w:bottom w:val="nil"/>
              <w:right w:val="nil"/>
            </w:tcBorders>
            <w:shd w:val="clear" w:color="auto" w:fill="auto"/>
            <w:noWrap/>
            <w:tcMar>
              <w:left w:w="72" w:type="dxa"/>
              <w:right w:w="72" w:type="dxa"/>
            </w:tcMar>
            <w:vAlign w:val="bottom"/>
            <w:hideMark/>
          </w:tcPr>
          <w:p w14:paraId="12D7485A"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132</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67FF643B"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18.72</w:t>
            </w:r>
          </w:p>
        </w:tc>
        <w:tc>
          <w:tcPr>
            <w:tcW w:w="731" w:type="dxa"/>
            <w:tcBorders>
              <w:top w:val="nil"/>
              <w:left w:val="nil"/>
              <w:bottom w:val="nil"/>
              <w:right w:val="nil"/>
            </w:tcBorders>
            <w:shd w:val="clear" w:color="auto" w:fill="auto"/>
            <w:noWrap/>
            <w:tcMar>
              <w:left w:w="72" w:type="dxa"/>
              <w:right w:w="72" w:type="dxa"/>
            </w:tcMar>
            <w:vAlign w:val="bottom"/>
            <w:hideMark/>
          </w:tcPr>
          <w:p w14:paraId="4BB52CD6"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105</w:t>
            </w:r>
          </w:p>
        </w:tc>
        <w:tc>
          <w:tcPr>
            <w:tcW w:w="599" w:type="dxa"/>
            <w:tcBorders>
              <w:top w:val="nil"/>
              <w:left w:val="nil"/>
              <w:bottom w:val="nil"/>
              <w:right w:val="double" w:sz="6" w:space="0" w:color="auto"/>
            </w:tcBorders>
            <w:shd w:val="clear" w:color="auto" w:fill="auto"/>
            <w:noWrap/>
            <w:tcMar>
              <w:left w:w="72" w:type="dxa"/>
              <w:right w:w="72" w:type="dxa"/>
            </w:tcMar>
            <w:vAlign w:val="bottom"/>
            <w:hideMark/>
          </w:tcPr>
          <w:p w14:paraId="0085DBD2"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14.89</w:t>
            </w:r>
          </w:p>
        </w:tc>
      </w:tr>
      <w:tr w:rsidR="00FC2836" w:rsidRPr="00464659" w14:paraId="2E31B38C" w14:textId="77777777" w:rsidTr="00C20013">
        <w:trPr>
          <w:trHeight w:val="173"/>
        </w:trPr>
        <w:tc>
          <w:tcPr>
            <w:tcW w:w="1260" w:type="dxa"/>
            <w:tcBorders>
              <w:top w:val="nil"/>
              <w:left w:val="double" w:sz="6" w:space="0" w:color="auto"/>
              <w:bottom w:val="nil"/>
              <w:right w:val="double" w:sz="6" w:space="0" w:color="auto"/>
            </w:tcBorders>
            <w:shd w:val="clear" w:color="auto" w:fill="auto"/>
            <w:noWrap/>
            <w:tcMar>
              <w:left w:w="72" w:type="dxa"/>
              <w:right w:w="72" w:type="dxa"/>
            </w:tcMar>
            <w:vAlign w:val="bottom"/>
            <w:hideMark/>
          </w:tcPr>
          <w:p w14:paraId="2AEC7108" w14:textId="77777777" w:rsidR="00FC2836" w:rsidRPr="00464659" w:rsidRDefault="00FC2836" w:rsidP="008670B0">
            <w:pPr>
              <w:jc w:val="center"/>
              <w:rPr>
                <w:rFonts w:eastAsia="Times New Roman"/>
                <w:color w:val="000000"/>
                <w:sz w:val="22"/>
                <w:szCs w:val="22"/>
              </w:rPr>
            </w:pPr>
            <w:r w:rsidRPr="00464659">
              <w:rPr>
                <w:rFonts w:eastAsia="Times New Roman"/>
                <w:color w:val="000000"/>
                <w:sz w:val="22"/>
                <w:szCs w:val="22"/>
              </w:rPr>
              <w:t>1</w:t>
            </w:r>
          </w:p>
        </w:tc>
        <w:tc>
          <w:tcPr>
            <w:tcW w:w="731" w:type="dxa"/>
            <w:tcBorders>
              <w:top w:val="nil"/>
              <w:left w:val="double" w:sz="6" w:space="0" w:color="auto"/>
              <w:bottom w:val="nil"/>
              <w:right w:val="nil"/>
            </w:tcBorders>
            <w:shd w:val="clear" w:color="auto" w:fill="auto"/>
            <w:noWrap/>
            <w:tcMar>
              <w:left w:w="72" w:type="dxa"/>
              <w:right w:w="72" w:type="dxa"/>
            </w:tcMar>
            <w:vAlign w:val="bottom"/>
            <w:hideMark/>
          </w:tcPr>
          <w:p w14:paraId="4BB9052D"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158</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14087990"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22.41</w:t>
            </w:r>
          </w:p>
        </w:tc>
        <w:tc>
          <w:tcPr>
            <w:tcW w:w="731" w:type="dxa"/>
            <w:tcBorders>
              <w:top w:val="nil"/>
              <w:left w:val="nil"/>
              <w:bottom w:val="nil"/>
              <w:right w:val="nil"/>
            </w:tcBorders>
            <w:shd w:val="clear" w:color="auto" w:fill="auto"/>
            <w:noWrap/>
            <w:tcMar>
              <w:left w:w="72" w:type="dxa"/>
              <w:right w:w="72" w:type="dxa"/>
            </w:tcMar>
            <w:vAlign w:val="bottom"/>
            <w:hideMark/>
          </w:tcPr>
          <w:p w14:paraId="242C3BD1"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59</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4FFF84BC"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8.37</w:t>
            </w:r>
          </w:p>
        </w:tc>
        <w:tc>
          <w:tcPr>
            <w:tcW w:w="731" w:type="dxa"/>
            <w:tcBorders>
              <w:top w:val="nil"/>
              <w:left w:val="nil"/>
              <w:bottom w:val="nil"/>
              <w:right w:val="nil"/>
            </w:tcBorders>
            <w:shd w:val="clear" w:color="auto" w:fill="auto"/>
            <w:noWrap/>
            <w:tcMar>
              <w:left w:w="72" w:type="dxa"/>
              <w:right w:w="72" w:type="dxa"/>
            </w:tcMar>
            <w:vAlign w:val="bottom"/>
            <w:hideMark/>
          </w:tcPr>
          <w:p w14:paraId="189408E6"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69</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022628EA"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9.79</w:t>
            </w:r>
          </w:p>
        </w:tc>
        <w:tc>
          <w:tcPr>
            <w:tcW w:w="731" w:type="dxa"/>
            <w:gridSpan w:val="2"/>
            <w:tcBorders>
              <w:top w:val="nil"/>
              <w:left w:val="nil"/>
              <w:bottom w:val="nil"/>
              <w:right w:val="nil"/>
            </w:tcBorders>
            <w:shd w:val="clear" w:color="auto" w:fill="auto"/>
            <w:noWrap/>
            <w:tcMar>
              <w:left w:w="72" w:type="dxa"/>
              <w:right w:w="72" w:type="dxa"/>
            </w:tcMar>
            <w:vAlign w:val="bottom"/>
            <w:hideMark/>
          </w:tcPr>
          <w:p w14:paraId="0CFC45D2"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206</w:t>
            </w:r>
          </w:p>
        </w:tc>
        <w:tc>
          <w:tcPr>
            <w:tcW w:w="649" w:type="dxa"/>
            <w:tcBorders>
              <w:top w:val="nil"/>
              <w:left w:val="nil"/>
              <w:bottom w:val="nil"/>
              <w:right w:val="double" w:sz="6" w:space="0" w:color="auto"/>
            </w:tcBorders>
            <w:shd w:val="clear" w:color="auto" w:fill="auto"/>
            <w:noWrap/>
            <w:tcMar>
              <w:left w:w="72" w:type="dxa"/>
              <w:right w:w="72" w:type="dxa"/>
            </w:tcMar>
            <w:vAlign w:val="bottom"/>
            <w:hideMark/>
          </w:tcPr>
          <w:p w14:paraId="450F2E3B"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29.22</w:t>
            </w:r>
          </w:p>
        </w:tc>
        <w:tc>
          <w:tcPr>
            <w:tcW w:w="731" w:type="dxa"/>
            <w:tcBorders>
              <w:top w:val="nil"/>
              <w:left w:val="nil"/>
              <w:bottom w:val="nil"/>
              <w:right w:val="nil"/>
            </w:tcBorders>
            <w:shd w:val="clear" w:color="auto" w:fill="auto"/>
            <w:noWrap/>
            <w:tcMar>
              <w:left w:w="72" w:type="dxa"/>
              <w:right w:w="72" w:type="dxa"/>
            </w:tcMar>
            <w:vAlign w:val="bottom"/>
            <w:hideMark/>
          </w:tcPr>
          <w:p w14:paraId="726D6CF4"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200</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6AF9D442"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28.37</w:t>
            </w:r>
          </w:p>
        </w:tc>
        <w:tc>
          <w:tcPr>
            <w:tcW w:w="731" w:type="dxa"/>
            <w:tcBorders>
              <w:top w:val="nil"/>
              <w:left w:val="nil"/>
              <w:bottom w:val="nil"/>
              <w:right w:val="nil"/>
            </w:tcBorders>
            <w:shd w:val="clear" w:color="auto" w:fill="auto"/>
            <w:noWrap/>
            <w:tcMar>
              <w:left w:w="72" w:type="dxa"/>
              <w:right w:w="72" w:type="dxa"/>
            </w:tcMar>
            <w:vAlign w:val="bottom"/>
            <w:hideMark/>
          </w:tcPr>
          <w:p w14:paraId="0D50DF7E"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113</w:t>
            </w:r>
          </w:p>
        </w:tc>
        <w:tc>
          <w:tcPr>
            <w:tcW w:w="599" w:type="dxa"/>
            <w:tcBorders>
              <w:top w:val="nil"/>
              <w:left w:val="nil"/>
              <w:bottom w:val="nil"/>
              <w:right w:val="double" w:sz="6" w:space="0" w:color="auto"/>
            </w:tcBorders>
            <w:shd w:val="clear" w:color="auto" w:fill="auto"/>
            <w:noWrap/>
            <w:tcMar>
              <w:left w:w="72" w:type="dxa"/>
              <w:right w:w="72" w:type="dxa"/>
            </w:tcMar>
            <w:vAlign w:val="bottom"/>
            <w:hideMark/>
          </w:tcPr>
          <w:p w14:paraId="729A8D75"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16.03</w:t>
            </w:r>
          </w:p>
        </w:tc>
      </w:tr>
      <w:tr w:rsidR="00FC2836" w:rsidRPr="00464659" w14:paraId="7BEC95FF" w14:textId="77777777" w:rsidTr="00C20013">
        <w:trPr>
          <w:trHeight w:val="173"/>
        </w:trPr>
        <w:tc>
          <w:tcPr>
            <w:tcW w:w="1260" w:type="dxa"/>
            <w:tcBorders>
              <w:top w:val="nil"/>
              <w:left w:val="double" w:sz="6" w:space="0" w:color="auto"/>
              <w:bottom w:val="nil"/>
              <w:right w:val="double" w:sz="6" w:space="0" w:color="auto"/>
            </w:tcBorders>
            <w:shd w:val="clear" w:color="auto" w:fill="auto"/>
            <w:noWrap/>
            <w:tcMar>
              <w:left w:w="72" w:type="dxa"/>
              <w:right w:w="72" w:type="dxa"/>
            </w:tcMar>
            <w:vAlign w:val="bottom"/>
            <w:hideMark/>
          </w:tcPr>
          <w:p w14:paraId="43C1C705" w14:textId="77777777" w:rsidR="00FC2836" w:rsidRPr="00464659" w:rsidRDefault="00FC2836" w:rsidP="008670B0">
            <w:pPr>
              <w:jc w:val="center"/>
              <w:rPr>
                <w:rFonts w:eastAsia="Times New Roman"/>
                <w:color w:val="000000"/>
                <w:sz w:val="22"/>
                <w:szCs w:val="22"/>
              </w:rPr>
            </w:pPr>
            <w:r w:rsidRPr="00464659">
              <w:rPr>
                <w:rFonts w:eastAsia="Times New Roman"/>
                <w:color w:val="000000"/>
                <w:sz w:val="22"/>
                <w:szCs w:val="22"/>
              </w:rPr>
              <w:t>2</w:t>
            </w:r>
          </w:p>
        </w:tc>
        <w:tc>
          <w:tcPr>
            <w:tcW w:w="731" w:type="dxa"/>
            <w:tcBorders>
              <w:top w:val="nil"/>
              <w:left w:val="double" w:sz="6" w:space="0" w:color="auto"/>
              <w:bottom w:val="nil"/>
              <w:right w:val="nil"/>
            </w:tcBorders>
            <w:shd w:val="clear" w:color="auto" w:fill="auto"/>
            <w:noWrap/>
            <w:tcMar>
              <w:left w:w="72" w:type="dxa"/>
              <w:right w:w="72" w:type="dxa"/>
            </w:tcMar>
            <w:vAlign w:val="bottom"/>
            <w:hideMark/>
          </w:tcPr>
          <w:p w14:paraId="7BFCD764"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112</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2DE00998"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15.89</w:t>
            </w:r>
          </w:p>
        </w:tc>
        <w:tc>
          <w:tcPr>
            <w:tcW w:w="731" w:type="dxa"/>
            <w:tcBorders>
              <w:top w:val="nil"/>
              <w:left w:val="nil"/>
              <w:bottom w:val="nil"/>
              <w:right w:val="nil"/>
            </w:tcBorders>
            <w:shd w:val="clear" w:color="auto" w:fill="auto"/>
            <w:noWrap/>
            <w:tcMar>
              <w:left w:w="72" w:type="dxa"/>
              <w:right w:w="72" w:type="dxa"/>
            </w:tcMar>
            <w:vAlign w:val="bottom"/>
            <w:hideMark/>
          </w:tcPr>
          <w:p w14:paraId="06DCE636"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9</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63785EDC"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1.28</w:t>
            </w:r>
          </w:p>
        </w:tc>
        <w:tc>
          <w:tcPr>
            <w:tcW w:w="731" w:type="dxa"/>
            <w:tcBorders>
              <w:top w:val="nil"/>
              <w:left w:val="nil"/>
              <w:bottom w:val="nil"/>
              <w:right w:val="nil"/>
            </w:tcBorders>
            <w:shd w:val="clear" w:color="auto" w:fill="auto"/>
            <w:noWrap/>
            <w:tcMar>
              <w:left w:w="72" w:type="dxa"/>
              <w:right w:w="72" w:type="dxa"/>
            </w:tcMar>
            <w:vAlign w:val="bottom"/>
            <w:hideMark/>
          </w:tcPr>
          <w:p w14:paraId="1BDC156F"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20</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652F124C"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2.84</w:t>
            </w:r>
          </w:p>
        </w:tc>
        <w:tc>
          <w:tcPr>
            <w:tcW w:w="731" w:type="dxa"/>
            <w:gridSpan w:val="2"/>
            <w:tcBorders>
              <w:top w:val="nil"/>
              <w:left w:val="nil"/>
              <w:bottom w:val="nil"/>
              <w:right w:val="nil"/>
            </w:tcBorders>
            <w:shd w:val="clear" w:color="auto" w:fill="auto"/>
            <w:noWrap/>
            <w:tcMar>
              <w:left w:w="72" w:type="dxa"/>
              <w:right w:w="72" w:type="dxa"/>
            </w:tcMar>
            <w:vAlign w:val="bottom"/>
            <w:hideMark/>
          </w:tcPr>
          <w:p w14:paraId="59DDD8AE"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148</w:t>
            </w:r>
          </w:p>
        </w:tc>
        <w:tc>
          <w:tcPr>
            <w:tcW w:w="649" w:type="dxa"/>
            <w:tcBorders>
              <w:top w:val="nil"/>
              <w:left w:val="nil"/>
              <w:bottom w:val="nil"/>
              <w:right w:val="double" w:sz="6" w:space="0" w:color="auto"/>
            </w:tcBorders>
            <w:shd w:val="clear" w:color="auto" w:fill="auto"/>
            <w:noWrap/>
            <w:tcMar>
              <w:left w:w="72" w:type="dxa"/>
              <w:right w:w="72" w:type="dxa"/>
            </w:tcMar>
            <w:vAlign w:val="bottom"/>
            <w:hideMark/>
          </w:tcPr>
          <w:p w14:paraId="2ECE7AB5"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20.99</w:t>
            </w:r>
          </w:p>
        </w:tc>
        <w:tc>
          <w:tcPr>
            <w:tcW w:w="731" w:type="dxa"/>
            <w:tcBorders>
              <w:top w:val="nil"/>
              <w:left w:val="nil"/>
              <w:bottom w:val="nil"/>
              <w:right w:val="nil"/>
            </w:tcBorders>
            <w:shd w:val="clear" w:color="auto" w:fill="auto"/>
            <w:noWrap/>
            <w:tcMar>
              <w:left w:w="72" w:type="dxa"/>
              <w:right w:w="72" w:type="dxa"/>
            </w:tcMar>
            <w:vAlign w:val="bottom"/>
            <w:hideMark/>
          </w:tcPr>
          <w:p w14:paraId="42463005"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179</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19AD077C"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25.39</w:t>
            </w:r>
          </w:p>
        </w:tc>
        <w:tc>
          <w:tcPr>
            <w:tcW w:w="731" w:type="dxa"/>
            <w:tcBorders>
              <w:top w:val="nil"/>
              <w:left w:val="nil"/>
              <w:bottom w:val="nil"/>
              <w:right w:val="nil"/>
            </w:tcBorders>
            <w:shd w:val="clear" w:color="auto" w:fill="auto"/>
            <w:noWrap/>
            <w:tcMar>
              <w:left w:w="72" w:type="dxa"/>
              <w:right w:w="72" w:type="dxa"/>
            </w:tcMar>
            <w:vAlign w:val="bottom"/>
            <w:hideMark/>
          </w:tcPr>
          <w:p w14:paraId="1E04E775"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151</w:t>
            </w:r>
          </w:p>
        </w:tc>
        <w:tc>
          <w:tcPr>
            <w:tcW w:w="599" w:type="dxa"/>
            <w:tcBorders>
              <w:top w:val="nil"/>
              <w:left w:val="nil"/>
              <w:bottom w:val="nil"/>
              <w:right w:val="double" w:sz="6" w:space="0" w:color="auto"/>
            </w:tcBorders>
            <w:shd w:val="clear" w:color="auto" w:fill="auto"/>
            <w:noWrap/>
            <w:tcMar>
              <w:left w:w="72" w:type="dxa"/>
              <w:right w:w="72" w:type="dxa"/>
            </w:tcMar>
            <w:vAlign w:val="bottom"/>
            <w:hideMark/>
          </w:tcPr>
          <w:p w14:paraId="3D302AF4"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21.42</w:t>
            </w:r>
          </w:p>
        </w:tc>
      </w:tr>
      <w:tr w:rsidR="00FC2836" w:rsidRPr="00464659" w14:paraId="5BCBFD47" w14:textId="77777777" w:rsidTr="00C20013">
        <w:trPr>
          <w:trHeight w:val="173"/>
        </w:trPr>
        <w:tc>
          <w:tcPr>
            <w:tcW w:w="1260" w:type="dxa"/>
            <w:tcBorders>
              <w:top w:val="nil"/>
              <w:left w:val="double" w:sz="6" w:space="0" w:color="auto"/>
              <w:bottom w:val="nil"/>
              <w:right w:val="double" w:sz="6" w:space="0" w:color="auto"/>
            </w:tcBorders>
            <w:shd w:val="clear" w:color="auto" w:fill="auto"/>
            <w:noWrap/>
            <w:tcMar>
              <w:left w:w="72" w:type="dxa"/>
              <w:right w:w="72" w:type="dxa"/>
            </w:tcMar>
            <w:vAlign w:val="bottom"/>
            <w:hideMark/>
          </w:tcPr>
          <w:p w14:paraId="3E436327" w14:textId="77777777" w:rsidR="00FC2836" w:rsidRPr="00464659" w:rsidRDefault="00FC2836" w:rsidP="008670B0">
            <w:pPr>
              <w:jc w:val="center"/>
              <w:rPr>
                <w:rFonts w:eastAsia="Times New Roman"/>
                <w:color w:val="000000"/>
                <w:sz w:val="22"/>
                <w:szCs w:val="22"/>
              </w:rPr>
            </w:pPr>
            <w:r w:rsidRPr="00464659">
              <w:rPr>
                <w:rFonts w:eastAsia="Times New Roman"/>
                <w:color w:val="000000"/>
                <w:sz w:val="22"/>
                <w:szCs w:val="22"/>
              </w:rPr>
              <w:t>3</w:t>
            </w:r>
          </w:p>
        </w:tc>
        <w:tc>
          <w:tcPr>
            <w:tcW w:w="731" w:type="dxa"/>
            <w:tcBorders>
              <w:top w:val="nil"/>
              <w:left w:val="double" w:sz="6" w:space="0" w:color="auto"/>
              <w:bottom w:val="nil"/>
              <w:right w:val="nil"/>
            </w:tcBorders>
            <w:shd w:val="clear" w:color="auto" w:fill="auto"/>
            <w:noWrap/>
            <w:tcMar>
              <w:left w:w="72" w:type="dxa"/>
              <w:right w:w="72" w:type="dxa"/>
            </w:tcMar>
            <w:vAlign w:val="bottom"/>
            <w:hideMark/>
          </w:tcPr>
          <w:p w14:paraId="3A3FB166"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68</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388574EA"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9.65</w:t>
            </w:r>
          </w:p>
        </w:tc>
        <w:tc>
          <w:tcPr>
            <w:tcW w:w="731" w:type="dxa"/>
            <w:tcBorders>
              <w:top w:val="nil"/>
              <w:left w:val="nil"/>
              <w:bottom w:val="nil"/>
              <w:right w:val="nil"/>
            </w:tcBorders>
            <w:shd w:val="clear" w:color="auto" w:fill="auto"/>
            <w:noWrap/>
            <w:tcMar>
              <w:left w:w="72" w:type="dxa"/>
              <w:right w:w="72" w:type="dxa"/>
            </w:tcMar>
            <w:vAlign w:val="bottom"/>
            <w:hideMark/>
          </w:tcPr>
          <w:p w14:paraId="72E30D32"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4</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0B7E2F5A"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0.57</w:t>
            </w:r>
          </w:p>
        </w:tc>
        <w:tc>
          <w:tcPr>
            <w:tcW w:w="731" w:type="dxa"/>
            <w:tcBorders>
              <w:top w:val="nil"/>
              <w:left w:val="nil"/>
              <w:bottom w:val="nil"/>
              <w:right w:val="nil"/>
            </w:tcBorders>
            <w:shd w:val="clear" w:color="auto" w:fill="auto"/>
            <w:noWrap/>
            <w:tcMar>
              <w:left w:w="72" w:type="dxa"/>
              <w:right w:w="72" w:type="dxa"/>
            </w:tcMar>
            <w:vAlign w:val="bottom"/>
            <w:hideMark/>
          </w:tcPr>
          <w:p w14:paraId="02EB50AA"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5</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18822961"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0.71</w:t>
            </w:r>
          </w:p>
        </w:tc>
        <w:tc>
          <w:tcPr>
            <w:tcW w:w="731" w:type="dxa"/>
            <w:gridSpan w:val="2"/>
            <w:tcBorders>
              <w:top w:val="nil"/>
              <w:left w:val="nil"/>
              <w:bottom w:val="nil"/>
              <w:right w:val="nil"/>
            </w:tcBorders>
            <w:shd w:val="clear" w:color="auto" w:fill="auto"/>
            <w:noWrap/>
            <w:tcMar>
              <w:left w:w="72" w:type="dxa"/>
              <w:right w:w="72" w:type="dxa"/>
            </w:tcMar>
            <w:vAlign w:val="bottom"/>
            <w:hideMark/>
          </w:tcPr>
          <w:p w14:paraId="547A3ABE"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69</w:t>
            </w:r>
          </w:p>
        </w:tc>
        <w:tc>
          <w:tcPr>
            <w:tcW w:w="649" w:type="dxa"/>
            <w:tcBorders>
              <w:top w:val="nil"/>
              <w:left w:val="nil"/>
              <w:bottom w:val="nil"/>
              <w:right w:val="double" w:sz="6" w:space="0" w:color="auto"/>
            </w:tcBorders>
            <w:shd w:val="clear" w:color="auto" w:fill="auto"/>
            <w:noWrap/>
            <w:tcMar>
              <w:left w:w="72" w:type="dxa"/>
              <w:right w:w="72" w:type="dxa"/>
            </w:tcMar>
            <w:vAlign w:val="bottom"/>
            <w:hideMark/>
          </w:tcPr>
          <w:p w14:paraId="702C66F5"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9.79</w:t>
            </w:r>
          </w:p>
        </w:tc>
        <w:tc>
          <w:tcPr>
            <w:tcW w:w="731" w:type="dxa"/>
            <w:tcBorders>
              <w:top w:val="nil"/>
              <w:left w:val="nil"/>
              <w:bottom w:val="nil"/>
              <w:right w:val="nil"/>
            </w:tcBorders>
            <w:shd w:val="clear" w:color="auto" w:fill="auto"/>
            <w:noWrap/>
            <w:tcMar>
              <w:left w:w="72" w:type="dxa"/>
              <w:right w:w="72" w:type="dxa"/>
            </w:tcMar>
            <w:vAlign w:val="bottom"/>
            <w:hideMark/>
          </w:tcPr>
          <w:p w14:paraId="7276C055"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112</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50BD7C7B"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15.89</w:t>
            </w:r>
          </w:p>
        </w:tc>
        <w:tc>
          <w:tcPr>
            <w:tcW w:w="731" w:type="dxa"/>
            <w:tcBorders>
              <w:top w:val="nil"/>
              <w:left w:val="nil"/>
              <w:bottom w:val="nil"/>
              <w:right w:val="nil"/>
            </w:tcBorders>
            <w:shd w:val="clear" w:color="auto" w:fill="auto"/>
            <w:noWrap/>
            <w:tcMar>
              <w:left w:w="72" w:type="dxa"/>
              <w:right w:w="72" w:type="dxa"/>
            </w:tcMar>
            <w:vAlign w:val="bottom"/>
            <w:hideMark/>
          </w:tcPr>
          <w:p w14:paraId="105D616A"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123</w:t>
            </w:r>
          </w:p>
        </w:tc>
        <w:tc>
          <w:tcPr>
            <w:tcW w:w="599" w:type="dxa"/>
            <w:tcBorders>
              <w:top w:val="nil"/>
              <w:left w:val="nil"/>
              <w:bottom w:val="nil"/>
              <w:right w:val="double" w:sz="6" w:space="0" w:color="auto"/>
            </w:tcBorders>
            <w:shd w:val="clear" w:color="auto" w:fill="auto"/>
            <w:noWrap/>
            <w:tcMar>
              <w:left w:w="72" w:type="dxa"/>
              <w:right w:w="72" w:type="dxa"/>
            </w:tcMar>
            <w:vAlign w:val="bottom"/>
            <w:hideMark/>
          </w:tcPr>
          <w:p w14:paraId="696ED41B"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17.45</w:t>
            </w:r>
          </w:p>
        </w:tc>
      </w:tr>
      <w:tr w:rsidR="00FC2836" w:rsidRPr="00464659" w14:paraId="619BC2EB" w14:textId="77777777" w:rsidTr="00C20013">
        <w:trPr>
          <w:trHeight w:val="173"/>
        </w:trPr>
        <w:tc>
          <w:tcPr>
            <w:tcW w:w="1260" w:type="dxa"/>
            <w:tcBorders>
              <w:top w:val="nil"/>
              <w:left w:val="double" w:sz="6" w:space="0" w:color="auto"/>
              <w:bottom w:val="nil"/>
              <w:right w:val="double" w:sz="6" w:space="0" w:color="auto"/>
            </w:tcBorders>
            <w:shd w:val="clear" w:color="auto" w:fill="auto"/>
            <w:noWrap/>
            <w:tcMar>
              <w:left w:w="72" w:type="dxa"/>
              <w:right w:w="72" w:type="dxa"/>
            </w:tcMar>
            <w:vAlign w:val="bottom"/>
            <w:hideMark/>
          </w:tcPr>
          <w:p w14:paraId="3BC07518" w14:textId="77777777" w:rsidR="00FC2836" w:rsidRPr="00464659" w:rsidRDefault="00FC2836" w:rsidP="008670B0">
            <w:pPr>
              <w:jc w:val="center"/>
              <w:rPr>
                <w:rFonts w:eastAsia="Times New Roman"/>
                <w:color w:val="000000"/>
                <w:sz w:val="22"/>
                <w:szCs w:val="22"/>
              </w:rPr>
            </w:pPr>
            <w:r w:rsidRPr="00464659">
              <w:rPr>
                <w:rFonts w:eastAsia="Times New Roman"/>
                <w:color w:val="000000"/>
                <w:sz w:val="22"/>
                <w:szCs w:val="22"/>
              </w:rPr>
              <w:t>4</w:t>
            </w:r>
          </w:p>
        </w:tc>
        <w:tc>
          <w:tcPr>
            <w:tcW w:w="731" w:type="dxa"/>
            <w:tcBorders>
              <w:top w:val="nil"/>
              <w:left w:val="double" w:sz="6" w:space="0" w:color="auto"/>
              <w:bottom w:val="nil"/>
              <w:right w:val="nil"/>
            </w:tcBorders>
            <w:shd w:val="clear" w:color="auto" w:fill="auto"/>
            <w:noWrap/>
            <w:tcMar>
              <w:left w:w="72" w:type="dxa"/>
              <w:right w:w="72" w:type="dxa"/>
            </w:tcMar>
            <w:vAlign w:val="bottom"/>
            <w:hideMark/>
          </w:tcPr>
          <w:p w14:paraId="6158ED90"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43</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2B9E90F8"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6.10</w:t>
            </w:r>
          </w:p>
        </w:tc>
        <w:tc>
          <w:tcPr>
            <w:tcW w:w="731" w:type="dxa"/>
            <w:tcBorders>
              <w:top w:val="nil"/>
              <w:left w:val="nil"/>
              <w:bottom w:val="nil"/>
              <w:right w:val="nil"/>
            </w:tcBorders>
            <w:shd w:val="clear" w:color="auto" w:fill="auto"/>
            <w:noWrap/>
            <w:tcMar>
              <w:left w:w="72" w:type="dxa"/>
              <w:right w:w="72" w:type="dxa"/>
            </w:tcMar>
            <w:vAlign w:val="bottom"/>
            <w:hideMark/>
          </w:tcPr>
          <w:p w14:paraId="7D2C43E5"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3</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2635A52C"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0.43</w:t>
            </w:r>
          </w:p>
        </w:tc>
        <w:tc>
          <w:tcPr>
            <w:tcW w:w="731" w:type="dxa"/>
            <w:tcBorders>
              <w:top w:val="nil"/>
              <w:left w:val="nil"/>
              <w:bottom w:val="nil"/>
              <w:right w:val="nil"/>
            </w:tcBorders>
            <w:shd w:val="clear" w:color="auto" w:fill="auto"/>
            <w:noWrap/>
            <w:tcMar>
              <w:left w:w="72" w:type="dxa"/>
              <w:right w:w="72" w:type="dxa"/>
            </w:tcMar>
            <w:vAlign w:val="bottom"/>
            <w:hideMark/>
          </w:tcPr>
          <w:p w14:paraId="730E61EC"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0</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09CF8BE1"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0.00</w:t>
            </w:r>
          </w:p>
        </w:tc>
        <w:tc>
          <w:tcPr>
            <w:tcW w:w="731" w:type="dxa"/>
            <w:gridSpan w:val="2"/>
            <w:tcBorders>
              <w:top w:val="nil"/>
              <w:left w:val="nil"/>
              <w:bottom w:val="nil"/>
              <w:right w:val="nil"/>
            </w:tcBorders>
            <w:shd w:val="clear" w:color="auto" w:fill="auto"/>
            <w:noWrap/>
            <w:tcMar>
              <w:left w:w="72" w:type="dxa"/>
              <w:right w:w="72" w:type="dxa"/>
            </w:tcMar>
            <w:vAlign w:val="bottom"/>
            <w:hideMark/>
          </w:tcPr>
          <w:p w14:paraId="7A35F500"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36</w:t>
            </w:r>
          </w:p>
        </w:tc>
        <w:tc>
          <w:tcPr>
            <w:tcW w:w="649" w:type="dxa"/>
            <w:tcBorders>
              <w:top w:val="nil"/>
              <w:left w:val="nil"/>
              <w:bottom w:val="nil"/>
              <w:right w:val="double" w:sz="6" w:space="0" w:color="auto"/>
            </w:tcBorders>
            <w:shd w:val="clear" w:color="auto" w:fill="auto"/>
            <w:noWrap/>
            <w:tcMar>
              <w:left w:w="72" w:type="dxa"/>
              <w:right w:w="72" w:type="dxa"/>
            </w:tcMar>
            <w:vAlign w:val="bottom"/>
            <w:hideMark/>
          </w:tcPr>
          <w:p w14:paraId="0304FF09"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5.11</w:t>
            </w:r>
          </w:p>
        </w:tc>
        <w:tc>
          <w:tcPr>
            <w:tcW w:w="731" w:type="dxa"/>
            <w:tcBorders>
              <w:top w:val="nil"/>
              <w:left w:val="nil"/>
              <w:bottom w:val="nil"/>
              <w:right w:val="nil"/>
            </w:tcBorders>
            <w:shd w:val="clear" w:color="auto" w:fill="auto"/>
            <w:noWrap/>
            <w:tcMar>
              <w:left w:w="72" w:type="dxa"/>
              <w:right w:w="72" w:type="dxa"/>
            </w:tcMar>
            <w:vAlign w:val="bottom"/>
            <w:hideMark/>
          </w:tcPr>
          <w:p w14:paraId="71B89D76"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52</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527DA39E"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7.38</w:t>
            </w:r>
          </w:p>
        </w:tc>
        <w:tc>
          <w:tcPr>
            <w:tcW w:w="731" w:type="dxa"/>
            <w:tcBorders>
              <w:top w:val="nil"/>
              <w:left w:val="nil"/>
              <w:bottom w:val="nil"/>
              <w:right w:val="nil"/>
            </w:tcBorders>
            <w:shd w:val="clear" w:color="auto" w:fill="auto"/>
            <w:noWrap/>
            <w:tcMar>
              <w:left w:w="72" w:type="dxa"/>
              <w:right w:w="72" w:type="dxa"/>
            </w:tcMar>
            <w:vAlign w:val="bottom"/>
            <w:hideMark/>
          </w:tcPr>
          <w:p w14:paraId="38FAB698"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96</w:t>
            </w:r>
          </w:p>
        </w:tc>
        <w:tc>
          <w:tcPr>
            <w:tcW w:w="599" w:type="dxa"/>
            <w:tcBorders>
              <w:top w:val="nil"/>
              <w:left w:val="nil"/>
              <w:bottom w:val="nil"/>
              <w:right w:val="double" w:sz="6" w:space="0" w:color="auto"/>
            </w:tcBorders>
            <w:shd w:val="clear" w:color="auto" w:fill="auto"/>
            <w:noWrap/>
            <w:tcMar>
              <w:left w:w="72" w:type="dxa"/>
              <w:right w:w="72" w:type="dxa"/>
            </w:tcMar>
            <w:vAlign w:val="bottom"/>
            <w:hideMark/>
          </w:tcPr>
          <w:p w14:paraId="053BC907"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13.62</w:t>
            </w:r>
          </w:p>
        </w:tc>
      </w:tr>
      <w:tr w:rsidR="00FC2836" w:rsidRPr="00464659" w14:paraId="198FF65A" w14:textId="77777777" w:rsidTr="00C20013">
        <w:trPr>
          <w:trHeight w:val="173"/>
        </w:trPr>
        <w:tc>
          <w:tcPr>
            <w:tcW w:w="1260" w:type="dxa"/>
            <w:tcBorders>
              <w:top w:val="nil"/>
              <w:left w:val="double" w:sz="6" w:space="0" w:color="auto"/>
              <w:bottom w:val="nil"/>
              <w:right w:val="double" w:sz="6" w:space="0" w:color="auto"/>
            </w:tcBorders>
            <w:shd w:val="clear" w:color="auto" w:fill="auto"/>
            <w:noWrap/>
            <w:tcMar>
              <w:left w:w="72" w:type="dxa"/>
              <w:right w:w="72" w:type="dxa"/>
            </w:tcMar>
            <w:vAlign w:val="bottom"/>
            <w:hideMark/>
          </w:tcPr>
          <w:p w14:paraId="2F91A61C" w14:textId="77777777" w:rsidR="00FC2836" w:rsidRPr="00464659" w:rsidRDefault="00FC2836" w:rsidP="008670B0">
            <w:pPr>
              <w:jc w:val="center"/>
              <w:rPr>
                <w:rFonts w:eastAsia="Times New Roman"/>
                <w:color w:val="000000"/>
                <w:sz w:val="22"/>
                <w:szCs w:val="22"/>
              </w:rPr>
            </w:pPr>
            <w:r w:rsidRPr="00464659">
              <w:rPr>
                <w:rFonts w:eastAsia="Times New Roman"/>
                <w:color w:val="000000"/>
                <w:sz w:val="22"/>
                <w:szCs w:val="22"/>
              </w:rPr>
              <w:t>5</w:t>
            </w:r>
          </w:p>
        </w:tc>
        <w:tc>
          <w:tcPr>
            <w:tcW w:w="731" w:type="dxa"/>
            <w:tcBorders>
              <w:top w:val="nil"/>
              <w:left w:val="double" w:sz="6" w:space="0" w:color="auto"/>
              <w:bottom w:val="nil"/>
              <w:right w:val="nil"/>
            </w:tcBorders>
            <w:shd w:val="clear" w:color="auto" w:fill="auto"/>
            <w:noWrap/>
            <w:tcMar>
              <w:left w:w="72" w:type="dxa"/>
              <w:right w:w="72" w:type="dxa"/>
            </w:tcMar>
            <w:vAlign w:val="bottom"/>
            <w:hideMark/>
          </w:tcPr>
          <w:p w14:paraId="019E59DD"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26</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32EA3705"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3.69</w:t>
            </w:r>
          </w:p>
        </w:tc>
        <w:tc>
          <w:tcPr>
            <w:tcW w:w="731" w:type="dxa"/>
            <w:tcBorders>
              <w:top w:val="nil"/>
              <w:left w:val="nil"/>
              <w:bottom w:val="nil"/>
              <w:right w:val="nil"/>
            </w:tcBorders>
            <w:shd w:val="clear" w:color="auto" w:fill="auto"/>
            <w:noWrap/>
            <w:tcMar>
              <w:left w:w="72" w:type="dxa"/>
              <w:right w:w="72" w:type="dxa"/>
            </w:tcMar>
            <w:vAlign w:val="bottom"/>
            <w:hideMark/>
          </w:tcPr>
          <w:p w14:paraId="5E4D9C73"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0</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6277C0C1"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0.00</w:t>
            </w:r>
          </w:p>
        </w:tc>
        <w:tc>
          <w:tcPr>
            <w:tcW w:w="731" w:type="dxa"/>
            <w:tcBorders>
              <w:top w:val="nil"/>
              <w:left w:val="nil"/>
              <w:bottom w:val="nil"/>
              <w:right w:val="nil"/>
            </w:tcBorders>
            <w:shd w:val="clear" w:color="auto" w:fill="auto"/>
            <w:noWrap/>
            <w:tcMar>
              <w:left w:w="72" w:type="dxa"/>
              <w:right w:w="72" w:type="dxa"/>
            </w:tcMar>
            <w:vAlign w:val="bottom"/>
            <w:hideMark/>
          </w:tcPr>
          <w:p w14:paraId="272A8D86"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26840641"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0.14</w:t>
            </w:r>
          </w:p>
        </w:tc>
        <w:tc>
          <w:tcPr>
            <w:tcW w:w="731" w:type="dxa"/>
            <w:gridSpan w:val="2"/>
            <w:tcBorders>
              <w:top w:val="nil"/>
              <w:left w:val="nil"/>
              <w:bottom w:val="nil"/>
              <w:right w:val="nil"/>
            </w:tcBorders>
            <w:shd w:val="clear" w:color="auto" w:fill="auto"/>
            <w:noWrap/>
            <w:tcMar>
              <w:left w:w="72" w:type="dxa"/>
              <w:right w:w="72" w:type="dxa"/>
            </w:tcMar>
            <w:vAlign w:val="bottom"/>
            <w:hideMark/>
          </w:tcPr>
          <w:p w14:paraId="31F0A469"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11</w:t>
            </w:r>
          </w:p>
        </w:tc>
        <w:tc>
          <w:tcPr>
            <w:tcW w:w="649" w:type="dxa"/>
            <w:tcBorders>
              <w:top w:val="nil"/>
              <w:left w:val="nil"/>
              <w:bottom w:val="nil"/>
              <w:right w:val="double" w:sz="6" w:space="0" w:color="auto"/>
            </w:tcBorders>
            <w:shd w:val="clear" w:color="auto" w:fill="auto"/>
            <w:noWrap/>
            <w:tcMar>
              <w:left w:w="72" w:type="dxa"/>
              <w:right w:w="72" w:type="dxa"/>
            </w:tcMar>
            <w:vAlign w:val="bottom"/>
            <w:hideMark/>
          </w:tcPr>
          <w:p w14:paraId="77E01DD8"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1.56</w:t>
            </w:r>
          </w:p>
        </w:tc>
        <w:tc>
          <w:tcPr>
            <w:tcW w:w="731" w:type="dxa"/>
            <w:tcBorders>
              <w:top w:val="nil"/>
              <w:left w:val="nil"/>
              <w:bottom w:val="nil"/>
              <w:right w:val="nil"/>
            </w:tcBorders>
            <w:shd w:val="clear" w:color="auto" w:fill="auto"/>
            <w:noWrap/>
            <w:tcMar>
              <w:left w:w="72" w:type="dxa"/>
              <w:right w:w="72" w:type="dxa"/>
            </w:tcMar>
            <w:vAlign w:val="bottom"/>
            <w:hideMark/>
          </w:tcPr>
          <w:p w14:paraId="6BE5CF2B"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23</w:t>
            </w:r>
          </w:p>
        </w:tc>
        <w:tc>
          <w:tcPr>
            <w:tcW w:w="639" w:type="dxa"/>
            <w:tcBorders>
              <w:top w:val="nil"/>
              <w:left w:val="nil"/>
              <w:bottom w:val="nil"/>
              <w:right w:val="double" w:sz="6" w:space="0" w:color="auto"/>
            </w:tcBorders>
            <w:shd w:val="clear" w:color="auto" w:fill="auto"/>
            <w:noWrap/>
            <w:tcMar>
              <w:left w:w="72" w:type="dxa"/>
              <w:right w:w="72" w:type="dxa"/>
            </w:tcMar>
            <w:vAlign w:val="bottom"/>
            <w:hideMark/>
          </w:tcPr>
          <w:p w14:paraId="6A498D72"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3.26</w:t>
            </w:r>
          </w:p>
        </w:tc>
        <w:tc>
          <w:tcPr>
            <w:tcW w:w="731" w:type="dxa"/>
            <w:tcBorders>
              <w:top w:val="nil"/>
              <w:left w:val="nil"/>
              <w:bottom w:val="nil"/>
              <w:right w:val="nil"/>
            </w:tcBorders>
            <w:shd w:val="clear" w:color="auto" w:fill="auto"/>
            <w:noWrap/>
            <w:tcMar>
              <w:left w:w="72" w:type="dxa"/>
              <w:right w:w="72" w:type="dxa"/>
            </w:tcMar>
            <w:vAlign w:val="bottom"/>
            <w:hideMark/>
          </w:tcPr>
          <w:p w14:paraId="22C42CC0"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68</w:t>
            </w:r>
          </w:p>
        </w:tc>
        <w:tc>
          <w:tcPr>
            <w:tcW w:w="599" w:type="dxa"/>
            <w:tcBorders>
              <w:top w:val="nil"/>
              <w:left w:val="nil"/>
              <w:bottom w:val="nil"/>
              <w:right w:val="double" w:sz="6" w:space="0" w:color="auto"/>
            </w:tcBorders>
            <w:shd w:val="clear" w:color="auto" w:fill="auto"/>
            <w:noWrap/>
            <w:tcMar>
              <w:left w:w="72" w:type="dxa"/>
              <w:right w:w="72" w:type="dxa"/>
            </w:tcMar>
            <w:vAlign w:val="bottom"/>
            <w:hideMark/>
          </w:tcPr>
          <w:p w14:paraId="5AF58F86"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9.65</w:t>
            </w:r>
          </w:p>
        </w:tc>
      </w:tr>
      <w:tr w:rsidR="00FC2836" w:rsidRPr="00464659" w14:paraId="260377DD" w14:textId="77777777" w:rsidTr="00C20013">
        <w:trPr>
          <w:trHeight w:val="173"/>
        </w:trPr>
        <w:tc>
          <w:tcPr>
            <w:tcW w:w="1260" w:type="dxa"/>
            <w:tcBorders>
              <w:top w:val="nil"/>
              <w:left w:val="double" w:sz="6" w:space="0" w:color="auto"/>
              <w:right w:val="double" w:sz="6" w:space="0" w:color="auto"/>
            </w:tcBorders>
            <w:shd w:val="clear" w:color="auto" w:fill="auto"/>
            <w:noWrap/>
            <w:tcMar>
              <w:left w:w="72" w:type="dxa"/>
              <w:right w:w="72" w:type="dxa"/>
            </w:tcMar>
            <w:vAlign w:val="bottom"/>
            <w:hideMark/>
          </w:tcPr>
          <w:p w14:paraId="42EA9909" w14:textId="77777777" w:rsidR="00FC2836" w:rsidRPr="00464659" w:rsidRDefault="00FC2836" w:rsidP="008670B0">
            <w:pPr>
              <w:jc w:val="center"/>
              <w:rPr>
                <w:rFonts w:eastAsia="Times New Roman"/>
                <w:color w:val="000000"/>
                <w:sz w:val="22"/>
                <w:szCs w:val="22"/>
              </w:rPr>
            </w:pPr>
            <w:r w:rsidRPr="00464659">
              <w:rPr>
                <w:rFonts w:eastAsia="Times New Roman"/>
                <w:color w:val="000000"/>
                <w:sz w:val="22"/>
                <w:szCs w:val="22"/>
              </w:rPr>
              <w:t>6</w:t>
            </w:r>
          </w:p>
        </w:tc>
        <w:tc>
          <w:tcPr>
            <w:tcW w:w="731" w:type="dxa"/>
            <w:tcBorders>
              <w:top w:val="nil"/>
              <w:left w:val="double" w:sz="6" w:space="0" w:color="auto"/>
              <w:right w:val="nil"/>
            </w:tcBorders>
            <w:shd w:val="clear" w:color="auto" w:fill="auto"/>
            <w:noWrap/>
            <w:tcMar>
              <w:left w:w="72" w:type="dxa"/>
              <w:right w:w="72" w:type="dxa"/>
            </w:tcMar>
            <w:vAlign w:val="bottom"/>
            <w:hideMark/>
          </w:tcPr>
          <w:p w14:paraId="3CFDCCE8"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12</w:t>
            </w:r>
          </w:p>
        </w:tc>
        <w:tc>
          <w:tcPr>
            <w:tcW w:w="639" w:type="dxa"/>
            <w:tcBorders>
              <w:top w:val="nil"/>
              <w:left w:val="nil"/>
              <w:right w:val="double" w:sz="6" w:space="0" w:color="auto"/>
            </w:tcBorders>
            <w:shd w:val="clear" w:color="auto" w:fill="auto"/>
            <w:noWrap/>
            <w:tcMar>
              <w:left w:w="72" w:type="dxa"/>
              <w:right w:w="72" w:type="dxa"/>
            </w:tcMar>
            <w:vAlign w:val="bottom"/>
            <w:hideMark/>
          </w:tcPr>
          <w:p w14:paraId="6FAAA390"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1.70</w:t>
            </w:r>
          </w:p>
        </w:tc>
        <w:tc>
          <w:tcPr>
            <w:tcW w:w="731" w:type="dxa"/>
            <w:tcBorders>
              <w:top w:val="nil"/>
              <w:left w:val="nil"/>
              <w:right w:val="nil"/>
            </w:tcBorders>
            <w:shd w:val="clear" w:color="auto" w:fill="auto"/>
            <w:noWrap/>
            <w:tcMar>
              <w:left w:w="72" w:type="dxa"/>
              <w:right w:w="72" w:type="dxa"/>
            </w:tcMar>
            <w:vAlign w:val="bottom"/>
            <w:hideMark/>
          </w:tcPr>
          <w:p w14:paraId="0051CFDD"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w:t>
            </w:r>
          </w:p>
        </w:tc>
        <w:tc>
          <w:tcPr>
            <w:tcW w:w="639" w:type="dxa"/>
            <w:tcBorders>
              <w:top w:val="nil"/>
              <w:left w:val="nil"/>
              <w:right w:val="double" w:sz="6" w:space="0" w:color="auto"/>
            </w:tcBorders>
            <w:shd w:val="clear" w:color="auto" w:fill="auto"/>
            <w:noWrap/>
            <w:tcMar>
              <w:left w:w="72" w:type="dxa"/>
              <w:right w:w="72" w:type="dxa"/>
            </w:tcMar>
            <w:vAlign w:val="bottom"/>
            <w:hideMark/>
          </w:tcPr>
          <w:p w14:paraId="5DA01133"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0.14</w:t>
            </w:r>
          </w:p>
        </w:tc>
        <w:tc>
          <w:tcPr>
            <w:tcW w:w="731" w:type="dxa"/>
            <w:tcBorders>
              <w:top w:val="nil"/>
              <w:left w:val="nil"/>
              <w:right w:val="nil"/>
            </w:tcBorders>
            <w:shd w:val="clear" w:color="auto" w:fill="auto"/>
            <w:noWrap/>
            <w:tcMar>
              <w:left w:w="72" w:type="dxa"/>
              <w:right w:w="72" w:type="dxa"/>
            </w:tcMar>
            <w:vAlign w:val="bottom"/>
            <w:hideMark/>
          </w:tcPr>
          <w:p w14:paraId="60C0A90B"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2</w:t>
            </w:r>
          </w:p>
        </w:tc>
        <w:tc>
          <w:tcPr>
            <w:tcW w:w="639" w:type="dxa"/>
            <w:tcBorders>
              <w:top w:val="nil"/>
              <w:left w:val="nil"/>
              <w:right w:val="double" w:sz="6" w:space="0" w:color="auto"/>
            </w:tcBorders>
            <w:shd w:val="clear" w:color="auto" w:fill="auto"/>
            <w:noWrap/>
            <w:tcMar>
              <w:left w:w="72" w:type="dxa"/>
              <w:right w:w="72" w:type="dxa"/>
            </w:tcMar>
            <w:vAlign w:val="bottom"/>
            <w:hideMark/>
          </w:tcPr>
          <w:p w14:paraId="5A21F937"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0.28</w:t>
            </w:r>
          </w:p>
        </w:tc>
        <w:tc>
          <w:tcPr>
            <w:tcW w:w="731" w:type="dxa"/>
            <w:gridSpan w:val="2"/>
            <w:tcBorders>
              <w:top w:val="nil"/>
              <w:left w:val="nil"/>
              <w:right w:val="nil"/>
            </w:tcBorders>
            <w:shd w:val="clear" w:color="auto" w:fill="auto"/>
            <w:noWrap/>
            <w:tcMar>
              <w:left w:w="72" w:type="dxa"/>
              <w:right w:w="72" w:type="dxa"/>
            </w:tcMar>
            <w:vAlign w:val="bottom"/>
            <w:hideMark/>
          </w:tcPr>
          <w:p w14:paraId="6462943C"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4</w:t>
            </w:r>
          </w:p>
        </w:tc>
        <w:tc>
          <w:tcPr>
            <w:tcW w:w="649" w:type="dxa"/>
            <w:tcBorders>
              <w:top w:val="nil"/>
              <w:left w:val="nil"/>
              <w:right w:val="double" w:sz="6" w:space="0" w:color="auto"/>
            </w:tcBorders>
            <w:shd w:val="clear" w:color="auto" w:fill="auto"/>
            <w:noWrap/>
            <w:tcMar>
              <w:left w:w="72" w:type="dxa"/>
              <w:right w:w="72" w:type="dxa"/>
            </w:tcMar>
            <w:vAlign w:val="bottom"/>
            <w:hideMark/>
          </w:tcPr>
          <w:p w14:paraId="34DDB929"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0.57</w:t>
            </w:r>
          </w:p>
        </w:tc>
        <w:tc>
          <w:tcPr>
            <w:tcW w:w="731" w:type="dxa"/>
            <w:tcBorders>
              <w:top w:val="nil"/>
              <w:left w:val="nil"/>
              <w:right w:val="nil"/>
            </w:tcBorders>
            <w:shd w:val="clear" w:color="auto" w:fill="auto"/>
            <w:noWrap/>
            <w:tcMar>
              <w:left w:w="72" w:type="dxa"/>
              <w:right w:w="72" w:type="dxa"/>
            </w:tcMar>
            <w:vAlign w:val="bottom"/>
            <w:hideMark/>
          </w:tcPr>
          <w:p w14:paraId="39151AEF"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7</w:t>
            </w:r>
          </w:p>
        </w:tc>
        <w:tc>
          <w:tcPr>
            <w:tcW w:w="639" w:type="dxa"/>
            <w:tcBorders>
              <w:top w:val="nil"/>
              <w:left w:val="nil"/>
              <w:right w:val="double" w:sz="6" w:space="0" w:color="auto"/>
            </w:tcBorders>
            <w:shd w:val="clear" w:color="auto" w:fill="auto"/>
            <w:noWrap/>
            <w:tcMar>
              <w:left w:w="72" w:type="dxa"/>
              <w:right w:w="72" w:type="dxa"/>
            </w:tcMar>
            <w:vAlign w:val="bottom"/>
            <w:hideMark/>
          </w:tcPr>
          <w:p w14:paraId="79B70FC6"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0.99</w:t>
            </w:r>
          </w:p>
        </w:tc>
        <w:tc>
          <w:tcPr>
            <w:tcW w:w="731" w:type="dxa"/>
            <w:tcBorders>
              <w:top w:val="nil"/>
              <w:left w:val="nil"/>
              <w:right w:val="nil"/>
            </w:tcBorders>
            <w:shd w:val="clear" w:color="auto" w:fill="auto"/>
            <w:noWrap/>
            <w:tcMar>
              <w:left w:w="72" w:type="dxa"/>
              <w:right w:w="72" w:type="dxa"/>
            </w:tcMar>
            <w:vAlign w:val="bottom"/>
            <w:hideMark/>
          </w:tcPr>
          <w:p w14:paraId="7EE50DAC"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31</w:t>
            </w:r>
          </w:p>
        </w:tc>
        <w:tc>
          <w:tcPr>
            <w:tcW w:w="599" w:type="dxa"/>
            <w:tcBorders>
              <w:top w:val="nil"/>
              <w:left w:val="nil"/>
              <w:right w:val="double" w:sz="6" w:space="0" w:color="auto"/>
            </w:tcBorders>
            <w:shd w:val="clear" w:color="auto" w:fill="auto"/>
            <w:noWrap/>
            <w:tcMar>
              <w:left w:w="72" w:type="dxa"/>
              <w:right w:w="72" w:type="dxa"/>
            </w:tcMar>
            <w:vAlign w:val="bottom"/>
            <w:hideMark/>
          </w:tcPr>
          <w:p w14:paraId="344A6B4F"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4.40</w:t>
            </w:r>
          </w:p>
        </w:tc>
      </w:tr>
      <w:tr w:rsidR="00FC2836" w:rsidRPr="00464659" w14:paraId="030EBA75" w14:textId="77777777" w:rsidTr="00C20013">
        <w:trPr>
          <w:trHeight w:val="173"/>
        </w:trPr>
        <w:tc>
          <w:tcPr>
            <w:tcW w:w="1260" w:type="dxa"/>
            <w:tcBorders>
              <w:top w:val="nil"/>
              <w:left w:val="double" w:sz="6" w:space="0" w:color="auto"/>
              <w:bottom w:val="double" w:sz="6" w:space="0" w:color="auto"/>
              <w:right w:val="double" w:sz="6" w:space="0" w:color="auto"/>
            </w:tcBorders>
            <w:shd w:val="clear" w:color="auto" w:fill="auto"/>
            <w:noWrap/>
            <w:tcMar>
              <w:left w:w="72" w:type="dxa"/>
              <w:right w:w="72" w:type="dxa"/>
            </w:tcMar>
            <w:vAlign w:val="bottom"/>
            <w:hideMark/>
          </w:tcPr>
          <w:p w14:paraId="6E1A1BAB" w14:textId="77777777" w:rsidR="00FC2836" w:rsidRPr="00464659" w:rsidRDefault="00FC2836" w:rsidP="008670B0">
            <w:pPr>
              <w:jc w:val="center"/>
              <w:rPr>
                <w:rFonts w:eastAsia="Times New Roman"/>
                <w:color w:val="000000"/>
                <w:sz w:val="22"/>
                <w:szCs w:val="22"/>
              </w:rPr>
            </w:pPr>
            <w:r w:rsidRPr="00464659">
              <w:rPr>
                <w:rFonts w:eastAsia="Times New Roman"/>
                <w:color w:val="000000"/>
                <w:sz w:val="22"/>
                <w:szCs w:val="22"/>
              </w:rPr>
              <w:t>7</w:t>
            </w:r>
          </w:p>
        </w:tc>
        <w:tc>
          <w:tcPr>
            <w:tcW w:w="731" w:type="dxa"/>
            <w:tcBorders>
              <w:top w:val="nil"/>
              <w:left w:val="nil"/>
              <w:bottom w:val="double" w:sz="6" w:space="0" w:color="auto"/>
              <w:right w:val="nil"/>
            </w:tcBorders>
            <w:shd w:val="clear" w:color="auto" w:fill="auto"/>
            <w:noWrap/>
            <w:tcMar>
              <w:left w:w="72" w:type="dxa"/>
              <w:right w:w="72" w:type="dxa"/>
            </w:tcMar>
            <w:vAlign w:val="bottom"/>
            <w:hideMark/>
          </w:tcPr>
          <w:p w14:paraId="7AA46CC6"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5</w:t>
            </w:r>
          </w:p>
        </w:tc>
        <w:tc>
          <w:tcPr>
            <w:tcW w:w="639" w:type="dxa"/>
            <w:tcBorders>
              <w:top w:val="nil"/>
              <w:left w:val="nil"/>
              <w:bottom w:val="double" w:sz="6" w:space="0" w:color="auto"/>
              <w:right w:val="double" w:sz="6" w:space="0" w:color="auto"/>
            </w:tcBorders>
            <w:shd w:val="clear" w:color="auto" w:fill="auto"/>
            <w:noWrap/>
            <w:tcMar>
              <w:left w:w="72" w:type="dxa"/>
              <w:right w:w="72" w:type="dxa"/>
            </w:tcMar>
            <w:vAlign w:val="bottom"/>
            <w:hideMark/>
          </w:tcPr>
          <w:p w14:paraId="10EDD94D"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0.70</w:t>
            </w:r>
          </w:p>
        </w:tc>
        <w:tc>
          <w:tcPr>
            <w:tcW w:w="731" w:type="dxa"/>
            <w:tcBorders>
              <w:top w:val="nil"/>
              <w:left w:val="nil"/>
              <w:bottom w:val="double" w:sz="6" w:space="0" w:color="auto"/>
              <w:right w:val="nil"/>
            </w:tcBorders>
            <w:shd w:val="clear" w:color="auto" w:fill="auto"/>
            <w:noWrap/>
            <w:tcMar>
              <w:left w:w="72" w:type="dxa"/>
              <w:right w:w="72" w:type="dxa"/>
            </w:tcMar>
            <w:vAlign w:val="bottom"/>
            <w:hideMark/>
          </w:tcPr>
          <w:p w14:paraId="0FB60BB5"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w:t>
            </w:r>
          </w:p>
        </w:tc>
        <w:tc>
          <w:tcPr>
            <w:tcW w:w="639" w:type="dxa"/>
            <w:tcBorders>
              <w:top w:val="nil"/>
              <w:left w:val="nil"/>
              <w:bottom w:val="double" w:sz="6" w:space="0" w:color="auto"/>
              <w:right w:val="double" w:sz="6" w:space="0" w:color="auto"/>
            </w:tcBorders>
            <w:shd w:val="clear" w:color="auto" w:fill="auto"/>
            <w:noWrap/>
            <w:tcMar>
              <w:left w:w="72" w:type="dxa"/>
              <w:right w:w="72" w:type="dxa"/>
            </w:tcMar>
            <w:vAlign w:val="bottom"/>
            <w:hideMark/>
          </w:tcPr>
          <w:p w14:paraId="55EBE316"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0.13</w:t>
            </w:r>
          </w:p>
        </w:tc>
        <w:tc>
          <w:tcPr>
            <w:tcW w:w="731" w:type="dxa"/>
            <w:tcBorders>
              <w:top w:val="nil"/>
              <w:left w:val="nil"/>
              <w:bottom w:val="double" w:sz="6" w:space="0" w:color="auto"/>
              <w:right w:val="nil"/>
            </w:tcBorders>
            <w:shd w:val="clear" w:color="auto" w:fill="auto"/>
            <w:noWrap/>
            <w:tcMar>
              <w:left w:w="72" w:type="dxa"/>
              <w:right w:w="72" w:type="dxa"/>
            </w:tcMar>
            <w:vAlign w:val="bottom"/>
            <w:hideMark/>
          </w:tcPr>
          <w:p w14:paraId="5573B602"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0</w:t>
            </w:r>
          </w:p>
        </w:tc>
        <w:tc>
          <w:tcPr>
            <w:tcW w:w="639" w:type="dxa"/>
            <w:tcBorders>
              <w:top w:val="nil"/>
              <w:left w:val="nil"/>
              <w:bottom w:val="double" w:sz="6" w:space="0" w:color="auto"/>
              <w:right w:val="double" w:sz="6" w:space="0" w:color="auto"/>
            </w:tcBorders>
            <w:shd w:val="clear" w:color="auto" w:fill="auto"/>
            <w:noWrap/>
            <w:tcMar>
              <w:left w:w="72" w:type="dxa"/>
              <w:right w:w="72" w:type="dxa"/>
            </w:tcMar>
            <w:vAlign w:val="bottom"/>
            <w:hideMark/>
          </w:tcPr>
          <w:p w14:paraId="531A3D99"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0.00</w:t>
            </w:r>
          </w:p>
        </w:tc>
        <w:tc>
          <w:tcPr>
            <w:tcW w:w="731" w:type="dxa"/>
            <w:gridSpan w:val="2"/>
            <w:tcBorders>
              <w:top w:val="nil"/>
              <w:left w:val="nil"/>
              <w:bottom w:val="double" w:sz="6" w:space="0" w:color="auto"/>
              <w:right w:val="nil"/>
            </w:tcBorders>
            <w:shd w:val="clear" w:color="auto" w:fill="auto"/>
            <w:noWrap/>
            <w:tcMar>
              <w:left w:w="72" w:type="dxa"/>
              <w:right w:w="72" w:type="dxa"/>
            </w:tcMar>
            <w:vAlign w:val="bottom"/>
            <w:hideMark/>
          </w:tcPr>
          <w:p w14:paraId="30B9EC60"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2</w:t>
            </w:r>
          </w:p>
        </w:tc>
        <w:tc>
          <w:tcPr>
            <w:tcW w:w="649" w:type="dxa"/>
            <w:tcBorders>
              <w:top w:val="nil"/>
              <w:left w:val="nil"/>
              <w:bottom w:val="double" w:sz="6" w:space="0" w:color="auto"/>
              <w:right w:val="double" w:sz="6" w:space="0" w:color="auto"/>
            </w:tcBorders>
            <w:shd w:val="clear" w:color="auto" w:fill="auto"/>
            <w:noWrap/>
            <w:tcMar>
              <w:left w:w="72" w:type="dxa"/>
              <w:right w:w="72" w:type="dxa"/>
            </w:tcMar>
            <w:vAlign w:val="bottom"/>
            <w:hideMark/>
          </w:tcPr>
          <w:p w14:paraId="67ADF7E3"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0.28</w:t>
            </w:r>
          </w:p>
        </w:tc>
        <w:tc>
          <w:tcPr>
            <w:tcW w:w="731" w:type="dxa"/>
            <w:tcBorders>
              <w:top w:val="nil"/>
              <w:left w:val="nil"/>
              <w:bottom w:val="double" w:sz="6" w:space="0" w:color="auto"/>
              <w:right w:val="nil"/>
            </w:tcBorders>
            <w:shd w:val="clear" w:color="auto" w:fill="auto"/>
            <w:noWrap/>
            <w:tcMar>
              <w:left w:w="72" w:type="dxa"/>
              <w:right w:w="72" w:type="dxa"/>
            </w:tcMar>
            <w:vAlign w:val="bottom"/>
            <w:hideMark/>
          </w:tcPr>
          <w:p w14:paraId="180BB794"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0</w:t>
            </w:r>
          </w:p>
        </w:tc>
        <w:tc>
          <w:tcPr>
            <w:tcW w:w="639" w:type="dxa"/>
            <w:tcBorders>
              <w:top w:val="nil"/>
              <w:left w:val="nil"/>
              <w:bottom w:val="double" w:sz="6" w:space="0" w:color="auto"/>
              <w:right w:val="double" w:sz="6" w:space="0" w:color="auto"/>
            </w:tcBorders>
            <w:shd w:val="clear" w:color="auto" w:fill="auto"/>
            <w:noWrap/>
            <w:tcMar>
              <w:left w:w="72" w:type="dxa"/>
              <w:right w:w="72" w:type="dxa"/>
            </w:tcMar>
            <w:vAlign w:val="bottom"/>
            <w:hideMark/>
          </w:tcPr>
          <w:p w14:paraId="148E62C3"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0.00</w:t>
            </w:r>
          </w:p>
        </w:tc>
        <w:tc>
          <w:tcPr>
            <w:tcW w:w="731" w:type="dxa"/>
            <w:tcBorders>
              <w:top w:val="nil"/>
              <w:left w:val="nil"/>
              <w:bottom w:val="double" w:sz="6" w:space="0" w:color="auto"/>
              <w:right w:val="nil"/>
            </w:tcBorders>
            <w:shd w:val="clear" w:color="auto" w:fill="auto"/>
            <w:noWrap/>
            <w:tcMar>
              <w:left w:w="72" w:type="dxa"/>
              <w:right w:w="72" w:type="dxa"/>
            </w:tcMar>
            <w:vAlign w:val="bottom"/>
            <w:hideMark/>
          </w:tcPr>
          <w:p w14:paraId="356F9CF2"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18</w:t>
            </w:r>
          </w:p>
        </w:tc>
        <w:tc>
          <w:tcPr>
            <w:tcW w:w="599" w:type="dxa"/>
            <w:tcBorders>
              <w:top w:val="nil"/>
              <w:left w:val="nil"/>
              <w:bottom w:val="double" w:sz="6" w:space="0" w:color="auto"/>
              <w:right w:val="double" w:sz="6" w:space="0" w:color="auto"/>
            </w:tcBorders>
            <w:shd w:val="clear" w:color="auto" w:fill="auto"/>
            <w:noWrap/>
            <w:tcMar>
              <w:left w:w="72" w:type="dxa"/>
              <w:right w:w="72" w:type="dxa"/>
            </w:tcMar>
            <w:vAlign w:val="bottom"/>
            <w:hideMark/>
          </w:tcPr>
          <w:p w14:paraId="15E4BC0B" w14:textId="77777777" w:rsidR="00FC2836" w:rsidRPr="00464659" w:rsidRDefault="00FC2836" w:rsidP="006B44CE">
            <w:pPr>
              <w:jc w:val="right"/>
              <w:rPr>
                <w:rFonts w:eastAsia="Times New Roman"/>
                <w:color w:val="000000"/>
                <w:sz w:val="22"/>
                <w:szCs w:val="22"/>
              </w:rPr>
            </w:pPr>
            <w:r w:rsidRPr="00464659">
              <w:rPr>
                <w:rFonts w:eastAsia="Times New Roman"/>
                <w:color w:val="000000"/>
                <w:sz w:val="22"/>
                <w:szCs w:val="22"/>
              </w:rPr>
              <w:t>2.54</w:t>
            </w:r>
          </w:p>
        </w:tc>
      </w:tr>
    </w:tbl>
    <w:p w14:paraId="6713C06A" w14:textId="65C18997" w:rsidR="00FC2836" w:rsidRPr="00824E93" w:rsidRDefault="00FC2836" w:rsidP="00FC2836">
      <w:pPr>
        <w:rPr>
          <w:sz w:val="16"/>
          <w:szCs w:val="16"/>
        </w:rPr>
      </w:pPr>
    </w:p>
    <w:p w14:paraId="4CFF2896" w14:textId="584E4404" w:rsidR="003012E0" w:rsidRDefault="008670B0" w:rsidP="006B44CE">
      <w:r>
        <w:tab/>
        <w:t xml:space="preserve">Overall, it can be seen that grocery and meal delivery has not yet been adopted on </w:t>
      </w:r>
      <w:r w:rsidR="008E24F6">
        <w:t>as wide a scale as package delivery (which may be considered as representing non-grocery online shopping). While excess of 85 percent of households report absolutely no deliveries of groceries or prepared meals, only about 40 percent of households report absolutely no package deliveries</w:t>
      </w:r>
      <w:r w:rsidR="00760F7C">
        <w:t xml:space="preserve"> over the course of a week</w:t>
      </w:r>
      <w:r w:rsidR="008E24F6">
        <w:t xml:space="preserve">. Whereas the distributions for package delivery and in-person shopping (non-grocery) show some degree of similarity (from a qualitative viewpoint), the distributions for in-person grocery shopping and in-person eat-mail activity stand in stark contrast to the corresponding </w:t>
      </w:r>
      <w:r w:rsidR="00B622F2">
        <w:t xml:space="preserve">online </w:t>
      </w:r>
      <w:r w:rsidR="008E24F6">
        <w:t>acti</w:t>
      </w:r>
      <w:r w:rsidR="00251434">
        <w:t xml:space="preserve">vity engagement distributions. </w:t>
      </w:r>
      <w:r w:rsidR="008E24F6">
        <w:t xml:space="preserve">Only 18.7 percent of the households report </w:t>
      </w:r>
      <w:r w:rsidR="006B44CE">
        <w:lastRenderedPageBreak/>
        <w:t xml:space="preserve">no grocery shopping </w:t>
      </w:r>
      <w:r w:rsidR="00C22352">
        <w:t xml:space="preserve">episodes </w:t>
      </w:r>
      <w:r w:rsidR="006B44CE">
        <w:t>over the course of the week</w:t>
      </w:r>
      <w:r w:rsidR="00144074">
        <w:t xml:space="preserve"> and </w:t>
      </w:r>
      <w:r w:rsidR="006B44CE">
        <w:t>only 14.9 percent report no out-of-home eat-meal activity</w:t>
      </w:r>
      <w:r w:rsidR="00760F7C">
        <w:t xml:space="preserve"> episodes</w:t>
      </w:r>
      <w:r w:rsidR="006B44CE">
        <w:t xml:space="preserve">. A review of these distributions suggests that </w:t>
      </w:r>
      <w:r w:rsidR="00B622F2">
        <w:t xml:space="preserve">online </w:t>
      </w:r>
      <w:r w:rsidR="006B44CE">
        <w:t xml:space="preserve">and </w:t>
      </w:r>
      <w:r w:rsidR="00B622F2">
        <w:t xml:space="preserve">in-person </w:t>
      </w:r>
      <w:r w:rsidR="006B44CE">
        <w:t xml:space="preserve">shopping (non-grocery) appears to be occurring on a comparable scale for this subsample of households (that is clearly a self-selected subsample of the general population), but </w:t>
      </w:r>
      <w:r w:rsidR="005B1040">
        <w:t xml:space="preserve">in-person </w:t>
      </w:r>
      <w:r w:rsidR="006B44CE">
        <w:t xml:space="preserve">grocery shopping and eat-meal activity engagement clearly dominates corresponding </w:t>
      </w:r>
      <w:r w:rsidR="005B1040">
        <w:t>online</w:t>
      </w:r>
      <w:r w:rsidR="006B44CE">
        <w:t xml:space="preserve"> activity engagement. The goal of this paper is to understand the complex inter-relationships among these six different activity participation choices.   </w:t>
      </w:r>
    </w:p>
    <w:p w14:paraId="56136C22" w14:textId="600E8EA1" w:rsidR="00257D27" w:rsidRPr="00251434" w:rsidRDefault="00257D27" w:rsidP="00251434">
      <w:pPr>
        <w:jc w:val="left"/>
      </w:pPr>
    </w:p>
    <w:p w14:paraId="73C4D2E3" w14:textId="53199D27" w:rsidR="00BE4305" w:rsidRPr="00251434" w:rsidRDefault="00A2592E" w:rsidP="00251434">
      <w:pPr>
        <w:pStyle w:val="Heading1"/>
        <w:spacing w:before="0"/>
        <w:rPr>
          <w:caps/>
          <w:smallCaps w:val="0"/>
          <w:sz w:val="24"/>
        </w:rPr>
      </w:pPr>
      <w:r w:rsidRPr="00251434">
        <w:rPr>
          <w:caps/>
          <w:smallCaps w:val="0"/>
          <w:sz w:val="24"/>
        </w:rPr>
        <w:t xml:space="preserve">Study </w:t>
      </w:r>
      <w:r w:rsidR="006B44CE" w:rsidRPr="00251434">
        <w:rPr>
          <w:caps/>
          <w:smallCaps w:val="0"/>
          <w:sz w:val="24"/>
        </w:rPr>
        <w:t>M</w:t>
      </w:r>
      <w:r w:rsidRPr="00251434">
        <w:rPr>
          <w:caps/>
          <w:smallCaps w:val="0"/>
          <w:sz w:val="24"/>
        </w:rPr>
        <w:t>ethodology</w:t>
      </w:r>
    </w:p>
    <w:p w14:paraId="5BA777B6" w14:textId="59D726EA" w:rsidR="00B12558" w:rsidRPr="00251434" w:rsidRDefault="006B44CE" w:rsidP="00251434">
      <w:r w:rsidRPr="00251434">
        <w:t>This section presents the</w:t>
      </w:r>
      <w:r w:rsidR="00A2592E" w:rsidRPr="00251434">
        <w:t xml:space="preserve"> methodological approach used in this study. </w:t>
      </w:r>
      <w:r w:rsidR="008331CE" w:rsidRPr="00251434">
        <w:t xml:space="preserve">The </w:t>
      </w:r>
      <w:r w:rsidR="00B12558" w:rsidRPr="00251434">
        <w:t xml:space="preserve">model formulation </w:t>
      </w:r>
      <w:r w:rsidR="008331CE" w:rsidRPr="00251434">
        <w:t>(</w:t>
      </w:r>
      <w:r w:rsidR="00B12558" w:rsidRPr="00251434">
        <w:t xml:space="preserve">Multivariate Ordered </w:t>
      </w:r>
      <w:proofErr w:type="spellStart"/>
      <w:r w:rsidR="00B12558" w:rsidRPr="00251434">
        <w:t>Probit</w:t>
      </w:r>
      <w:proofErr w:type="spellEnd"/>
      <w:r w:rsidR="00B12558" w:rsidRPr="00251434">
        <w:t xml:space="preserve"> model) </w:t>
      </w:r>
      <w:r w:rsidR="008331CE" w:rsidRPr="00251434">
        <w:t>is presented first; this is followed by a description of</w:t>
      </w:r>
      <w:r w:rsidR="00B12558" w:rsidRPr="00251434">
        <w:t xml:space="preserve"> </w:t>
      </w:r>
      <w:r w:rsidR="008331CE" w:rsidRPr="00251434">
        <w:t xml:space="preserve">the </w:t>
      </w:r>
      <w:r w:rsidR="00B12558" w:rsidRPr="00251434">
        <w:t>conceptual framework used to explore inter-outcome dependencies.</w:t>
      </w:r>
    </w:p>
    <w:p w14:paraId="42A86299" w14:textId="77777777" w:rsidR="00B12558" w:rsidRPr="00251434" w:rsidRDefault="00B12558" w:rsidP="00251434"/>
    <w:p w14:paraId="50DB6D7C" w14:textId="6A93C81B" w:rsidR="000F72EC" w:rsidRPr="00251434" w:rsidRDefault="00A2592E" w:rsidP="00251434">
      <w:pPr>
        <w:pStyle w:val="Heading2"/>
        <w:spacing w:before="0"/>
        <w:rPr>
          <w:smallCaps w:val="0"/>
          <w:szCs w:val="24"/>
        </w:rPr>
      </w:pPr>
      <w:bookmarkStart w:id="5" w:name="_Ref521265659"/>
      <w:r w:rsidRPr="00251434">
        <w:rPr>
          <w:smallCaps w:val="0"/>
          <w:szCs w:val="24"/>
        </w:rPr>
        <w:t xml:space="preserve">Model </w:t>
      </w:r>
      <w:r w:rsidR="00251434">
        <w:rPr>
          <w:smallCaps w:val="0"/>
          <w:szCs w:val="24"/>
        </w:rPr>
        <w:t>F</w:t>
      </w:r>
      <w:r w:rsidRPr="00251434">
        <w:rPr>
          <w:smallCaps w:val="0"/>
          <w:szCs w:val="24"/>
        </w:rPr>
        <w:t>ormulation</w:t>
      </w:r>
      <w:bookmarkEnd w:id="5"/>
    </w:p>
    <w:p w14:paraId="0D040917" w14:textId="0EC573BB" w:rsidR="004E1287" w:rsidRDefault="008331CE" w:rsidP="00251434">
      <w:r w:rsidRPr="00251434">
        <w:t>Let the</w:t>
      </w:r>
      <w:r w:rsidR="004E1287" w:rsidRPr="00251434">
        <w:t xml:space="preserve"> term “activity type”</w:t>
      </w:r>
      <w:r w:rsidR="004E1287">
        <w:t xml:space="preserve"> encompass all outcomes of interest: regular package deliveries, grocery deliveries, meal deliveries, in-person shopping trips, in-person grocery shopping trips, and in-person meal trips.</w:t>
      </w:r>
    </w:p>
    <w:p w14:paraId="3D94F35B" w14:textId="626CC48A" w:rsidR="00E0261C" w:rsidRPr="00107AF4" w:rsidRDefault="0045792A" w:rsidP="003347E4">
      <w:pPr>
        <w:ind w:firstLine="720"/>
      </w:pPr>
      <w:r>
        <w:t xml:space="preserve">The modeling framework used </w:t>
      </w:r>
      <w:r w:rsidR="00F56E0B">
        <w:t xml:space="preserve">is the Multivariate Ordered </w:t>
      </w:r>
      <w:proofErr w:type="spellStart"/>
      <w:r w:rsidR="00F56E0B">
        <w:t>Probit</w:t>
      </w:r>
      <w:proofErr w:type="spellEnd"/>
      <w:r w:rsidR="00F56E0B">
        <w:t xml:space="preserve"> model, which is </w:t>
      </w:r>
      <w:r>
        <w:t xml:space="preserve">presented in </w:t>
      </w:r>
      <w:r w:rsidR="008331CE">
        <w:t xml:space="preserve">detail in </w:t>
      </w:r>
      <w:r>
        <w:t>Ferdous et al</w:t>
      </w:r>
      <w:r w:rsidR="00057B23">
        <w:t>.</w:t>
      </w:r>
      <w:r>
        <w:t xml:space="preserve"> (2010). </w:t>
      </w:r>
      <w:r w:rsidR="008A7F01" w:rsidRPr="00107AF4">
        <w:t xml:space="preserve">Let </w:t>
      </w:r>
      <w:r w:rsidR="008A7F01" w:rsidRPr="00107AF4">
        <w:rPr>
          <w:i/>
        </w:rPr>
        <w:t>q</w:t>
      </w:r>
      <w:r w:rsidR="008A7F01" w:rsidRPr="00107AF4">
        <w:t xml:space="preserve"> be an index for individuals (</w:t>
      </w:r>
      <w:r w:rsidR="008A7F01" w:rsidRPr="00107AF4">
        <w:rPr>
          <w:i/>
        </w:rPr>
        <w:t>q</w:t>
      </w:r>
      <w:r w:rsidR="008A7F01" w:rsidRPr="00107AF4">
        <w:t xml:space="preserve"> = 1, 2, …, </w:t>
      </w:r>
      <w:r w:rsidR="008A7F01" w:rsidRPr="00107AF4">
        <w:rPr>
          <w:i/>
        </w:rPr>
        <w:t>Q</w:t>
      </w:r>
      <w:r w:rsidR="008A7F01" w:rsidRPr="00107AF4">
        <w:t xml:space="preserve">), and let </w:t>
      </w:r>
      <w:r w:rsidR="008A7F01" w:rsidRPr="00107AF4">
        <w:rPr>
          <w:i/>
        </w:rPr>
        <w:t>i</w:t>
      </w:r>
      <w:r w:rsidR="008A7F01" w:rsidRPr="00107AF4">
        <w:t xml:space="preserve"> be the index for </w:t>
      </w:r>
      <w:r w:rsidR="004E1287">
        <w:t>activity type</w:t>
      </w:r>
      <w:r w:rsidR="008A7F01" w:rsidRPr="00107AF4">
        <w:t xml:space="preserve"> (</w:t>
      </w:r>
      <w:r w:rsidR="008A7F01" w:rsidRPr="00107AF4">
        <w:rPr>
          <w:i/>
        </w:rPr>
        <w:t>i</w:t>
      </w:r>
      <w:r w:rsidR="008A7F01" w:rsidRPr="00107AF4">
        <w:t xml:space="preserve"> = 1, 2, …, </w:t>
      </w:r>
      <w:r w:rsidR="008A7F01" w:rsidRPr="00107AF4">
        <w:rPr>
          <w:i/>
        </w:rPr>
        <w:t>I</w:t>
      </w:r>
      <w:r w:rsidR="004E1287" w:rsidRPr="004E1287">
        <w:t>)</w:t>
      </w:r>
      <w:r w:rsidR="008A7F01" w:rsidRPr="00107AF4">
        <w:t xml:space="preserve">, where </w:t>
      </w:r>
      <w:r w:rsidR="008A7F01" w:rsidRPr="00C07800">
        <w:rPr>
          <w:i/>
        </w:rPr>
        <w:t>I</w:t>
      </w:r>
      <w:r w:rsidR="008A7F01" w:rsidRPr="00107AF4">
        <w:t xml:space="preserve"> denotes the total number of </w:t>
      </w:r>
      <w:r w:rsidR="004E1287">
        <w:t>activity types for each individual.</w:t>
      </w:r>
      <w:r w:rsidR="008A7F01" w:rsidRPr="00107AF4">
        <w:t xml:space="preserve"> </w:t>
      </w:r>
      <w:r w:rsidR="004E1287">
        <w:t>I</w:t>
      </w:r>
      <w:r w:rsidR="008A7F01" w:rsidRPr="00107AF4">
        <w:t xml:space="preserve">n the current study, </w:t>
      </w:r>
      <w:r w:rsidR="008A7F01" w:rsidRPr="00107AF4">
        <w:rPr>
          <w:i/>
        </w:rPr>
        <w:t>I</w:t>
      </w:r>
      <w:r w:rsidR="008A7F01" w:rsidRPr="00107AF4">
        <w:t xml:space="preserve"> = </w:t>
      </w:r>
      <w:r w:rsidR="008A7F01">
        <w:t>6</w:t>
      </w:r>
      <w:r w:rsidR="008A7F01" w:rsidRPr="00107AF4">
        <w:t>. Let the number of</w:t>
      </w:r>
      <w:r w:rsidR="002635C0">
        <w:t xml:space="preserve"> weekly</w:t>
      </w:r>
      <w:r w:rsidR="008A7F01" w:rsidRPr="00107AF4">
        <w:t xml:space="preserve"> </w:t>
      </w:r>
      <w:r w:rsidR="00B50571">
        <w:t xml:space="preserve">frequency </w:t>
      </w:r>
      <w:r w:rsidR="008A7F01">
        <w:t>categories</w:t>
      </w:r>
      <w:r w:rsidR="008A7F01" w:rsidRPr="00107AF4">
        <w:t xml:space="preserve"> for </w:t>
      </w:r>
      <w:r w:rsidR="004E1287">
        <w:t>activity</w:t>
      </w:r>
      <w:r w:rsidR="008A7F01">
        <w:t xml:space="preserve"> </w:t>
      </w:r>
      <w:r w:rsidR="008A7F01" w:rsidRPr="00107AF4">
        <w:rPr>
          <w:i/>
        </w:rPr>
        <w:t>i</w:t>
      </w:r>
      <w:r w:rsidR="008A7F01" w:rsidRPr="00107AF4">
        <w:t xml:space="preserve"> be </w:t>
      </w:r>
      <w:r w:rsidR="008A7F01" w:rsidRPr="00C07800">
        <w:rPr>
          <w:i/>
        </w:rPr>
        <w:t>K</w:t>
      </w:r>
      <w:r w:rsidR="008A7F01" w:rsidRPr="00C07800">
        <w:rPr>
          <w:i/>
          <w:vertAlign w:val="subscript"/>
        </w:rPr>
        <w:t>i</w:t>
      </w:r>
      <w:r w:rsidR="008A7F01">
        <w:rPr>
          <w:i/>
        </w:rPr>
        <w:t xml:space="preserve"> </w:t>
      </w:r>
      <w:r w:rsidR="008A7F01" w:rsidRPr="00107AF4">
        <w:t>+</w:t>
      </w:r>
      <w:r w:rsidR="008A7F01">
        <w:t xml:space="preserve"> </w:t>
      </w:r>
      <w:r w:rsidR="008A7F01" w:rsidRPr="00107AF4">
        <w:t>1 (</w:t>
      </w:r>
      <w:r w:rsidR="008A7F01" w:rsidRPr="00057B23">
        <w:t>i.e.</w:t>
      </w:r>
      <w:r w:rsidR="008A7F01" w:rsidRPr="00107AF4">
        <w:t xml:space="preserve">, the </w:t>
      </w:r>
      <w:r w:rsidR="004315C4">
        <w:t xml:space="preserve">weekly </w:t>
      </w:r>
      <w:r w:rsidR="00B50571">
        <w:t xml:space="preserve">frequency </w:t>
      </w:r>
      <w:r w:rsidR="00486005">
        <w:t>categor</w:t>
      </w:r>
      <w:r w:rsidR="00E21DDE">
        <w:t>ies</w:t>
      </w:r>
      <w:r w:rsidR="008A7F01">
        <w:t xml:space="preserve"> of </w:t>
      </w:r>
      <w:r w:rsidR="004E1287">
        <w:t>activity type</w:t>
      </w:r>
      <w:r w:rsidR="008A7F01">
        <w:t xml:space="preserve"> </w:t>
      </w:r>
      <w:r w:rsidR="008A7F01" w:rsidRPr="00107AF4">
        <w:rPr>
          <w:i/>
        </w:rPr>
        <w:t>i</w:t>
      </w:r>
      <w:r w:rsidR="008A7F01">
        <w:rPr>
          <w:i/>
        </w:rPr>
        <w:t xml:space="preserve"> </w:t>
      </w:r>
      <w:r w:rsidR="00E21DDE">
        <w:t>are</w:t>
      </w:r>
      <w:r w:rsidR="008A7F01" w:rsidRPr="00107AF4">
        <w:t xml:space="preserve"> indexed by </w:t>
      </w:r>
      <w:r w:rsidR="008A7F01" w:rsidRPr="00C07800">
        <w:rPr>
          <w:i/>
        </w:rPr>
        <w:t>k</w:t>
      </w:r>
      <w:r w:rsidR="008A7F01" w:rsidRPr="00107AF4">
        <w:t xml:space="preserve"> </w:t>
      </w:r>
      <w:r w:rsidR="008A7F01">
        <w:t xml:space="preserve">and </w:t>
      </w:r>
      <w:r w:rsidR="008A7F01" w:rsidRPr="00107AF4">
        <w:t>belong in {0,</w:t>
      </w:r>
      <w:r w:rsidR="008A7F01">
        <w:t xml:space="preserve"> </w:t>
      </w:r>
      <w:r w:rsidR="008A7F01" w:rsidRPr="00107AF4">
        <w:t>1,</w:t>
      </w:r>
      <w:r w:rsidR="008A7F01">
        <w:t xml:space="preserve"> </w:t>
      </w:r>
      <w:r w:rsidR="008A7F01" w:rsidRPr="00107AF4">
        <w:t>2,</w:t>
      </w:r>
      <w:r w:rsidR="008A7F01">
        <w:t xml:space="preserve"> </w:t>
      </w:r>
      <w:r w:rsidR="008A7F01" w:rsidRPr="00107AF4">
        <w:t>…</w:t>
      </w:r>
      <w:r w:rsidR="008A7F01">
        <w:t xml:space="preserve">, </w:t>
      </w:r>
      <w:r w:rsidR="008A7F01" w:rsidRPr="00C07800">
        <w:rPr>
          <w:i/>
        </w:rPr>
        <w:t>K</w:t>
      </w:r>
      <w:r w:rsidR="008A7F01" w:rsidRPr="00C07800">
        <w:rPr>
          <w:i/>
          <w:vertAlign w:val="subscript"/>
        </w:rPr>
        <w:t>i</w:t>
      </w:r>
      <w:r w:rsidR="008A7F01" w:rsidRPr="00107AF4">
        <w:t xml:space="preserve">}). </w:t>
      </w:r>
      <w:r w:rsidR="008A7F01">
        <w:t xml:space="preserve">Following the </w:t>
      </w:r>
      <w:r w:rsidR="008A7F01" w:rsidRPr="00107AF4">
        <w:t xml:space="preserve">usual ordered response framework notation, </w:t>
      </w:r>
      <w:r w:rsidR="00E0261C">
        <w:t xml:space="preserve">it is possible to </w:t>
      </w:r>
      <w:r w:rsidR="008A7F01" w:rsidRPr="00107AF4">
        <w:t>write the latent propensity (</w:t>
      </w:r>
      <w:r w:rsidR="008F0F50" w:rsidRPr="00107AF4">
        <w:rPr>
          <w:position w:val="-14"/>
        </w:rPr>
        <w:object w:dxaOrig="320" w:dyaOrig="400" w14:anchorId="71065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0.25pt" o:ole="" o:preferrelative="f">
            <v:imagedata r:id="rId23" o:title=""/>
            <o:lock v:ext="edit" aspectratio="f"/>
          </v:shape>
          <o:OLEObject Type="Embed" ProgID="Equation.DSMT4" ShapeID="_x0000_i1025" DrawAspect="Content" ObjectID="_1644050108" r:id="rId24"/>
        </w:object>
      </w:r>
      <w:r w:rsidR="008A7F01" w:rsidRPr="00107AF4">
        <w:t xml:space="preserve">) for </w:t>
      </w:r>
      <w:r w:rsidR="004E1287">
        <w:t>activity type</w:t>
      </w:r>
      <w:r w:rsidR="0052396E">
        <w:t xml:space="preserve"> </w:t>
      </w:r>
      <w:r w:rsidR="008331CE" w:rsidRPr="00107AF4">
        <w:rPr>
          <w:i/>
        </w:rPr>
        <w:t>i</w:t>
      </w:r>
      <w:r w:rsidR="008331CE" w:rsidRPr="00107AF4">
        <w:t xml:space="preserve"> </w:t>
      </w:r>
      <w:r w:rsidR="008A7F01" w:rsidRPr="00107AF4">
        <w:t>as a function of relevant covariates and relate this latent propensity to the observed</w:t>
      </w:r>
      <w:r w:rsidR="004315C4">
        <w:t xml:space="preserve"> weekly </w:t>
      </w:r>
      <w:r w:rsidR="00BA00C6">
        <w:t>frequency</w:t>
      </w:r>
      <w:r w:rsidR="008A7F01">
        <w:t xml:space="preserve"> outcome</w:t>
      </w:r>
      <w:r w:rsidR="008A7F01" w:rsidRPr="00107AF4">
        <w:t xml:space="preserve"> (</w:t>
      </w:r>
      <w:r w:rsidR="003347E4" w:rsidRPr="00107AF4">
        <w:rPr>
          <w:position w:val="-14"/>
        </w:rPr>
        <w:object w:dxaOrig="320" w:dyaOrig="380" w14:anchorId="1AF8E80E">
          <v:shape id="_x0000_i1026" type="#_x0000_t75" style="width:15.75pt;height:18.75pt" o:ole="" o:preferrelative="f">
            <v:imagedata r:id="rId25" o:title=""/>
            <o:lock v:ext="edit" aspectratio="f"/>
          </v:shape>
          <o:OLEObject Type="Embed" ProgID="Equation.DSMT4" ShapeID="_x0000_i1026" DrawAspect="Content" ObjectID="_1644050109" r:id="rId26"/>
        </w:object>
      </w:r>
      <w:r w:rsidR="008A7F01" w:rsidRPr="00107AF4">
        <w:t>) through threshol</w:t>
      </w:r>
      <w:r w:rsidR="008A7F01">
        <w:t xml:space="preserve">d bounds (see McKelvey and </w:t>
      </w:r>
      <w:proofErr w:type="spellStart"/>
      <w:r w:rsidR="008A7F01">
        <w:t>Zavo</w:t>
      </w:r>
      <w:r w:rsidR="008A7F01" w:rsidRPr="00107AF4">
        <w:t>i</w:t>
      </w:r>
      <w:r w:rsidR="008A7F01">
        <w:t>n</w:t>
      </w:r>
      <w:r w:rsidR="008A7F01" w:rsidRPr="00107AF4">
        <w:t>a</w:t>
      </w:r>
      <w:proofErr w:type="spellEnd"/>
      <w:r w:rsidR="008A7F01" w:rsidRPr="00107AF4">
        <w:t>, 1975):</w:t>
      </w:r>
    </w:p>
    <w:p w14:paraId="7FBB69CB" w14:textId="698CF98F" w:rsidR="00E0261C" w:rsidRDefault="003347E4" w:rsidP="00824E93">
      <w:pPr>
        <w:tabs>
          <w:tab w:val="right" w:pos="9360"/>
        </w:tabs>
        <w:spacing w:before="80" w:after="80"/>
        <w:jc w:val="left"/>
      </w:pPr>
      <w:r w:rsidRPr="00E0261C">
        <w:rPr>
          <w:position w:val="-14"/>
        </w:rPr>
        <w:object w:dxaOrig="2240" w:dyaOrig="400" w14:anchorId="59EB13F6">
          <v:shape id="_x0000_i1027" type="#_x0000_t75" style="width:112.5pt;height:20.25pt" o:ole="" o:preferrelative="f">
            <v:imagedata r:id="rId27" o:title=""/>
            <o:lock v:ext="edit" aspectratio="f"/>
          </v:shape>
          <o:OLEObject Type="Embed" ProgID="Equation.DSMT4" ShapeID="_x0000_i1027" DrawAspect="Content" ObjectID="_1644050110" r:id="rId28"/>
        </w:object>
      </w:r>
      <w:r w:rsidR="00E0261C">
        <w:t xml:space="preserve"> if</w:t>
      </w:r>
      <w:r w:rsidR="008A7F01" w:rsidRPr="00E0261C">
        <w:t xml:space="preserve">  </w:t>
      </w:r>
      <w:r w:rsidR="008F0F50" w:rsidRPr="00E0261C">
        <w:rPr>
          <w:position w:val="-14"/>
        </w:rPr>
        <w:object w:dxaOrig="1420" w:dyaOrig="400" w14:anchorId="2A69AB05">
          <v:shape id="_x0000_i1028" type="#_x0000_t75" style="width:71.25pt;height:20.25pt" o:ole="" o:preferrelative="f">
            <v:imagedata r:id="rId29" o:title=""/>
            <o:lock v:ext="edit" aspectratio="f"/>
          </v:shape>
          <o:OLEObject Type="Embed" ProgID="Equation.DSMT4" ShapeID="_x0000_i1028" DrawAspect="Content" ObjectID="_1644050111" r:id="rId30"/>
        </w:object>
      </w:r>
      <w:r w:rsidR="00E0261C">
        <w:tab/>
        <w:t>(1)</w:t>
      </w:r>
    </w:p>
    <w:p w14:paraId="0AB38626" w14:textId="09200956" w:rsidR="008331CE" w:rsidRDefault="008A7F01" w:rsidP="002C31FB">
      <w:r>
        <w:t>w</w:t>
      </w:r>
      <w:r w:rsidRPr="00107AF4">
        <w:t xml:space="preserve">here </w:t>
      </w:r>
      <w:r w:rsidR="003347E4" w:rsidRPr="00107AF4">
        <w:rPr>
          <w:position w:val="-14"/>
        </w:rPr>
        <w:object w:dxaOrig="300" w:dyaOrig="380" w14:anchorId="32D2B2D0">
          <v:shape id="_x0000_i1029" type="#_x0000_t75" style="width:15pt;height:18.75pt" o:ole="" o:preferrelative="f">
            <v:imagedata r:id="rId31" o:title=""/>
            <o:lock v:ext="edit" aspectratio="f"/>
          </v:shape>
          <o:OLEObject Type="Embed" ProgID="Equation.DSMT4" ShapeID="_x0000_i1029" DrawAspect="Content" ObjectID="_1644050112" r:id="rId32"/>
        </w:object>
      </w:r>
      <w:r w:rsidRPr="00107AF4">
        <w:t xml:space="preserve"> is a (</w:t>
      </w:r>
      <w:r w:rsidRPr="00107AF4">
        <w:rPr>
          <w:i/>
        </w:rPr>
        <w:t>L×</w:t>
      </w:r>
      <w:r w:rsidRPr="00392CC5">
        <w:t>1</w:t>
      </w:r>
      <w:r w:rsidRPr="00107AF4">
        <w:t xml:space="preserve">) vector of exogenous variables (not including a constant), </w:t>
      </w:r>
      <w:r w:rsidR="003347E4" w:rsidRPr="00107AF4">
        <w:rPr>
          <w:position w:val="-12"/>
        </w:rPr>
        <w:object w:dxaOrig="260" w:dyaOrig="360" w14:anchorId="5822A0CA">
          <v:shape id="_x0000_i1030" type="#_x0000_t75" style="width:12.75pt;height:18pt" o:ole="" o:preferrelative="f">
            <v:imagedata r:id="rId33" o:title=""/>
            <o:lock v:ext="edit" aspectratio="f"/>
          </v:shape>
          <o:OLEObject Type="Embed" ProgID="Equation.DSMT4" ShapeID="_x0000_i1030" DrawAspect="Content" ObjectID="_1644050113" r:id="rId34"/>
        </w:object>
      </w:r>
      <w:r w:rsidRPr="00107AF4">
        <w:t xml:space="preserve"> is a corresponding (</w:t>
      </w:r>
      <w:r w:rsidRPr="00107AF4">
        <w:rPr>
          <w:i/>
        </w:rPr>
        <w:t>L×</w:t>
      </w:r>
      <w:r w:rsidRPr="00392CC5">
        <w:t>1</w:t>
      </w:r>
      <w:r w:rsidRPr="00107AF4">
        <w:t xml:space="preserve">) vector of coefficients to be estimated, </w:t>
      </w:r>
      <w:r w:rsidR="003347E4" w:rsidRPr="00107AF4">
        <w:rPr>
          <w:position w:val="-14"/>
        </w:rPr>
        <w:object w:dxaOrig="320" w:dyaOrig="380" w14:anchorId="437F4D4F">
          <v:shape id="_x0000_i1031" type="#_x0000_t75" style="width:15.75pt;height:18.75pt" o:ole="" o:preferrelative="f">
            <v:imagedata r:id="rId35" o:title=""/>
            <o:lock v:ext="edit" aspectratio="f"/>
          </v:shape>
          <o:OLEObject Type="Embed" ProgID="Equation.3" ShapeID="_x0000_i1031" DrawAspect="Content" ObjectID="_1644050114" r:id="rId36"/>
        </w:object>
      </w:r>
      <w:r>
        <w:t xml:space="preserve"> </w:t>
      </w:r>
      <w:r w:rsidRPr="00107AF4">
        <w:t xml:space="preserve">is a standard normal error term, and </w:t>
      </w:r>
      <w:r w:rsidR="003347E4" w:rsidRPr="00107AF4">
        <w:rPr>
          <w:position w:val="-12"/>
        </w:rPr>
        <w:object w:dxaOrig="300" w:dyaOrig="380" w14:anchorId="05C5A712">
          <v:shape id="_x0000_i1032" type="#_x0000_t75" style="width:15pt;height:18.75pt" o:ole="" o:preferrelative="f">
            <v:imagedata r:id="rId37" o:title=""/>
            <o:lock v:ext="edit" aspectratio="f"/>
          </v:shape>
          <o:OLEObject Type="Embed" ProgID="Equation.DSMT4" ShapeID="_x0000_i1032" DrawAspect="Content" ObjectID="_1644050115" r:id="rId38"/>
        </w:object>
      </w:r>
      <w:r w:rsidRPr="00107AF4">
        <w:t xml:space="preserve"> is the lower bound threshold for </w:t>
      </w:r>
      <w:r w:rsidR="004315C4">
        <w:t xml:space="preserve">weekly </w:t>
      </w:r>
      <w:r w:rsidR="0052396E">
        <w:t>frequency category</w:t>
      </w:r>
      <w:r>
        <w:t xml:space="preserve"> </w:t>
      </w:r>
      <w:r w:rsidRPr="00107AF4">
        <w:rPr>
          <w:i/>
        </w:rPr>
        <w:t>k</w:t>
      </w:r>
      <w:r w:rsidRPr="00107AF4">
        <w:t xml:space="preserve"> </w:t>
      </w:r>
      <w:r>
        <w:t xml:space="preserve">of </w:t>
      </w:r>
      <w:r w:rsidR="00876E2F">
        <w:t>activity type</w:t>
      </w:r>
      <w:r>
        <w:t xml:space="preserve"> </w:t>
      </w:r>
      <w:proofErr w:type="spellStart"/>
      <w:r w:rsidR="00E0261C">
        <w:rPr>
          <w:i/>
        </w:rPr>
        <w:t>i</w:t>
      </w:r>
      <w:proofErr w:type="spellEnd"/>
      <w:r w:rsidR="00E0261C">
        <w:t xml:space="preserve"> </w:t>
      </w:r>
      <w:r w:rsidR="00127711">
        <w:br/>
      </w:r>
      <w:r w:rsidRPr="00107AF4">
        <w:t>(</w:t>
      </w:r>
      <w:r w:rsidR="008F0F50" w:rsidRPr="00107AF4">
        <w:rPr>
          <w:position w:val="-12"/>
        </w:rPr>
        <w:object w:dxaOrig="4340" w:dyaOrig="380" w14:anchorId="0AA70913">
          <v:shape id="_x0000_i1033" type="#_x0000_t75" style="width:216.75pt;height:18.75pt" o:ole="" o:preferrelative="f">
            <v:imagedata r:id="rId39" o:title=""/>
            <o:lock v:ext="edit" aspectratio="f"/>
          </v:shape>
          <o:OLEObject Type="Embed" ProgID="Equation.3" ShapeID="_x0000_i1033" DrawAspect="Content" ObjectID="_1644050116" r:id="rId40"/>
        </w:object>
      </w:r>
      <w:r>
        <w:t xml:space="preserve"> </w:t>
      </w:r>
      <w:r w:rsidRPr="00107AF4">
        <w:t xml:space="preserve">for each </w:t>
      </w:r>
      <w:r w:rsidR="005D0577">
        <w:t>activity type</w:t>
      </w:r>
      <w:r w:rsidRPr="00107AF4">
        <w:t xml:space="preserve"> </w:t>
      </w:r>
      <w:r w:rsidRPr="00107AF4">
        <w:rPr>
          <w:i/>
        </w:rPr>
        <w:t>i</w:t>
      </w:r>
      <w:r w:rsidRPr="00107AF4">
        <w:t>).</w:t>
      </w:r>
      <w:r w:rsidRPr="00107AF4" w:rsidDel="008E3AA7">
        <w:t xml:space="preserve"> </w:t>
      </w:r>
      <w:r w:rsidRPr="00107AF4">
        <w:t xml:space="preserve">The </w:t>
      </w:r>
      <w:r w:rsidR="003347E4" w:rsidRPr="00107AF4">
        <w:rPr>
          <w:position w:val="-14"/>
        </w:rPr>
        <w:object w:dxaOrig="300" w:dyaOrig="380" w14:anchorId="4513E5D5">
          <v:shape id="_x0000_i1034" type="#_x0000_t75" style="width:15pt;height:18.75pt" o:ole="" o:preferrelative="f">
            <v:imagedata r:id="rId41" o:title=""/>
            <o:lock v:ext="edit" aspectratio="f"/>
          </v:shape>
          <o:OLEObject Type="Embed" ProgID="Equation.DSMT4" ShapeID="_x0000_i1034" DrawAspect="Content" ObjectID="_1644050117" r:id="rId42"/>
        </w:object>
      </w:r>
      <w:r w:rsidRPr="00107AF4">
        <w:t xml:space="preserve"> terms are assumed independent and identical across individuals (for each and all </w:t>
      </w:r>
      <w:r w:rsidRPr="00107AF4">
        <w:rPr>
          <w:i/>
        </w:rPr>
        <w:t>i</w:t>
      </w:r>
      <w:r w:rsidRPr="00107AF4">
        <w:t xml:space="preserve">). </w:t>
      </w:r>
      <w:r>
        <w:t xml:space="preserve">Due to </w:t>
      </w:r>
      <w:r w:rsidR="008331CE">
        <w:t xml:space="preserve">the need for </w:t>
      </w:r>
      <w:r w:rsidRPr="00107AF4">
        <w:t xml:space="preserve">identification </w:t>
      </w:r>
      <w:r>
        <w:t>restrictions</w:t>
      </w:r>
      <w:r w:rsidRPr="00107AF4">
        <w:t xml:space="preserve">, the variance of each </w:t>
      </w:r>
      <w:r w:rsidR="003347E4" w:rsidRPr="00107AF4">
        <w:rPr>
          <w:position w:val="-14"/>
        </w:rPr>
        <w:object w:dxaOrig="300" w:dyaOrig="380" w14:anchorId="2765049B">
          <v:shape id="_x0000_i1035" type="#_x0000_t75" style="width:15pt;height:18.75pt" o:ole="" o:preferrelative="f">
            <v:imagedata r:id="rId41" o:title=""/>
            <o:lock v:ext="edit" aspectratio="f"/>
          </v:shape>
          <o:OLEObject Type="Embed" ProgID="Equation.DSMT4" ShapeID="_x0000_i1035" DrawAspect="Content" ObjectID="_1644050118" r:id="rId43"/>
        </w:object>
      </w:r>
      <w:r>
        <w:t xml:space="preserve"> </w:t>
      </w:r>
      <w:r w:rsidRPr="00107AF4">
        <w:t>term is normalized to 1. However, correlation</w:t>
      </w:r>
      <w:r>
        <w:t>s</w:t>
      </w:r>
      <w:r w:rsidRPr="00107AF4">
        <w:t xml:space="preserve"> </w:t>
      </w:r>
      <w:r>
        <w:t xml:space="preserve">are allowed </w:t>
      </w:r>
      <w:r w:rsidRPr="00107AF4">
        <w:t xml:space="preserve">in the </w:t>
      </w:r>
      <w:r w:rsidR="003347E4" w:rsidRPr="00107AF4">
        <w:rPr>
          <w:position w:val="-14"/>
        </w:rPr>
        <w:object w:dxaOrig="300" w:dyaOrig="380" w14:anchorId="696E7B2F">
          <v:shape id="_x0000_i1036" type="#_x0000_t75" style="width:15pt;height:18.75pt" o:ole="" o:preferrelative="f">
            <v:imagedata r:id="rId44" o:title=""/>
            <o:lock v:ext="edit" aspectratio="f"/>
          </v:shape>
          <o:OLEObject Type="Embed" ProgID="Equation.DSMT4" ShapeID="_x0000_i1036" DrawAspect="Content" ObjectID="_1644050119" r:id="rId45"/>
        </w:object>
      </w:r>
      <w:r w:rsidRPr="00107AF4">
        <w:t xml:space="preserve"> terms across </w:t>
      </w:r>
      <w:r w:rsidR="0030590F">
        <w:t>activity types</w:t>
      </w:r>
      <w:r w:rsidRPr="00107AF4">
        <w:t xml:space="preserve"> </w:t>
      </w:r>
      <w:r w:rsidRPr="00107AF4">
        <w:rPr>
          <w:i/>
        </w:rPr>
        <w:t>i</w:t>
      </w:r>
      <w:r w:rsidRPr="00107AF4">
        <w:t xml:space="preserve"> for each individual </w:t>
      </w:r>
      <w:r w:rsidRPr="00107AF4">
        <w:rPr>
          <w:i/>
        </w:rPr>
        <w:t>q</w:t>
      </w:r>
      <w:r w:rsidR="00BA00C6">
        <w:t>. S</w:t>
      </w:r>
      <w:r w:rsidRPr="00107AF4">
        <w:t xml:space="preserve">pecifically, define </w:t>
      </w:r>
      <w:r w:rsidR="003347E4" w:rsidRPr="00107AF4">
        <w:rPr>
          <w:position w:val="-14"/>
        </w:rPr>
        <w:object w:dxaOrig="2480" w:dyaOrig="380" w14:anchorId="4E78A1D9">
          <v:shape id="_x0000_i1037" type="#_x0000_t75" style="width:123.75pt;height:18.75pt" o:ole="" o:preferrelative="f">
            <v:imagedata r:id="rId46" o:title=""/>
            <o:lock v:ext="edit" aspectratio="f"/>
          </v:shape>
          <o:OLEObject Type="Embed" ProgID="Equation.3" ShapeID="_x0000_i1037" DrawAspect="Content" ObjectID="_1644050120" r:id="rId47"/>
        </w:object>
      </w:r>
      <w:r w:rsidRPr="00107AF4">
        <w:t xml:space="preserve"> Then</w:t>
      </w:r>
      <w:r>
        <w:t xml:space="preserve">, </w:t>
      </w:r>
      <w:r w:rsidR="003347E4" w:rsidRPr="00107AF4">
        <w:rPr>
          <w:position w:val="-14"/>
        </w:rPr>
        <w:object w:dxaOrig="279" w:dyaOrig="380" w14:anchorId="04E5F1A1">
          <v:shape id="_x0000_i1038" type="#_x0000_t75" style="width:13.5pt;height:18.75pt" o:ole="" o:preferrelative="f">
            <v:imagedata r:id="rId48" o:title=""/>
            <o:lock v:ext="edit" aspectratio="f"/>
          </v:shape>
          <o:OLEObject Type="Embed" ProgID="Equation.3" ShapeID="_x0000_i1038" DrawAspect="Content" ObjectID="_1644050121" r:id="rId49"/>
        </w:object>
      </w:r>
      <w:r>
        <w:t xml:space="preserve"> </w:t>
      </w:r>
      <w:r w:rsidRPr="00107AF4">
        <w:t>is multivariate normal distributed with a mean vector of zeros and a correlation matrix as follows:</w:t>
      </w:r>
    </w:p>
    <w:p w14:paraId="3237C435" w14:textId="04A652EC" w:rsidR="008331CE" w:rsidRDefault="008F0F50" w:rsidP="00824E93">
      <w:pPr>
        <w:tabs>
          <w:tab w:val="right" w:pos="9360"/>
        </w:tabs>
        <w:spacing w:before="80" w:after="80"/>
      </w:pPr>
      <w:r w:rsidRPr="00EC6F98">
        <w:rPr>
          <w:position w:val="-70"/>
        </w:rPr>
        <w:object w:dxaOrig="5120" w:dyaOrig="1520" w14:anchorId="04736145">
          <v:shape id="_x0000_i1039" type="#_x0000_t75" style="width:256.5pt;height:76.5pt;mso-position-vertical:absolute" o:ole="" o:preferrelative="f">
            <v:imagedata r:id="rId50" o:title=""/>
            <o:lock v:ext="edit" aspectratio="f"/>
          </v:shape>
          <o:OLEObject Type="Embed" ProgID="Equation.DSMT4" ShapeID="_x0000_i1039" DrawAspect="Content" ObjectID="_1644050122" r:id="rId51"/>
        </w:object>
      </w:r>
      <w:r w:rsidR="008A7F01">
        <w:tab/>
        <w:t>(2)</w:t>
      </w:r>
    </w:p>
    <w:p w14:paraId="2DD2660A" w14:textId="51D20CCA" w:rsidR="008A7F01" w:rsidRDefault="008A7F01" w:rsidP="00E0261C">
      <w:pPr>
        <w:ind w:firstLine="720"/>
      </w:pPr>
      <w:r w:rsidRPr="00107AF4">
        <w:lastRenderedPageBreak/>
        <w:t xml:space="preserve">The off-diagonal terms of </w:t>
      </w:r>
      <w:r w:rsidRPr="008331CE">
        <w:rPr>
          <w:b/>
          <w:bCs/>
        </w:rPr>
        <w:t>Σ</w:t>
      </w:r>
      <w:r w:rsidRPr="00107AF4">
        <w:t xml:space="preserve"> capture the error covariance across the underlying</w:t>
      </w:r>
      <w:r>
        <w:t xml:space="preserve"> latent </w:t>
      </w:r>
      <w:r w:rsidRPr="00107AF4">
        <w:t xml:space="preserve">continuous variables of the different </w:t>
      </w:r>
      <w:r w:rsidR="002F7077">
        <w:t>destination purposes</w:t>
      </w:r>
      <w:r w:rsidRPr="00107AF4">
        <w:t xml:space="preserve">; that is, they capture the effect of common unobserved factors influencing the propensity of </w:t>
      </w:r>
      <w:r w:rsidR="002635C0">
        <w:t>weekly engagement</w:t>
      </w:r>
      <w:r w:rsidR="00AF5B35">
        <w:t xml:space="preserve"> </w:t>
      </w:r>
      <w:r w:rsidR="002635C0">
        <w:t>in</w:t>
      </w:r>
      <w:r w:rsidR="00AF5B35">
        <w:t xml:space="preserve"> </w:t>
      </w:r>
      <w:r w:rsidR="002635C0">
        <w:t>each activity type</w:t>
      </w:r>
      <w:r w:rsidRPr="00107AF4">
        <w:t xml:space="preserve">. Thus, if </w:t>
      </w:r>
      <w:r w:rsidR="00C20013" w:rsidRPr="00107AF4">
        <w:rPr>
          <w:position w:val="-12"/>
        </w:rPr>
        <w:object w:dxaOrig="360" w:dyaOrig="360" w14:anchorId="596734E2">
          <v:shape id="_x0000_i1040" type="#_x0000_t75" style="width:18pt;height:18pt" o:ole="" o:preferrelative="f">
            <v:imagedata r:id="rId52" o:title=""/>
            <o:lock v:ext="edit" aspectratio="f"/>
          </v:shape>
          <o:OLEObject Type="Embed" ProgID="Equation.DSMT4" ShapeID="_x0000_i1040" DrawAspect="Content" ObjectID="_1644050123" r:id="rId53"/>
        </w:object>
      </w:r>
      <w:r w:rsidRPr="00107AF4">
        <w:t xml:space="preserve"> is positive, it implies that individuals with a higher than average propensity to </w:t>
      </w:r>
      <w:r w:rsidR="0050788A">
        <w:t xml:space="preserve">engage in </w:t>
      </w:r>
      <w:r w:rsidR="002635C0">
        <w:t>the first activity type</w:t>
      </w:r>
      <w:r w:rsidR="0050788A">
        <w:t xml:space="preserve"> </w:t>
      </w:r>
      <w:r w:rsidR="002635C0">
        <w:t xml:space="preserve">more frequently </w:t>
      </w:r>
      <w:r>
        <w:t xml:space="preserve">are also likely to </w:t>
      </w:r>
      <w:r w:rsidRPr="00107AF4">
        <w:t xml:space="preserve">have a higher than average propensity to </w:t>
      </w:r>
      <w:r w:rsidR="0050788A">
        <w:t>engage in</w:t>
      </w:r>
      <w:r>
        <w:t xml:space="preserve"> </w:t>
      </w:r>
      <w:r w:rsidR="002635C0">
        <w:t>the second activity type more frequently</w:t>
      </w:r>
      <w:r w:rsidRPr="00107AF4">
        <w:t xml:space="preserve">. </w:t>
      </w:r>
      <w:r>
        <w:t>I</w:t>
      </w:r>
      <w:r w:rsidRPr="00107AF4">
        <w:t>f all correlation parameters (</w:t>
      </w:r>
      <w:r w:rsidRPr="00057B23">
        <w:t>i.e.</w:t>
      </w:r>
      <w:r w:rsidRPr="00107AF4">
        <w:t xml:space="preserve">, off-diagonal elements of </w:t>
      </w:r>
      <w:r w:rsidRPr="008331CE">
        <w:rPr>
          <w:b/>
          <w:bCs/>
        </w:rPr>
        <w:t>Σ</w:t>
      </w:r>
      <w:r w:rsidRPr="00107AF4">
        <w:t xml:space="preserve">), which </w:t>
      </w:r>
      <w:r w:rsidR="00E0261C">
        <w:t xml:space="preserve">can be </w:t>
      </w:r>
      <w:r w:rsidRPr="00107AF4">
        <w:t>stack</w:t>
      </w:r>
      <w:r w:rsidR="00E0261C">
        <w:t>ed</w:t>
      </w:r>
      <w:r w:rsidRPr="00107AF4">
        <w:t xml:space="preserve"> into a vertical vector </w:t>
      </w:r>
      <w:r>
        <w:t>Ω</w:t>
      </w:r>
      <w:r w:rsidRPr="00107AF4">
        <w:t xml:space="preserve">, are identically zero, the model system in Equation (1) collapses to independent ordered response </w:t>
      </w:r>
      <w:proofErr w:type="spellStart"/>
      <w:r w:rsidRPr="00107AF4">
        <w:t>probit</w:t>
      </w:r>
      <w:proofErr w:type="spellEnd"/>
      <w:r w:rsidRPr="00107AF4">
        <w:t xml:space="preserve"> models for each </w:t>
      </w:r>
      <w:r w:rsidR="002635C0">
        <w:t>activity type</w:t>
      </w:r>
      <w:r w:rsidRPr="00107AF4">
        <w:t xml:space="preserve">. </w:t>
      </w:r>
    </w:p>
    <w:p w14:paraId="7BA14BBF" w14:textId="48EC0A98" w:rsidR="008A7F01" w:rsidRDefault="008A7F01" w:rsidP="00E0261C">
      <w:pPr>
        <w:ind w:firstLine="720"/>
      </w:pPr>
      <w:r>
        <w:t>The parameter vector of the</w:t>
      </w:r>
      <w:r w:rsidRPr="00981161">
        <w:t xml:space="preserve"> multivariate </w:t>
      </w:r>
      <w:r w:rsidR="008331CE">
        <w:t xml:space="preserve">ordered </w:t>
      </w:r>
      <w:proofErr w:type="spellStart"/>
      <w:r>
        <w:t>probit</w:t>
      </w:r>
      <w:proofErr w:type="spellEnd"/>
      <w:r>
        <w:t xml:space="preserve"> model is </w:t>
      </w:r>
      <w:r w:rsidR="008F0F50" w:rsidRPr="007F50EE">
        <w:rPr>
          <w:position w:val="-10"/>
        </w:rPr>
        <w:object w:dxaOrig="3560" w:dyaOrig="340" w14:anchorId="6764B15E">
          <v:shape id="_x0000_i1041" type="#_x0000_t75" style="width:177.75pt;height:17.25pt" o:ole="" o:preferrelative="f">
            <v:imagedata r:id="rId54" o:title=""/>
            <o:lock v:ext="edit" aspectratio="f"/>
          </v:shape>
          <o:OLEObject Type="Embed" ProgID="Equation.3" ShapeID="_x0000_i1041" DrawAspect="Content" ObjectID="_1644050124" r:id="rId55"/>
        </w:object>
      </w:r>
      <w:r>
        <w:t xml:space="preserve"> where </w:t>
      </w:r>
      <w:r w:rsidR="008F0F50" w:rsidRPr="009B4E72">
        <w:rPr>
          <w:position w:val="-12"/>
        </w:rPr>
        <w:object w:dxaOrig="1939" w:dyaOrig="380" w14:anchorId="1CF5593D">
          <v:shape id="_x0000_i1042" type="#_x0000_t75" style="width:97.5pt;height:18.75pt" o:ole="" o:preferrelative="f">
            <v:imagedata r:id="rId56" o:title=""/>
            <o:lock v:ext="edit" aspectratio="f"/>
          </v:shape>
          <o:OLEObject Type="Embed" ProgID="Equation.3" ShapeID="_x0000_i1042" DrawAspect="Content" ObjectID="_1644050125" r:id="rId57"/>
        </w:object>
      </w:r>
      <w:r>
        <w:t xml:space="preserve"> for </w:t>
      </w:r>
      <w:r w:rsidR="008F0F50" w:rsidRPr="009B4E72">
        <w:rPr>
          <w:position w:val="-10"/>
        </w:rPr>
        <w:object w:dxaOrig="1140" w:dyaOrig="320" w14:anchorId="0B6D36D4">
          <v:shape id="_x0000_i1043" type="#_x0000_t75" style="width:57pt;height:15.75pt" o:ole="" o:preferrelative="f">
            <v:imagedata r:id="rId58" o:title=""/>
            <o:lock v:ext="edit" aspectratio="f"/>
          </v:shape>
          <o:OLEObject Type="Embed" ProgID="Equation.3" ShapeID="_x0000_i1043" DrawAspect="Content" ObjectID="_1644050126" r:id="rId59"/>
        </w:object>
      </w:r>
      <w:r w:rsidRPr="009B4E72">
        <w:t>.</w:t>
      </w:r>
      <w:r>
        <w:t xml:space="preserve"> Let the actual observed </w:t>
      </w:r>
      <w:r w:rsidR="002635C0">
        <w:t xml:space="preserve">weekly </w:t>
      </w:r>
      <w:r w:rsidR="009B5E78">
        <w:t>frequency category</w:t>
      </w:r>
      <w:r>
        <w:t xml:space="preserve"> for individual </w:t>
      </w:r>
      <w:r w:rsidRPr="00F06F8F">
        <w:rPr>
          <w:i/>
        </w:rPr>
        <w:t>q</w:t>
      </w:r>
      <w:r>
        <w:t xml:space="preserve"> and </w:t>
      </w:r>
      <w:r w:rsidR="002635C0">
        <w:t>activity</w:t>
      </w:r>
      <w:r>
        <w:t xml:space="preserve"> </w:t>
      </w:r>
      <w:proofErr w:type="spellStart"/>
      <w:r w:rsidRPr="00F06F8F">
        <w:rPr>
          <w:i/>
        </w:rPr>
        <w:t>i</w:t>
      </w:r>
      <w:proofErr w:type="spellEnd"/>
      <w:r>
        <w:t xml:space="preserve"> be </w:t>
      </w:r>
      <w:proofErr w:type="spellStart"/>
      <w:r w:rsidRPr="00F06F8F">
        <w:rPr>
          <w:i/>
        </w:rPr>
        <w:t>m</w:t>
      </w:r>
      <w:r w:rsidRPr="00F06F8F">
        <w:rPr>
          <w:i/>
          <w:vertAlign w:val="subscript"/>
        </w:rPr>
        <w:t>qi</w:t>
      </w:r>
      <w:proofErr w:type="spellEnd"/>
      <w:r>
        <w:t xml:space="preserve">. In that case, the likelihood function for individual </w:t>
      </w:r>
      <w:r w:rsidRPr="00F06F8F">
        <w:rPr>
          <w:i/>
        </w:rPr>
        <w:t>q</w:t>
      </w:r>
      <w:r>
        <w:t xml:space="preserve"> </w:t>
      </w:r>
      <w:r w:rsidR="002635C0">
        <w:t>can</w:t>
      </w:r>
      <w:r>
        <w:t xml:space="preserve"> be written as follows:</w:t>
      </w:r>
    </w:p>
    <w:p w14:paraId="75E3CE7A" w14:textId="63661882" w:rsidR="008A7F01" w:rsidRDefault="003347E4" w:rsidP="003347E4">
      <w:pPr>
        <w:spacing w:before="120" w:after="120"/>
      </w:pPr>
      <w:r w:rsidRPr="00E0261C">
        <w:rPr>
          <w:position w:val="-14"/>
        </w:rPr>
        <w:object w:dxaOrig="4400" w:dyaOrig="380" w14:anchorId="77DD294C">
          <v:shape id="_x0000_i1044" type="#_x0000_t75" style="width:220.5pt;height:18.75pt" o:ole="" o:preferrelative="f">
            <v:imagedata r:id="rId60" o:title=""/>
            <o:lock v:ext="edit" aspectratio="f"/>
          </v:shape>
          <o:OLEObject Type="Embed" ProgID="Equation.DSMT4" ShapeID="_x0000_i1044" DrawAspect="Content" ObjectID="_1644050127" r:id="rId61"/>
        </w:object>
      </w:r>
    </w:p>
    <w:p w14:paraId="3F751455" w14:textId="43EE4F6E" w:rsidR="008A7F01" w:rsidRPr="00A17A4C" w:rsidRDefault="008F0F50" w:rsidP="00824E93">
      <w:pPr>
        <w:tabs>
          <w:tab w:val="right" w:pos="9360"/>
        </w:tabs>
        <w:spacing w:before="80" w:after="80"/>
      </w:pPr>
      <w:r w:rsidRPr="00B129A2">
        <w:rPr>
          <w:position w:val="-40"/>
        </w:rPr>
        <w:object w:dxaOrig="7160" w:dyaOrig="920" w14:anchorId="7A8630FB">
          <v:shape id="_x0000_i1045" type="#_x0000_t75" style="width:357.75pt;height:46.5pt" o:ole="" o:preferrelative="f">
            <v:imagedata r:id="rId62" o:title=""/>
            <o:lock v:ext="edit" aspectratio="f"/>
          </v:shape>
          <o:OLEObject Type="Embed" ProgID="Equation.DSMT4" ShapeID="_x0000_i1045" DrawAspect="Content" ObjectID="_1644050128" r:id="rId63"/>
        </w:object>
      </w:r>
      <w:r w:rsidR="00EB70EB" w:rsidRPr="00A17A4C">
        <w:t>,</w:t>
      </w:r>
      <w:r w:rsidR="009B5E78" w:rsidRPr="00A17A4C">
        <w:tab/>
        <w:t xml:space="preserve"> </w:t>
      </w:r>
      <w:r w:rsidR="008A7F01" w:rsidRPr="00A17A4C">
        <w:t>(3)</w:t>
      </w:r>
    </w:p>
    <w:p w14:paraId="0999DE05" w14:textId="0E32B328" w:rsidR="00486253" w:rsidRDefault="00EB70EB" w:rsidP="00C67550">
      <w:r>
        <w:t xml:space="preserve">where </w:t>
      </w:r>
      <w:r w:rsidR="008F0F50" w:rsidRPr="00A17A4C">
        <w:rPr>
          <w:position w:val="-12"/>
        </w:rPr>
        <w:object w:dxaOrig="1800" w:dyaOrig="360" w14:anchorId="52E50A68">
          <v:shape id="_x0000_i1046" type="#_x0000_t75" style="width:90pt;height:18pt" o:ole="" o:preferrelative="f">
            <v:imagedata r:id="rId64" o:title=""/>
            <o:lock v:ext="edit" aspectratio="f"/>
          </v:shape>
          <o:OLEObject Type="Embed" ProgID="Equation.DSMT4" ShapeID="_x0000_i1046" DrawAspect="Content" ObjectID="_1644050129" r:id="rId65"/>
        </w:object>
      </w:r>
      <w:r>
        <w:t xml:space="preserve"> represents the multivariate normal density of dimension </w:t>
      </w:r>
      <w:r w:rsidRPr="002501D1">
        <w:rPr>
          <w:i/>
        </w:rPr>
        <w:t>I</w:t>
      </w:r>
      <w:r>
        <w:t xml:space="preserve"> </w:t>
      </w:r>
      <w:r w:rsidR="00BF0FC1">
        <w:t xml:space="preserve">with correlation matrix </w:t>
      </w:r>
      <w:r w:rsidR="00BF0FC1" w:rsidRPr="008331CE">
        <w:rPr>
          <w:b/>
          <w:bCs/>
        </w:rPr>
        <w:t>Σ</w:t>
      </w:r>
      <w:r w:rsidR="00BF0FC1">
        <w:t xml:space="preserve">, evaluated </w:t>
      </w:r>
      <w:r>
        <w:t xml:space="preserve">at the abscissae </w:t>
      </w:r>
      <w:r w:rsidR="008F0F50" w:rsidRPr="00A17A4C">
        <w:rPr>
          <w:position w:val="-12"/>
        </w:rPr>
        <w:object w:dxaOrig="1300" w:dyaOrig="360" w14:anchorId="049D9577">
          <v:shape id="_x0000_i1047" type="#_x0000_t75" style="width:64.5pt;height:18pt" o:ole="" o:preferrelative="f">
            <v:imagedata r:id="rId66" o:title=""/>
            <o:lock v:ext="edit" aspectratio="f"/>
          </v:shape>
          <o:OLEObject Type="Embed" ProgID="Equation.DSMT4" ShapeID="_x0000_i1047" DrawAspect="Content" ObjectID="_1644050130" r:id="rId67"/>
        </w:object>
      </w:r>
      <w:r w:rsidRPr="002501D1">
        <w:rPr>
          <w:bCs/>
        </w:rPr>
        <w:t>.</w:t>
      </w:r>
      <w:r>
        <w:t xml:space="preserve"> </w:t>
      </w:r>
      <w:r w:rsidR="009B5E78">
        <w:t xml:space="preserve">Calculating the high-order </w:t>
      </w:r>
      <w:r w:rsidR="009B5E78" w:rsidRPr="00D9445F">
        <w:rPr>
          <w:i/>
        </w:rPr>
        <w:t>I</w:t>
      </w:r>
      <w:r w:rsidR="009B5E78">
        <w:t xml:space="preserve">-dimensional rectangular integral above can prove to be computationally challenging. In order to </w:t>
      </w:r>
      <w:r w:rsidR="008331CE">
        <w:t>overcome</w:t>
      </w:r>
      <w:r w:rsidR="009B5E78">
        <w:t xml:space="preserve"> the</w:t>
      </w:r>
      <w:r w:rsidR="008331CE">
        <w:t xml:space="preserve"> computational complexity</w:t>
      </w:r>
      <w:r w:rsidR="009B5E78">
        <w:t xml:space="preserve">, </w:t>
      </w:r>
      <w:r w:rsidR="00492EBE">
        <w:t>this study</w:t>
      </w:r>
      <w:r w:rsidR="009B5E78" w:rsidRPr="0006418F">
        <w:t xml:space="preserve"> employ</w:t>
      </w:r>
      <w:r w:rsidR="00492EBE">
        <w:t>s</w:t>
      </w:r>
      <w:r w:rsidR="009B5E78" w:rsidRPr="0006418F">
        <w:t xml:space="preserve"> a composite marginal </w:t>
      </w:r>
      <w:r w:rsidR="008331CE">
        <w:t xml:space="preserve">likelihood computation </w:t>
      </w:r>
      <w:r w:rsidR="009B5E78" w:rsidRPr="0006418F">
        <w:t>approach</w:t>
      </w:r>
      <w:r w:rsidR="00C22352">
        <w:t xml:space="preserve">, </w:t>
      </w:r>
      <w:r w:rsidR="008331CE">
        <w:t>which involves approximating the higher-order integral through the computation of a series of</w:t>
      </w:r>
      <w:r w:rsidR="009B5E78" w:rsidRPr="0006418F">
        <w:t xml:space="preserve"> bivariate margin</w:t>
      </w:r>
      <w:r w:rsidR="008331CE">
        <w:t>al distributions</w:t>
      </w:r>
      <w:r w:rsidR="009B5E78" w:rsidRPr="0006418F">
        <w:t xml:space="preserve"> (see </w:t>
      </w:r>
      <w:r w:rsidR="00770614">
        <w:t>Ferdous et al</w:t>
      </w:r>
      <w:r w:rsidR="008331CE">
        <w:t>.,</w:t>
      </w:r>
      <w:r w:rsidR="00770614">
        <w:t xml:space="preserve"> 2010</w:t>
      </w:r>
      <w:r w:rsidR="00C22352">
        <w:t xml:space="preserve"> and Bhat, 2015</w:t>
      </w:r>
      <w:r w:rsidR="009B5E78" w:rsidRPr="0006418F">
        <w:t xml:space="preserve"> for </w:t>
      </w:r>
      <w:r w:rsidR="00492EBE">
        <w:t>details</w:t>
      </w:r>
      <w:r w:rsidR="009B5E78" w:rsidRPr="0006418F">
        <w:t>).</w:t>
      </w:r>
    </w:p>
    <w:p w14:paraId="6EE710D3" w14:textId="77777777" w:rsidR="00B12558" w:rsidRPr="00A2592E" w:rsidRDefault="00B12558" w:rsidP="00C67550"/>
    <w:p w14:paraId="317D5288" w14:textId="1534BB32" w:rsidR="00B12558" w:rsidRPr="003347E4" w:rsidRDefault="00B12558" w:rsidP="00C67550">
      <w:pPr>
        <w:pStyle w:val="Heading2"/>
        <w:spacing w:before="0"/>
        <w:rPr>
          <w:smallCaps w:val="0"/>
        </w:rPr>
      </w:pPr>
      <w:r w:rsidRPr="003347E4">
        <w:rPr>
          <w:smallCaps w:val="0"/>
        </w:rPr>
        <w:t xml:space="preserve">Conceptual </w:t>
      </w:r>
      <w:r w:rsidR="003347E4">
        <w:rPr>
          <w:smallCaps w:val="0"/>
        </w:rPr>
        <w:t>F</w:t>
      </w:r>
      <w:r w:rsidRPr="003347E4">
        <w:rPr>
          <w:smallCaps w:val="0"/>
        </w:rPr>
        <w:t>ramework</w:t>
      </w:r>
    </w:p>
    <w:p w14:paraId="2FD40A31" w14:textId="469D6E06" w:rsidR="00B12558" w:rsidRDefault="003320EB" w:rsidP="00824E93">
      <w:pPr>
        <w:spacing w:after="80"/>
      </w:pPr>
      <w:r>
        <w:t xml:space="preserve">The multivariate ordered </w:t>
      </w:r>
      <w:proofErr w:type="spellStart"/>
      <w:r>
        <w:t>probit</w:t>
      </w:r>
      <w:proofErr w:type="spellEnd"/>
      <w:r>
        <w:t xml:space="preserve"> modeling methodology is used to analyze the influence of exogenous variables on the weekly frequencies of six different activity types and explore the nature of the inter-relationships among them. As noted earlier, the six endogenous variables </w:t>
      </w:r>
      <w:r w:rsidR="00C10DD8">
        <w:t>re</w:t>
      </w:r>
      <w:r>
        <w:t xml:space="preserve">present </w:t>
      </w:r>
      <w:r w:rsidR="00C22352">
        <w:t xml:space="preserve">the number of days of pursuing at least one episode </w:t>
      </w:r>
      <w:r>
        <w:t xml:space="preserve">of the following six activity types: </w:t>
      </w:r>
    </w:p>
    <w:p w14:paraId="7497CB05" w14:textId="68461A79" w:rsidR="00BA5558" w:rsidRDefault="00371A8F" w:rsidP="00BA5558">
      <w:pPr>
        <w:pStyle w:val="ListParagraph"/>
        <w:numPr>
          <w:ilvl w:val="0"/>
          <w:numId w:val="24"/>
        </w:numPr>
      </w:pPr>
      <w:r>
        <w:t xml:space="preserve">Online shopping </w:t>
      </w:r>
      <w:r w:rsidR="00BA5558">
        <w:t>(inferred by deliveries of non-grocery and non-food/meal packages)</w:t>
      </w:r>
      <w:r w:rsidR="00C22352">
        <w:t>, labeled as “OL Shop”</w:t>
      </w:r>
    </w:p>
    <w:p w14:paraId="7E547B1E" w14:textId="72F8AE43" w:rsidR="00371A8F" w:rsidRDefault="00371A8F" w:rsidP="00371A8F">
      <w:pPr>
        <w:pStyle w:val="ListParagraph"/>
        <w:numPr>
          <w:ilvl w:val="0"/>
          <w:numId w:val="24"/>
        </w:numPr>
      </w:pPr>
      <w:r>
        <w:t>Online grocery shopping</w:t>
      </w:r>
      <w:r w:rsidR="00C22352">
        <w:t xml:space="preserve">, labeled as “OL </w:t>
      </w:r>
      <w:proofErr w:type="spellStart"/>
      <w:r w:rsidR="00C22352">
        <w:t>Groc</w:t>
      </w:r>
      <w:proofErr w:type="spellEnd"/>
      <w:r w:rsidR="00C22352">
        <w:t>”</w:t>
      </w:r>
    </w:p>
    <w:p w14:paraId="0A043B4B" w14:textId="22BD3627" w:rsidR="00371A8F" w:rsidRDefault="00371A8F" w:rsidP="00371A8F">
      <w:pPr>
        <w:pStyle w:val="ListParagraph"/>
        <w:numPr>
          <w:ilvl w:val="0"/>
          <w:numId w:val="24"/>
        </w:numPr>
      </w:pPr>
      <w:r>
        <w:t>Online food</w:t>
      </w:r>
      <w:r w:rsidR="001C4B9E">
        <w:t>/meal</w:t>
      </w:r>
      <w:r>
        <w:t xml:space="preserve"> shopping</w:t>
      </w:r>
      <w:r w:rsidR="00C22352">
        <w:t>, labeled as “OL Meal”</w:t>
      </w:r>
    </w:p>
    <w:p w14:paraId="5F63566E" w14:textId="54219F5D" w:rsidR="00371A8F" w:rsidRDefault="00371A8F" w:rsidP="00371A8F">
      <w:pPr>
        <w:pStyle w:val="ListParagraph"/>
        <w:numPr>
          <w:ilvl w:val="0"/>
          <w:numId w:val="24"/>
        </w:numPr>
      </w:pPr>
      <w:r>
        <w:t>In-person trips for shopping (excluding groceries and meals)</w:t>
      </w:r>
      <w:r w:rsidR="00C22352">
        <w:t>, labeled as “IP Shop”</w:t>
      </w:r>
    </w:p>
    <w:p w14:paraId="00F79DEB" w14:textId="0B3D8ED8" w:rsidR="00371A8F" w:rsidRDefault="00371A8F" w:rsidP="00371A8F">
      <w:pPr>
        <w:pStyle w:val="ListParagraph"/>
        <w:numPr>
          <w:ilvl w:val="0"/>
          <w:numId w:val="24"/>
        </w:numPr>
      </w:pPr>
      <w:r>
        <w:t>In person trips for grocery shopping</w:t>
      </w:r>
      <w:r w:rsidR="00C22352">
        <w:t xml:space="preserve">, labeled as “IP </w:t>
      </w:r>
      <w:proofErr w:type="spellStart"/>
      <w:r w:rsidR="00C22352">
        <w:t>Groc</w:t>
      </w:r>
      <w:proofErr w:type="spellEnd"/>
      <w:r w:rsidR="00C22352">
        <w:t>”</w:t>
      </w:r>
    </w:p>
    <w:p w14:paraId="3671FFB0" w14:textId="2199D9EC" w:rsidR="00371A8F" w:rsidRDefault="00371A8F" w:rsidP="00371A8F">
      <w:pPr>
        <w:pStyle w:val="ListParagraph"/>
        <w:numPr>
          <w:ilvl w:val="0"/>
          <w:numId w:val="24"/>
        </w:numPr>
      </w:pPr>
      <w:r>
        <w:t>In-person trips for meals (restaurants)</w:t>
      </w:r>
      <w:r w:rsidR="00C22352">
        <w:t>, labeled as “IP Meal”.</w:t>
      </w:r>
    </w:p>
    <w:p w14:paraId="289F0329" w14:textId="2092AC94" w:rsidR="00C20013" w:rsidRDefault="00172BA8" w:rsidP="00824E93">
      <w:pPr>
        <w:spacing w:before="80"/>
      </w:pPr>
      <w:r>
        <w:t xml:space="preserve">The presence of six endogenous variables gives rise to many possible specifications of relationships among them.  Independent ordered </w:t>
      </w:r>
      <w:proofErr w:type="spellStart"/>
      <w:r>
        <w:t>probit</w:t>
      </w:r>
      <w:proofErr w:type="spellEnd"/>
      <w:r>
        <w:t xml:space="preserve"> models were estimated to help identify significant exogenous variables that influenced weekly frequency of engagement in each of the six activity types. This process helped in developing an appropriate initial specification for the joint model system</w:t>
      </w:r>
      <w:r w:rsidR="00DB1AE0">
        <w:t xml:space="preserve">, H0, </w:t>
      </w:r>
      <w:r w:rsidR="00DB1AE0" w:rsidRPr="00DB1AE0">
        <w:t xml:space="preserve">where all exogenous variable effects </w:t>
      </w:r>
      <w:r w:rsidR="00DB1AE0">
        <w:t>were</w:t>
      </w:r>
      <w:r w:rsidR="00DB1AE0" w:rsidRPr="00DB1AE0">
        <w:t xml:space="preserve"> incorporated</w:t>
      </w:r>
      <w:r w:rsidR="00C22352">
        <w:t xml:space="preserve"> and</w:t>
      </w:r>
      <w:r w:rsidR="00DB1AE0" w:rsidRPr="00DB1AE0">
        <w:t xml:space="preserve"> all error </w:t>
      </w:r>
      <w:r w:rsidR="00DB1AE0" w:rsidRPr="00DB1AE0">
        <w:lastRenderedPageBreak/>
        <w:t xml:space="preserve">correlations </w:t>
      </w:r>
      <w:r w:rsidR="00DB1AE0">
        <w:t>were</w:t>
      </w:r>
      <w:r w:rsidR="00DB1AE0" w:rsidRPr="00DB1AE0">
        <w:t xml:space="preserve"> free to be estimated, </w:t>
      </w:r>
      <w:r w:rsidR="00C22352">
        <w:t>but</w:t>
      </w:r>
      <w:r w:rsidR="00DB1AE0" w:rsidRPr="00DB1AE0">
        <w:t xml:space="preserve"> all endogenous variable effects </w:t>
      </w:r>
      <w:r w:rsidR="00DB1AE0">
        <w:t>were</w:t>
      </w:r>
      <w:r w:rsidR="00DB1AE0" w:rsidRPr="00DB1AE0">
        <w:t xml:space="preserve"> suppressed (</w:t>
      </w:r>
      <w:r w:rsidR="001A5CDA" w:rsidRPr="00A629EF">
        <w:rPr>
          <w:iCs/>
        </w:rPr>
        <w:t>i.e.</w:t>
      </w:r>
      <w:r w:rsidR="00A629EF">
        <w:t>,</w:t>
      </w:r>
      <w:r w:rsidR="001A5CDA">
        <w:t xml:space="preserve"> </w:t>
      </w:r>
      <w:r w:rsidR="00DB1AE0" w:rsidRPr="00DB1AE0">
        <w:t>set to zero)</w:t>
      </w:r>
      <w:r>
        <w:t>. The specification was continuously modified to reach a balance between statistical significance and behavioral intuitiveness of the coefficient magnitudes and signs. With respect to the myriad relationships among the endogenous variables, four model structures were considered</w:t>
      </w:r>
      <w:r w:rsidR="006E07AF">
        <w:t>.  These are depicted in Figure 1 (as H1 through H4).</w:t>
      </w:r>
    </w:p>
    <w:p w14:paraId="27655CC7" w14:textId="02419287" w:rsidR="002963EA" w:rsidRPr="00C20013" w:rsidRDefault="006E07AF" w:rsidP="00C20013">
      <w:pPr>
        <w:rPr>
          <w:sz w:val="16"/>
          <w:szCs w:val="16"/>
        </w:rPr>
      </w:pPr>
      <w:r w:rsidRPr="00C20013">
        <w:rPr>
          <w:sz w:val="16"/>
          <w:szCs w:val="16"/>
        </w:rPr>
        <w:t xml:space="preserve">  </w:t>
      </w:r>
    </w:p>
    <w:p w14:paraId="1B1118F9" w14:textId="634E301E" w:rsidR="00637AEB" w:rsidRDefault="0015369F" w:rsidP="00C67550">
      <w:pPr>
        <w:pStyle w:val="Caption"/>
        <w:spacing w:after="0"/>
        <w:jc w:val="left"/>
      </w:pPr>
      <w:bookmarkStart w:id="6" w:name="_Ref521266503"/>
      <w:r w:rsidRPr="0015369F">
        <w:rPr>
          <w:noProof/>
        </w:rPr>
        <w:t xml:space="preserve"> </w:t>
      </w:r>
      <w:r w:rsidR="00975717" w:rsidRPr="00E32D98">
        <w:rPr>
          <w:noProof/>
        </w:rPr>
        <w:drawing>
          <wp:inline distT="0" distB="0" distL="0" distR="0" wp14:anchorId="4998DE8B" wp14:editId="20E8D123">
            <wp:extent cx="5779008" cy="5166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5779008" cy="5166360"/>
                    </a:xfrm>
                    <a:prstGeom prst="rect">
                      <a:avLst/>
                    </a:prstGeom>
                  </pic:spPr>
                </pic:pic>
              </a:graphicData>
            </a:graphic>
          </wp:inline>
        </w:drawing>
      </w:r>
    </w:p>
    <w:p w14:paraId="144CA6B1" w14:textId="77777777" w:rsidR="00637AEB" w:rsidRPr="00C20013" w:rsidRDefault="00637AEB" w:rsidP="0017095D">
      <w:pPr>
        <w:rPr>
          <w:sz w:val="16"/>
          <w:szCs w:val="16"/>
        </w:rPr>
      </w:pPr>
    </w:p>
    <w:p w14:paraId="337B08C2" w14:textId="1D00B992" w:rsidR="00637AEB" w:rsidRDefault="00637AEB" w:rsidP="002501D1">
      <w:pPr>
        <w:pStyle w:val="Caption"/>
        <w:spacing w:after="0"/>
      </w:pPr>
      <w:r>
        <w:t xml:space="preserve">Figure </w:t>
      </w:r>
      <w:r>
        <w:rPr>
          <w:noProof/>
        </w:rPr>
        <w:fldChar w:fldCharType="begin"/>
      </w:r>
      <w:r>
        <w:rPr>
          <w:noProof/>
        </w:rPr>
        <w:instrText xml:space="preserve"> SEQ Figure \* ARABIC </w:instrText>
      </w:r>
      <w:r>
        <w:rPr>
          <w:noProof/>
        </w:rPr>
        <w:fldChar w:fldCharType="separate"/>
      </w:r>
      <w:r w:rsidR="00A8778D">
        <w:rPr>
          <w:noProof/>
        </w:rPr>
        <w:t>1</w:t>
      </w:r>
      <w:r>
        <w:rPr>
          <w:noProof/>
        </w:rPr>
        <w:fldChar w:fldCharType="end"/>
      </w:r>
      <w:bookmarkEnd w:id="6"/>
      <w:r>
        <w:t xml:space="preserve">. Hypotheses Regarding Relationships Among Endogenous Variables </w:t>
      </w:r>
    </w:p>
    <w:p w14:paraId="3FDBC6F8" w14:textId="251D4C9A" w:rsidR="00F8406E" w:rsidRDefault="00F8406E" w:rsidP="00F8406E"/>
    <w:p w14:paraId="28C6DD5F" w14:textId="77777777" w:rsidR="00C10DD8" w:rsidRDefault="00C10DD8" w:rsidP="00C335DA">
      <w:r>
        <w:t xml:space="preserve">They include: </w:t>
      </w:r>
    </w:p>
    <w:p w14:paraId="70275B14" w14:textId="77777777" w:rsidR="00C10DD8" w:rsidRDefault="00C10DD8" w:rsidP="00C10DD8">
      <w:pPr>
        <w:pStyle w:val="ListParagraph"/>
        <w:numPr>
          <w:ilvl w:val="0"/>
          <w:numId w:val="25"/>
        </w:numPr>
      </w:pPr>
      <w:r>
        <w:t xml:space="preserve">H1: Online activity engagement frequency affects corresponding in-person activity engagement. </w:t>
      </w:r>
    </w:p>
    <w:p w14:paraId="30DDF8BD" w14:textId="77777777" w:rsidR="00C10DD8" w:rsidRDefault="00C10DD8" w:rsidP="00C10DD8">
      <w:pPr>
        <w:pStyle w:val="ListParagraph"/>
        <w:numPr>
          <w:ilvl w:val="0"/>
          <w:numId w:val="25"/>
        </w:numPr>
      </w:pPr>
      <w:r>
        <w:t xml:space="preserve">H2: In-person activity engagement frequency affects corresponding online behavior. </w:t>
      </w:r>
    </w:p>
    <w:p w14:paraId="4E9C48D8" w14:textId="77777777" w:rsidR="00C10DD8" w:rsidRDefault="00C10DD8" w:rsidP="00C10DD8">
      <w:pPr>
        <w:pStyle w:val="ListParagraph"/>
        <w:numPr>
          <w:ilvl w:val="0"/>
          <w:numId w:val="25"/>
        </w:numPr>
      </w:pPr>
      <w:r>
        <w:t>H3: All online activity engagement frequencies affect all in-person activity engagement frequencies.</w:t>
      </w:r>
    </w:p>
    <w:p w14:paraId="5CA36CAB" w14:textId="77777777" w:rsidR="00C10DD8" w:rsidRDefault="00C10DD8" w:rsidP="00C20013">
      <w:pPr>
        <w:pStyle w:val="ListParagraph"/>
        <w:numPr>
          <w:ilvl w:val="0"/>
          <w:numId w:val="25"/>
        </w:numPr>
        <w:spacing w:after="80"/>
      </w:pPr>
      <w:r>
        <w:t>H4: All in-person activity engagement frequencies affect all online activity engagement frequencies.</w:t>
      </w:r>
    </w:p>
    <w:p w14:paraId="7010690A" w14:textId="597A0993" w:rsidR="00C10DD8" w:rsidRPr="003347E4" w:rsidRDefault="00582393" w:rsidP="003347E4">
      <w:r>
        <w:lastRenderedPageBreak/>
        <w:t>In</w:t>
      </w:r>
      <w:r w:rsidR="00C10DD8">
        <w:t xml:space="preserve"> all of the above specifications, an error correlation structure </w:t>
      </w:r>
      <w:r>
        <w:t xml:space="preserve">is incorporated </w:t>
      </w:r>
      <w:r w:rsidR="00C10DD8">
        <w:t xml:space="preserve">to accommodate the bundled nature of the many choices. Thus, the directionality of relationship of an observed endogenous variable on the propensity underlying another endogenous variable can only be in one direction. That is, only recursive effects are allowed in cases of multivariate ordinal model systems, due to logical consistency considerations (see Bhat, 2015 for a detailed discussion). After estimating model specifications corresponding to H1 through H4, the analysis involved using goodness-of-fit measures, behavioral intuitiveness, and statistical significance of coefficients to </w:t>
      </w:r>
      <w:r w:rsidR="00C10DD8" w:rsidRPr="003347E4">
        <w:t>arrive at a final model structure that was both intuitive and supported by the data. The final model structure is shown as H5 in the figure, and all model estimation results in this paper are presented for this model structure. Through an examination of the endogenous variable effects, it is possible to identify complementarity and substitution in the relationships among online and in-person activity engagement (in the context of shopping and meal activities).</w:t>
      </w:r>
    </w:p>
    <w:p w14:paraId="756B28E1" w14:textId="77777777" w:rsidR="003347E4" w:rsidRPr="008F2990" w:rsidRDefault="003347E4" w:rsidP="003347E4">
      <w:pPr>
        <w:rPr>
          <w:sz w:val="22"/>
          <w:szCs w:val="22"/>
        </w:rPr>
      </w:pPr>
    </w:p>
    <w:p w14:paraId="612A3FF9" w14:textId="73915A52" w:rsidR="001C4C13" w:rsidRPr="003347E4" w:rsidRDefault="008D5DFE" w:rsidP="003347E4">
      <w:pPr>
        <w:pStyle w:val="Heading1"/>
        <w:spacing w:before="0"/>
        <w:rPr>
          <w:caps/>
          <w:smallCaps w:val="0"/>
          <w:sz w:val="24"/>
        </w:rPr>
      </w:pPr>
      <w:bookmarkStart w:id="7" w:name="_Ref521278419"/>
      <w:r w:rsidRPr="003347E4">
        <w:rPr>
          <w:caps/>
          <w:smallCaps w:val="0"/>
          <w:sz w:val="24"/>
        </w:rPr>
        <w:t xml:space="preserve">Model Estimation </w:t>
      </w:r>
      <w:r w:rsidR="006A0157" w:rsidRPr="003347E4">
        <w:rPr>
          <w:caps/>
          <w:smallCaps w:val="0"/>
          <w:sz w:val="24"/>
        </w:rPr>
        <w:t>R</w:t>
      </w:r>
      <w:r w:rsidR="00E645B4" w:rsidRPr="003347E4">
        <w:rPr>
          <w:caps/>
          <w:smallCaps w:val="0"/>
          <w:sz w:val="24"/>
        </w:rPr>
        <w:t>esults</w:t>
      </w:r>
      <w:bookmarkEnd w:id="7"/>
    </w:p>
    <w:p w14:paraId="6A5589C9" w14:textId="39CE3826" w:rsidR="00FB2150" w:rsidRPr="003347E4" w:rsidRDefault="00472BE0" w:rsidP="003347E4">
      <w:r w:rsidRPr="003347E4">
        <w:t>Model estimation results in the form of e</w:t>
      </w:r>
      <w:r w:rsidR="009563E4" w:rsidRPr="003347E4">
        <w:t xml:space="preserve">xogenous and endogenous variable effects are </w:t>
      </w:r>
      <w:r w:rsidR="00A86B7A" w:rsidRPr="003347E4">
        <w:t>depicted in Tables 3 and 4 respectively and discussed</w:t>
      </w:r>
      <w:r w:rsidR="009563E4" w:rsidRPr="003347E4">
        <w:t xml:space="preserve"> in detail</w:t>
      </w:r>
      <w:r w:rsidR="00A86B7A" w:rsidRPr="003347E4">
        <w:t xml:space="preserve"> in this section</w:t>
      </w:r>
      <w:r w:rsidR="009563E4" w:rsidRPr="003347E4">
        <w:t xml:space="preserve">. </w:t>
      </w:r>
      <w:r w:rsidRPr="003347E4">
        <w:t>Also</w:t>
      </w:r>
      <w:r w:rsidR="009563E4" w:rsidRPr="003347E4">
        <w:t xml:space="preserve">, average treatment effects are computed and presented in this section; these effects serve as a measure of change in online and in-person activity engagement in response to changes in exogenous variables. </w:t>
      </w:r>
    </w:p>
    <w:p w14:paraId="004D2B62" w14:textId="77777777" w:rsidR="00FB2150" w:rsidRPr="008F2990" w:rsidRDefault="00FB2150" w:rsidP="003347E4">
      <w:pPr>
        <w:rPr>
          <w:sz w:val="22"/>
          <w:szCs w:val="22"/>
        </w:rPr>
      </w:pPr>
    </w:p>
    <w:p w14:paraId="6E1E8188" w14:textId="645AF965" w:rsidR="00C353E1" w:rsidRPr="003347E4" w:rsidRDefault="008D5DFE" w:rsidP="003347E4">
      <w:pPr>
        <w:pStyle w:val="Heading2"/>
        <w:spacing w:before="0"/>
        <w:rPr>
          <w:smallCaps w:val="0"/>
          <w:szCs w:val="24"/>
        </w:rPr>
      </w:pPr>
      <w:r w:rsidRPr="003347E4">
        <w:rPr>
          <w:smallCaps w:val="0"/>
          <w:szCs w:val="24"/>
        </w:rPr>
        <w:t xml:space="preserve">Exogenous </w:t>
      </w:r>
      <w:r w:rsidR="003347E4">
        <w:rPr>
          <w:smallCaps w:val="0"/>
          <w:szCs w:val="24"/>
        </w:rPr>
        <w:t>V</w:t>
      </w:r>
      <w:r w:rsidRPr="003347E4">
        <w:rPr>
          <w:smallCaps w:val="0"/>
          <w:szCs w:val="24"/>
        </w:rPr>
        <w:t xml:space="preserve">ariable </w:t>
      </w:r>
      <w:r w:rsidR="003347E4">
        <w:rPr>
          <w:smallCaps w:val="0"/>
          <w:szCs w:val="24"/>
        </w:rPr>
        <w:t>E</w:t>
      </w:r>
      <w:r w:rsidRPr="003347E4">
        <w:rPr>
          <w:smallCaps w:val="0"/>
          <w:szCs w:val="24"/>
        </w:rPr>
        <w:t>ffects</w:t>
      </w:r>
    </w:p>
    <w:p w14:paraId="5EEE04A6" w14:textId="35E84626" w:rsidR="00586232" w:rsidRDefault="00586232" w:rsidP="003347E4">
      <w:r w:rsidRPr="003347E4">
        <w:t>Table 3 presents estimation results depicting the influence of exogenous variables on the propensity to engage in online</w:t>
      </w:r>
      <w:r>
        <w:t xml:space="preserve"> and in-person shopping and eat-meal activities.</w:t>
      </w:r>
      <w:r w:rsidR="00A629EF">
        <w:t xml:space="preserve"> </w:t>
      </w:r>
      <w:r>
        <w:t xml:space="preserve">While in-person activity engagement is directly observed in the data set (in the form of trips to engage in these activities), online activities are not directly observed because individuals do not report their online activities. Rather, information about the frequency of deliveries of packages, groceries, and prepared meals is available in the data set, and this information is used as a proxy for the frequency of online shopping for goods, groceries, and meals. In reality, the frequency of online activity may not be exactly identical to the number of deliveries; however, in the absence of data about online activity, the number of deliveries is a useful proxy.  </w:t>
      </w:r>
    </w:p>
    <w:p w14:paraId="1187FB4C" w14:textId="29ED8A82" w:rsidR="00AF0F54" w:rsidRDefault="00586232" w:rsidP="00687D24">
      <w:pPr>
        <w:sectPr w:rsidR="00AF0F54" w:rsidSect="00251434">
          <w:headerReference w:type="default" r:id="rId69"/>
          <w:footerReference w:type="default" r:id="rId70"/>
          <w:pgSz w:w="12240" w:h="15840"/>
          <w:pgMar w:top="1440" w:right="1440" w:bottom="1440" w:left="1440" w:header="720" w:footer="720" w:gutter="0"/>
          <w:pgNumType w:start="1"/>
          <w:cols w:space="720"/>
          <w:docGrid w:linePitch="360"/>
        </w:sectPr>
      </w:pPr>
      <w:r>
        <w:tab/>
        <w:t xml:space="preserve">Income is found to significantly affect online and in-person activity engagement for shopping and meals. The propensity to engage in online shopping for goods, groceries, and meals increases with household income, a result consistent with that reported in the literature (e.g., Cao et al., 2012; Zhou and Wang, 2014; Lee et al., 2015). Higher income households are also more likely to engage in eating out (presumably at restaurants) in person, consistent with their greater purchasing power and ability to afford discretionary eat-out activities. </w:t>
      </w:r>
      <w:r w:rsidR="0034195E">
        <w:t>In-person shopping frequency tends to be higher for the middle-income households; they have the income to shop for goods and groceries more often, but have not quite transitioned to utilizing virtual means to do so (whereas the highest income group may have made that transition to some degree). One-worker households are more likely to shop online for non-grocery goods. Households with multiple workers show the lowest propensity for grocery shopping – both online and in-person. This may be reflective of the time constraints faced by multi-worker households, who may opt to engage in fewer consolidated shopping episodes for gaining efficiencies.</w:t>
      </w:r>
      <w:r w:rsidR="00C335DA">
        <w:t xml:space="preserve"> </w:t>
      </w:r>
      <w:r w:rsidR="0034195E">
        <w:t xml:space="preserve">These households </w:t>
      </w:r>
      <w:r w:rsidR="00482043">
        <w:t xml:space="preserve">show a propensity to </w:t>
      </w:r>
      <w:r w:rsidR="0034195E">
        <w:t>eat out (in-person) more often, presumably because they can afford to do so and gain some efficiencies in the process</w:t>
      </w:r>
      <w:r w:rsidR="009C4294">
        <w:t xml:space="preserve"> (Daniels et al., 201</w:t>
      </w:r>
      <w:r w:rsidR="00E92BA4">
        <w:t>2</w:t>
      </w:r>
      <w:r w:rsidR="009C4294">
        <w:t>)</w:t>
      </w:r>
      <w:r w:rsidR="0034195E">
        <w:t xml:space="preserve">. </w:t>
      </w:r>
    </w:p>
    <w:p w14:paraId="3BEF12C3" w14:textId="4B084E89" w:rsidR="005C3210" w:rsidRDefault="005C3210" w:rsidP="005C3210"/>
    <w:p w14:paraId="64AC7ADA" w14:textId="04B293A8" w:rsidR="005C3210" w:rsidRDefault="005C3210" w:rsidP="002501D1">
      <w:pPr>
        <w:pStyle w:val="Caption"/>
        <w:keepNext/>
      </w:pPr>
      <w:bookmarkStart w:id="8" w:name="_Ref13673113"/>
      <w:r>
        <w:t xml:space="preserve">Table </w:t>
      </w:r>
      <w:bookmarkEnd w:id="8"/>
      <w:r>
        <w:t>3</w:t>
      </w:r>
      <w:r w:rsidR="00C335DA">
        <w:t>.</w:t>
      </w:r>
      <w:r>
        <w:t xml:space="preserve"> </w:t>
      </w:r>
      <w:r w:rsidRPr="00E5375C">
        <w:t xml:space="preserve">Estimation </w:t>
      </w:r>
      <w:r>
        <w:t>Results for Selected Model (H5): Exogenous Variable Effects</w:t>
      </w:r>
    </w:p>
    <w:tbl>
      <w:tblPr>
        <w:tblW w:w="14270" w:type="dxa"/>
        <w:tblInd w:w="-653" w:type="dxa"/>
        <w:tblLook w:val="04A0" w:firstRow="1" w:lastRow="0" w:firstColumn="1" w:lastColumn="0" w:noHBand="0" w:noVBand="1"/>
      </w:tblPr>
      <w:tblGrid>
        <w:gridCol w:w="3510"/>
        <w:gridCol w:w="811"/>
        <w:gridCol w:w="899"/>
        <w:gridCol w:w="854"/>
        <w:gridCol w:w="911"/>
        <w:gridCol w:w="880"/>
        <w:gridCol w:w="880"/>
        <w:gridCol w:w="861"/>
        <w:gridCol w:w="1019"/>
        <w:gridCol w:w="861"/>
        <w:gridCol w:w="1024"/>
        <w:gridCol w:w="806"/>
        <w:gridCol w:w="954"/>
      </w:tblGrid>
      <w:tr w:rsidR="005C3210" w:rsidRPr="00537C6A" w14:paraId="22502B7B" w14:textId="77777777" w:rsidTr="00117833">
        <w:trPr>
          <w:trHeight w:val="20"/>
        </w:trPr>
        <w:tc>
          <w:tcPr>
            <w:tcW w:w="3510" w:type="dxa"/>
            <w:vMerge w:val="restart"/>
            <w:tcBorders>
              <w:top w:val="double" w:sz="6" w:space="0" w:color="auto"/>
              <w:left w:val="double" w:sz="6" w:space="0" w:color="auto"/>
              <w:bottom w:val="double" w:sz="6" w:space="0" w:color="000000"/>
              <w:right w:val="double" w:sz="6" w:space="0" w:color="auto"/>
            </w:tcBorders>
            <w:shd w:val="clear" w:color="000000" w:fill="FFFFFF"/>
            <w:noWrap/>
            <w:vAlign w:val="center"/>
            <w:hideMark/>
          </w:tcPr>
          <w:p w14:paraId="47F1F215"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Variables</w:t>
            </w:r>
          </w:p>
        </w:tc>
        <w:tc>
          <w:tcPr>
            <w:tcW w:w="1710" w:type="dxa"/>
            <w:gridSpan w:val="2"/>
            <w:tcBorders>
              <w:top w:val="double" w:sz="6" w:space="0" w:color="auto"/>
              <w:left w:val="nil"/>
              <w:bottom w:val="nil"/>
              <w:right w:val="double" w:sz="6" w:space="0" w:color="000000"/>
            </w:tcBorders>
            <w:shd w:val="clear" w:color="000000" w:fill="FFFFFF"/>
            <w:noWrap/>
            <w:tcMar>
              <w:left w:w="58" w:type="dxa"/>
              <w:right w:w="58" w:type="dxa"/>
            </w:tcMar>
            <w:vAlign w:val="bottom"/>
            <w:hideMark/>
          </w:tcPr>
          <w:p w14:paraId="27E0F742" w14:textId="2C29E060" w:rsidR="005C3210" w:rsidRPr="00537C6A" w:rsidRDefault="005C3210" w:rsidP="00586232">
            <w:pPr>
              <w:jc w:val="center"/>
              <w:rPr>
                <w:rFonts w:eastAsia="Times New Roman"/>
                <w:b/>
                <w:color w:val="000000"/>
                <w:sz w:val="22"/>
                <w:szCs w:val="22"/>
              </w:rPr>
            </w:pPr>
            <w:r w:rsidRPr="00537C6A">
              <w:rPr>
                <w:rFonts w:eastAsia="Times New Roman"/>
                <w:b/>
                <w:color w:val="000000"/>
                <w:sz w:val="22"/>
                <w:szCs w:val="22"/>
              </w:rPr>
              <w:t>Online Shop</w:t>
            </w:r>
          </w:p>
        </w:tc>
        <w:tc>
          <w:tcPr>
            <w:tcW w:w="1765" w:type="dxa"/>
            <w:gridSpan w:val="2"/>
            <w:tcBorders>
              <w:top w:val="double" w:sz="6" w:space="0" w:color="auto"/>
              <w:left w:val="nil"/>
              <w:bottom w:val="nil"/>
              <w:right w:val="double" w:sz="6" w:space="0" w:color="000000"/>
            </w:tcBorders>
            <w:shd w:val="clear" w:color="000000" w:fill="FFFFFF"/>
            <w:noWrap/>
            <w:tcMar>
              <w:left w:w="58" w:type="dxa"/>
              <w:right w:w="58" w:type="dxa"/>
            </w:tcMar>
            <w:vAlign w:val="bottom"/>
            <w:hideMark/>
          </w:tcPr>
          <w:p w14:paraId="7C7A5A77" w14:textId="4E6E058F" w:rsidR="005C3210" w:rsidRPr="00537C6A" w:rsidRDefault="005C3210" w:rsidP="00586232">
            <w:pPr>
              <w:jc w:val="center"/>
              <w:rPr>
                <w:rFonts w:eastAsia="Times New Roman"/>
                <w:b/>
                <w:color w:val="000000"/>
                <w:sz w:val="22"/>
                <w:szCs w:val="22"/>
              </w:rPr>
            </w:pPr>
            <w:r w:rsidRPr="00537C6A">
              <w:rPr>
                <w:rFonts w:eastAsia="Times New Roman"/>
                <w:b/>
                <w:color w:val="000000"/>
                <w:sz w:val="22"/>
                <w:szCs w:val="22"/>
              </w:rPr>
              <w:t>Online Groc</w:t>
            </w:r>
            <w:r w:rsidR="00482043">
              <w:rPr>
                <w:rFonts w:eastAsia="Times New Roman"/>
                <w:b/>
                <w:color w:val="000000"/>
                <w:sz w:val="22"/>
                <w:szCs w:val="22"/>
              </w:rPr>
              <w:t>ery</w:t>
            </w:r>
          </w:p>
        </w:tc>
        <w:tc>
          <w:tcPr>
            <w:tcW w:w="1760" w:type="dxa"/>
            <w:gridSpan w:val="2"/>
            <w:tcBorders>
              <w:top w:val="double" w:sz="6" w:space="0" w:color="auto"/>
              <w:left w:val="nil"/>
              <w:bottom w:val="nil"/>
              <w:right w:val="double" w:sz="6" w:space="0" w:color="000000"/>
            </w:tcBorders>
            <w:shd w:val="clear" w:color="000000" w:fill="FFFFFF"/>
            <w:noWrap/>
            <w:tcMar>
              <w:left w:w="58" w:type="dxa"/>
              <w:right w:w="58" w:type="dxa"/>
            </w:tcMar>
            <w:vAlign w:val="bottom"/>
            <w:hideMark/>
          </w:tcPr>
          <w:p w14:paraId="7CED8FF9" w14:textId="77777777" w:rsidR="005C3210" w:rsidRPr="00537C6A" w:rsidRDefault="005C3210" w:rsidP="00586232">
            <w:pPr>
              <w:jc w:val="center"/>
              <w:rPr>
                <w:rFonts w:eastAsia="Times New Roman"/>
                <w:b/>
                <w:color w:val="000000"/>
                <w:sz w:val="22"/>
                <w:szCs w:val="22"/>
              </w:rPr>
            </w:pPr>
            <w:r w:rsidRPr="00537C6A">
              <w:rPr>
                <w:rFonts w:eastAsia="Times New Roman"/>
                <w:b/>
                <w:color w:val="000000"/>
                <w:sz w:val="22"/>
                <w:szCs w:val="22"/>
              </w:rPr>
              <w:t>Online Meals</w:t>
            </w:r>
          </w:p>
        </w:tc>
        <w:tc>
          <w:tcPr>
            <w:tcW w:w="1880" w:type="dxa"/>
            <w:gridSpan w:val="2"/>
            <w:tcBorders>
              <w:top w:val="double" w:sz="6" w:space="0" w:color="auto"/>
              <w:left w:val="nil"/>
              <w:bottom w:val="nil"/>
              <w:right w:val="double" w:sz="6" w:space="0" w:color="000000"/>
            </w:tcBorders>
            <w:shd w:val="clear" w:color="000000" w:fill="FFFFFF"/>
            <w:noWrap/>
            <w:tcMar>
              <w:left w:w="58" w:type="dxa"/>
              <w:right w:w="58" w:type="dxa"/>
            </w:tcMar>
            <w:vAlign w:val="bottom"/>
            <w:hideMark/>
          </w:tcPr>
          <w:p w14:paraId="40B93054" w14:textId="26D05CDF" w:rsidR="005C3210" w:rsidRPr="00537C6A" w:rsidRDefault="005C3210" w:rsidP="00586232">
            <w:pPr>
              <w:jc w:val="center"/>
              <w:rPr>
                <w:rFonts w:eastAsia="Times New Roman"/>
                <w:b/>
                <w:color w:val="000000"/>
                <w:sz w:val="22"/>
                <w:szCs w:val="22"/>
              </w:rPr>
            </w:pPr>
            <w:r w:rsidRPr="00537C6A">
              <w:rPr>
                <w:rFonts w:eastAsia="Times New Roman"/>
                <w:b/>
                <w:color w:val="000000"/>
                <w:sz w:val="22"/>
                <w:szCs w:val="22"/>
              </w:rPr>
              <w:t>In-person Shop</w:t>
            </w:r>
          </w:p>
        </w:tc>
        <w:tc>
          <w:tcPr>
            <w:tcW w:w="1885" w:type="dxa"/>
            <w:gridSpan w:val="2"/>
            <w:tcBorders>
              <w:top w:val="double" w:sz="6" w:space="0" w:color="auto"/>
              <w:left w:val="nil"/>
              <w:bottom w:val="nil"/>
              <w:right w:val="double" w:sz="6" w:space="0" w:color="000000"/>
            </w:tcBorders>
            <w:shd w:val="clear" w:color="000000" w:fill="FFFFFF"/>
            <w:noWrap/>
            <w:tcMar>
              <w:left w:w="58" w:type="dxa"/>
              <w:right w:w="58" w:type="dxa"/>
            </w:tcMar>
            <w:vAlign w:val="bottom"/>
            <w:hideMark/>
          </w:tcPr>
          <w:p w14:paraId="1B7FDD83" w14:textId="52E80FF5" w:rsidR="005C3210" w:rsidRPr="00537C6A" w:rsidRDefault="005C3210" w:rsidP="00586232">
            <w:pPr>
              <w:jc w:val="center"/>
              <w:rPr>
                <w:rFonts w:eastAsia="Times New Roman"/>
                <w:b/>
                <w:color w:val="000000"/>
                <w:sz w:val="22"/>
                <w:szCs w:val="22"/>
              </w:rPr>
            </w:pPr>
            <w:r w:rsidRPr="00537C6A">
              <w:rPr>
                <w:rFonts w:eastAsia="Times New Roman"/>
                <w:b/>
                <w:color w:val="000000"/>
                <w:sz w:val="22"/>
                <w:szCs w:val="22"/>
              </w:rPr>
              <w:t>In-person Groc</w:t>
            </w:r>
            <w:r w:rsidR="00482043">
              <w:rPr>
                <w:rFonts w:eastAsia="Times New Roman"/>
                <w:b/>
                <w:color w:val="000000"/>
                <w:sz w:val="22"/>
                <w:szCs w:val="22"/>
              </w:rPr>
              <w:t>ery</w:t>
            </w:r>
          </w:p>
        </w:tc>
        <w:tc>
          <w:tcPr>
            <w:tcW w:w="1760" w:type="dxa"/>
            <w:gridSpan w:val="2"/>
            <w:tcBorders>
              <w:top w:val="double" w:sz="6" w:space="0" w:color="auto"/>
              <w:left w:val="nil"/>
              <w:bottom w:val="nil"/>
              <w:right w:val="double" w:sz="6" w:space="0" w:color="000000"/>
            </w:tcBorders>
            <w:shd w:val="clear" w:color="000000" w:fill="FFFFFF"/>
            <w:noWrap/>
            <w:tcMar>
              <w:left w:w="58" w:type="dxa"/>
              <w:right w:w="58" w:type="dxa"/>
            </w:tcMar>
            <w:vAlign w:val="bottom"/>
            <w:hideMark/>
          </w:tcPr>
          <w:p w14:paraId="136199A6" w14:textId="77777777" w:rsidR="005C3210" w:rsidRPr="00537C6A" w:rsidRDefault="005C3210" w:rsidP="00586232">
            <w:pPr>
              <w:jc w:val="center"/>
              <w:rPr>
                <w:rFonts w:eastAsia="Times New Roman"/>
                <w:b/>
                <w:color w:val="000000"/>
                <w:sz w:val="22"/>
                <w:szCs w:val="22"/>
              </w:rPr>
            </w:pPr>
            <w:r w:rsidRPr="00537C6A">
              <w:rPr>
                <w:rFonts w:eastAsia="Times New Roman"/>
                <w:b/>
                <w:color w:val="000000"/>
                <w:sz w:val="22"/>
                <w:szCs w:val="22"/>
              </w:rPr>
              <w:t>In-person Meals</w:t>
            </w:r>
          </w:p>
        </w:tc>
      </w:tr>
      <w:tr w:rsidR="005C3210" w:rsidRPr="00537C6A" w14:paraId="4870D9D8" w14:textId="77777777" w:rsidTr="00117833">
        <w:trPr>
          <w:trHeight w:val="20"/>
        </w:trPr>
        <w:tc>
          <w:tcPr>
            <w:tcW w:w="3510" w:type="dxa"/>
            <w:vMerge/>
            <w:tcBorders>
              <w:top w:val="double" w:sz="6" w:space="0" w:color="auto"/>
              <w:left w:val="double" w:sz="6" w:space="0" w:color="auto"/>
              <w:bottom w:val="double" w:sz="6" w:space="0" w:color="000000"/>
              <w:right w:val="double" w:sz="6" w:space="0" w:color="auto"/>
            </w:tcBorders>
            <w:vAlign w:val="center"/>
            <w:hideMark/>
          </w:tcPr>
          <w:p w14:paraId="78A0CDAB" w14:textId="77777777" w:rsidR="005C3210" w:rsidRPr="00537C6A" w:rsidRDefault="005C3210" w:rsidP="00586232">
            <w:pPr>
              <w:jc w:val="left"/>
              <w:rPr>
                <w:rFonts w:eastAsia="Times New Roman"/>
                <w:b/>
                <w:bCs/>
                <w:color w:val="000000"/>
                <w:sz w:val="22"/>
                <w:szCs w:val="22"/>
              </w:rPr>
            </w:pPr>
          </w:p>
        </w:tc>
        <w:tc>
          <w:tcPr>
            <w:tcW w:w="811" w:type="dxa"/>
            <w:tcBorders>
              <w:top w:val="nil"/>
              <w:left w:val="nil"/>
              <w:bottom w:val="double" w:sz="6" w:space="0" w:color="auto"/>
              <w:right w:val="nil"/>
            </w:tcBorders>
            <w:shd w:val="clear" w:color="000000" w:fill="FFFFFF"/>
            <w:noWrap/>
            <w:vAlign w:val="bottom"/>
            <w:hideMark/>
          </w:tcPr>
          <w:p w14:paraId="4BFF1DF8" w14:textId="71E2D7D1" w:rsidR="005C3210" w:rsidRPr="00537C6A" w:rsidRDefault="00482043" w:rsidP="00586232">
            <w:pPr>
              <w:jc w:val="center"/>
              <w:rPr>
                <w:rFonts w:eastAsia="Times New Roman"/>
                <w:i/>
                <w:color w:val="000000"/>
                <w:sz w:val="22"/>
                <w:szCs w:val="22"/>
              </w:rPr>
            </w:pPr>
            <w:proofErr w:type="spellStart"/>
            <w:r>
              <w:rPr>
                <w:rFonts w:eastAsia="Times New Roman"/>
                <w:i/>
                <w:color w:val="000000"/>
                <w:sz w:val="22"/>
                <w:szCs w:val="22"/>
              </w:rPr>
              <w:t>Coef</w:t>
            </w:r>
            <w:proofErr w:type="spellEnd"/>
          </w:p>
        </w:tc>
        <w:tc>
          <w:tcPr>
            <w:tcW w:w="899" w:type="dxa"/>
            <w:tcBorders>
              <w:top w:val="nil"/>
              <w:left w:val="nil"/>
              <w:bottom w:val="double" w:sz="6" w:space="0" w:color="auto"/>
              <w:right w:val="double" w:sz="6" w:space="0" w:color="auto"/>
            </w:tcBorders>
            <w:shd w:val="clear" w:color="000000" w:fill="FFFFFF"/>
            <w:noWrap/>
            <w:vAlign w:val="bottom"/>
            <w:hideMark/>
          </w:tcPr>
          <w:p w14:paraId="152D8EE2" w14:textId="77777777" w:rsidR="005C3210" w:rsidRPr="00537C6A" w:rsidRDefault="005C3210" w:rsidP="00586232">
            <w:pPr>
              <w:jc w:val="center"/>
              <w:rPr>
                <w:rFonts w:eastAsia="Times New Roman"/>
                <w:i/>
                <w:color w:val="000000"/>
                <w:sz w:val="22"/>
                <w:szCs w:val="22"/>
              </w:rPr>
            </w:pPr>
            <w:r w:rsidRPr="00537C6A">
              <w:rPr>
                <w:rFonts w:eastAsia="Times New Roman"/>
                <w:i/>
                <w:color w:val="000000"/>
                <w:sz w:val="22"/>
                <w:szCs w:val="22"/>
              </w:rPr>
              <w:t>t-stat</w:t>
            </w:r>
          </w:p>
        </w:tc>
        <w:tc>
          <w:tcPr>
            <w:tcW w:w="854" w:type="dxa"/>
            <w:tcBorders>
              <w:top w:val="nil"/>
              <w:left w:val="nil"/>
              <w:bottom w:val="double" w:sz="6" w:space="0" w:color="auto"/>
              <w:right w:val="nil"/>
            </w:tcBorders>
            <w:shd w:val="clear" w:color="000000" w:fill="FFFFFF"/>
            <w:noWrap/>
            <w:vAlign w:val="bottom"/>
            <w:hideMark/>
          </w:tcPr>
          <w:p w14:paraId="0FCF3B23" w14:textId="54158F6B" w:rsidR="005C3210" w:rsidRPr="00537C6A" w:rsidRDefault="00482043" w:rsidP="00586232">
            <w:pPr>
              <w:jc w:val="center"/>
              <w:rPr>
                <w:rFonts w:eastAsia="Times New Roman"/>
                <w:i/>
                <w:color w:val="000000"/>
                <w:sz w:val="22"/>
                <w:szCs w:val="22"/>
              </w:rPr>
            </w:pPr>
            <w:proofErr w:type="spellStart"/>
            <w:r>
              <w:rPr>
                <w:rFonts w:eastAsia="Times New Roman"/>
                <w:i/>
                <w:color w:val="000000"/>
                <w:sz w:val="22"/>
                <w:szCs w:val="22"/>
              </w:rPr>
              <w:t>Coef</w:t>
            </w:r>
            <w:proofErr w:type="spellEnd"/>
          </w:p>
        </w:tc>
        <w:tc>
          <w:tcPr>
            <w:tcW w:w="911" w:type="dxa"/>
            <w:tcBorders>
              <w:top w:val="nil"/>
              <w:left w:val="nil"/>
              <w:bottom w:val="double" w:sz="6" w:space="0" w:color="auto"/>
              <w:right w:val="double" w:sz="6" w:space="0" w:color="auto"/>
            </w:tcBorders>
            <w:shd w:val="clear" w:color="000000" w:fill="FFFFFF"/>
            <w:noWrap/>
            <w:vAlign w:val="bottom"/>
            <w:hideMark/>
          </w:tcPr>
          <w:p w14:paraId="1C1C68B0" w14:textId="77777777" w:rsidR="005C3210" w:rsidRPr="00537C6A" w:rsidRDefault="005C3210" w:rsidP="00586232">
            <w:pPr>
              <w:jc w:val="center"/>
              <w:rPr>
                <w:rFonts w:eastAsia="Times New Roman"/>
                <w:i/>
                <w:color w:val="000000"/>
                <w:sz w:val="22"/>
                <w:szCs w:val="22"/>
              </w:rPr>
            </w:pPr>
            <w:r w:rsidRPr="00537C6A">
              <w:rPr>
                <w:rFonts w:eastAsia="Times New Roman"/>
                <w:i/>
                <w:color w:val="000000"/>
                <w:sz w:val="22"/>
                <w:szCs w:val="22"/>
              </w:rPr>
              <w:t>t-stat</w:t>
            </w:r>
          </w:p>
        </w:tc>
        <w:tc>
          <w:tcPr>
            <w:tcW w:w="880" w:type="dxa"/>
            <w:tcBorders>
              <w:top w:val="nil"/>
              <w:left w:val="nil"/>
              <w:bottom w:val="double" w:sz="6" w:space="0" w:color="auto"/>
              <w:right w:val="nil"/>
            </w:tcBorders>
            <w:shd w:val="clear" w:color="000000" w:fill="FFFFFF"/>
            <w:noWrap/>
            <w:vAlign w:val="bottom"/>
            <w:hideMark/>
          </w:tcPr>
          <w:p w14:paraId="08E8D98B" w14:textId="700438DF" w:rsidR="005C3210" w:rsidRPr="00537C6A" w:rsidRDefault="00482043" w:rsidP="00586232">
            <w:pPr>
              <w:jc w:val="center"/>
              <w:rPr>
                <w:rFonts w:eastAsia="Times New Roman"/>
                <w:i/>
                <w:color w:val="000000"/>
                <w:sz w:val="22"/>
                <w:szCs w:val="22"/>
              </w:rPr>
            </w:pPr>
            <w:proofErr w:type="spellStart"/>
            <w:r>
              <w:rPr>
                <w:rFonts w:eastAsia="Times New Roman"/>
                <w:i/>
                <w:color w:val="000000"/>
                <w:sz w:val="22"/>
                <w:szCs w:val="22"/>
              </w:rPr>
              <w:t>Coef</w:t>
            </w:r>
            <w:proofErr w:type="spellEnd"/>
          </w:p>
        </w:tc>
        <w:tc>
          <w:tcPr>
            <w:tcW w:w="880" w:type="dxa"/>
            <w:tcBorders>
              <w:top w:val="nil"/>
              <w:left w:val="nil"/>
              <w:bottom w:val="double" w:sz="6" w:space="0" w:color="auto"/>
              <w:right w:val="double" w:sz="6" w:space="0" w:color="auto"/>
            </w:tcBorders>
            <w:shd w:val="clear" w:color="000000" w:fill="FFFFFF"/>
            <w:noWrap/>
            <w:vAlign w:val="bottom"/>
            <w:hideMark/>
          </w:tcPr>
          <w:p w14:paraId="67EE6669" w14:textId="77777777" w:rsidR="005C3210" w:rsidRPr="00537C6A" w:rsidRDefault="005C3210" w:rsidP="00586232">
            <w:pPr>
              <w:jc w:val="center"/>
              <w:rPr>
                <w:rFonts w:eastAsia="Times New Roman"/>
                <w:i/>
                <w:color w:val="000000"/>
                <w:sz w:val="22"/>
                <w:szCs w:val="22"/>
              </w:rPr>
            </w:pPr>
            <w:r w:rsidRPr="00537C6A">
              <w:rPr>
                <w:rFonts w:eastAsia="Times New Roman"/>
                <w:i/>
                <w:color w:val="000000"/>
                <w:sz w:val="22"/>
                <w:szCs w:val="22"/>
              </w:rPr>
              <w:t>t-stat</w:t>
            </w:r>
          </w:p>
        </w:tc>
        <w:tc>
          <w:tcPr>
            <w:tcW w:w="861" w:type="dxa"/>
            <w:tcBorders>
              <w:top w:val="nil"/>
              <w:left w:val="nil"/>
              <w:bottom w:val="double" w:sz="6" w:space="0" w:color="auto"/>
              <w:right w:val="nil"/>
            </w:tcBorders>
            <w:shd w:val="clear" w:color="000000" w:fill="FFFFFF"/>
            <w:noWrap/>
            <w:vAlign w:val="bottom"/>
            <w:hideMark/>
          </w:tcPr>
          <w:p w14:paraId="3FDBBDD6" w14:textId="100BA6D1" w:rsidR="005C3210" w:rsidRPr="00537C6A" w:rsidRDefault="00482043" w:rsidP="00586232">
            <w:pPr>
              <w:jc w:val="center"/>
              <w:rPr>
                <w:rFonts w:eastAsia="Times New Roman"/>
                <w:i/>
                <w:color w:val="000000"/>
                <w:sz w:val="22"/>
                <w:szCs w:val="22"/>
              </w:rPr>
            </w:pPr>
            <w:proofErr w:type="spellStart"/>
            <w:r>
              <w:rPr>
                <w:rFonts w:eastAsia="Times New Roman"/>
                <w:i/>
                <w:color w:val="000000"/>
                <w:sz w:val="22"/>
                <w:szCs w:val="22"/>
              </w:rPr>
              <w:t>Coef</w:t>
            </w:r>
            <w:proofErr w:type="spellEnd"/>
          </w:p>
        </w:tc>
        <w:tc>
          <w:tcPr>
            <w:tcW w:w="1019" w:type="dxa"/>
            <w:tcBorders>
              <w:top w:val="nil"/>
              <w:left w:val="nil"/>
              <w:bottom w:val="double" w:sz="6" w:space="0" w:color="auto"/>
              <w:right w:val="double" w:sz="6" w:space="0" w:color="auto"/>
            </w:tcBorders>
            <w:shd w:val="clear" w:color="000000" w:fill="FFFFFF"/>
            <w:noWrap/>
            <w:vAlign w:val="bottom"/>
            <w:hideMark/>
          </w:tcPr>
          <w:p w14:paraId="6C0E7F99" w14:textId="77777777" w:rsidR="005C3210" w:rsidRPr="00537C6A" w:rsidRDefault="005C3210" w:rsidP="00586232">
            <w:pPr>
              <w:jc w:val="center"/>
              <w:rPr>
                <w:rFonts w:eastAsia="Times New Roman"/>
                <w:i/>
                <w:color w:val="000000"/>
                <w:sz w:val="22"/>
                <w:szCs w:val="22"/>
              </w:rPr>
            </w:pPr>
            <w:r w:rsidRPr="00537C6A">
              <w:rPr>
                <w:rFonts w:eastAsia="Times New Roman"/>
                <w:i/>
                <w:color w:val="000000"/>
                <w:sz w:val="22"/>
                <w:szCs w:val="22"/>
              </w:rPr>
              <w:t>t-stat</w:t>
            </w:r>
          </w:p>
        </w:tc>
        <w:tc>
          <w:tcPr>
            <w:tcW w:w="861" w:type="dxa"/>
            <w:tcBorders>
              <w:top w:val="nil"/>
              <w:left w:val="nil"/>
              <w:bottom w:val="double" w:sz="6" w:space="0" w:color="auto"/>
              <w:right w:val="nil"/>
            </w:tcBorders>
            <w:shd w:val="clear" w:color="000000" w:fill="FFFFFF"/>
            <w:noWrap/>
            <w:vAlign w:val="bottom"/>
            <w:hideMark/>
          </w:tcPr>
          <w:p w14:paraId="03420E04" w14:textId="1105DB87" w:rsidR="005C3210" w:rsidRPr="00537C6A" w:rsidRDefault="00482043" w:rsidP="00586232">
            <w:pPr>
              <w:jc w:val="center"/>
              <w:rPr>
                <w:rFonts w:eastAsia="Times New Roman"/>
                <w:i/>
                <w:color w:val="000000"/>
                <w:sz w:val="22"/>
                <w:szCs w:val="22"/>
              </w:rPr>
            </w:pPr>
            <w:proofErr w:type="spellStart"/>
            <w:r>
              <w:rPr>
                <w:rFonts w:eastAsia="Times New Roman"/>
                <w:i/>
                <w:color w:val="000000"/>
                <w:sz w:val="22"/>
                <w:szCs w:val="22"/>
              </w:rPr>
              <w:t>Coef</w:t>
            </w:r>
            <w:proofErr w:type="spellEnd"/>
          </w:p>
        </w:tc>
        <w:tc>
          <w:tcPr>
            <w:tcW w:w="1024" w:type="dxa"/>
            <w:tcBorders>
              <w:top w:val="nil"/>
              <w:left w:val="nil"/>
              <w:bottom w:val="double" w:sz="6" w:space="0" w:color="auto"/>
              <w:right w:val="double" w:sz="6" w:space="0" w:color="auto"/>
            </w:tcBorders>
            <w:shd w:val="clear" w:color="000000" w:fill="FFFFFF"/>
            <w:noWrap/>
            <w:vAlign w:val="bottom"/>
            <w:hideMark/>
          </w:tcPr>
          <w:p w14:paraId="182065A1" w14:textId="77777777" w:rsidR="005C3210" w:rsidRPr="00537C6A" w:rsidRDefault="005C3210" w:rsidP="00586232">
            <w:pPr>
              <w:jc w:val="center"/>
              <w:rPr>
                <w:rFonts w:eastAsia="Times New Roman"/>
                <w:i/>
                <w:color w:val="000000"/>
                <w:sz w:val="22"/>
                <w:szCs w:val="22"/>
              </w:rPr>
            </w:pPr>
            <w:r w:rsidRPr="00537C6A">
              <w:rPr>
                <w:rFonts w:eastAsia="Times New Roman"/>
                <w:i/>
                <w:color w:val="000000"/>
                <w:sz w:val="22"/>
                <w:szCs w:val="22"/>
              </w:rPr>
              <w:t>t-stat</w:t>
            </w:r>
          </w:p>
        </w:tc>
        <w:tc>
          <w:tcPr>
            <w:tcW w:w="806" w:type="dxa"/>
            <w:tcBorders>
              <w:top w:val="nil"/>
              <w:left w:val="nil"/>
              <w:bottom w:val="double" w:sz="6" w:space="0" w:color="auto"/>
              <w:right w:val="nil"/>
            </w:tcBorders>
            <w:shd w:val="clear" w:color="000000" w:fill="FFFFFF"/>
            <w:noWrap/>
            <w:vAlign w:val="bottom"/>
            <w:hideMark/>
          </w:tcPr>
          <w:p w14:paraId="2DE7917B" w14:textId="053CBC4E" w:rsidR="005C3210" w:rsidRPr="00537C6A" w:rsidRDefault="00482043" w:rsidP="00586232">
            <w:pPr>
              <w:jc w:val="center"/>
              <w:rPr>
                <w:rFonts w:eastAsia="Times New Roman"/>
                <w:i/>
                <w:color w:val="000000"/>
                <w:sz w:val="22"/>
                <w:szCs w:val="22"/>
              </w:rPr>
            </w:pPr>
            <w:proofErr w:type="spellStart"/>
            <w:r>
              <w:rPr>
                <w:rFonts w:eastAsia="Times New Roman"/>
                <w:i/>
                <w:color w:val="000000"/>
                <w:sz w:val="22"/>
                <w:szCs w:val="22"/>
              </w:rPr>
              <w:t>Coef</w:t>
            </w:r>
            <w:proofErr w:type="spellEnd"/>
          </w:p>
        </w:tc>
        <w:tc>
          <w:tcPr>
            <w:tcW w:w="954" w:type="dxa"/>
            <w:tcBorders>
              <w:top w:val="nil"/>
              <w:left w:val="nil"/>
              <w:bottom w:val="double" w:sz="6" w:space="0" w:color="auto"/>
              <w:right w:val="double" w:sz="6" w:space="0" w:color="auto"/>
            </w:tcBorders>
            <w:shd w:val="clear" w:color="000000" w:fill="FFFFFF"/>
            <w:noWrap/>
            <w:vAlign w:val="bottom"/>
            <w:hideMark/>
          </w:tcPr>
          <w:p w14:paraId="27C4EACF" w14:textId="77777777" w:rsidR="005C3210" w:rsidRPr="00537C6A" w:rsidRDefault="005C3210" w:rsidP="00586232">
            <w:pPr>
              <w:jc w:val="center"/>
              <w:rPr>
                <w:rFonts w:eastAsia="Times New Roman"/>
                <w:i/>
                <w:color w:val="000000"/>
                <w:sz w:val="22"/>
                <w:szCs w:val="22"/>
              </w:rPr>
            </w:pPr>
            <w:r w:rsidRPr="00537C6A">
              <w:rPr>
                <w:rFonts w:eastAsia="Times New Roman"/>
                <w:i/>
                <w:color w:val="000000"/>
                <w:sz w:val="22"/>
                <w:szCs w:val="22"/>
              </w:rPr>
              <w:t>t-stat</w:t>
            </w:r>
          </w:p>
        </w:tc>
      </w:tr>
      <w:tr w:rsidR="005C3210" w:rsidRPr="00537C6A" w14:paraId="06D8576F" w14:textId="77777777" w:rsidTr="00117833">
        <w:trPr>
          <w:trHeight w:val="20"/>
        </w:trPr>
        <w:tc>
          <w:tcPr>
            <w:tcW w:w="3510" w:type="dxa"/>
            <w:tcBorders>
              <w:top w:val="nil"/>
              <w:left w:val="double" w:sz="6" w:space="0" w:color="auto"/>
              <w:bottom w:val="double" w:sz="6" w:space="0" w:color="auto"/>
              <w:right w:val="nil"/>
            </w:tcBorders>
            <w:shd w:val="clear" w:color="000000" w:fill="D9D9D9"/>
            <w:noWrap/>
            <w:vAlign w:val="bottom"/>
            <w:hideMark/>
          </w:tcPr>
          <w:p w14:paraId="2C621AB9"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Exogenous Variables</w:t>
            </w:r>
          </w:p>
        </w:tc>
        <w:tc>
          <w:tcPr>
            <w:tcW w:w="811" w:type="dxa"/>
            <w:tcBorders>
              <w:top w:val="nil"/>
              <w:left w:val="nil"/>
              <w:bottom w:val="double" w:sz="6" w:space="0" w:color="auto"/>
              <w:right w:val="nil"/>
            </w:tcBorders>
            <w:shd w:val="clear" w:color="000000" w:fill="D9D9D9"/>
            <w:noWrap/>
            <w:vAlign w:val="bottom"/>
            <w:hideMark/>
          </w:tcPr>
          <w:p w14:paraId="4AA7EA39"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99" w:type="dxa"/>
            <w:tcBorders>
              <w:top w:val="nil"/>
              <w:left w:val="nil"/>
              <w:bottom w:val="double" w:sz="6" w:space="0" w:color="auto"/>
              <w:right w:val="nil"/>
            </w:tcBorders>
            <w:shd w:val="clear" w:color="000000" w:fill="D9D9D9"/>
            <w:noWrap/>
            <w:vAlign w:val="bottom"/>
            <w:hideMark/>
          </w:tcPr>
          <w:p w14:paraId="26D15D55"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54" w:type="dxa"/>
            <w:tcBorders>
              <w:top w:val="nil"/>
              <w:left w:val="nil"/>
              <w:bottom w:val="double" w:sz="6" w:space="0" w:color="auto"/>
              <w:right w:val="nil"/>
            </w:tcBorders>
            <w:shd w:val="clear" w:color="000000" w:fill="D9D9D9"/>
            <w:noWrap/>
            <w:vAlign w:val="bottom"/>
            <w:hideMark/>
          </w:tcPr>
          <w:p w14:paraId="48F64A70"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911" w:type="dxa"/>
            <w:tcBorders>
              <w:top w:val="nil"/>
              <w:left w:val="nil"/>
              <w:bottom w:val="double" w:sz="6" w:space="0" w:color="auto"/>
              <w:right w:val="nil"/>
            </w:tcBorders>
            <w:shd w:val="clear" w:color="000000" w:fill="D9D9D9"/>
            <w:noWrap/>
            <w:vAlign w:val="bottom"/>
            <w:hideMark/>
          </w:tcPr>
          <w:p w14:paraId="2B928C3F"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80" w:type="dxa"/>
            <w:tcBorders>
              <w:top w:val="nil"/>
              <w:left w:val="nil"/>
              <w:bottom w:val="double" w:sz="6" w:space="0" w:color="auto"/>
              <w:right w:val="nil"/>
            </w:tcBorders>
            <w:shd w:val="clear" w:color="000000" w:fill="D9D9D9"/>
            <w:noWrap/>
            <w:vAlign w:val="bottom"/>
            <w:hideMark/>
          </w:tcPr>
          <w:p w14:paraId="301B1365"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80" w:type="dxa"/>
            <w:tcBorders>
              <w:top w:val="nil"/>
              <w:left w:val="nil"/>
              <w:bottom w:val="double" w:sz="6" w:space="0" w:color="auto"/>
              <w:right w:val="nil"/>
            </w:tcBorders>
            <w:shd w:val="clear" w:color="000000" w:fill="D9D9D9"/>
            <w:noWrap/>
            <w:vAlign w:val="bottom"/>
            <w:hideMark/>
          </w:tcPr>
          <w:p w14:paraId="19C3E09C"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61" w:type="dxa"/>
            <w:tcBorders>
              <w:top w:val="nil"/>
              <w:left w:val="nil"/>
              <w:bottom w:val="double" w:sz="6" w:space="0" w:color="auto"/>
              <w:right w:val="nil"/>
            </w:tcBorders>
            <w:shd w:val="clear" w:color="000000" w:fill="D9D9D9"/>
            <w:noWrap/>
            <w:vAlign w:val="bottom"/>
            <w:hideMark/>
          </w:tcPr>
          <w:p w14:paraId="0A8C8F20"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1019" w:type="dxa"/>
            <w:tcBorders>
              <w:top w:val="nil"/>
              <w:left w:val="nil"/>
              <w:bottom w:val="double" w:sz="6" w:space="0" w:color="auto"/>
              <w:right w:val="nil"/>
            </w:tcBorders>
            <w:shd w:val="clear" w:color="000000" w:fill="D9D9D9"/>
            <w:noWrap/>
            <w:vAlign w:val="bottom"/>
            <w:hideMark/>
          </w:tcPr>
          <w:p w14:paraId="4D5B78EB"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61" w:type="dxa"/>
            <w:tcBorders>
              <w:top w:val="nil"/>
              <w:left w:val="nil"/>
              <w:bottom w:val="double" w:sz="6" w:space="0" w:color="auto"/>
              <w:right w:val="nil"/>
            </w:tcBorders>
            <w:shd w:val="clear" w:color="000000" w:fill="D9D9D9"/>
            <w:noWrap/>
            <w:vAlign w:val="bottom"/>
            <w:hideMark/>
          </w:tcPr>
          <w:p w14:paraId="493AB559"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1024" w:type="dxa"/>
            <w:tcBorders>
              <w:top w:val="nil"/>
              <w:left w:val="nil"/>
              <w:bottom w:val="double" w:sz="6" w:space="0" w:color="auto"/>
              <w:right w:val="nil"/>
            </w:tcBorders>
            <w:shd w:val="clear" w:color="000000" w:fill="D9D9D9"/>
            <w:noWrap/>
            <w:vAlign w:val="bottom"/>
            <w:hideMark/>
          </w:tcPr>
          <w:p w14:paraId="6C4BF956"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06" w:type="dxa"/>
            <w:tcBorders>
              <w:top w:val="nil"/>
              <w:left w:val="nil"/>
              <w:bottom w:val="double" w:sz="6" w:space="0" w:color="auto"/>
              <w:right w:val="nil"/>
            </w:tcBorders>
            <w:shd w:val="clear" w:color="000000" w:fill="D9D9D9"/>
            <w:noWrap/>
            <w:vAlign w:val="bottom"/>
            <w:hideMark/>
          </w:tcPr>
          <w:p w14:paraId="39A9488F"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954" w:type="dxa"/>
            <w:tcBorders>
              <w:top w:val="nil"/>
              <w:left w:val="nil"/>
              <w:bottom w:val="double" w:sz="6" w:space="0" w:color="auto"/>
              <w:right w:val="double" w:sz="6" w:space="0" w:color="auto"/>
            </w:tcBorders>
            <w:shd w:val="clear" w:color="000000" w:fill="D9D9D9"/>
            <w:noWrap/>
            <w:vAlign w:val="bottom"/>
            <w:hideMark/>
          </w:tcPr>
          <w:p w14:paraId="2E517A94"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r>
      <w:tr w:rsidR="005C3210" w:rsidRPr="00537C6A" w14:paraId="00525023" w14:textId="77777777" w:rsidTr="00117833">
        <w:trPr>
          <w:trHeight w:val="20"/>
        </w:trPr>
        <w:tc>
          <w:tcPr>
            <w:tcW w:w="5220" w:type="dxa"/>
            <w:gridSpan w:val="3"/>
            <w:tcBorders>
              <w:top w:val="nil"/>
              <w:left w:val="double" w:sz="6" w:space="0" w:color="auto"/>
              <w:bottom w:val="double" w:sz="6" w:space="0" w:color="auto"/>
              <w:right w:val="nil"/>
            </w:tcBorders>
            <w:shd w:val="clear" w:color="000000" w:fill="F2F2F2"/>
            <w:noWrap/>
            <w:vAlign w:val="bottom"/>
            <w:hideMark/>
          </w:tcPr>
          <w:p w14:paraId="349F04BB" w14:textId="77777777" w:rsidR="005C3210" w:rsidRPr="00537C6A" w:rsidRDefault="005C3210" w:rsidP="00586232">
            <w:pPr>
              <w:jc w:val="left"/>
              <w:rPr>
                <w:rFonts w:eastAsia="Times New Roman"/>
                <w:i/>
                <w:iCs/>
                <w:color w:val="000000"/>
                <w:sz w:val="22"/>
                <w:szCs w:val="22"/>
              </w:rPr>
            </w:pPr>
            <w:r w:rsidRPr="00537C6A">
              <w:rPr>
                <w:rFonts w:eastAsia="Times New Roman"/>
                <w:i/>
                <w:iCs/>
                <w:color w:val="000000"/>
                <w:sz w:val="22"/>
                <w:szCs w:val="22"/>
              </w:rPr>
              <w:t>Household income (base: ≥$100,000)</w:t>
            </w:r>
            <w:r w:rsidRPr="00537C6A">
              <w:rPr>
                <w:rFonts w:eastAsia="Times New Roman"/>
                <w:b/>
                <w:bCs/>
                <w:color w:val="000000"/>
                <w:sz w:val="22"/>
                <w:szCs w:val="22"/>
              </w:rPr>
              <w:t> </w:t>
            </w:r>
          </w:p>
        </w:tc>
        <w:tc>
          <w:tcPr>
            <w:tcW w:w="854" w:type="dxa"/>
            <w:tcBorders>
              <w:top w:val="nil"/>
              <w:left w:val="nil"/>
              <w:bottom w:val="double" w:sz="6" w:space="0" w:color="auto"/>
              <w:right w:val="nil"/>
            </w:tcBorders>
            <w:shd w:val="clear" w:color="000000" w:fill="F2F2F2"/>
            <w:noWrap/>
            <w:vAlign w:val="bottom"/>
            <w:hideMark/>
          </w:tcPr>
          <w:p w14:paraId="538557BE"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911" w:type="dxa"/>
            <w:tcBorders>
              <w:top w:val="nil"/>
              <w:left w:val="nil"/>
              <w:bottom w:val="double" w:sz="6" w:space="0" w:color="auto"/>
              <w:right w:val="nil"/>
            </w:tcBorders>
            <w:shd w:val="clear" w:color="000000" w:fill="F2F2F2"/>
            <w:noWrap/>
            <w:vAlign w:val="bottom"/>
            <w:hideMark/>
          </w:tcPr>
          <w:p w14:paraId="3D83FDBF"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80" w:type="dxa"/>
            <w:tcBorders>
              <w:top w:val="nil"/>
              <w:left w:val="nil"/>
              <w:bottom w:val="double" w:sz="6" w:space="0" w:color="auto"/>
              <w:right w:val="nil"/>
            </w:tcBorders>
            <w:shd w:val="clear" w:color="000000" w:fill="F2F2F2"/>
            <w:noWrap/>
            <w:vAlign w:val="bottom"/>
            <w:hideMark/>
          </w:tcPr>
          <w:p w14:paraId="0BAA6D8B"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80" w:type="dxa"/>
            <w:tcBorders>
              <w:top w:val="nil"/>
              <w:left w:val="nil"/>
              <w:bottom w:val="double" w:sz="6" w:space="0" w:color="auto"/>
              <w:right w:val="nil"/>
            </w:tcBorders>
            <w:shd w:val="clear" w:color="000000" w:fill="F2F2F2"/>
            <w:noWrap/>
            <w:vAlign w:val="bottom"/>
            <w:hideMark/>
          </w:tcPr>
          <w:p w14:paraId="24392937"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61" w:type="dxa"/>
            <w:tcBorders>
              <w:top w:val="nil"/>
              <w:left w:val="nil"/>
              <w:bottom w:val="double" w:sz="6" w:space="0" w:color="auto"/>
              <w:right w:val="nil"/>
            </w:tcBorders>
            <w:shd w:val="clear" w:color="000000" w:fill="F2F2F2"/>
            <w:noWrap/>
            <w:vAlign w:val="bottom"/>
            <w:hideMark/>
          </w:tcPr>
          <w:p w14:paraId="3FEEF3E7"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1019" w:type="dxa"/>
            <w:tcBorders>
              <w:top w:val="nil"/>
              <w:left w:val="nil"/>
              <w:bottom w:val="double" w:sz="6" w:space="0" w:color="auto"/>
              <w:right w:val="nil"/>
            </w:tcBorders>
            <w:shd w:val="clear" w:color="000000" w:fill="F2F2F2"/>
            <w:noWrap/>
            <w:vAlign w:val="bottom"/>
            <w:hideMark/>
          </w:tcPr>
          <w:p w14:paraId="4D0FC55A"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61" w:type="dxa"/>
            <w:tcBorders>
              <w:top w:val="nil"/>
              <w:left w:val="nil"/>
              <w:bottom w:val="double" w:sz="6" w:space="0" w:color="auto"/>
              <w:right w:val="nil"/>
            </w:tcBorders>
            <w:shd w:val="clear" w:color="000000" w:fill="F2F2F2"/>
            <w:noWrap/>
            <w:vAlign w:val="bottom"/>
            <w:hideMark/>
          </w:tcPr>
          <w:p w14:paraId="7112DEC4"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1024" w:type="dxa"/>
            <w:tcBorders>
              <w:top w:val="nil"/>
              <w:left w:val="nil"/>
              <w:bottom w:val="double" w:sz="6" w:space="0" w:color="auto"/>
              <w:right w:val="nil"/>
            </w:tcBorders>
            <w:shd w:val="clear" w:color="000000" w:fill="F2F2F2"/>
            <w:noWrap/>
            <w:vAlign w:val="bottom"/>
            <w:hideMark/>
          </w:tcPr>
          <w:p w14:paraId="7BF8F392"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06" w:type="dxa"/>
            <w:tcBorders>
              <w:top w:val="nil"/>
              <w:left w:val="nil"/>
              <w:bottom w:val="double" w:sz="6" w:space="0" w:color="auto"/>
              <w:right w:val="nil"/>
            </w:tcBorders>
            <w:shd w:val="clear" w:color="000000" w:fill="F2F2F2"/>
            <w:noWrap/>
            <w:vAlign w:val="bottom"/>
            <w:hideMark/>
          </w:tcPr>
          <w:p w14:paraId="18A5174F"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954" w:type="dxa"/>
            <w:tcBorders>
              <w:top w:val="nil"/>
              <w:left w:val="nil"/>
              <w:bottom w:val="double" w:sz="6" w:space="0" w:color="auto"/>
              <w:right w:val="double" w:sz="6" w:space="0" w:color="auto"/>
            </w:tcBorders>
            <w:shd w:val="clear" w:color="000000" w:fill="F2F2F2"/>
            <w:noWrap/>
            <w:vAlign w:val="bottom"/>
            <w:hideMark/>
          </w:tcPr>
          <w:p w14:paraId="107C0180"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r>
      <w:tr w:rsidR="005C3210" w:rsidRPr="00537C6A" w14:paraId="3AC37CAE" w14:textId="77777777" w:rsidTr="00117833">
        <w:trPr>
          <w:trHeight w:val="20"/>
        </w:trPr>
        <w:tc>
          <w:tcPr>
            <w:tcW w:w="3510" w:type="dxa"/>
            <w:tcBorders>
              <w:top w:val="nil"/>
              <w:left w:val="double" w:sz="6" w:space="0" w:color="auto"/>
              <w:bottom w:val="nil"/>
              <w:right w:val="double" w:sz="6" w:space="0" w:color="auto"/>
            </w:tcBorders>
            <w:shd w:val="clear" w:color="000000" w:fill="FFFFFF"/>
            <w:noWrap/>
            <w:vAlign w:val="bottom"/>
            <w:hideMark/>
          </w:tcPr>
          <w:p w14:paraId="70D910E0"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&lt; $25,000</w:t>
            </w:r>
          </w:p>
        </w:tc>
        <w:tc>
          <w:tcPr>
            <w:tcW w:w="811" w:type="dxa"/>
            <w:tcBorders>
              <w:top w:val="nil"/>
              <w:left w:val="nil"/>
              <w:bottom w:val="nil"/>
              <w:right w:val="nil"/>
            </w:tcBorders>
            <w:shd w:val="clear" w:color="000000" w:fill="FFFFFF"/>
            <w:noWrap/>
            <w:vAlign w:val="bottom"/>
            <w:hideMark/>
          </w:tcPr>
          <w:p w14:paraId="52694A20"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-0.262</w:t>
            </w:r>
          </w:p>
        </w:tc>
        <w:tc>
          <w:tcPr>
            <w:tcW w:w="899" w:type="dxa"/>
            <w:tcBorders>
              <w:top w:val="nil"/>
              <w:left w:val="nil"/>
              <w:bottom w:val="nil"/>
              <w:right w:val="double" w:sz="6" w:space="0" w:color="auto"/>
            </w:tcBorders>
            <w:shd w:val="clear" w:color="000000" w:fill="FFFFFF"/>
            <w:noWrap/>
            <w:vAlign w:val="bottom"/>
            <w:hideMark/>
          </w:tcPr>
          <w:p w14:paraId="2C4D934E"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-10.062</w:t>
            </w:r>
          </w:p>
        </w:tc>
        <w:tc>
          <w:tcPr>
            <w:tcW w:w="854" w:type="dxa"/>
            <w:tcBorders>
              <w:top w:val="nil"/>
              <w:left w:val="nil"/>
              <w:bottom w:val="nil"/>
              <w:right w:val="nil"/>
            </w:tcBorders>
            <w:shd w:val="clear" w:color="000000" w:fill="FFFFFF"/>
            <w:noWrap/>
            <w:vAlign w:val="bottom"/>
            <w:hideMark/>
          </w:tcPr>
          <w:p w14:paraId="3718DD78"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-0.197</w:t>
            </w:r>
          </w:p>
        </w:tc>
        <w:tc>
          <w:tcPr>
            <w:tcW w:w="911" w:type="dxa"/>
            <w:tcBorders>
              <w:top w:val="nil"/>
              <w:left w:val="nil"/>
              <w:bottom w:val="nil"/>
              <w:right w:val="double" w:sz="6" w:space="0" w:color="auto"/>
            </w:tcBorders>
            <w:shd w:val="clear" w:color="000000" w:fill="FFFFFF"/>
            <w:noWrap/>
            <w:vAlign w:val="bottom"/>
            <w:hideMark/>
          </w:tcPr>
          <w:p w14:paraId="4FF51F08"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-5.290</w:t>
            </w:r>
          </w:p>
        </w:tc>
        <w:tc>
          <w:tcPr>
            <w:tcW w:w="880" w:type="dxa"/>
            <w:tcBorders>
              <w:top w:val="nil"/>
              <w:left w:val="nil"/>
              <w:bottom w:val="nil"/>
              <w:right w:val="nil"/>
            </w:tcBorders>
            <w:shd w:val="clear" w:color="000000" w:fill="FFFFFF"/>
            <w:noWrap/>
            <w:vAlign w:val="bottom"/>
            <w:hideMark/>
          </w:tcPr>
          <w:p w14:paraId="09B458F7"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-0.277</w:t>
            </w:r>
          </w:p>
        </w:tc>
        <w:tc>
          <w:tcPr>
            <w:tcW w:w="880" w:type="dxa"/>
            <w:tcBorders>
              <w:top w:val="nil"/>
              <w:left w:val="nil"/>
              <w:bottom w:val="nil"/>
              <w:right w:val="double" w:sz="6" w:space="0" w:color="auto"/>
            </w:tcBorders>
            <w:shd w:val="clear" w:color="000000" w:fill="FFFFFF"/>
            <w:noWrap/>
            <w:vAlign w:val="bottom"/>
            <w:hideMark/>
          </w:tcPr>
          <w:p w14:paraId="66C5B426"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-7.657</w:t>
            </w:r>
          </w:p>
        </w:tc>
        <w:tc>
          <w:tcPr>
            <w:tcW w:w="861" w:type="dxa"/>
            <w:tcBorders>
              <w:top w:val="nil"/>
              <w:left w:val="nil"/>
              <w:bottom w:val="nil"/>
              <w:right w:val="nil"/>
            </w:tcBorders>
            <w:shd w:val="clear" w:color="000000" w:fill="FFFFFF"/>
            <w:noWrap/>
            <w:vAlign w:val="bottom"/>
            <w:hideMark/>
          </w:tcPr>
          <w:p w14:paraId="499D0D64"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1019" w:type="dxa"/>
            <w:tcBorders>
              <w:top w:val="nil"/>
              <w:left w:val="nil"/>
              <w:bottom w:val="nil"/>
              <w:right w:val="double" w:sz="6" w:space="0" w:color="auto"/>
            </w:tcBorders>
            <w:shd w:val="clear" w:color="000000" w:fill="FFFFFF"/>
            <w:noWrap/>
            <w:vAlign w:val="bottom"/>
            <w:hideMark/>
          </w:tcPr>
          <w:p w14:paraId="29178B46"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861" w:type="dxa"/>
            <w:tcBorders>
              <w:top w:val="nil"/>
              <w:left w:val="nil"/>
              <w:bottom w:val="nil"/>
              <w:right w:val="nil"/>
            </w:tcBorders>
            <w:shd w:val="clear" w:color="000000" w:fill="FFFFFF"/>
            <w:noWrap/>
            <w:vAlign w:val="bottom"/>
            <w:hideMark/>
          </w:tcPr>
          <w:p w14:paraId="0746BD06"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0.061</w:t>
            </w:r>
          </w:p>
        </w:tc>
        <w:tc>
          <w:tcPr>
            <w:tcW w:w="1024" w:type="dxa"/>
            <w:tcBorders>
              <w:top w:val="nil"/>
              <w:left w:val="nil"/>
              <w:bottom w:val="nil"/>
              <w:right w:val="double" w:sz="6" w:space="0" w:color="auto"/>
            </w:tcBorders>
            <w:shd w:val="clear" w:color="000000" w:fill="FFFFFF"/>
            <w:noWrap/>
            <w:vAlign w:val="bottom"/>
            <w:hideMark/>
          </w:tcPr>
          <w:p w14:paraId="3FCE3252"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2.516</w:t>
            </w:r>
          </w:p>
        </w:tc>
        <w:tc>
          <w:tcPr>
            <w:tcW w:w="806" w:type="dxa"/>
            <w:tcBorders>
              <w:top w:val="nil"/>
              <w:left w:val="nil"/>
              <w:bottom w:val="nil"/>
              <w:right w:val="nil"/>
            </w:tcBorders>
            <w:shd w:val="clear" w:color="000000" w:fill="FFFFFF"/>
            <w:noWrap/>
            <w:vAlign w:val="bottom"/>
            <w:hideMark/>
          </w:tcPr>
          <w:p w14:paraId="646D54E5"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-0.277</w:t>
            </w:r>
          </w:p>
        </w:tc>
        <w:tc>
          <w:tcPr>
            <w:tcW w:w="954" w:type="dxa"/>
            <w:tcBorders>
              <w:top w:val="nil"/>
              <w:left w:val="nil"/>
              <w:bottom w:val="nil"/>
              <w:right w:val="double" w:sz="6" w:space="0" w:color="auto"/>
            </w:tcBorders>
            <w:shd w:val="clear" w:color="000000" w:fill="FFFFFF"/>
            <w:noWrap/>
            <w:vAlign w:val="bottom"/>
            <w:hideMark/>
          </w:tcPr>
          <w:p w14:paraId="515EBE9D"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-14.676</w:t>
            </w:r>
          </w:p>
        </w:tc>
      </w:tr>
      <w:tr w:rsidR="005C3210" w:rsidRPr="00537C6A" w14:paraId="601A951E" w14:textId="77777777" w:rsidTr="00117833">
        <w:trPr>
          <w:trHeight w:val="20"/>
        </w:trPr>
        <w:tc>
          <w:tcPr>
            <w:tcW w:w="3510" w:type="dxa"/>
            <w:tcBorders>
              <w:top w:val="nil"/>
              <w:left w:val="double" w:sz="6" w:space="0" w:color="auto"/>
              <w:bottom w:val="nil"/>
              <w:right w:val="double" w:sz="6" w:space="0" w:color="auto"/>
            </w:tcBorders>
            <w:shd w:val="clear" w:color="000000" w:fill="FFFFFF"/>
            <w:noWrap/>
            <w:vAlign w:val="bottom"/>
            <w:hideMark/>
          </w:tcPr>
          <w:p w14:paraId="7892EB69"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$25,000-$49,999</w:t>
            </w:r>
          </w:p>
        </w:tc>
        <w:tc>
          <w:tcPr>
            <w:tcW w:w="811" w:type="dxa"/>
            <w:tcBorders>
              <w:top w:val="nil"/>
              <w:left w:val="nil"/>
              <w:bottom w:val="nil"/>
              <w:right w:val="nil"/>
            </w:tcBorders>
            <w:shd w:val="clear" w:color="000000" w:fill="FFFFFF"/>
            <w:noWrap/>
            <w:vAlign w:val="bottom"/>
            <w:hideMark/>
          </w:tcPr>
          <w:p w14:paraId="375E10EF"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-0.262</w:t>
            </w:r>
          </w:p>
        </w:tc>
        <w:tc>
          <w:tcPr>
            <w:tcW w:w="899" w:type="dxa"/>
            <w:tcBorders>
              <w:top w:val="nil"/>
              <w:left w:val="nil"/>
              <w:bottom w:val="nil"/>
              <w:right w:val="double" w:sz="6" w:space="0" w:color="auto"/>
            </w:tcBorders>
            <w:shd w:val="clear" w:color="000000" w:fill="FFFFFF"/>
            <w:noWrap/>
            <w:vAlign w:val="bottom"/>
            <w:hideMark/>
          </w:tcPr>
          <w:p w14:paraId="2EBC68FB"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-10.062</w:t>
            </w:r>
          </w:p>
        </w:tc>
        <w:tc>
          <w:tcPr>
            <w:tcW w:w="854" w:type="dxa"/>
            <w:tcBorders>
              <w:top w:val="nil"/>
              <w:left w:val="nil"/>
              <w:bottom w:val="nil"/>
              <w:right w:val="nil"/>
            </w:tcBorders>
            <w:shd w:val="clear" w:color="000000" w:fill="FFFFFF"/>
            <w:noWrap/>
            <w:vAlign w:val="bottom"/>
            <w:hideMark/>
          </w:tcPr>
          <w:p w14:paraId="0D143BF4"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-0.197</w:t>
            </w:r>
          </w:p>
        </w:tc>
        <w:tc>
          <w:tcPr>
            <w:tcW w:w="911" w:type="dxa"/>
            <w:tcBorders>
              <w:top w:val="nil"/>
              <w:left w:val="nil"/>
              <w:bottom w:val="nil"/>
              <w:right w:val="double" w:sz="6" w:space="0" w:color="auto"/>
            </w:tcBorders>
            <w:shd w:val="clear" w:color="000000" w:fill="FFFFFF"/>
            <w:noWrap/>
            <w:vAlign w:val="bottom"/>
            <w:hideMark/>
          </w:tcPr>
          <w:p w14:paraId="5C4CC027"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-5.290</w:t>
            </w:r>
          </w:p>
        </w:tc>
        <w:tc>
          <w:tcPr>
            <w:tcW w:w="880" w:type="dxa"/>
            <w:tcBorders>
              <w:top w:val="nil"/>
              <w:left w:val="nil"/>
              <w:bottom w:val="nil"/>
              <w:right w:val="nil"/>
            </w:tcBorders>
            <w:shd w:val="clear" w:color="000000" w:fill="FFFFFF"/>
            <w:noWrap/>
            <w:vAlign w:val="bottom"/>
            <w:hideMark/>
          </w:tcPr>
          <w:p w14:paraId="07748112"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-0.277</w:t>
            </w:r>
          </w:p>
        </w:tc>
        <w:tc>
          <w:tcPr>
            <w:tcW w:w="880" w:type="dxa"/>
            <w:tcBorders>
              <w:top w:val="nil"/>
              <w:left w:val="nil"/>
              <w:bottom w:val="nil"/>
              <w:right w:val="double" w:sz="6" w:space="0" w:color="auto"/>
            </w:tcBorders>
            <w:shd w:val="clear" w:color="000000" w:fill="FFFFFF"/>
            <w:noWrap/>
            <w:vAlign w:val="bottom"/>
            <w:hideMark/>
          </w:tcPr>
          <w:p w14:paraId="1B884E68"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-7.657</w:t>
            </w:r>
          </w:p>
        </w:tc>
        <w:tc>
          <w:tcPr>
            <w:tcW w:w="861" w:type="dxa"/>
            <w:tcBorders>
              <w:top w:val="nil"/>
              <w:left w:val="nil"/>
              <w:bottom w:val="nil"/>
              <w:right w:val="nil"/>
            </w:tcBorders>
            <w:shd w:val="clear" w:color="000000" w:fill="FFFFFF"/>
            <w:noWrap/>
            <w:vAlign w:val="bottom"/>
            <w:hideMark/>
          </w:tcPr>
          <w:p w14:paraId="5734AE77"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1019" w:type="dxa"/>
            <w:tcBorders>
              <w:top w:val="nil"/>
              <w:left w:val="nil"/>
              <w:bottom w:val="nil"/>
              <w:right w:val="double" w:sz="6" w:space="0" w:color="auto"/>
            </w:tcBorders>
            <w:shd w:val="clear" w:color="000000" w:fill="FFFFFF"/>
            <w:noWrap/>
            <w:vAlign w:val="bottom"/>
            <w:hideMark/>
          </w:tcPr>
          <w:p w14:paraId="1B15FE66"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861" w:type="dxa"/>
            <w:tcBorders>
              <w:top w:val="nil"/>
              <w:left w:val="nil"/>
              <w:bottom w:val="nil"/>
              <w:right w:val="nil"/>
            </w:tcBorders>
            <w:shd w:val="clear" w:color="000000" w:fill="FFFFFF"/>
            <w:noWrap/>
            <w:vAlign w:val="bottom"/>
            <w:hideMark/>
          </w:tcPr>
          <w:p w14:paraId="35CD4980"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0.061</w:t>
            </w:r>
          </w:p>
        </w:tc>
        <w:tc>
          <w:tcPr>
            <w:tcW w:w="1024" w:type="dxa"/>
            <w:tcBorders>
              <w:top w:val="nil"/>
              <w:left w:val="nil"/>
              <w:bottom w:val="nil"/>
              <w:right w:val="double" w:sz="6" w:space="0" w:color="auto"/>
            </w:tcBorders>
            <w:shd w:val="clear" w:color="000000" w:fill="FFFFFF"/>
            <w:noWrap/>
            <w:vAlign w:val="bottom"/>
            <w:hideMark/>
          </w:tcPr>
          <w:p w14:paraId="1F89810E"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2.516</w:t>
            </w:r>
          </w:p>
        </w:tc>
        <w:tc>
          <w:tcPr>
            <w:tcW w:w="806" w:type="dxa"/>
            <w:tcBorders>
              <w:top w:val="nil"/>
              <w:left w:val="nil"/>
              <w:bottom w:val="nil"/>
              <w:right w:val="nil"/>
            </w:tcBorders>
            <w:shd w:val="clear" w:color="000000" w:fill="FFFFFF"/>
            <w:noWrap/>
            <w:vAlign w:val="bottom"/>
            <w:hideMark/>
          </w:tcPr>
          <w:p w14:paraId="7928A97C"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-0.277</w:t>
            </w:r>
          </w:p>
        </w:tc>
        <w:tc>
          <w:tcPr>
            <w:tcW w:w="954" w:type="dxa"/>
            <w:tcBorders>
              <w:top w:val="nil"/>
              <w:left w:val="nil"/>
              <w:bottom w:val="nil"/>
              <w:right w:val="double" w:sz="6" w:space="0" w:color="auto"/>
            </w:tcBorders>
            <w:shd w:val="clear" w:color="000000" w:fill="FFFFFF"/>
            <w:noWrap/>
            <w:vAlign w:val="bottom"/>
            <w:hideMark/>
          </w:tcPr>
          <w:p w14:paraId="27FAEB1E"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-14.676</w:t>
            </w:r>
          </w:p>
        </w:tc>
      </w:tr>
      <w:tr w:rsidR="005C3210" w:rsidRPr="00537C6A" w14:paraId="57B773B2" w14:textId="77777777" w:rsidTr="00117833">
        <w:trPr>
          <w:trHeight w:val="20"/>
        </w:trPr>
        <w:tc>
          <w:tcPr>
            <w:tcW w:w="3510" w:type="dxa"/>
            <w:tcBorders>
              <w:top w:val="nil"/>
              <w:left w:val="double" w:sz="6" w:space="0" w:color="auto"/>
              <w:bottom w:val="nil"/>
              <w:right w:val="double" w:sz="6" w:space="0" w:color="auto"/>
            </w:tcBorders>
            <w:shd w:val="clear" w:color="000000" w:fill="FFFFFF"/>
            <w:noWrap/>
            <w:vAlign w:val="bottom"/>
            <w:hideMark/>
          </w:tcPr>
          <w:p w14:paraId="76D79B14"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$50,000-$74,999</w:t>
            </w:r>
          </w:p>
        </w:tc>
        <w:tc>
          <w:tcPr>
            <w:tcW w:w="811" w:type="dxa"/>
            <w:tcBorders>
              <w:top w:val="nil"/>
              <w:left w:val="nil"/>
              <w:bottom w:val="nil"/>
              <w:right w:val="nil"/>
            </w:tcBorders>
            <w:shd w:val="clear" w:color="000000" w:fill="FFFFFF"/>
            <w:noWrap/>
            <w:vAlign w:val="bottom"/>
            <w:hideMark/>
          </w:tcPr>
          <w:p w14:paraId="48653FC8"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-0.313</w:t>
            </w:r>
          </w:p>
        </w:tc>
        <w:tc>
          <w:tcPr>
            <w:tcW w:w="899" w:type="dxa"/>
            <w:tcBorders>
              <w:top w:val="nil"/>
              <w:left w:val="nil"/>
              <w:bottom w:val="nil"/>
              <w:right w:val="double" w:sz="6" w:space="0" w:color="auto"/>
            </w:tcBorders>
            <w:shd w:val="clear" w:color="000000" w:fill="FFFFFF"/>
            <w:noWrap/>
            <w:vAlign w:val="bottom"/>
            <w:hideMark/>
          </w:tcPr>
          <w:p w14:paraId="6F4CBCB0"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-12.243</w:t>
            </w:r>
          </w:p>
        </w:tc>
        <w:tc>
          <w:tcPr>
            <w:tcW w:w="854" w:type="dxa"/>
            <w:tcBorders>
              <w:top w:val="nil"/>
              <w:left w:val="nil"/>
              <w:bottom w:val="nil"/>
              <w:right w:val="nil"/>
            </w:tcBorders>
            <w:shd w:val="clear" w:color="000000" w:fill="FFFFFF"/>
            <w:noWrap/>
            <w:vAlign w:val="bottom"/>
            <w:hideMark/>
          </w:tcPr>
          <w:p w14:paraId="6DEF8E64"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911" w:type="dxa"/>
            <w:tcBorders>
              <w:top w:val="nil"/>
              <w:left w:val="nil"/>
              <w:bottom w:val="nil"/>
              <w:right w:val="double" w:sz="6" w:space="0" w:color="auto"/>
            </w:tcBorders>
            <w:shd w:val="clear" w:color="000000" w:fill="FFFFFF"/>
            <w:noWrap/>
            <w:vAlign w:val="bottom"/>
            <w:hideMark/>
          </w:tcPr>
          <w:p w14:paraId="1A36863F"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880" w:type="dxa"/>
            <w:tcBorders>
              <w:top w:val="nil"/>
              <w:left w:val="nil"/>
              <w:bottom w:val="nil"/>
              <w:right w:val="nil"/>
            </w:tcBorders>
            <w:shd w:val="clear" w:color="000000" w:fill="FFFFFF"/>
            <w:noWrap/>
            <w:vAlign w:val="bottom"/>
            <w:hideMark/>
          </w:tcPr>
          <w:p w14:paraId="38C8D25D"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-0.127</w:t>
            </w:r>
          </w:p>
        </w:tc>
        <w:tc>
          <w:tcPr>
            <w:tcW w:w="880" w:type="dxa"/>
            <w:tcBorders>
              <w:top w:val="nil"/>
              <w:left w:val="nil"/>
              <w:bottom w:val="nil"/>
              <w:right w:val="double" w:sz="6" w:space="0" w:color="auto"/>
            </w:tcBorders>
            <w:shd w:val="clear" w:color="000000" w:fill="FFFFFF"/>
            <w:noWrap/>
            <w:vAlign w:val="bottom"/>
            <w:hideMark/>
          </w:tcPr>
          <w:p w14:paraId="0B3B0B76"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-4.000</w:t>
            </w:r>
          </w:p>
        </w:tc>
        <w:tc>
          <w:tcPr>
            <w:tcW w:w="861" w:type="dxa"/>
            <w:tcBorders>
              <w:top w:val="nil"/>
              <w:left w:val="nil"/>
              <w:bottom w:val="nil"/>
              <w:right w:val="nil"/>
            </w:tcBorders>
            <w:shd w:val="clear" w:color="000000" w:fill="FFFFFF"/>
            <w:noWrap/>
            <w:vAlign w:val="bottom"/>
            <w:hideMark/>
          </w:tcPr>
          <w:p w14:paraId="733360E4"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0.113</w:t>
            </w:r>
          </w:p>
        </w:tc>
        <w:tc>
          <w:tcPr>
            <w:tcW w:w="1019" w:type="dxa"/>
            <w:tcBorders>
              <w:top w:val="nil"/>
              <w:left w:val="nil"/>
              <w:bottom w:val="nil"/>
              <w:right w:val="double" w:sz="6" w:space="0" w:color="auto"/>
            </w:tcBorders>
            <w:shd w:val="clear" w:color="000000" w:fill="FFFFFF"/>
            <w:noWrap/>
            <w:vAlign w:val="bottom"/>
            <w:hideMark/>
          </w:tcPr>
          <w:p w14:paraId="1518FF6B"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4.911</w:t>
            </w:r>
          </w:p>
        </w:tc>
        <w:tc>
          <w:tcPr>
            <w:tcW w:w="861" w:type="dxa"/>
            <w:tcBorders>
              <w:top w:val="nil"/>
              <w:left w:val="nil"/>
              <w:bottom w:val="nil"/>
              <w:right w:val="nil"/>
            </w:tcBorders>
            <w:shd w:val="clear" w:color="000000" w:fill="FFFFFF"/>
            <w:noWrap/>
            <w:vAlign w:val="bottom"/>
            <w:hideMark/>
          </w:tcPr>
          <w:p w14:paraId="7B0B779F"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0.178</w:t>
            </w:r>
          </w:p>
        </w:tc>
        <w:tc>
          <w:tcPr>
            <w:tcW w:w="1024" w:type="dxa"/>
            <w:tcBorders>
              <w:top w:val="nil"/>
              <w:left w:val="nil"/>
              <w:bottom w:val="nil"/>
              <w:right w:val="double" w:sz="6" w:space="0" w:color="auto"/>
            </w:tcBorders>
            <w:shd w:val="clear" w:color="000000" w:fill="FFFFFF"/>
            <w:noWrap/>
            <w:vAlign w:val="bottom"/>
            <w:hideMark/>
          </w:tcPr>
          <w:p w14:paraId="01F9011B"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8.241</w:t>
            </w:r>
          </w:p>
        </w:tc>
        <w:tc>
          <w:tcPr>
            <w:tcW w:w="806" w:type="dxa"/>
            <w:tcBorders>
              <w:top w:val="nil"/>
              <w:left w:val="nil"/>
              <w:bottom w:val="nil"/>
              <w:right w:val="nil"/>
            </w:tcBorders>
            <w:shd w:val="clear" w:color="000000" w:fill="FFFFFF"/>
            <w:noWrap/>
            <w:vAlign w:val="bottom"/>
            <w:hideMark/>
          </w:tcPr>
          <w:p w14:paraId="48AC237A"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-0.277</w:t>
            </w:r>
          </w:p>
        </w:tc>
        <w:tc>
          <w:tcPr>
            <w:tcW w:w="954" w:type="dxa"/>
            <w:tcBorders>
              <w:top w:val="nil"/>
              <w:left w:val="nil"/>
              <w:bottom w:val="nil"/>
              <w:right w:val="double" w:sz="6" w:space="0" w:color="auto"/>
            </w:tcBorders>
            <w:shd w:val="clear" w:color="000000" w:fill="FFFFFF"/>
            <w:noWrap/>
            <w:vAlign w:val="bottom"/>
            <w:hideMark/>
          </w:tcPr>
          <w:p w14:paraId="0ED9E1C8"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-14.676</w:t>
            </w:r>
          </w:p>
        </w:tc>
      </w:tr>
      <w:tr w:rsidR="005C3210" w:rsidRPr="00537C6A" w14:paraId="0D1E33B5" w14:textId="77777777" w:rsidTr="00117833">
        <w:trPr>
          <w:trHeight w:val="20"/>
        </w:trPr>
        <w:tc>
          <w:tcPr>
            <w:tcW w:w="3510" w:type="dxa"/>
            <w:tcBorders>
              <w:top w:val="nil"/>
              <w:left w:val="double" w:sz="6" w:space="0" w:color="auto"/>
              <w:bottom w:val="double" w:sz="6" w:space="0" w:color="auto"/>
              <w:right w:val="double" w:sz="6" w:space="0" w:color="auto"/>
            </w:tcBorders>
            <w:shd w:val="clear" w:color="000000" w:fill="FFFFFF"/>
            <w:noWrap/>
            <w:vAlign w:val="bottom"/>
            <w:hideMark/>
          </w:tcPr>
          <w:p w14:paraId="33DE5CCA"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$75,000-$99,999</w:t>
            </w:r>
          </w:p>
        </w:tc>
        <w:tc>
          <w:tcPr>
            <w:tcW w:w="811" w:type="dxa"/>
            <w:tcBorders>
              <w:top w:val="nil"/>
              <w:left w:val="nil"/>
              <w:bottom w:val="double" w:sz="6" w:space="0" w:color="auto"/>
              <w:right w:val="nil"/>
            </w:tcBorders>
            <w:shd w:val="clear" w:color="000000" w:fill="FFFFFF"/>
            <w:noWrap/>
            <w:vAlign w:val="bottom"/>
            <w:hideMark/>
          </w:tcPr>
          <w:p w14:paraId="749A8526"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-0.104</w:t>
            </w:r>
          </w:p>
        </w:tc>
        <w:tc>
          <w:tcPr>
            <w:tcW w:w="899" w:type="dxa"/>
            <w:tcBorders>
              <w:top w:val="nil"/>
              <w:left w:val="nil"/>
              <w:bottom w:val="double" w:sz="6" w:space="0" w:color="auto"/>
              <w:right w:val="double" w:sz="6" w:space="0" w:color="auto"/>
            </w:tcBorders>
            <w:shd w:val="clear" w:color="000000" w:fill="FFFFFF"/>
            <w:noWrap/>
            <w:vAlign w:val="bottom"/>
            <w:hideMark/>
          </w:tcPr>
          <w:p w14:paraId="66F305DA"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-3.782</w:t>
            </w:r>
          </w:p>
        </w:tc>
        <w:tc>
          <w:tcPr>
            <w:tcW w:w="854" w:type="dxa"/>
            <w:tcBorders>
              <w:top w:val="nil"/>
              <w:left w:val="nil"/>
              <w:bottom w:val="double" w:sz="6" w:space="0" w:color="auto"/>
              <w:right w:val="nil"/>
            </w:tcBorders>
            <w:shd w:val="clear" w:color="000000" w:fill="FFFFFF"/>
            <w:noWrap/>
            <w:vAlign w:val="bottom"/>
            <w:hideMark/>
          </w:tcPr>
          <w:p w14:paraId="14347090"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911" w:type="dxa"/>
            <w:tcBorders>
              <w:top w:val="nil"/>
              <w:left w:val="nil"/>
              <w:bottom w:val="double" w:sz="6" w:space="0" w:color="auto"/>
              <w:right w:val="double" w:sz="6" w:space="0" w:color="auto"/>
            </w:tcBorders>
            <w:shd w:val="clear" w:color="000000" w:fill="FFFFFF"/>
            <w:noWrap/>
            <w:vAlign w:val="bottom"/>
            <w:hideMark/>
          </w:tcPr>
          <w:p w14:paraId="3ACEFB29"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880" w:type="dxa"/>
            <w:tcBorders>
              <w:top w:val="nil"/>
              <w:left w:val="nil"/>
              <w:bottom w:val="double" w:sz="6" w:space="0" w:color="auto"/>
              <w:right w:val="nil"/>
            </w:tcBorders>
            <w:shd w:val="clear" w:color="000000" w:fill="FFFFFF"/>
            <w:noWrap/>
            <w:vAlign w:val="bottom"/>
            <w:hideMark/>
          </w:tcPr>
          <w:p w14:paraId="31862C3C"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-0.127</w:t>
            </w:r>
          </w:p>
        </w:tc>
        <w:tc>
          <w:tcPr>
            <w:tcW w:w="880" w:type="dxa"/>
            <w:tcBorders>
              <w:top w:val="nil"/>
              <w:left w:val="nil"/>
              <w:bottom w:val="double" w:sz="6" w:space="0" w:color="auto"/>
              <w:right w:val="double" w:sz="6" w:space="0" w:color="auto"/>
            </w:tcBorders>
            <w:shd w:val="clear" w:color="000000" w:fill="FFFFFF"/>
            <w:noWrap/>
            <w:vAlign w:val="bottom"/>
            <w:hideMark/>
          </w:tcPr>
          <w:p w14:paraId="035BD98F"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-4.000</w:t>
            </w:r>
          </w:p>
        </w:tc>
        <w:tc>
          <w:tcPr>
            <w:tcW w:w="861" w:type="dxa"/>
            <w:tcBorders>
              <w:top w:val="nil"/>
              <w:left w:val="nil"/>
              <w:bottom w:val="double" w:sz="6" w:space="0" w:color="auto"/>
              <w:right w:val="nil"/>
            </w:tcBorders>
            <w:shd w:val="clear" w:color="000000" w:fill="FFFFFF"/>
            <w:noWrap/>
            <w:vAlign w:val="bottom"/>
            <w:hideMark/>
          </w:tcPr>
          <w:p w14:paraId="75B5FBAB"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1019" w:type="dxa"/>
            <w:tcBorders>
              <w:top w:val="nil"/>
              <w:left w:val="nil"/>
              <w:bottom w:val="double" w:sz="6" w:space="0" w:color="auto"/>
              <w:right w:val="double" w:sz="6" w:space="0" w:color="auto"/>
            </w:tcBorders>
            <w:shd w:val="clear" w:color="000000" w:fill="FFFFFF"/>
            <w:noWrap/>
            <w:vAlign w:val="bottom"/>
            <w:hideMark/>
          </w:tcPr>
          <w:p w14:paraId="6184BC37"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861" w:type="dxa"/>
            <w:tcBorders>
              <w:top w:val="nil"/>
              <w:left w:val="nil"/>
              <w:bottom w:val="double" w:sz="6" w:space="0" w:color="auto"/>
              <w:right w:val="nil"/>
            </w:tcBorders>
            <w:shd w:val="clear" w:color="000000" w:fill="FFFFFF"/>
            <w:noWrap/>
            <w:vAlign w:val="bottom"/>
            <w:hideMark/>
          </w:tcPr>
          <w:p w14:paraId="3C3575CE"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0.178</w:t>
            </w:r>
          </w:p>
        </w:tc>
        <w:tc>
          <w:tcPr>
            <w:tcW w:w="1024" w:type="dxa"/>
            <w:tcBorders>
              <w:top w:val="nil"/>
              <w:left w:val="nil"/>
              <w:bottom w:val="double" w:sz="6" w:space="0" w:color="auto"/>
              <w:right w:val="double" w:sz="6" w:space="0" w:color="auto"/>
            </w:tcBorders>
            <w:shd w:val="clear" w:color="000000" w:fill="FFFFFF"/>
            <w:noWrap/>
            <w:vAlign w:val="bottom"/>
            <w:hideMark/>
          </w:tcPr>
          <w:p w14:paraId="69F521EC"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8.241</w:t>
            </w:r>
          </w:p>
        </w:tc>
        <w:tc>
          <w:tcPr>
            <w:tcW w:w="806" w:type="dxa"/>
            <w:tcBorders>
              <w:top w:val="nil"/>
              <w:left w:val="nil"/>
              <w:bottom w:val="double" w:sz="6" w:space="0" w:color="auto"/>
              <w:right w:val="nil"/>
            </w:tcBorders>
            <w:shd w:val="clear" w:color="000000" w:fill="FFFFFF"/>
            <w:noWrap/>
            <w:vAlign w:val="bottom"/>
            <w:hideMark/>
          </w:tcPr>
          <w:p w14:paraId="7C233C83"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-0.277</w:t>
            </w:r>
          </w:p>
        </w:tc>
        <w:tc>
          <w:tcPr>
            <w:tcW w:w="954" w:type="dxa"/>
            <w:tcBorders>
              <w:top w:val="nil"/>
              <w:left w:val="nil"/>
              <w:bottom w:val="double" w:sz="6" w:space="0" w:color="auto"/>
              <w:right w:val="double" w:sz="6" w:space="0" w:color="auto"/>
            </w:tcBorders>
            <w:shd w:val="clear" w:color="000000" w:fill="FFFFFF"/>
            <w:noWrap/>
            <w:vAlign w:val="bottom"/>
            <w:hideMark/>
          </w:tcPr>
          <w:p w14:paraId="6ED56F5D"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-14.676</w:t>
            </w:r>
          </w:p>
        </w:tc>
      </w:tr>
      <w:tr w:rsidR="005C3210" w:rsidRPr="00537C6A" w14:paraId="7FCBCAD3" w14:textId="77777777" w:rsidTr="00117833">
        <w:trPr>
          <w:trHeight w:val="20"/>
        </w:trPr>
        <w:tc>
          <w:tcPr>
            <w:tcW w:w="6985" w:type="dxa"/>
            <w:gridSpan w:val="5"/>
            <w:tcBorders>
              <w:top w:val="double" w:sz="6" w:space="0" w:color="auto"/>
              <w:left w:val="double" w:sz="6" w:space="0" w:color="auto"/>
              <w:bottom w:val="double" w:sz="6" w:space="0" w:color="auto"/>
              <w:right w:val="nil"/>
            </w:tcBorders>
            <w:shd w:val="clear" w:color="000000" w:fill="F2F2F2"/>
            <w:noWrap/>
            <w:vAlign w:val="bottom"/>
            <w:hideMark/>
          </w:tcPr>
          <w:p w14:paraId="5AB2500A" w14:textId="7EB36EC0" w:rsidR="005C3210" w:rsidRPr="00537C6A" w:rsidRDefault="005C3210" w:rsidP="00586232">
            <w:pPr>
              <w:jc w:val="left"/>
              <w:rPr>
                <w:rFonts w:eastAsia="Times New Roman"/>
                <w:i/>
                <w:iCs/>
                <w:color w:val="000000"/>
                <w:sz w:val="22"/>
                <w:szCs w:val="22"/>
              </w:rPr>
            </w:pPr>
            <w:r w:rsidRPr="00537C6A">
              <w:rPr>
                <w:rFonts w:eastAsia="Times New Roman"/>
                <w:i/>
                <w:iCs/>
                <w:color w:val="000000"/>
                <w:sz w:val="22"/>
                <w:szCs w:val="22"/>
              </w:rPr>
              <w:t>Employment status (base: Single worker)</w:t>
            </w:r>
          </w:p>
        </w:tc>
        <w:tc>
          <w:tcPr>
            <w:tcW w:w="880" w:type="dxa"/>
            <w:tcBorders>
              <w:top w:val="nil"/>
              <w:left w:val="nil"/>
              <w:bottom w:val="double" w:sz="6" w:space="0" w:color="auto"/>
              <w:right w:val="nil"/>
            </w:tcBorders>
            <w:shd w:val="clear" w:color="000000" w:fill="F2F2F2"/>
            <w:noWrap/>
            <w:vAlign w:val="bottom"/>
            <w:hideMark/>
          </w:tcPr>
          <w:p w14:paraId="05B56CB3"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80" w:type="dxa"/>
            <w:tcBorders>
              <w:top w:val="nil"/>
              <w:left w:val="nil"/>
              <w:bottom w:val="double" w:sz="6" w:space="0" w:color="auto"/>
              <w:right w:val="nil"/>
            </w:tcBorders>
            <w:shd w:val="clear" w:color="000000" w:fill="F2F2F2"/>
            <w:noWrap/>
            <w:vAlign w:val="bottom"/>
            <w:hideMark/>
          </w:tcPr>
          <w:p w14:paraId="1C17B312"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61" w:type="dxa"/>
            <w:tcBorders>
              <w:top w:val="nil"/>
              <w:left w:val="nil"/>
              <w:bottom w:val="double" w:sz="6" w:space="0" w:color="auto"/>
              <w:right w:val="nil"/>
            </w:tcBorders>
            <w:shd w:val="clear" w:color="000000" w:fill="F2F2F2"/>
            <w:noWrap/>
            <w:vAlign w:val="bottom"/>
            <w:hideMark/>
          </w:tcPr>
          <w:p w14:paraId="543D7B2D"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1019" w:type="dxa"/>
            <w:tcBorders>
              <w:top w:val="nil"/>
              <w:left w:val="nil"/>
              <w:bottom w:val="double" w:sz="6" w:space="0" w:color="auto"/>
              <w:right w:val="nil"/>
            </w:tcBorders>
            <w:shd w:val="clear" w:color="000000" w:fill="F2F2F2"/>
            <w:noWrap/>
            <w:vAlign w:val="bottom"/>
            <w:hideMark/>
          </w:tcPr>
          <w:p w14:paraId="55AB4BAE"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61" w:type="dxa"/>
            <w:tcBorders>
              <w:top w:val="nil"/>
              <w:left w:val="nil"/>
              <w:bottom w:val="double" w:sz="6" w:space="0" w:color="auto"/>
              <w:right w:val="nil"/>
            </w:tcBorders>
            <w:shd w:val="clear" w:color="000000" w:fill="F2F2F2"/>
            <w:noWrap/>
            <w:vAlign w:val="bottom"/>
            <w:hideMark/>
          </w:tcPr>
          <w:p w14:paraId="2783465A"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1024" w:type="dxa"/>
            <w:tcBorders>
              <w:top w:val="nil"/>
              <w:left w:val="nil"/>
              <w:bottom w:val="double" w:sz="6" w:space="0" w:color="auto"/>
              <w:right w:val="nil"/>
            </w:tcBorders>
            <w:shd w:val="clear" w:color="000000" w:fill="F2F2F2"/>
            <w:noWrap/>
            <w:vAlign w:val="bottom"/>
            <w:hideMark/>
          </w:tcPr>
          <w:p w14:paraId="722EB300"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06" w:type="dxa"/>
            <w:tcBorders>
              <w:top w:val="nil"/>
              <w:left w:val="nil"/>
              <w:bottom w:val="double" w:sz="6" w:space="0" w:color="auto"/>
              <w:right w:val="nil"/>
            </w:tcBorders>
            <w:shd w:val="clear" w:color="000000" w:fill="F2F2F2"/>
            <w:noWrap/>
            <w:vAlign w:val="bottom"/>
            <w:hideMark/>
          </w:tcPr>
          <w:p w14:paraId="0495EBB5"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954" w:type="dxa"/>
            <w:tcBorders>
              <w:top w:val="nil"/>
              <w:left w:val="nil"/>
              <w:bottom w:val="double" w:sz="6" w:space="0" w:color="auto"/>
              <w:right w:val="double" w:sz="6" w:space="0" w:color="auto"/>
            </w:tcBorders>
            <w:shd w:val="clear" w:color="000000" w:fill="F2F2F2"/>
            <w:noWrap/>
            <w:vAlign w:val="bottom"/>
            <w:hideMark/>
          </w:tcPr>
          <w:p w14:paraId="06803707"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r>
      <w:tr w:rsidR="005C3210" w:rsidRPr="00537C6A" w14:paraId="6B3B1D84" w14:textId="77777777" w:rsidTr="00117833">
        <w:trPr>
          <w:trHeight w:val="20"/>
        </w:trPr>
        <w:tc>
          <w:tcPr>
            <w:tcW w:w="3510" w:type="dxa"/>
            <w:tcBorders>
              <w:top w:val="nil"/>
              <w:left w:val="double" w:sz="6" w:space="0" w:color="auto"/>
              <w:bottom w:val="nil"/>
              <w:right w:val="double" w:sz="6" w:space="0" w:color="auto"/>
            </w:tcBorders>
            <w:shd w:val="clear" w:color="000000" w:fill="FFFFFF"/>
            <w:noWrap/>
            <w:vAlign w:val="bottom"/>
            <w:hideMark/>
          </w:tcPr>
          <w:p w14:paraId="48310533"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No workers</w:t>
            </w:r>
          </w:p>
        </w:tc>
        <w:tc>
          <w:tcPr>
            <w:tcW w:w="811" w:type="dxa"/>
            <w:tcBorders>
              <w:top w:val="nil"/>
              <w:left w:val="nil"/>
              <w:bottom w:val="nil"/>
              <w:right w:val="nil"/>
            </w:tcBorders>
            <w:shd w:val="clear" w:color="000000" w:fill="FFFFFF"/>
            <w:noWrap/>
            <w:vAlign w:val="bottom"/>
            <w:hideMark/>
          </w:tcPr>
          <w:p w14:paraId="1BA15BCF"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-0.264</w:t>
            </w:r>
          </w:p>
        </w:tc>
        <w:tc>
          <w:tcPr>
            <w:tcW w:w="899" w:type="dxa"/>
            <w:tcBorders>
              <w:top w:val="nil"/>
              <w:left w:val="nil"/>
              <w:bottom w:val="nil"/>
              <w:right w:val="double" w:sz="6" w:space="0" w:color="auto"/>
            </w:tcBorders>
            <w:shd w:val="clear" w:color="000000" w:fill="FFFFFF"/>
            <w:noWrap/>
            <w:vAlign w:val="bottom"/>
            <w:hideMark/>
          </w:tcPr>
          <w:p w14:paraId="184BC55B"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-6.852</w:t>
            </w:r>
          </w:p>
        </w:tc>
        <w:tc>
          <w:tcPr>
            <w:tcW w:w="854" w:type="dxa"/>
            <w:tcBorders>
              <w:top w:val="nil"/>
              <w:left w:val="nil"/>
              <w:bottom w:val="nil"/>
              <w:right w:val="nil"/>
            </w:tcBorders>
            <w:shd w:val="clear" w:color="000000" w:fill="FFFFFF"/>
            <w:noWrap/>
            <w:vAlign w:val="bottom"/>
            <w:hideMark/>
          </w:tcPr>
          <w:p w14:paraId="2DDEED88"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911" w:type="dxa"/>
            <w:tcBorders>
              <w:top w:val="nil"/>
              <w:left w:val="nil"/>
              <w:bottom w:val="nil"/>
              <w:right w:val="double" w:sz="6" w:space="0" w:color="auto"/>
            </w:tcBorders>
            <w:shd w:val="clear" w:color="000000" w:fill="FFFFFF"/>
            <w:noWrap/>
            <w:vAlign w:val="bottom"/>
            <w:hideMark/>
          </w:tcPr>
          <w:p w14:paraId="5C4B3A18"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880" w:type="dxa"/>
            <w:tcBorders>
              <w:top w:val="nil"/>
              <w:left w:val="nil"/>
              <w:bottom w:val="nil"/>
              <w:right w:val="nil"/>
            </w:tcBorders>
            <w:shd w:val="clear" w:color="000000" w:fill="FFFFFF"/>
            <w:noWrap/>
            <w:vAlign w:val="bottom"/>
            <w:hideMark/>
          </w:tcPr>
          <w:p w14:paraId="4D0093B1"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0.188</w:t>
            </w:r>
          </w:p>
        </w:tc>
        <w:tc>
          <w:tcPr>
            <w:tcW w:w="880" w:type="dxa"/>
            <w:tcBorders>
              <w:top w:val="nil"/>
              <w:left w:val="nil"/>
              <w:bottom w:val="nil"/>
              <w:right w:val="double" w:sz="6" w:space="0" w:color="auto"/>
            </w:tcBorders>
            <w:shd w:val="clear" w:color="000000" w:fill="FFFFFF"/>
            <w:noWrap/>
            <w:vAlign w:val="bottom"/>
            <w:hideMark/>
          </w:tcPr>
          <w:p w14:paraId="2A2ED980"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3.981</w:t>
            </w:r>
          </w:p>
        </w:tc>
        <w:tc>
          <w:tcPr>
            <w:tcW w:w="861" w:type="dxa"/>
            <w:tcBorders>
              <w:top w:val="nil"/>
              <w:left w:val="nil"/>
              <w:bottom w:val="nil"/>
              <w:right w:val="nil"/>
            </w:tcBorders>
            <w:shd w:val="clear" w:color="000000" w:fill="FFFFFF"/>
            <w:noWrap/>
            <w:vAlign w:val="bottom"/>
            <w:hideMark/>
          </w:tcPr>
          <w:p w14:paraId="625AC210"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0.250</w:t>
            </w:r>
          </w:p>
        </w:tc>
        <w:tc>
          <w:tcPr>
            <w:tcW w:w="1019" w:type="dxa"/>
            <w:tcBorders>
              <w:top w:val="nil"/>
              <w:left w:val="nil"/>
              <w:bottom w:val="nil"/>
              <w:right w:val="double" w:sz="6" w:space="0" w:color="auto"/>
            </w:tcBorders>
            <w:shd w:val="clear" w:color="000000" w:fill="FFFFFF"/>
            <w:noWrap/>
            <w:vAlign w:val="bottom"/>
            <w:hideMark/>
          </w:tcPr>
          <w:p w14:paraId="4ED3D35A"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6.416</w:t>
            </w:r>
          </w:p>
        </w:tc>
        <w:tc>
          <w:tcPr>
            <w:tcW w:w="861" w:type="dxa"/>
            <w:tcBorders>
              <w:top w:val="nil"/>
              <w:left w:val="nil"/>
              <w:bottom w:val="nil"/>
              <w:right w:val="nil"/>
            </w:tcBorders>
            <w:shd w:val="clear" w:color="000000" w:fill="FFFFFF"/>
            <w:noWrap/>
            <w:vAlign w:val="bottom"/>
            <w:hideMark/>
          </w:tcPr>
          <w:p w14:paraId="2F6000FB"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1024" w:type="dxa"/>
            <w:tcBorders>
              <w:top w:val="nil"/>
              <w:left w:val="nil"/>
              <w:bottom w:val="nil"/>
              <w:right w:val="double" w:sz="6" w:space="0" w:color="auto"/>
            </w:tcBorders>
            <w:shd w:val="clear" w:color="000000" w:fill="FFFFFF"/>
            <w:noWrap/>
            <w:vAlign w:val="bottom"/>
            <w:hideMark/>
          </w:tcPr>
          <w:p w14:paraId="11127C7F"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806" w:type="dxa"/>
            <w:tcBorders>
              <w:top w:val="nil"/>
              <w:left w:val="nil"/>
              <w:bottom w:val="nil"/>
              <w:right w:val="nil"/>
            </w:tcBorders>
            <w:shd w:val="clear" w:color="000000" w:fill="FFFFFF"/>
            <w:noWrap/>
            <w:vAlign w:val="bottom"/>
            <w:hideMark/>
          </w:tcPr>
          <w:p w14:paraId="0D3EC96A"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954" w:type="dxa"/>
            <w:tcBorders>
              <w:top w:val="nil"/>
              <w:left w:val="nil"/>
              <w:bottom w:val="nil"/>
              <w:right w:val="double" w:sz="6" w:space="0" w:color="auto"/>
            </w:tcBorders>
            <w:shd w:val="clear" w:color="000000" w:fill="FFFFFF"/>
            <w:noWrap/>
            <w:vAlign w:val="bottom"/>
            <w:hideMark/>
          </w:tcPr>
          <w:p w14:paraId="3CC1A09B"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r>
      <w:tr w:rsidR="005C3210" w:rsidRPr="00537C6A" w14:paraId="3E63D459" w14:textId="77777777" w:rsidTr="00117833">
        <w:trPr>
          <w:trHeight w:val="20"/>
        </w:trPr>
        <w:tc>
          <w:tcPr>
            <w:tcW w:w="3510" w:type="dxa"/>
            <w:tcBorders>
              <w:top w:val="nil"/>
              <w:left w:val="double" w:sz="6" w:space="0" w:color="auto"/>
              <w:bottom w:val="double" w:sz="6" w:space="0" w:color="auto"/>
              <w:right w:val="double" w:sz="6" w:space="0" w:color="auto"/>
            </w:tcBorders>
            <w:shd w:val="clear" w:color="000000" w:fill="FFFFFF"/>
            <w:noWrap/>
            <w:vAlign w:val="bottom"/>
            <w:hideMark/>
          </w:tcPr>
          <w:p w14:paraId="55E84E88"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Multiple workers</w:t>
            </w:r>
          </w:p>
        </w:tc>
        <w:tc>
          <w:tcPr>
            <w:tcW w:w="811" w:type="dxa"/>
            <w:tcBorders>
              <w:top w:val="nil"/>
              <w:left w:val="nil"/>
              <w:bottom w:val="double" w:sz="6" w:space="0" w:color="auto"/>
              <w:right w:val="nil"/>
            </w:tcBorders>
            <w:shd w:val="clear" w:color="000000" w:fill="FFFFFF"/>
            <w:noWrap/>
            <w:vAlign w:val="bottom"/>
            <w:hideMark/>
          </w:tcPr>
          <w:p w14:paraId="4C19A1BB"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-0.270</w:t>
            </w:r>
          </w:p>
        </w:tc>
        <w:tc>
          <w:tcPr>
            <w:tcW w:w="899" w:type="dxa"/>
            <w:tcBorders>
              <w:top w:val="nil"/>
              <w:left w:val="nil"/>
              <w:bottom w:val="double" w:sz="6" w:space="0" w:color="auto"/>
              <w:right w:val="double" w:sz="6" w:space="0" w:color="auto"/>
            </w:tcBorders>
            <w:shd w:val="clear" w:color="000000" w:fill="FFFFFF"/>
            <w:noWrap/>
            <w:vAlign w:val="bottom"/>
            <w:hideMark/>
          </w:tcPr>
          <w:p w14:paraId="0E5E531C"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-9.784</w:t>
            </w:r>
          </w:p>
        </w:tc>
        <w:tc>
          <w:tcPr>
            <w:tcW w:w="854" w:type="dxa"/>
            <w:tcBorders>
              <w:top w:val="nil"/>
              <w:left w:val="nil"/>
              <w:bottom w:val="double" w:sz="6" w:space="0" w:color="auto"/>
              <w:right w:val="nil"/>
            </w:tcBorders>
            <w:shd w:val="clear" w:color="000000" w:fill="FFFFFF"/>
            <w:noWrap/>
            <w:vAlign w:val="bottom"/>
            <w:hideMark/>
          </w:tcPr>
          <w:p w14:paraId="53A71A49"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-0.229</w:t>
            </w:r>
          </w:p>
        </w:tc>
        <w:tc>
          <w:tcPr>
            <w:tcW w:w="911" w:type="dxa"/>
            <w:tcBorders>
              <w:top w:val="nil"/>
              <w:left w:val="nil"/>
              <w:bottom w:val="double" w:sz="6" w:space="0" w:color="auto"/>
              <w:right w:val="double" w:sz="6" w:space="0" w:color="auto"/>
            </w:tcBorders>
            <w:shd w:val="clear" w:color="000000" w:fill="FFFFFF"/>
            <w:noWrap/>
            <w:vAlign w:val="bottom"/>
            <w:hideMark/>
          </w:tcPr>
          <w:p w14:paraId="4CA83670"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-5.906</w:t>
            </w:r>
          </w:p>
        </w:tc>
        <w:tc>
          <w:tcPr>
            <w:tcW w:w="880" w:type="dxa"/>
            <w:tcBorders>
              <w:top w:val="nil"/>
              <w:left w:val="nil"/>
              <w:bottom w:val="double" w:sz="6" w:space="0" w:color="auto"/>
              <w:right w:val="nil"/>
            </w:tcBorders>
            <w:shd w:val="clear" w:color="000000" w:fill="FFFFFF"/>
            <w:noWrap/>
            <w:vAlign w:val="bottom"/>
            <w:hideMark/>
          </w:tcPr>
          <w:p w14:paraId="6C3D514F"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880" w:type="dxa"/>
            <w:tcBorders>
              <w:top w:val="nil"/>
              <w:left w:val="nil"/>
              <w:bottom w:val="double" w:sz="6" w:space="0" w:color="auto"/>
              <w:right w:val="double" w:sz="6" w:space="0" w:color="auto"/>
            </w:tcBorders>
            <w:shd w:val="clear" w:color="000000" w:fill="FFFFFF"/>
            <w:noWrap/>
            <w:vAlign w:val="bottom"/>
            <w:hideMark/>
          </w:tcPr>
          <w:p w14:paraId="07652FC0"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861" w:type="dxa"/>
            <w:tcBorders>
              <w:top w:val="nil"/>
              <w:left w:val="nil"/>
              <w:bottom w:val="double" w:sz="6" w:space="0" w:color="auto"/>
              <w:right w:val="nil"/>
            </w:tcBorders>
            <w:shd w:val="clear" w:color="000000" w:fill="FFFFFF"/>
            <w:noWrap/>
            <w:vAlign w:val="bottom"/>
            <w:hideMark/>
          </w:tcPr>
          <w:p w14:paraId="4FE58987"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-0.098</w:t>
            </w:r>
          </w:p>
        </w:tc>
        <w:tc>
          <w:tcPr>
            <w:tcW w:w="1019" w:type="dxa"/>
            <w:tcBorders>
              <w:top w:val="nil"/>
              <w:left w:val="nil"/>
              <w:bottom w:val="double" w:sz="6" w:space="0" w:color="auto"/>
              <w:right w:val="double" w:sz="6" w:space="0" w:color="auto"/>
            </w:tcBorders>
            <w:shd w:val="clear" w:color="000000" w:fill="FFFFFF"/>
            <w:noWrap/>
            <w:vAlign w:val="bottom"/>
            <w:hideMark/>
          </w:tcPr>
          <w:p w14:paraId="33D9E366"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-3.468</w:t>
            </w:r>
          </w:p>
        </w:tc>
        <w:tc>
          <w:tcPr>
            <w:tcW w:w="861" w:type="dxa"/>
            <w:tcBorders>
              <w:top w:val="nil"/>
              <w:left w:val="nil"/>
              <w:bottom w:val="double" w:sz="6" w:space="0" w:color="auto"/>
              <w:right w:val="nil"/>
            </w:tcBorders>
            <w:shd w:val="clear" w:color="000000" w:fill="FFFFFF"/>
            <w:noWrap/>
            <w:vAlign w:val="bottom"/>
            <w:hideMark/>
          </w:tcPr>
          <w:p w14:paraId="48F59459"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-0.388</w:t>
            </w:r>
          </w:p>
        </w:tc>
        <w:tc>
          <w:tcPr>
            <w:tcW w:w="1024" w:type="dxa"/>
            <w:tcBorders>
              <w:top w:val="nil"/>
              <w:left w:val="nil"/>
              <w:bottom w:val="double" w:sz="6" w:space="0" w:color="auto"/>
              <w:right w:val="double" w:sz="6" w:space="0" w:color="auto"/>
            </w:tcBorders>
            <w:shd w:val="clear" w:color="000000" w:fill="FFFFFF"/>
            <w:noWrap/>
            <w:vAlign w:val="bottom"/>
            <w:hideMark/>
          </w:tcPr>
          <w:p w14:paraId="10490170"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-13.934</w:t>
            </w:r>
          </w:p>
        </w:tc>
        <w:tc>
          <w:tcPr>
            <w:tcW w:w="806" w:type="dxa"/>
            <w:tcBorders>
              <w:top w:val="nil"/>
              <w:left w:val="nil"/>
              <w:bottom w:val="double" w:sz="6" w:space="0" w:color="auto"/>
              <w:right w:val="nil"/>
            </w:tcBorders>
            <w:shd w:val="clear" w:color="000000" w:fill="FFFFFF"/>
            <w:noWrap/>
            <w:vAlign w:val="bottom"/>
            <w:hideMark/>
          </w:tcPr>
          <w:p w14:paraId="5BC8D6C4"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0.269</w:t>
            </w:r>
          </w:p>
        </w:tc>
        <w:tc>
          <w:tcPr>
            <w:tcW w:w="954" w:type="dxa"/>
            <w:tcBorders>
              <w:top w:val="nil"/>
              <w:left w:val="nil"/>
              <w:bottom w:val="double" w:sz="6" w:space="0" w:color="auto"/>
              <w:right w:val="double" w:sz="6" w:space="0" w:color="auto"/>
            </w:tcBorders>
            <w:shd w:val="clear" w:color="000000" w:fill="FFFFFF"/>
            <w:noWrap/>
            <w:vAlign w:val="bottom"/>
            <w:hideMark/>
          </w:tcPr>
          <w:p w14:paraId="42E3F611"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10.138</w:t>
            </w:r>
          </w:p>
        </w:tc>
      </w:tr>
      <w:tr w:rsidR="005C3210" w:rsidRPr="00537C6A" w14:paraId="38AC1ADE" w14:textId="77777777" w:rsidTr="00117833">
        <w:trPr>
          <w:trHeight w:val="20"/>
        </w:trPr>
        <w:tc>
          <w:tcPr>
            <w:tcW w:w="8745" w:type="dxa"/>
            <w:gridSpan w:val="7"/>
            <w:tcBorders>
              <w:top w:val="double" w:sz="6" w:space="0" w:color="auto"/>
              <w:left w:val="double" w:sz="6" w:space="0" w:color="auto"/>
              <w:bottom w:val="double" w:sz="6" w:space="0" w:color="auto"/>
              <w:right w:val="nil"/>
            </w:tcBorders>
            <w:shd w:val="clear" w:color="000000" w:fill="F2F2F2"/>
            <w:noWrap/>
            <w:vAlign w:val="bottom"/>
            <w:hideMark/>
          </w:tcPr>
          <w:p w14:paraId="16D642EF" w14:textId="77777777" w:rsidR="005C3210" w:rsidRPr="00537C6A" w:rsidRDefault="005C3210" w:rsidP="00586232">
            <w:pPr>
              <w:jc w:val="left"/>
              <w:rPr>
                <w:rFonts w:eastAsia="Times New Roman"/>
                <w:i/>
                <w:iCs/>
                <w:color w:val="000000"/>
                <w:sz w:val="22"/>
                <w:szCs w:val="22"/>
              </w:rPr>
            </w:pPr>
            <w:r w:rsidRPr="00537C6A">
              <w:rPr>
                <w:rFonts w:eastAsia="Times New Roman"/>
                <w:i/>
                <w:iCs/>
                <w:color w:val="000000"/>
                <w:sz w:val="22"/>
                <w:szCs w:val="22"/>
              </w:rPr>
              <w:t>Household structure (base: Single adult with or without children)</w:t>
            </w:r>
          </w:p>
        </w:tc>
        <w:tc>
          <w:tcPr>
            <w:tcW w:w="861" w:type="dxa"/>
            <w:tcBorders>
              <w:top w:val="nil"/>
              <w:left w:val="nil"/>
              <w:bottom w:val="double" w:sz="6" w:space="0" w:color="auto"/>
              <w:right w:val="nil"/>
            </w:tcBorders>
            <w:shd w:val="clear" w:color="000000" w:fill="F2F2F2"/>
            <w:noWrap/>
            <w:vAlign w:val="bottom"/>
            <w:hideMark/>
          </w:tcPr>
          <w:p w14:paraId="34D2942E"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1019" w:type="dxa"/>
            <w:tcBorders>
              <w:top w:val="nil"/>
              <w:left w:val="nil"/>
              <w:bottom w:val="double" w:sz="6" w:space="0" w:color="auto"/>
              <w:right w:val="nil"/>
            </w:tcBorders>
            <w:shd w:val="clear" w:color="000000" w:fill="F2F2F2"/>
            <w:noWrap/>
            <w:vAlign w:val="bottom"/>
            <w:hideMark/>
          </w:tcPr>
          <w:p w14:paraId="0D8B7BE2"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61" w:type="dxa"/>
            <w:tcBorders>
              <w:top w:val="nil"/>
              <w:left w:val="nil"/>
              <w:bottom w:val="double" w:sz="6" w:space="0" w:color="auto"/>
              <w:right w:val="nil"/>
            </w:tcBorders>
            <w:shd w:val="clear" w:color="000000" w:fill="F2F2F2"/>
            <w:noWrap/>
            <w:vAlign w:val="bottom"/>
            <w:hideMark/>
          </w:tcPr>
          <w:p w14:paraId="3B1C5868"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1024" w:type="dxa"/>
            <w:tcBorders>
              <w:top w:val="nil"/>
              <w:left w:val="nil"/>
              <w:bottom w:val="double" w:sz="6" w:space="0" w:color="auto"/>
              <w:right w:val="nil"/>
            </w:tcBorders>
            <w:shd w:val="clear" w:color="000000" w:fill="F2F2F2"/>
            <w:noWrap/>
            <w:vAlign w:val="bottom"/>
            <w:hideMark/>
          </w:tcPr>
          <w:p w14:paraId="49785650"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06" w:type="dxa"/>
            <w:tcBorders>
              <w:top w:val="nil"/>
              <w:left w:val="nil"/>
              <w:bottom w:val="double" w:sz="6" w:space="0" w:color="auto"/>
              <w:right w:val="nil"/>
            </w:tcBorders>
            <w:shd w:val="clear" w:color="000000" w:fill="F2F2F2"/>
            <w:noWrap/>
            <w:vAlign w:val="bottom"/>
            <w:hideMark/>
          </w:tcPr>
          <w:p w14:paraId="28940E4F"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954" w:type="dxa"/>
            <w:tcBorders>
              <w:top w:val="nil"/>
              <w:left w:val="nil"/>
              <w:bottom w:val="double" w:sz="6" w:space="0" w:color="auto"/>
              <w:right w:val="double" w:sz="6" w:space="0" w:color="auto"/>
            </w:tcBorders>
            <w:shd w:val="clear" w:color="000000" w:fill="F2F2F2"/>
            <w:noWrap/>
            <w:vAlign w:val="bottom"/>
            <w:hideMark/>
          </w:tcPr>
          <w:p w14:paraId="52F5BEF8"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r>
      <w:tr w:rsidR="005C3210" w:rsidRPr="00537C6A" w14:paraId="7384F921" w14:textId="77777777" w:rsidTr="00117833">
        <w:trPr>
          <w:trHeight w:val="20"/>
        </w:trPr>
        <w:tc>
          <w:tcPr>
            <w:tcW w:w="3510" w:type="dxa"/>
            <w:tcBorders>
              <w:top w:val="nil"/>
              <w:left w:val="double" w:sz="6" w:space="0" w:color="auto"/>
              <w:bottom w:val="nil"/>
              <w:right w:val="double" w:sz="6" w:space="0" w:color="auto"/>
            </w:tcBorders>
            <w:shd w:val="clear" w:color="000000" w:fill="FFFFFF"/>
            <w:noWrap/>
            <w:vAlign w:val="bottom"/>
            <w:hideMark/>
          </w:tcPr>
          <w:p w14:paraId="3D8F8A45"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Two or more adults without children</w:t>
            </w:r>
          </w:p>
        </w:tc>
        <w:tc>
          <w:tcPr>
            <w:tcW w:w="811" w:type="dxa"/>
            <w:tcBorders>
              <w:top w:val="nil"/>
              <w:left w:val="nil"/>
              <w:bottom w:val="nil"/>
              <w:right w:val="nil"/>
            </w:tcBorders>
            <w:shd w:val="clear" w:color="000000" w:fill="FFFFFF"/>
            <w:noWrap/>
            <w:vAlign w:val="bottom"/>
            <w:hideMark/>
          </w:tcPr>
          <w:p w14:paraId="46B847D1"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0.698</w:t>
            </w:r>
          </w:p>
        </w:tc>
        <w:tc>
          <w:tcPr>
            <w:tcW w:w="899" w:type="dxa"/>
            <w:tcBorders>
              <w:top w:val="nil"/>
              <w:left w:val="nil"/>
              <w:bottom w:val="nil"/>
              <w:right w:val="double" w:sz="6" w:space="0" w:color="auto"/>
            </w:tcBorders>
            <w:shd w:val="clear" w:color="000000" w:fill="FFFFFF"/>
            <w:noWrap/>
            <w:vAlign w:val="bottom"/>
            <w:hideMark/>
          </w:tcPr>
          <w:p w14:paraId="26A7F318"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22.787</w:t>
            </w:r>
          </w:p>
        </w:tc>
        <w:tc>
          <w:tcPr>
            <w:tcW w:w="854" w:type="dxa"/>
            <w:tcBorders>
              <w:top w:val="nil"/>
              <w:left w:val="nil"/>
              <w:bottom w:val="nil"/>
              <w:right w:val="nil"/>
            </w:tcBorders>
            <w:shd w:val="clear" w:color="000000" w:fill="FFFFFF"/>
            <w:noWrap/>
            <w:vAlign w:val="bottom"/>
            <w:hideMark/>
          </w:tcPr>
          <w:p w14:paraId="1425B537"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0.538</w:t>
            </w:r>
          </w:p>
        </w:tc>
        <w:tc>
          <w:tcPr>
            <w:tcW w:w="911" w:type="dxa"/>
            <w:tcBorders>
              <w:top w:val="nil"/>
              <w:left w:val="nil"/>
              <w:bottom w:val="nil"/>
              <w:right w:val="double" w:sz="6" w:space="0" w:color="auto"/>
            </w:tcBorders>
            <w:shd w:val="clear" w:color="000000" w:fill="FFFFFF"/>
            <w:noWrap/>
            <w:vAlign w:val="bottom"/>
            <w:hideMark/>
          </w:tcPr>
          <w:p w14:paraId="05A5BC20"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10.878</w:t>
            </w:r>
          </w:p>
        </w:tc>
        <w:tc>
          <w:tcPr>
            <w:tcW w:w="880" w:type="dxa"/>
            <w:tcBorders>
              <w:top w:val="nil"/>
              <w:left w:val="nil"/>
              <w:bottom w:val="nil"/>
              <w:right w:val="nil"/>
            </w:tcBorders>
            <w:shd w:val="clear" w:color="000000" w:fill="FFFFFF"/>
            <w:noWrap/>
            <w:vAlign w:val="bottom"/>
            <w:hideMark/>
          </w:tcPr>
          <w:p w14:paraId="422ED37E"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880" w:type="dxa"/>
            <w:tcBorders>
              <w:top w:val="nil"/>
              <w:left w:val="nil"/>
              <w:bottom w:val="nil"/>
              <w:right w:val="double" w:sz="6" w:space="0" w:color="auto"/>
            </w:tcBorders>
            <w:shd w:val="clear" w:color="000000" w:fill="FFFFFF"/>
            <w:noWrap/>
            <w:vAlign w:val="bottom"/>
            <w:hideMark/>
          </w:tcPr>
          <w:p w14:paraId="197467A3"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861" w:type="dxa"/>
            <w:tcBorders>
              <w:top w:val="nil"/>
              <w:left w:val="nil"/>
              <w:bottom w:val="nil"/>
              <w:right w:val="nil"/>
            </w:tcBorders>
            <w:shd w:val="clear" w:color="000000" w:fill="FFFFFF"/>
            <w:noWrap/>
            <w:vAlign w:val="bottom"/>
            <w:hideMark/>
          </w:tcPr>
          <w:p w14:paraId="21B88A0B"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0.751</w:t>
            </w:r>
          </w:p>
        </w:tc>
        <w:tc>
          <w:tcPr>
            <w:tcW w:w="1019" w:type="dxa"/>
            <w:tcBorders>
              <w:top w:val="nil"/>
              <w:left w:val="nil"/>
              <w:bottom w:val="nil"/>
              <w:right w:val="double" w:sz="6" w:space="0" w:color="auto"/>
            </w:tcBorders>
            <w:shd w:val="clear" w:color="000000" w:fill="FFFFFF"/>
            <w:noWrap/>
            <w:vAlign w:val="bottom"/>
            <w:hideMark/>
          </w:tcPr>
          <w:p w14:paraId="3F9499D1"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24.652</w:t>
            </w:r>
          </w:p>
        </w:tc>
        <w:tc>
          <w:tcPr>
            <w:tcW w:w="861" w:type="dxa"/>
            <w:tcBorders>
              <w:top w:val="nil"/>
              <w:left w:val="nil"/>
              <w:bottom w:val="nil"/>
              <w:right w:val="nil"/>
            </w:tcBorders>
            <w:shd w:val="clear" w:color="000000" w:fill="FFFFFF"/>
            <w:noWrap/>
            <w:vAlign w:val="bottom"/>
            <w:hideMark/>
          </w:tcPr>
          <w:p w14:paraId="42DDCE41"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0.998</w:t>
            </w:r>
          </w:p>
        </w:tc>
        <w:tc>
          <w:tcPr>
            <w:tcW w:w="1024" w:type="dxa"/>
            <w:tcBorders>
              <w:top w:val="nil"/>
              <w:left w:val="nil"/>
              <w:bottom w:val="nil"/>
              <w:right w:val="double" w:sz="6" w:space="0" w:color="auto"/>
            </w:tcBorders>
            <w:shd w:val="clear" w:color="000000" w:fill="FFFFFF"/>
            <w:noWrap/>
            <w:vAlign w:val="bottom"/>
            <w:hideMark/>
          </w:tcPr>
          <w:p w14:paraId="523E5998"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31.573</w:t>
            </w:r>
          </w:p>
        </w:tc>
        <w:tc>
          <w:tcPr>
            <w:tcW w:w="806" w:type="dxa"/>
            <w:tcBorders>
              <w:top w:val="nil"/>
              <w:left w:val="nil"/>
              <w:bottom w:val="nil"/>
              <w:right w:val="nil"/>
            </w:tcBorders>
            <w:shd w:val="clear" w:color="000000" w:fill="FFFFFF"/>
            <w:noWrap/>
            <w:vAlign w:val="bottom"/>
            <w:hideMark/>
          </w:tcPr>
          <w:p w14:paraId="3D000F16"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0.250</w:t>
            </w:r>
          </w:p>
        </w:tc>
        <w:tc>
          <w:tcPr>
            <w:tcW w:w="954" w:type="dxa"/>
            <w:tcBorders>
              <w:top w:val="nil"/>
              <w:left w:val="nil"/>
              <w:bottom w:val="nil"/>
              <w:right w:val="double" w:sz="6" w:space="0" w:color="auto"/>
            </w:tcBorders>
            <w:shd w:val="clear" w:color="000000" w:fill="FFFFFF"/>
            <w:noWrap/>
            <w:vAlign w:val="bottom"/>
            <w:hideMark/>
          </w:tcPr>
          <w:p w14:paraId="464F83ED"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8.921</w:t>
            </w:r>
          </w:p>
        </w:tc>
      </w:tr>
      <w:tr w:rsidR="005C3210" w:rsidRPr="00537C6A" w14:paraId="6AF4B783" w14:textId="77777777" w:rsidTr="00117833">
        <w:trPr>
          <w:trHeight w:val="20"/>
        </w:trPr>
        <w:tc>
          <w:tcPr>
            <w:tcW w:w="3510" w:type="dxa"/>
            <w:tcBorders>
              <w:top w:val="nil"/>
              <w:left w:val="double" w:sz="6" w:space="0" w:color="auto"/>
              <w:bottom w:val="double" w:sz="6" w:space="0" w:color="auto"/>
              <w:right w:val="double" w:sz="6" w:space="0" w:color="auto"/>
            </w:tcBorders>
            <w:shd w:val="clear" w:color="000000" w:fill="FFFFFF"/>
            <w:noWrap/>
            <w:vAlign w:val="bottom"/>
            <w:hideMark/>
          </w:tcPr>
          <w:p w14:paraId="4F56659E"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Two or more adults with children</w:t>
            </w:r>
          </w:p>
        </w:tc>
        <w:tc>
          <w:tcPr>
            <w:tcW w:w="811" w:type="dxa"/>
            <w:tcBorders>
              <w:top w:val="nil"/>
              <w:left w:val="nil"/>
              <w:bottom w:val="double" w:sz="6" w:space="0" w:color="auto"/>
              <w:right w:val="nil"/>
            </w:tcBorders>
            <w:shd w:val="clear" w:color="000000" w:fill="FFFFFF"/>
            <w:noWrap/>
            <w:vAlign w:val="bottom"/>
            <w:hideMark/>
          </w:tcPr>
          <w:p w14:paraId="40853757"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0.646</w:t>
            </w:r>
          </w:p>
        </w:tc>
        <w:tc>
          <w:tcPr>
            <w:tcW w:w="899" w:type="dxa"/>
            <w:tcBorders>
              <w:top w:val="nil"/>
              <w:left w:val="nil"/>
              <w:bottom w:val="double" w:sz="6" w:space="0" w:color="auto"/>
              <w:right w:val="double" w:sz="6" w:space="0" w:color="auto"/>
            </w:tcBorders>
            <w:shd w:val="clear" w:color="000000" w:fill="FFFFFF"/>
            <w:noWrap/>
            <w:vAlign w:val="bottom"/>
            <w:hideMark/>
          </w:tcPr>
          <w:p w14:paraId="51A8CF62"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18.626</w:t>
            </w:r>
          </w:p>
        </w:tc>
        <w:tc>
          <w:tcPr>
            <w:tcW w:w="854" w:type="dxa"/>
            <w:tcBorders>
              <w:top w:val="nil"/>
              <w:left w:val="nil"/>
              <w:bottom w:val="double" w:sz="6" w:space="0" w:color="auto"/>
              <w:right w:val="nil"/>
            </w:tcBorders>
            <w:shd w:val="clear" w:color="000000" w:fill="FFFFFF"/>
            <w:noWrap/>
            <w:vAlign w:val="bottom"/>
            <w:hideMark/>
          </w:tcPr>
          <w:p w14:paraId="5428C714"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0.823</w:t>
            </w:r>
          </w:p>
        </w:tc>
        <w:tc>
          <w:tcPr>
            <w:tcW w:w="911" w:type="dxa"/>
            <w:tcBorders>
              <w:top w:val="nil"/>
              <w:left w:val="nil"/>
              <w:bottom w:val="double" w:sz="6" w:space="0" w:color="auto"/>
              <w:right w:val="double" w:sz="6" w:space="0" w:color="auto"/>
            </w:tcBorders>
            <w:shd w:val="clear" w:color="000000" w:fill="FFFFFF"/>
            <w:noWrap/>
            <w:vAlign w:val="bottom"/>
            <w:hideMark/>
          </w:tcPr>
          <w:p w14:paraId="3B6A3A5C"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14.892</w:t>
            </w:r>
          </w:p>
        </w:tc>
        <w:tc>
          <w:tcPr>
            <w:tcW w:w="880" w:type="dxa"/>
            <w:tcBorders>
              <w:top w:val="nil"/>
              <w:left w:val="nil"/>
              <w:bottom w:val="double" w:sz="6" w:space="0" w:color="auto"/>
              <w:right w:val="nil"/>
            </w:tcBorders>
            <w:shd w:val="clear" w:color="000000" w:fill="FFFFFF"/>
            <w:noWrap/>
            <w:vAlign w:val="bottom"/>
            <w:hideMark/>
          </w:tcPr>
          <w:p w14:paraId="754DAB11"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0.376</w:t>
            </w:r>
          </w:p>
        </w:tc>
        <w:tc>
          <w:tcPr>
            <w:tcW w:w="880" w:type="dxa"/>
            <w:tcBorders>
              <w:top w:val="nil"/>
              <w:left w:val="nil"/>
              <w:bottom w:val="double" w:sz="6" w:space="0" w:color="auto"/>
              <w:right w:val="double" w:sz="6" w:space="0" w:color="auto"/>
            </w:tcBorders>
            <w:shd w:val="clear" w:color="000000" w:fill="FFFFFF"/>
            <w:noWrap/>
            <w:vAlign w:val="bottom"/>
            <w:hideMark/>
          </w:tcPr>
          <w:p w14:paraId="3FA8AE9A"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9.535</w:t>
            </w:r>
          </w:p>
        </w:tc>
        <w:tc>
          <w:tcPr>
            <w:tcW w:w="861" w:type="dxa"/>
            <w:tcBorders>
              <w:top w:val="nil"/>
              <w:left w:val="nil"/>
              <w:bottom w:val="double" w:sz="6" w:space="0" w:color="auto"/>
              <w:right w:val="nil"/>
            </w:tcBorders>
            <w:shd w:val="clear" w:color="000000" w:fill="FFFFFF"/>
            <w:noWrap/>
            <w:vAlign w:val="bottom"/>
            <w:hideMark/>
          </w:tcPr>
          <w:p w14:paraId="453F1480"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0.713</w:t>
            </w:r>
          </w:p>
        </w:tc>
        <w:tc>
          <w:tcPr>
            <w:tcW w:w="1019" w:type="dxa"/>
            <w:tcBorders>
              <w:top w:val="nil"/>
              <w:left w:val="nil"/>
              <w:bottom w:val="double" w:sz="6" w:space="0" w:color="auto"/>
              <w:right w:val="double" w:sz="6" w:space="0" w:color="auto"/>
            </w:tcBorders>
            <w:shd w:val="clear" w:color="000000" w:fill="FFFFFF"/>
            <w:noWrap/>
            <w:vAlign w:val="bottom"/>
            <w:hideMark/>
          </w:tcPr>
          <w:p w14:paraId="20024213"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19.870</w:t>
            </w:r>
          </w:p>
        </w:tc>
        <w:tc>
          <w:tcPr>
            <w:tcW w:w="861" w:type="dxa"/>
            <w:tcBorders>
              <w:top w:val="nil"/>
              <w:left w:val="nil"/>
              <w:bottom w:val="double" w:sz="6" w:space="0" w:color="auto"/>
              <w:right w:val="nil"/>
            </w:tcBorders>
            <w:shd w:val="clear" w:color="000000" w:fill="FFFFFF"/>
            <w:noWrap/>
            <w:vAlign w:val="bottom"/>
            <w:hideMark/>
          </w:tcPr>
          <w:p w14:paraId="11ADA900"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0.984</w:t>
            </w:r>
          </w:p>
        </w:tc>
        <w:tc>
          <w:tcPr>
            <w:tcW w:w="1024" w:type="dxa"/>
            <w:tcBorders>
              <w:top w:val="nil"/>
              <w:left w:val="nil"/>
              <w:bottom w:val="double" w:sz="6" w:space="0" w:color="auto"/>
              <w:right w:val="double" w:sz="6" w:space="0" w:color="auto"/>
            </w:tcBorders>
            <w:shd w:val="clear" w:color="000000" w:fill="FFFFFF"/>
            <w:noWrap/>
            <w:vAlign w:val="bottom"/>
            <w:hideMark/>
          </w:tcPr>
          <w:p w14:paraId="4E390D29"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28.079</w:t>
            </w:r>
          </w:p>
        </w:tc>
        <w:tc>
          <w:tcPr>
            <w:tcW w:w="806" w:type="dxa"/>
            <w:tcBorders>
              <w:top w:val="nil"/>
              <w:left w:val="nil"/>
              <w:bottom w:val="double" w:sz="6" w:space="0" w:color="auto"/>
              <w:right w:val="nil"/>
            </w:tcBorders>
            <w:shd w:val="clear" w:color="000000" w:fill="FFFFFF"/>
            <w:noWrap/>
            <w:vAlign w:val="bottom"/>
            <w:hideMark/>
          </w:tcPr>
          <w:p w14:paraId="7DBAC584"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0.174</w:t>
            </w:r>
          </w:p>
        </w:tc>
        <w:tc>
          <w:tcPr>
            <w:tcW w:w="954" w:type="dxa"/>
            <w:tcBorders>
              <w:top w:val="nil"/>
              <w:left w:val="nil"/>
              <w:bottom w:val="double" w:sz="6" w:space="0" w:color="auto"/>
              <w:right w:val="double" w:sz="6" w:space="0" w:color="auto"/>
            </w:tcBorders>
            <w:shd w:val="clear" w:color="000000" w:fill="FFFFFF"/>
            <w:noWrap/>
            <w:vAlign w:val="bottom"/>
            <w:hideMark/>
          </w:tcPr>
          <w:p w14:paraId="0138612D"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5.176</w:t>
            </w:r>
          </w:p>
        </w:tc>
      </w:tr>
      <w:tr w:rsidR="005C3210" w:rsidRPr="00537C6A" w14:paraId="1B9F2633" w14:textId="77777777" w:rsidTr="00117833">
        <w:trPr>
          <w:trHeight w:val="20"/>
        </w:trPr>
        <w:tc>
          <w:tcPr>
            <w:tcW w:w="8745" w:type="dxa"/>
            <w:gridSpan w:val="7"/>
            <w:tcBorders>
              <w:top w:val="double" w:sz="6" w:space="0" w:color="auto"/>
              <w:left w:val="double" w:sz="6" w:space="0" w:color="auto"/>
              <w:bottom w:val="double" w:sz="6" w:space="0" w:color="auto"/>
              <w:right w:val="nil"/>
            </w:tcBorders>
            <w:shd w:val="clear" w:color="000000" w:fill="F2F2F2"/>
            <w:noWrap/>
            <w:vAlign w:val="bottom"/>
            <w:hideMark/>
          </w:tcPr>
          <w:p w14:paraId="49311753" w14:textId="77777777" w:rsidR="005C3210" w:rsidRPr="00537C6A" w:rsidRDefault="005C3210" w:rsidP="00586232">
            <w:pPr>
              <w:jc w:val="left"/>
              <w:rPr>
                <w:rFonts w:eastAsia="Times New Roman"/>
                <w:i/>
                <w:iCs/>
                <w:color w:val="000000"/>
                <w:sz w:val="22"/>
                <w:szCs w:val="22"/>
              </w:rPr>
            </w:pPr>
            <w:r w:rsidRPr="00537C6A">
              <w:rPr>
                <w:rFonts w:eastAsia="Times New Roman"/>
                <w:i/>
                <w:iCs/>
                <w:color w:val="000000"/>
                <w:sz w:val="22"/>
                <w:szCs w:val="22"/>
              </w:rPr>
              <w:t xml:space="preserve">Residential density (base: &gt;4,000 </w:t>
            </w:r>
            <w:proofErr w:type="spellStart"/>
            <w:r w:rsidRPr="00537C6A">
              <w:rPr>
                <w:rFonts w:eastAsia="Times New Roman"/>
                <w:i/>
                <w:iCs/>
                <w:color w:val="000000"/>
                <w:sz w:val="22"/>
                <w:szCs w:val="22"/>
              </w:rPr>
              <w:t>hh</w:t>
            </w:r>
            <w:proofErr w:type="spellEnd"/>
            <w:r w:rsidRPr="00537C6A">
              <w:rPr>
                <w:rFonts w:eastAsia="Times New Roman"/>
                <w:i/>
                <w:iCs/>
                <w:color w:val="000000"/>
                <w:sz w:val="22"/>
                <w:szCs w:val="22"/>
              </w:rPr>
              <w:t>/km2)</w:t>
            </w:r>
            <w:r w:rsidRPr="00537C6A">
              <w:rPr>
                <w:rFonts w:eastAsia="Times New Roman"/>
                <w:b/>
                <w:bCs/>
                <w:color w:val="000000"/>
                <w:sz w:val="22"/>
                <w:szCs w:val="22"/>
              </w:rPr>
              <w:t> </w:t>
            </w:r>
          </w:p>
        </w:tc>
        <w:tc>
          <w:tcPr>
            <w:tcW w:w="861" w:type="dxa"/>
            <w:tcBorders>
              <w:top w:val="nil"/>
              <w:left w:val="nil"/>
              <w:bottom w:val="double" w:sz="6" w:space="0" w:color="auto"/>
              <w:right w:val="nil"/>
            </w:tcBorders>
            <w:shd w:val="clear" w:color="000000" w:fill="F2F2F2"/>
            <w:noWrap/>
            <w:vAlign w:val="bottom"/>
            <w:hideMark/>
          </w:tcPr>
          <w:p w14:paraId="7B589E65"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1019" w:type="dxa"/>
            <w:tcBorders>
              <w:top w:val="nil"/>
              <w:left w:val="nil"/>
              <w:bottom w:val="double" w:sz="6" w:space="0" w:color="auto"/>
              <w:right w:val="nil"/>
            </w:tcBorders>
            <w:shd w:val="clear" w:color="000000" w:fill="F2F2F2"/>
            <w:noWrap/>
            <w:vAlign w:val="bottom"/>
            <w:hideMark/>
          </w:tcPr>
          <w:p w14:paraId="11C18154"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61" w:type="dxa"/>
            <w:tcBorders>
              <w:top w:val="nil"/>
              <w:left w:val="nil"/>
              <w:bottom w:val="double" w:sz="6" w:space="0" w:color="auto"/>
              <w:right w:val="nil"/>
            </w:tcBorders>
            <w:shd w:val="clear" w:color="000000" w:fill="F2F2F2"/>
            <w:noWrap/>
            <w:vAlign w:val="bottom"/>
            <w:hideMark/>
          </w:tcPr>
          <w:p w14:paraId="478B3813"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1024" w:type="dxa"/>
            <w:tcBorders>
              <w:top w:val="nil"/>
              <w:left w:val="nil"/>
              <w:bottom w:val="double" w:sz="6" w:space="0" w:color="auto"/>
              <w:right w:val="nil"/>
            </w:tcBorders>
            <w:shd w:val="clear" w:color="000000" w:fill="F2F2F2"/>
            <w:noWrap/>
            <w:vAlign w:val="bottom"/>
            <w:hideMark/>
          </w:tcPr>
          <w:p w14:paraId="42F31276"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06" w:type="dxa"/>
            <w:tcBorders>
              <w:top w:val="nil"/>
              <w:left w:val="nil"/>
              <w:bottom w:val="double" w:sz="6" w:space="0" w:color="auto"/>
              <w:right w:val="nil"/>
            </w:tcBorders>
            <w:shd w:val="clear" w:color="000000" w:fill="F2F2F2"/>
            <w:noWrap/>
            <w:vAlign w:val="bottom"/>
            <w:hideMark/>
          </w:tcPr>
          <w:p w14:paraId="0217FF61"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954" w:type="dxa"/>
            <w:tcBorders>
              <w:top w:val="nil"/>
              <w:left w:val="nil"/>
              <w:bottom w:val="double" w:sz="6" w:space="0" w:color="auto"/>
              <w:right w:val="double" w:sz="6" w:space="0" w:color="auto"/>
            </w:tcBorders>
            <w:shd w:val="clear" w:color="000000" w:fill="F2F2F2"/>
            <w:noWrap/>
            <w:vAlign w:val="bottom"/>
            <w:hideMark/>
          </w:tcPr>
          <w:p w14:paraId="6DACDCCA"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r>
      <w:tr w:rsidR="005C3210" w:rsidRPr="00537C6A" w14:paraId="447C9D03" w14:textId="77777777" w:rsidTr="00117833">
        <w:trPr>
          <w:trHeight w:val="20"/>
        </w:trPr>
        <w:tc>
          <w:tcPr>
            <w:tcW w:w="3510" w:type="dxa"/>
            <w:tcBorders>
              <w:top w:val="nil"/>
              <w:left w:val="double" w:sz="6" w:space="0" w:color="auto"/>
              <w:bottom w:val="nil"/>
              <w:right w:val="double" w:sz="6" w:space="0" w:color="auto"/>
            </w:tcBorders>
            <w:shd w:val="clear" w:color="000000" w:fill="FFFFFF"/>
            <w:noWrap/>
            <w:vAlign w:val="bottom"/>
            <w:hideMark/>
          </w:tcPr>
          <w:p w14:paraId="438943D3"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xml:space="preserve">&lt;2,000 </w:t>
            </w:r>
            <w:proofErr w:type="spellStart"/>
            <w:r w:rsidRPr="00537C6A">
              <w:rPr>
                <w:rFonts w:eastAsia="Times New Roman"/>
                <w:color w:val="000000"/>
                <w:sz w:val="22"/>
                <w:szCs w:val="22"/>
              </w:rPr>
              <w:t>hh</w:t>
            </w:r>
            <w:proofErr w:type="spellEnd"/>
            <w:r w:rsidRPr="00537C6A">
              <w:rPr>
                <w:rFonts w:eastAsia="Times New Roman"/>
                <w:color w:val="000000"/>
                <w:sz w:val="22"/>
                <w:szCs w:val="22"/>
              </w:rPr>
              <w:t>/km2</w:t>
            </w:r>
          </w:p>
        </w:tc>
        <w:tc>
          <w:tcPr>
            <w:tcW w:w="811" w:type="dxa"/>
            <w:tcBorders>
              <w:top w:val="nil"/>
              <w:left w:val="nil"/>
              <w:bottom w:val="nil"/>
              <w:right w:val="nil"/>
            </w:tcBorders>
            <w:shd w:val="clear" w:color="000000" w:fill="FFFFFF"/>
            <w:noWrap/>
            <w:vAlign w:val="bottom"/>
            <w:hideMark/>
          </w:tcPr>
          <w:p w14:paraId="03FBD291"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-0.178</w:t>
            </w:r>
          </w:p>
        </w:tc>
        <w:tc>
          <w:tcPr>
            <w:tcW w:w="899" w:type="dxa"/>
            <w:tcBorders>
              <w:top w:val="nil"/>
              <w:left w:val="nil"/>
              <w:bottom w:val="nil"/>
              <w:right w:val="double" w:sz="6" w:space="0" w:color="auto"/>
            </w:tcBorders>
            <w:shd w:val="clear" w:color="000000" w:fill="FFFFFF"/>
            <w:noWrap/>
            <w:vAlign w:val="bottom"/>
            <w:hideMark/>
          </w:tcPr>
          <w:p w14:paraId="6EC9C124"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-6.788</w:t>
            </w:r>
          </w:p>
        </w:tc>
        <w:tc>
          <w:tcPr>
            <w:tcW w:w="854" w:type="dxa"/>
            <w:tcBorders>
              <w:top w:val="nil"/>
              <w:left w:val="nil"/>
              <w:bottom w:val="nil"/>
              <w:right w:val="nil"/>
            </w:tcBorders>
            <w:shd w:val="clear" w:color="000000" w:fill="FFFFFF"/>
            <w:noWrap/>
            <w:vAlign w:val="bottom"/>
            <w:hideMark/>
          </w:tcPr>
          <w:p w14:paraId="4D037252"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-0.407</w:t>
            </w:r>
          </w:p>
        </w:tc>
        <w:tc>
          <w:tcPr>
            <w:tcW w:w="911" w:type="dxa"/>
            <w:tcBorders>
              <w:top w:val="nil"/>
              <w:left w:val="nil"/>
              <w:bottom w:val="nil"/>
              <w:right w:val="double" w:sz="6" w:space="0" w:color="auto"/>
            </w:tcBorders>
            <w:shd w:val="clear" w:color="000000" w:fill="FFFFFF"/>
            <w:noWrap/>
            <w:vAlign w:val="bottom"/>
            <w:hideMark/>
          </w:tcPr>
          <w:p w14:paraId="18459187"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-8.907</w:t>
            </w:r>
          </w:p>
        </w:tc>
        <w:tc>
          <w:tcPr>
            <w:tcW w:w="880" w:type="dxa"/>
            <w:tcBorders>
              <w:top w:val="nil"/>
              <w:left w:val="nil"/>
              <w:bottom w:val="nil"/>
              <w:right w:val="nil"/>
            </w:tcBorders>
            <w:shd w:val="clear" w:color="000000" w:fill="FFFFFF"/>
            <w:noWrap/>
            <w:vAlign w:val="bottom"/>
            <w:hideMark/>
          </w:tcPr>
          <w:p w14:paraId="3FECA46F"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-0.251</w:t>
            </w:r>
          </w:p>
        </w:tc>
        <w:tc>
          <w:tcPr>
            <w:tcW w:w="880" w:type="dxa"/>
            <w:tcBorders>
              <w:top w:val="nil"/>
              <w:left w:val="nil"/>
              <w:bottom w:val="nil"/>
              <w:right w:val="double" w:sz="6" w:space="0" w:color="auto"/>
            </w:tcBorders>
            <w:shd w:val="clear" w:color="000000" w:fill="FFFFFF"/>
            <w:noWrap/>
            <w:vAlign w:val="bottom"/>
            <w:hideMark/>
          </w:tcPr>
          <w:p w14:paraId="746D1F98"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-8.853</w:t>
            </w:r>
          </w:p>
        </w:tc>
        <w:tc>
          <w:tcPr>
            <w:tcW w:w="861" w:type="dxa"/>
            <w:tcBorders>
              <w:top w:val="nil"/>
              <w:left w:val="nil"/>
              <w:bottom w:val="nil"/>
              <w:right w:val="nil"/>
            </w:tcBorders>
            <w:shd w:val="clear" w:color="000000" w:fill="FFFFFF"/>
            <w:noWrap/>
            <w:vAlign w:val="bottom"/>
            <w:hideMark/>
          </w:tcPr>
          <w:p w14:paraId="1962124B"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0.165</w:t>
            </w:r>
          </w:p>
        </w:tc>
        <w:tc>
          <w:tcPr>
            <w:tcW w:w="1019" w:type="dxa"/>
            <w:tcBorders>
              <w:top w:val="nil"/>
              <w:left w:val="nil"/>
              <w:bottom w:val="nil"/>
              <w:right w:val="double" w:sz="6" w:space="0" w:color="auto"/>
            </w:tcBorders>
            <w:shd w:val="clear" w:color="000000" w:fill="FFFFFF"/>
            <w:noWrap/>
            <w:vAlign w:val="bottom"/>
            <w:hideMark/>
          </w:tcPr>
          <w:p w14:paraId="62647553"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8.502</w:t>
            </w:r>
          </w:p>
        </w:tc>
        <w:tc>
          <w:tcPr>
            <w:tcW w:w="861" w:type="dxa"/>
            <w:tcBorders>
              <w:top w:val="nil"/>
              <w:left w:val="nil"/>
              <w:bottom w:val="nil"/>
              <w:right w:val="nil"/>
            </w:tcBorders>
            <w:shd w:val="clear" w:color="000000" w:fill="FFFFFF"/>
            <w:noWrap/>
            <w:vAlign w:val="bottom"/>
            <w:hideMark/>
          </w:tcPr>
          <w:p w14:paraId="42F5E631"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0.111</w:t>
            </w:r>
          </w:p>
        </w:tc>
        <w:tc>
          <w:tcPr>
            <w:tcW w:w="1024" w:type="dxa"/>
            <w:tcBorders>
              <w:top w:val="nil"/>
              <w:left w:val="nil"/>
              <w:bottom w:val="nil"/>
              <w:right w:val="double" w:sz="6" w:space="0" w:color="auto"/>
            </w:tcBorders>
            <w:shd w:val="clear" w:color="000000" w:fill="FFFFFF"/>
            <w:noWrap/>
            <w:vAlign w:val="bottom"/>
            <w:hideMark/>
          </w:tcPr>
          <w:p w14:paraId="6E8CB4FF"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4.698</w:t>
            </w:r>
          </w:p>
        </w:tc>
        <w:tc>
          <w:tcPr>
            <w:tcW w:w="806" w:type="dxa"/>
            <w:tcBorders>
              <w:top w:val="nil"/>
              <w:left w:val="nil"/>
              <w:bottom w:val="nil"/>
              <w:right w:val="nil"/>
            </w:tcBorders>
            <w:shd w:val="clear" w:color="000000" w:fill="FFFFFF"/>
            <w:noWrap/>
            <w:vAlign w:val="bottom"/>
            <w:hideMark/>
          </w:tcPr>
          <w:p w14:paraId="27089A9E"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-0.109</w:t>
            </w:r>
          </w:p>
        </w:tc>
        <w:tc>
          <w:tcPr>
            <w:tcW w:w="954" w:type="dxa"/>
            <w:tcBorders>
              <w:top w:val="nil"/>
              <w:left w:val="nil"/>
              <w:bottom w:val="nil"/>
              <w:right w:val="double" w:sz="6" w:space="0" w:color="auto"/>
            </w:tcBorders>
            <w:shd w:val="clear" w:color="000000" w:fill="FFFFFF"/>
            <w:noWrap/>
            <w:vAlign w:val="bottom"/>
            <w:hideMark/>
          </w:tcPr>
          <w:p w14:paraId="10205C2B"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-5.970</w:t>
            </w:r>
          </w:p>
        </w:tc>
      </w:tr>
      <w:tr w:rsidR="005C3210" w:rsidRPr="00537C6A" w14:paraId="7BB28946" w14:textId="77777777" w:rsidTr="00117833">
        <w:trPr>
          <w:trHeight w:val="20"/>
        </w:trPr>
        <w:tc>
          <w:tcPr>
            <w:tcW w:w="3510" w:type="dxa"/>
            <w:tcBorders>
              <w:top w:val="nil"/>
              <w:left w:val="double" w:sz="6" w:space="0" w:color="auto"/>
              <w:bottom w:val="nil"/>
              <w:right w:val="double" w:sz="6" w:space="0" w:color="auto"/>
            </w:tcBorders>
            <w:shd w:val="clear" w:color="000000" w:fill="FFFFFF"/>
            <w:noWrap/>
            <w:vAlign w:val="bottom"/>
            <w:hideMark/>
          </w:tcPr>
          <w:p w14:paraId="7BA04930"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xml:space="preserve">2,000-4,000 </w:t>
            </w:r>
            <w:proofErr w:type="spellStart"/>
            <w:r w:rsidRPr="00537C6A">
              <w:rPr>
                <w:rFonts w:eastAsia="Times New Roman"/>
                <w:color w:val="000000"/>
                <w:sz w:val="22"/>
                <w:szCs w:val="22"/>
              </w:rPr>
              <w:t>hh</w:t>
            </w:r>
            <w:proofErr w:type="spellEnd"/>
            <w:r w:rsidRPr="00537C6A">
              <w:rPr>
                <w:rFonts w:eastAsia="Times New Roman"/>
                <w:color w:val="000000"/>
                <w:sz w:val="22"/>
                <w:szCs w:val="22"/>
              </w:rPr>
              <w:t>/km2</w:t>
            </w:r>
          </w:p>
        </w:tc>
        <w:tc>
          <w:tcPr>
            <w:tcW w:w="811" w:type="dxa"/>
            <w:tcBorders>
              <w:top w:val="nil"/>
              <w:left w:val="nil"/>
              <w:bottom w:val="nil"/>
              <w:right w:val="nil"/>
            </w:tcBorders>
            <w:shd w:val="clear" w:color="000000" w:fill="FFFFFF"/>
            <w:noWrap/>
            <w:vAlign w:val="bottom"/>
            <w:hideMark/>
          </w:tcPr>
          <w:p w14:paraId="4F24B31E"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-0.152</w:t>
            </w:r>
          </w:p>
        </w:tc>
        <w:tc>
          <w:tcPr>
            <w:tcW w:w="899" w:type="dxa"/>
            <w:tcBorders>
              <w:top w:val="nil"/>
              <w:left w:val="nil"/>
              <w:bottom w:val="nil"/>
              <w:right w:val="double" w:sz="6" w:space="0" w:color="auto"/>
            </w:tcBorders>
            <w:shd w:val="clear" w:color="000000" w:fill="FFFFFF"/>
            <w:noWrap/>
            <w:vAlign w:val="bottom"/>
            <w:hideMark/>
          </w:tcPr>
          <w:p w14:paraId="4DF86954"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-6.001</w:t>
            </w:r>
          </w:p>
        </w:tc>
        <w:tc>
          <w:tcPr>
            <w:tcW w:w="854" w:type="dxa"/>
            <w:tcBorders>
              <w:top w:val="nil"/>
              <w:left w:val="nil"/>
              <w:bottom w:val="nil"/>
              <w:right w:val="nil"/>
            </w:tcBorders>
            <w:shd w:val="clear" w:color="000000" w:fill="FFFFFF"/>
            <w:noWrap/>
            <w:vAlign w:val="bottom"/>
            <w:hideMark/>
          </w:tcPr>
          <w:p w14:paraId="4DED96C7"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-0.337</w:t>
            </w:r>
          </w:p>
        </w:tc>
        <w:tc>
          <w:tcPr>
            <w:tcW w:w="911" w:type="dxa"/>
            <w:tcBorders>
              <w:top w:val="nil"/>
              <w:left w:val="nil"/>
              <w:bottom w:val="nil"/>
              <w:right w:val="double" w:sz="6" w:space="0" w:color="auto"/>
            </w:tcBorders>
            <w:shd w:val="clear" w:color="000000" w:fill="FFFFFF"/>
            <w:noWrap/>
            <w:vAlign w:val="bottom"/>
            <w:hideMark/>
          </w:tcPr>
          <w:p w14:paraId="2EBE3346"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-8.783</w:t>
            </w:r>
          </w:p>
        </w:tc>
        <w:tc>
          <w:tcPr>
            <w:tcW w:w="880" w:type="dxa"/>
            <w:tcBorders>
              <w:top w:val="nil"/>
              <w:left w:val="nil"/>
              <w:bottom w:val="nil"/>
              <w:right w:val="nil"/>
            </w:tcBorders>
            <w:shd w:val="clear" w:color="000000" w:fill="FFFFFF"/>
            <w:noWrap/>
            <w:vAlign w:val="bottom"/>
            <w:hideMark/>
          </w:tcPr>
          <w:p w14:paraId="51C1DC3F"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-0.251</w:t>
            </w:r>
          </w:p>
        </w:tc>
        <w:tc>
          <w:tcPr>
            <w:tcW w:w="880" w:type="dxa"/>
            <w:tcBorders>
              <w:top w:val="nil"/>
              <w:left w:val="nil"/>
              <w:bottom w:val="nil"/>
              <w:right w:val="double" w:sz="6" w:space="0" w:color="auto"/>
            </w:tcBorders>
            <w:shd w:val="clear" w:color="000000" w:fill="FFFFFF"/>
            <w:noWrap/>
            <w:vAlign w:val="bottom"/>
            <w:hideMark/>
          </w:tcPr>
          <w:p w14:paraId="152B323C"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-8.853</w:t>
            </w:r>
          </w:p>
        </w:tc>
        <w:tc>
          <w:tcPr>
            <w:tcW w:w="861" w:type="dxa"/>
            <w:tcBorders>
              <w:top w:val="nil"/>
              <w:left w:val="nil"/>
              <w:bottom w:val="nil"/>
              <w:right w:val="nil"/>
            </w:tcBorders>
            <w:shd w:val="clear" w:color="000000" w:fill="FFFFFF"/>
            <w:noWrap/>
            <w:vAlign w:val="bottom"/>
            <w:hideMark/>
          </w:tcPr>
          <w:p w14:paraId="3532D701"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0.165</w:t>
            </w:r>
          </w:p>
        </w:tc>
        <w:tc>
          <w:tcPr>
            <w:tcW w:w="1019" w:type="dxa"/>
            <w:tcBorders>
              <w:top w:val="nil"/>
              <w:left w:val="nil"/>
              <w:bottom w:val="nil"/>
              <w:right w:val="double" w:sz="6" w:space="0" w:color="auto"/>
            </w:tcBorders>
            <w:shd w:val="clear" w:color="000000" w:fill="FFFFFF"/>
            <w:noWrap/>
            <w:vAlign w:val="bottom"/>
            <w:hideMark/>
          </w:tcPr>
          <w:p w14:paraId="7A6F0578"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8.502</w:t>
            </w:r>
          </w:p>
        </w:tc>
        <w:tc>
          <w:tcPr>
            <w:tcW w:w="861" w:type="dxa"/>
            <w:tcBorders>
              <w:top w:val="nil"/>
              <w:left w:val="nil"/>
              <w:bottom w:val="nil"/>
              <w:right w:val="nil"/>
            </w:tcBorders>
            <w:shd w:val="clear" w:color="000000" w:fill="FFFFFF"/>
            <w:noWrap/>
            <w:vAlign w:val="bottom"/>
            <w:hideMark/>
          </w:tcPr>
          <w:p w14:paraId="1031D112"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1024" w:type="dxa"/>
            <w:tcBorders>
              <w:top w:val="nil"/>
              <w:left w:val="nil"/>
              <w:bottom w:val="nil"/>
              <w:right w:val="double" w:sz="6" w:space="0" w:color="auto"/>
            </w:tcBorders>
            <w:shd w:val="clear" w:color="000000" w:fill="FFFFFF"/>
            <w:noWrap/>
            <w:vAlign w:val="bottom"/>
            <w:hideMark/>
          </w:tcPr>
          <w:p w14:paraId="622E5868"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806" w:type="dxa"/>
            <w:tcBorders>
              <w:top w:val="nil"/>
              <w:left w:val="nil"/>
              <w:bottom w:val="nil"/>
              <w:right w:val="nil"/>
            </w:tcBorders>
            <w:shd w:val="clear" w:color="000000" w:fill="FFFFFF"/>
            <w:noWrap/>
            <w:vAlign w:val="bottom"/>
            <w:hideMark/>
          </w:tcPr>
          <w:p w14:paraId="270288D1"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-0.109</w:t>
            </w:r>
          </w:p>
        </w:tc>
        <w:tc>
          <w:tcPr>
            <w:tcW w:w="954" w:type="dxa"/>
            <w:tcBorders>
              <w:top w:val="nil"/>
              <w:left w:val="nil"/>
              <w:bottom w:val="nil"/>
              <w:right w:val="double" w:sz="6" w:space="0" w:color="auto"/>
            </w:tcBorders>
            <w:shd w:val="clear" w:color="000000" w:fill="FFFFFF"/>
            <w:noWrap/>
            <w:vAlign w:val="bottom"/>
            <w:hideMark/>
          </w:tcPr>
          <w:p w14:paraId="27477725"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-5.970</w:t>
            </w:r>
          </w:p>
        </w:tc>
      </w:tr>
      <w:tr w:rsidR="005C3210" w:rsidRPr="00537C6A" w14:paraId="25565DE0" w14:textId="77777777" w:rsidTr="00117833">
        <w:trPr>
          <w:trHeight w:val="20"/>
        </w:trPr>
        <w:tc>
          <w:tcPr>
            <w:tcW w:w="8745" w:type="dxa"/>
            <w:gridSpan w:val="7"/>
            <w:tcBorders>
              <w:top w:val="double" w:sz="6" w:space="0" w:color="auto"/>
              <w:left w:val="double" w:sz="6" w:space="0" w:color="auto"/>
              <w:bottom w:val="double" w:sz="6" w:space="0" w:color="auto"/>
              <w:right w:val="nil"/>
            </w:tcBorders>
            <w:shd w:val="clear" w:color="000000" w:fill="F2F2F2"/>
            <w:noWrap/>
            <w:vAlign w:val="bottom"/>
            <w:hideMark/>
          </w:tcPr>
          <w:p w14:paraId="0B494389" w14:textId="4BD64CC7" w:rsidR="005C3210" w:rsidRPr="00537C6A" w:rsidRDefault="005C3210" w:rsidP="00586232">
            <w:pPr>
              <w:jc w:val="left"/>
              <w:rPr>
                <w:rFonts w:eastAsia="Times New Roman"/>
                <w:i/>
                <w:iCs/>
                <w:color w:val="000000"/>
                <w:sz w:val="22"/>
                <w:szCs w:val="22"/>
              </w:rPr>
            </w:pPr>
            <w:r w:rsidRPr="00537C6A">
              <w:rPr>
                <w:rFonts w:eastAsia="Times New Roman"/>
                <w:i/>
                <w:iCs/>
                <w:color w:val="000000"/>
                <w:sz w:val="22"/>
                <w:szCs w:val="22"/>
              </w:rPr>
              <w:t>Househo</w:t>
            </w:r>
            <w:r>
              <w:rPr>
                <w:rFonts w:eastAsia="Times New Roman"/>
                <w:i/>
                <w:iCs/>
                <w:color w:val="000000"/>
                <w:sz w:val="22"/>
                <w:szCs w:val="22"/>
              </w:rPr>
              <w:t xml:space="preserve">ld tenure (base: Rent and </w:t>
            </w:r>
            <w:r w:rsidR="00C335DA">
              <w:rPr>
                <w:rFonts w:eastAsia="Times New Roman"/>
                <w:i/>
                <w:iCs/>
                <w:color w:val="000000"/>
                <w:sz w:val="22"/>
                <w:szCs w:val="22"/>
              </w:rPr>
              <w:t>o</w:t>
            </w:r>
            <w:r>
              <w:rPr>
                <w:rFonts w:eastAsia="Times New Roman"/>
                <w:i/>
                <w:iCs/>
                <w:color w:val="000000"/>
                <w:sz w:val="22"/>
                <w:szCs w:val="22"/>
              </w:rPr>
              <w:t>ther</w:t>
            </w:r>
            <w:r w:rsidRPr="00537C6A">
              <w:rPr>
                <w:rFonts w:eastAsia="Times New Roman"/>
                <w:b/>
                <w:bCs/>
                <w:color w:val="000000"/>
                <w:sz w:val="22"/>
                <w:szCs w:val="22"/>
              </w:rPr>
              <w:t> </w:t>
            </w:r>
          </w:p>
        </w:tc>
        <w:tc>
          <w:tcPr>
            <w:tcW w:w="861" w:type="dxa"/>
            <w:tcBorders>
              <w:top w:val="double" w:sz="6" w:space="0" w:color="auto"/>
              <w:left w:val="nil"/>
              <w:bottom w:val="double" w:sz="6" w:space="0" w:color="auto"/>
              <w:right w:val="nil"/>
            </w:tcBorders>
            <w:shd w:val="clear" w:color="000000" w:fill="F2F2F2"/>
            <w:noWrap/>
            <w:vAlign w:val="bottom"/>
            <w:hideMark/>
          </w:tcPr>
          <w:p w14:paraId="14B0910D"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1019" w:type="dxa"/>
            <w:tcBorders>
              <w:top w:val="double" w:sz="6" w:space="0" w:color="auto"/>
              <w:left w:val="nil"/>
              <w:bottom w:val="double" w:sz="6" w:space="0" w:color="auto"/>
              <w:right w:val="nil"/>
            </w:tcBorders>
            <w:shd w:val="clear" w:color="000000" w:fill="F2F2F2"/>
            <w:noWrap/>
            <w:vAlign w:val="bottom"/>
            <w:hideMark/>
          </w:tcPr>
          <w:p w14:paraId="54B94EA0"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61" w:type="dxa"/>
            <w:tcBorders>
              <w:top w:val="double" w:sz="6" w:space="0" w:color="auto"/>
              <w:left w:val="nil"/>
              <w:bottom w:val="double" w:sz="6" w:space="0" w:color="auto"/>
              <w:right w:val="nil"/>
            </w:tcBorders>
            <w:shd w:val="clear" w:color="000000" w:fill="F2F2F2"/>
            <w:noWrap/>
            <w:vAlign w:val="bottom"/>
            <w:hideMark/>
          </w:tcPr>
          <w:p w14:paraId="640A4516"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1024" w:type="dxa"/>
            <w:tcBorders>
              <w:top w:val="double" w:sz="6" w:space="0" w:color="auto"/>
              <w:left w:val="nil"/>
              <w:bottom w:val="double" w:sz="6" w:space="0" w:color="auto"/>
              <w:right w:val="nil"/>
            </w:tcBorders>
            <w:shd w:val="clear" w:color="000000" w:fill="F2F2F2"/>
            <w:noWrap/>
            <w:vAlign w:val="bottom"/>
            <w:hideMark/>
          </w:tcPr>
          <w:p w14:paraId="79094B95"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06" w:type="dxa"/>
            <w:tcBorders>
              <w:top w:val="double" w:sz="6" w:space="0" w:color="auto"/>
              <w:left w:val="nil"/>
              <w:bottom w:val="double" w:sz="6" w:space="0" w:color="auto"/>
              <w:right w:val="nil"/>
            </w:tcBorders>
            <w:shd w:val="clear" w:color="000000" w:fill="F2F2F2"/>
            <w:noWrap/>
            <w:vAlign w:val="bottom"/>
            <w:hideMark/>
          </w:tcPr>
          <w:p w14:paraId="74A59739"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954" w:type="dxa"/>
            <w:tcBorders>
              <w:top w:val="double" w:sz="6" w:space="0" w:color="auto"/>
              <w:left w:val="nil"/>
              <w:bottom w:val="double" w:sz="6" w:space="0" w:color="auto"/>
              <w:right w:val="double" w:sz="6" w:space="0" w:color="auto"/>
            </w:tcBorders>
            <w:shd w:val="clear" w:color="000000" w:fill="F2F2F2"/>
            <w:noWrap/>
            <w:vAlign w:val="bottom"/>
            <w:hideMark/>
          </w:tcPr>
          <w:p w14:paraId="0FA76EE7"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r>
      <w:tr w:rsidR="005C3210" w:rsidRPr="00537C6A" w14:paraId="01A77786" w14:textId="77777777" w:rsidTr="00117833">
        <w:trPr>
          <w:trHeight w:val="20"/>
        </w:trPr>
        <w:tc>
          <w:tcPr>
            <w:tcW w:w="3510" w:type="dxa"/>
            <w:tcBorders>
              <w:top w:val="nil"/>
              <w:left w:val="double" w:sz="6" w:space="0" w:color="auto"/>
              <w:bottom w:val="double" w:sz="6" w:space="0" w:color="auto"/>
              <w:right w:val="double" w:sz="6" w:space="0" w:color="auto"/>
            </w:tcBorders>
            <w:shd w:val="clear" w:color="000000" w:fill="FFFFFF"/>
            <w:noWrap/>
            <w:vAlign w:val="bottom"/>
            <w:hideMark/>
          </w:tcPr>
          <w:p w14:paraId="7D5C1890"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Own</w:t>
            </w:r>
          </w:p>
        </w:tc>
        <w:tc>
          <w:tcPr>
            <w:tcW w:w="811" w:type="dxa"/>
            <w:tcBorders>
              <w:top w:val="nil"/>
              <w:left w:val="nil"/>
              <w:bottom w:val="double" w:sz="6" w:space="0" w:color="auto"/>
              <w:right w:val="nil"/>
            </w:tcBorders>
            <w:shd w:val="clear" w:color="000000" w:fill="FFFFFF"/>
            <w:noWrap/>
            <w:vAlign w:val="bottom"/>
            <w:hideMark/>
          </w:tcPr>
          <w:p w14:paraId="5127435F"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-0.083</w:t>
            </w:r>
          </w:p>
        </w:tc>
        <w:tc>
          <w:tcPr>
            <w:tcW w:w="899" w:type="dxa"/>
            <w:tcBorders>
              <w:top w:val="nil"/>
              <w:left w:val="nil"/>
              <w:bottom w:val="double" w:sz="6" w:space="0" w:color="auto"/>
              <w:right w:val="double" w:sz="6" w:space="0" w:color="auto"/>
            </w:tcBorders>
            <w:shd w:val="clear" w:color="000000" w:fill="FFFFFF"/>
            <w:noWrap/>
            <w:vAlign w:val="bottom"/>
            <w:hideMark/>
          </w:tcPr>
          <w:p w14:paraId="6A50857A"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-3.383</w:t>
            </w:r>
          </w:p>
        </w:tc>
        <w:tc>
          <w:tcPr>
            <w:tcW w:w="854" w:type="dxa"/>
            <w:tcBorders>
              <w:top w:val="nil"/>
              <w:left w:val="nil"/>
              <w:bottom w:val="double" w:sz="6" w:space="0" w:color="auto"/>
              <w:right w:val="nil"/>
            </w:tcBorders>
            <w:shd w:val="clear" w:color="000000" w:fill="FFFFFF"/>
            <w:noWrap/>
            <w:vAlign w:val="bottom"/>
            <w:hideMark/>
          </w:tcPr>
          <w:p w14:paraId="2E1D7DBA"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-0.278</w:t>
            </w:r>
          </w:p>
        </w:tc>
        <w:tc>
          <w:tcPr>
            <w:tcW w:w="911" w:type="dxa"/>
            <w:tcBorders>
              <w:top w:val="nil"/>
              <w:left w:val="nil"/>
              <w:bottom w:val="double" w:sz="6" w:space="0" w:color="auto"/>
              <w:right w:val="double" w:sz="6" w:space="0" w:color="auto"/>
            </w:tcBorders>
            <w:shd w:val="clear" w:color="000000" w:fill="FFFFFF"/>
            <w:noWrap/>
            <w:vAlign w:val="bottom"/>
            <w:hideMark/>
          </w:tcPr>
          <w:p w14:paraId="3C6D0B55"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-8.036</w:t>
            </w:r>
          </w:p>
        </w:tc>
        <w:tc>
          <w:tcPr>
            <w:tcW w:w="880" w:type="dxa"/>
            <w:tcBorders>
              <w:top w:val="nil"/>
              <w:left w:val="nil"/>
              <w:bottom w:val="double" w:sz="6" w:space="0" w:color="auto"/>
              <w:right w:val="nil"/>
            </w:tcBorders>
            <w:shd w:val="clear" w:color="000000" w:fill="FFFFFF"/>
            <w:noWrap/>
            <w:vAlign w:val="bottom"/>
            <w:hideMark/>
          </w:tcPr>
          <w:p w14:paraId="3E588FA6"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-0.212</w:t>
            </w:r>
          </w:p>
        </w:tc>
        <w:tc>
          <w:tcPr>
            <w:tcW w:w="880" w:type="dxa"/>
            <w:tcBorders>
              <w:top w:val="nil"/>
              <w:left w:val="nil"/>
              <w:bottom w:val="double" w:sz="6" w:space="0" w:color="auto"/>
              <w:right w:val="double" w:sz="6" w:space="0" w:color="auto"/>
            </w:tcBorders>
            <w:shd w:val="clear" w:color="000000" w:fill="FFFFFF"/>
            <w:noWrap/>
            <w:vAlign w:val="bottom"/>
            <w:hideMark/>
          </w:tcPr>
          <w:p w14:paraId="668BAFFD"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-6.884</w:t>
            </w:r>
          </w:p>
        </w:tc>
        <w:tc>
          <w:tcPr>
            <w:tcW w:w="861" w:type="dxa"/>
            <w:tcBorders>
              <w:top w:val="nil"/>
              <w:left w:val="nil"/>
              <w:bottom w:val="double" w:sz="6" w:space="0" w:color="auto"/>
              <w:right w:val="nil"/>
            </w:tcBorders>
            <w:shd w:val="clear" w:color="000000" w:fill="FFFFFF"/>
            <w:noWrap/>
            <w:vAlign w:val="bottom"/>
            <w:hideMark/>
          </w:tcPr>
          <w:p w14:paraId="17EB7134"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0.102</w:t>
            </w:r>
          </w:p>
        </w:tc>
        <w:tc>
          <w:tcPr>
            <w:tcW w:w="1019" w:type="dxa"/>
            <w:tcBorders>
              <w:top w:val="nil"/>
              <w:left w:val="nil"/>
              <w:bottom w:val="double" w:sz="6" w:space="0" w:color="auto"/>
              <w:right w:val="double" w:sz="6" w:space="0" w:color="auto"/>
            </w:tcBorders>
            <w:shd w:val="clear" w:color="000000" w:fill="FFFFFF"/>
            <w:noWrap/>
            <w:vAlign w:val="bottom"/>
            <w:hideMark/>
          </w:tcPr>
          <w:p w14:paraId="3E6287C5"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4.537</w:t>
            </w:r>
          </w:p>
        </w:tc>
        <w:tc>
          <w:tcPr>
            <w:tcW w:w="861" w:type="dxa"/>
            <w:tcBorders>
              <w:top w:val="nil"/>
              <w:left w:val="nil"/>
              <w:bottom w:val="double" w:sz="6" w:space="0" w:color="auto"/>
              <w:right w:val="nil"/>
            </w:tcBorders>
            <w:shd w:val="clear" w:color="000000" w:fill="FFFFFF"/>
            <w:noWrap/>
            <w:vAlign w:val="bottom"/>
            <w:hideMark/>
          </w:tcPr>
          <w:p w14:paraId="64FF6D07"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1024" w:type="dxa"/>
            <w:tcBorders>
              <w:top w:val="nil"/>
              <w:left w:val="nil"/>
              <w:bottom w:val="double" w:sz="6" w:space="0" w:color="auto"/>
              <w:right w:val="double" w:sz="6" w:space="0" w:color="auto"/>
            </w:tcBorders>
            <w:shd w:val="clear" w:color="000000" w:fill="FFFFFF"/>
            <w:noWrap/>
            <w:vAlign w:val="bottom"/>
            <w:hideMark/>
          </w:tcPr>
          <w:p w14:paraId="360684ED"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806" w:type="dxa"/>
            <w:tcBorders>
              <w:top w:val="nil"/>
              <w:left w:val="nil"/>
              <w:bottom w:val="double" w:sz="6" w:space="0" w:color="auto"/>
              <w:right w:val="nil"/>
            </w:tcBorders>
            <w:shd w:val="clear" w:color="000000" w:fill="FFFFFF"/>
            <w:noWrap/>
            <w:vAlign w:val="bottom"/>
            <w:hideMark/>
          </w:tcPr>
          <w:p w14:paraId="33265AB4"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-0.085</w:t>
            </w:r>
          </w:p>
        </w:tc>
        <w:tc>
          <w:tcPr>
            <w:tcW w:w="954" w:type="dxa"/>
            <w:tcBorders>
              <w:top w:val="nil"/>
              <w:left w:val="nil"/>
              <w:bottom w:val="double" w:sz="6" w:space="0" w:color="auto"/>
              <w:right w:val="double" w:sz="6" w:space="0" w:color="auto"/>
            </w:tcBorders>
            <w:shd w:val="clear" w:color="000000" w:fill="FFFFFF"/>
            <w:noWrap/>
            <w:vAlign w:val="bottom"/>
            <w:hideMark/>
          </w:tcPr>
          <w:p w14:paraId="617286BA"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-3.856</w:t>
            </w:r>
          </w:p>
        </w:tc>
      </w:tr>
      <w:tr w:rsidR="005C3210" w:rsidRPr="00537C6A" w14:paraId="788DB713" w14:textId="77777777" w:rsidTr="00117833">
        <w:trPr>
          <w:trHeight w:val="20"/>
        </w:trPr>
        <w:tc>
          <w:tcPr>
            <w:tcW w:w="8745" w:type="dxa"/>
            <w:gridSpan w:val="7"/>
            <w:tcBorders>
              <w:top w:val="double" w:sz="6" w:space="0" w:color="auto"/>
              <w:left w:val="double" w:sz="6" w:space="0" w:color="auto"/>
              <w:bottom w:val="double" w:sz="6" w:space="0" w:color="auto"/>
              <w:right w:val="nil"/>
            </w:tcBorders>
            <w:shd w:val="clear" w:color="000000" w:fill="F2F2F2"/>
            <w:noWrap/>
            <w:vAlign w:val="bottom"/>
            <w:hideMark/>
          </w:tcPr>
          <w:p w14:paraId="10A0FD04" w14:textId="28E8DA0E" w:rsidR="005C3210" w:rsidRPr="00537C6A" w:rsidRDefault="005C3210" w:rsidP="00586232">
            <w:pPr>
              <w:jc w:val="left"/>
              <w:rPr>
                <w:rFonts w:eastAsia="Times New Roman"/>
                <w:i/>
                <w:iCs/>
                <w:color w:val="000000"/>
                <w:sz w:val="22"/>
                <w:szCs w:val="22"/>
              </w:rPr>
            </w:pPr>
            <w:r w:rsidRPr="00537C6A">
              <w:rPr>
                <w:rFonts w:eastAsia="Times New Roman"/>
                <w:i/>
                <w:iCs/>
                <w:color w:val="000000"/>
                <w:sz w:val="22"/>
                <w:szCs w:val="22"/>
              </w:rPr>
              <w:t xml:space="preserve">Household type (base: Detached house, </w:t>
            </w:r>
            <w:r w:rsidR="00C335DA">
              <w:rPr>
                <w:rFonts w:eastAsia="Times New Roman"/>
                <w:i/>
                <w:iCs/>
                <w:color w:val="000000"/>
                <w:sz w:val="22"/>
                <w:szCs w:val="22"/>
              </w:rPr>
              <w:t>a</w:t>
            </w:r>
            <w:r w:rsidRPr="00537C6A">
              <w:rPr>
                <w:rFonts w:eastAsia="Times New Roman"/>
                <w:i/>
                <w:iCs/>
                <w:color w:val="000000"/>
                <w:sz w:val="22"/>
                <w:szCs w:val="22"/>
              </w:rPr>
              <w:t xml:space="preserve">ttached house, </w:t>
            </w:r>
            <w:r w:rsidR="00C335DA">
              <w:rPr>
                <w:rFonts w:eastAsia="Times New Roman"/>
                <w:i/>
                <w:iCs/>
                <w:color w:val="000000"/>
                <w:sz w:val="22"/>
                <w:szCs w:val="22"/>
              </w:rPr>
              <w:t>o</w:t>
            </w:r>
            <w:r w:rsidRPr="00537C6A">
              <w:rPr>
                <w:rFonts w:eastAsia="Times New Roman"/>
                <w:i/>
                <w:iCs/>
                <w:color w:val="000000"/>
                <w:sz w:val="22"/>
                <w:szCs w:val="22"/>
              </w:rPr>
              <w:t>ther)</w:t>
            </w:r>
            <w:r w:rsidRPr="00537C6A">
              <w:rPr>
                <w:rFonts w:eastAsia="Times New Roman"/>
                <w:b/>
                <w:bCs/>
                <w:color w:val="000000"/>
                <w:sz w:val="22"/>
                <w:szCs w:val="22"/>
              </w:rPr>
              <w:t> </w:t>
            </w:r>
          </w:p>
        </w:tc>
        <w:tc>
          <w:tcPr>
            <w:tcW w:w="861" w:type="dxa"/>
            <w:tcBorders>
              <w:top w:val="nil"/>
              <w:left w:val="nil"/>
              <w:bottom w:val="double" w:sz="6" w:space="0" w:color="auto"/>
              <w:right w:val="nil"/>
            </w:tcBorders>
            <w:shd w:val="clear" w:color="000000" w:fill="F2F2F2"/>
            <w:noWrap/>
            <w:vAlign w:val="bottom"/>
            <w:hideMark/>
          </w:tcPr>
          <w:p w14:paraId="0B1731D0"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1019" w:type="dxa"/>
            <w:tcBorders>
              <w:top w:val="nil"/>
              <w:left w:val="nil"/>
              <w:bottom w:val="double" w:sz="6" w:space="0" w:color="auto"/>
              <w:right w:val="nil"/>
            </w:tcBorders>
            <w:shd w:val="clear" w:color="000000" w:fill="F2F2F2"/>
            <w:noWrap/>
            <w:vAlign w:val="bottom"/>
            <w:hideMark/>
          </w:tcPr>
          <w:p w14:paraId="13DEAFC0"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61" w:type="dxa"/>
            <w:tcBorders>
              <w:top w:val="nil"/>
              <w:left w:val="nil"/>
              <w:bottom w:val="double" w:sz="6" w:space="0" w:color="auto"/>
              <w:right w:val="nil"/>
            </w:tcBorders>
            <w:shd w:val="clear" w:color="000000" w:fill="F2F2F2"/>
            <w:noWrap/>
            <w:vAlign w:val="bottom"/>
            <w:hideMark/>
          </w:tcPr>
          <w:p w14:paraId="610916E7"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1024" w:type="dxa"/>
            <w:tcBorders>
              <w:top w:val="nil"/>
              <w:left w:val="nil"/>
              <w:bottom w:val="double" w:sz="6" w:space="0" w:color="auto"/>
              <w:right w:val="nil"/>
            </w:tcBorders>
            <w:shd w:val="clear" w:color="000000" w:fill="F2F2F2"/>
            <w:noWrap/>
            <w:vAlign w:val="bottom"/>
            <w:hideMark/>
          </w:tcPr>
          <w:p w14:paraId="34C07C50"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06" w:type="dxa"/>
            <w:tcBorders>
              <w:top w:val="nil"/>
              <w:left w:val="nil"/>
              <w:bottom w:val="double" w:sz="6" w:space="0" w:color="auto"/>
              <w:right w:val="nil"/>
            </w:tcBorders>
            <w:shd w:val="clear" w:color="000000" w:fill="F2F2F2"/>
            <w:noWrap/>
            <w:vAlign w:val="bottom"/>
            <w:hideMark/>
          </w:tcPr>
          <w:p w14:paraId="576DE9DE"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954" w:type="dxa"/>
            <w:tcBorders>
              <w:top w:val="nil"/>
              <w:left w:val="nil"/>
              <w:bottom w:val="double" w:sz="6" w:space="0" w:color="auto"/>
              <w:right w:val="double" w:sz="6" w:space="0" w:color="auto"/>
            </w:tcBorders>
            <w:shd w:val="clear" w:color="000000" w:fill="F2F2F2"/>
            <w:noWrap/>
            <w:vAlign w:val="bottom"/>
            <w:hideMark/>
          </w:tcPr>
          <w:p w14:paraId="2EB1DD90"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r>
      <w:tr w:rsidR="005C3210" w:rsidRPr="00537C6A" w14:paraId="0AE8514B" w14:textId="77777777" w:rsidTr="00117833">
        <w:trPr>
          <w:trHeight w:val="20"/>
        </w:trPr>
        <w:tc>
          <w:tcPr>
            <w:tcW w:w="3510" w:type="dxa"/>
            <w:tcBorders>
              <w:top w:val="nil"/>
              <w:left w:val="double" w:sz="6" w:space="0" w:color="auto"/>
              <w:bottom w:val="double" w:sz="6" w:space="0" w:color="auto"/>
              <w:right w:val="double" w:sz="6" w:space="0" w:color="auto"/>
            </w:tcBorders>
            <w:shd w:val="clear" w:color="000000" w:fill="FFFFFF"/>
            <w:noWrap/>
            <w:vAlign w:val="bottom"/>
            <w:hideMark/>
          </w:tcPr>
          <w:p w14:paraId="6FB544F7"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Building with apartments and condos</w:t>
            </w:r>
          </w:p>
        </w:tc>
        <w:tc>
          <w:tcPr>
            <w:tcW w:w="811" w:type="dxa"/>
            <w:tcBorders>
              <w:top w:val="nil"/>
              <w:left w:val="nil"/>
              <w:bottom w:val="double" w:sz="6" w:space="0" w:color="auto"/>
              <w:right w:val="nil"/>
            </w:tcBorders>
            <w:shd w:val="clear" w:color="000000" w:fill="FFFFFF"/>
            <w:noWrap/>
            <w:vAlign w:val="bottom"/>
            <w:hideMark/>
          </w:tcPr>
          <w:p w14:paraId="1823BBAF"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-0.313</w:t>
            </w:r>
          </w:p>
        </w:tc>
        <w:tc>
          <w:tcPr>
            <w:tcW w:w="899" w:type="dxa"/>
            <w:tcBorders>
              <w:top w:val="nil"/>
              <w:left w:val="nil"/>
              <w:bottom w:val="double" w:sz="6" w:space="0" w:color="auto"/>
              <w:right w:val="double" w:sz="6" w:space="0" w:color="auto"/>
            </w:tcBorders>
            <w:shd w:val="clear" w:color="000000" w:fill="FFFFFF"/>
            <w:noWrap/>
            <w:vAlign w:val="bottom"/>
            <w:hideMark/>
          </w:tcPr>
          <w:p w14:paraId="2DE3D71B"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-11.910</w:t>
            </w:r>
          </w:p>
        </w:tc>
        <w:tc>
          <w:tcPr>
            <w:tcW w:w="854" w:type="dxa"/>
            <w:tcBorders>
              <w:top w:val="nil"/>
              <w:left w:val="nil"/>
              <w:bottom w:val="double" w:sz="6" w:space="0" w:color="auto"/>
              <w:right w:val="nil"/>
            </w:tcBorders>
            <w:shd w:val="clear" w:color="000000" w:fill="FFFFFF"/>
            <w:noWrap/>
            <w:vAlign w:val="bottom"/>
            <w:hideMark/>
          </w:tcPr>
          <w:p w14:paraId="18BFF8EF"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-0.136</w:t>
            </w:r>
          </w:p>
        </w:tc>
        <w:tc>
          <w:tcPr>
            <w:tcW w:w="911" w:type="dxa"/>
            <w:tcBorders>
              <w:top w:val="nil"/>
              <w:left w:val="nil"/>
              <w:bottom w:val="double" w:sz="6" w:space="0" w:color="auto"/>
              <w:right w:val="double" w:sz="6" w:space="0" w:color="auto"/>
            </w:tcBorders>
            <w:shd w:val="clear" w:color="000000" w:fill="FFFFFF"/>
            <w:noWrap/>
            <w:vAlign w:val="bottom"/>
            <w:hideMark/>
          </w:tcPr>
          <w:p w14:paraId="17BD9F4D"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-3.712</w:t>
            </w:r>
          </w:p>
        </w:tc>
        <w:tc>
          <w:tcPr>
            <w:tcW w:w="880" w:type="dxa"/>
            <w:tcBorders>
              <w:top w:val="nil"/>
              <w:left w:val="nil"/>
              <w:bottom w:val="double" w:sz="6" w:space="0" w:color="auto"/>
              <w:right w:val="nil"/>
            </w:tcBorders>
            <w:shd w:val="clear" w:color="000000" w:fill="FFFFFF"/>
            <w:noWrap/>
            <w:vAlign w:val="bottom"/>
            <w:hideMark/>
          </w:tcPr>
          <w:p w14:paraId="60950278"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880" w:type="dxa"/>
            <w:tcBorders>
              <w:top w:val="nil"/>
              <w:left w:val="nil"/>
              <w:bottom w:val="double" w:sz="6" w:space="0" w:color="auto"/>
              <w:right w:val="double" w:sz="6" w:space="0" w:color="auto"/>
            </w:tcBorders>
            <w:shd w:val="clear" w:color="000000" w:fill="FFFFFF"/>
            <w:noWrap/>
            <w:vAlign w:val="bottom"/>
            <w:hideMark/>
          </w:tcPr>
          <w:p w14:paraId="4F8CA9F5"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 </w:t>
            </w:r>
          </w:p>
        </w:tc>
        <w:tc>
          <w:tcPr>
            <w:tcW w:w="861" w:type="dxa"/>
            <w:tcBorders>
              <w:top w:val="nil"/>
              <w:left w:val="nil"/>
              <w:bottom w:val="double" w:sz="6" w:space="0" w:color="auto"/>
              <w:right w:val="nil"/>
            </w:tcBorders>
            <w:shd w:val="clear" w:color="000000" w:fill="FFFFFF"/>
            <w:noWrap/>
            <w:vAlign w:val="bottom"/>
            <w:hideMark/>
          </w:tcPr>
          <w:p w14:paraId="6260F937"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-0.076</w:t>
            </w:r>
          </w:p>
        </w:tc>
        <w:tc>
          <w:tcPr>
            <w:tcW w:w="1019" w:type="dxa"/>
            <w:tcBorders>
              <w:top w:val="nil"/>
              <w:left w:val="nil"/>
              <w:bottom w:val="double" w:sz="6" w:space="0" w:color="auto"/>
              <w:right w:val="double" w:sz="6" w:space="0" w:color="auto"/>
            </w:tcBorders>
            <w:shd w:val="clear" w:color="000000" w:fill="FFFFFF"/>
            <w:noWrap/>
            <w:vAlign w:val="bottom"/>
            <w:hideMark/>
          </w:tcPr>
          <w:p w14:paraId="3D458B52"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-3.117</w:t>
            </w:r>
          </w:p>
        </w:tc>
        <w:tc>
          <w:tcPr>
            <w:tcW w:w="861" w:type="dxa"/>
            <w:tcBorders>
              <w:top w:val="nil"/>
              <w:left w:val="nil"/>
              <w:bottom w:val="double" w:sz="6" w:space="0" w:color="auto"/>
              <w:right w:val="nil"/>
            </w:tcBorders>
            <w:shd w:val="clear" w:color="000000" w:fill="FFFFFF"/>
            <w:noWrap/>
            <w:vAlign w:val="bottom"/>
            <w:hideMark/>
          </w:tcPr>
          <w:p w14:paraId="2FFEA88C"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0.066</w:t>
            </w:r>
          </w:p>
        </w:tc>
        <w:tc>
          <w:tcPr>
            <w:tcW w:w="1024" w:type="dxa"/>
            <w:tcBorders>
              <w:top w:val="nil"/>
              <w:left w:val="nil"/>
              <w:bottom w:val="double" w:sz="6" w:space="0" w:color="auto"/>
              <w:right w:val="double" w:sz="6" w:space="0" w:color="auto"/>
            </w:tcBorders>
            <w:shd w:val="clear" w:color="000000" w:fill="FFFFFF"/>
            <w:noWrap/>
            <w:vAlign w:val="bottom"/>
            <w:hideMark/>
          </w:tcPr>
          <w:p w14:paraId="5794E1F1"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3.042</w:t>
            </w:r>
          </w:p>
        </w:tc>
        <w:tc>
          <w:tcPr>
            <w:tcW w:w="806" w:type="dxa"/>
            <w:tcBorders>
              <w:top w:val="nil"/>
              <w:left w:val="nil"/>
              <w:bottom w:val="double" w:sz="6" w:space="0" w:color="auto"/>
              <w:right w:val="nil"/>
            </w:tcBorders>
            <w:shd w:val="clear" w:color="000000" w:fill="FFFFFF"/>
            <w:noWrap/>
            <w:vAlign w:val="bottom"/>
            <w:hideMark/>
          </w:tcPr>
          <w:p w14:paraId="05ACC7A6"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0.142</w:t>
            </w:r>
          </w:p>
        </w:tc>
        <w:tc>
          <w:tcPr>
            <w:tcW w:w="954" w:type="dxa"/>
            <w:tcBorders>
              <w:top w:val="nil"/>
              <w:left w:val="nil"/>
              <w:bottom w:val="double" w:sz="6" w:space="0" w:color="auto"/>
              <w:right w:val="double" w:sz="6" w:space="0" w:color="auto"/>
            </w:tcBorders>
            <w:shd w:val="clear" w:color="000000" w:fill="FFFFFF"/>
            <w:noWrap/>
            <w:vAlign w:val="bottom"/>
            <w:hideMark/>
          </w:tcPr>
          <w:p w14:paraId="5073F0C3"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6.016</w:t>
            </w:r>
          </w:p>
        </w:tc>
      </w:tr>
      <w:tr w:rsidR="005C3210" w:rsidRPr="00537C6A" w14:paraId="11A08E82" w14:textId="77777777" w:rsidTr="00117833">
        <w:trPr>
          <w:trHeight w:val="20"/>
        </w:trPr>
        <w:tc>
          <w:tcPr>
            <w:tcW w:w="8745" w:type="dxa"/>
            <w:gridSpan w:val="7"/>
            <w:tcBorders>
              <w:top w:val="double" w:sz="6" w:space="0" w:color="auto"/>
              <w:left w:val="double" w:sz="6" w:space="0" w:color="auto"/>
              <w:bottom w:val="double" w:sz="6" w:space="0" w:color="auto"/>
              <w:right w:val="nil"/>
            </w:tcBorders>
            <w:shd w:val="clear" w:color="000000" w:fill="F2F2F2"/>
            <w:noWrap/>
            <w:vAlign w:val="bottom"/>
            <w:hideMark/>
          </w:tcPr>
          <w:p w14:paraId="0D8365AB" w14:textId="77777777" w:rsidR="005C3210" w:rsidRPr="00537C6A" w:rsidRDefault="005C3210" w:rsidP="00586232">
            <w:pPr>
              <w:jc w:val="left"/>
              <w:rPr>
                <w:rFonts w:eastAsia="Times New Roman"/>
                <w:i/>
                <w:iCs/>
                <w:color w:val="000000"/>
                <w:sz w:val="22"/>
                <w:szCs w:val="22"/>
              </w:rPr>
            </w:pPr>
            <w:r w:rsidRPr="00537C6A">
              <w:rPr>
                <w:rFonts w:eastAsia="Times New Roman"/>
                <w:i/>
                <w:iCs/>
                <w:color w:val="000000"/>
                <w:sz w:val="22"/>
                <w:szCs w:val="22"/>
              </w:rPr>
              <w:t>Vehicle availability (base: &gt;= 1 per adult)</w:t>
            </w:r>
            <w:r w:rsidRPr="00537C6A">
              <w:rPr>
                <w:rFonts w:eastAsia="Times New Roman"/>
                <w:b/>
                <w:bCs/>
                <w:color w:val="000000"/>
                <w:sz w:val="22"/>
                <w:szCs w:val="22"/>
              </w:rPr>
              <w:t> </w:t>
            </w:r>
          </w:p>
        </w:tc>
        <w:tc>
          <w:tcPr>
            <w:tcW w:w="861" w:type="dxa"/>
            <w:tcBorders>
              <w:top w:val="double" w:sz="6" w:space="0" w:color="auto"/>
              <w:left w:val="nil"/>
              <w:bottom w:val="double" w:sz="6" w:space="0" w:color="auto"/>
              <w:right w:val="nil"/>
            </w:tcBorders>
            <w:shd w:val="clear" w:color="000000" w:fill="F2F2F2"/>
            <w:noWrap/>
            <w:vAlign w:val="bottom"/>
            <w:hideMark/>
          </w:tcPr>
          <w:p w14:paraId="04E0062D"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1019" w:type="dxa"/>
            <w:tcBorders>
              <w:top w:val="double" w:sz="6" w:space="0" w:color="auto"/>
              <w:left w:val="nil"/>
              <w:bottom w:val="double" w:sz="6" w:space="0" w:color="auto"/>
              <w:right w:val="nil"/>
            </w:tcBorders>
            <w:shd w:val="clear" w:color="000000" w:fill="F2F2F2"/>
            <w:noWrap/>
            <w:vAlign w:val="bottom"/>
            <w:hideMark/>
          </w:tcPr>
          <w:p w14:paraId="2159908A"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61" w:type="dxa"/>
            <w:tcBorders>
              <w:top w:val="double" w:sz="6" w:space="0" w:color="auto"/>
              <w:left w:val="nil"/>
              <w:bottom w:val="double" w:sz="6" w:space="0" w:color="auto"/>
              <w:right w:val="nil"/>
            </w:tcBorders>
            <w:shd w:val="clear" w:color="000000" w:fill="F2F2F2"/>
            <w:noWrap/>
            <w:vAlign w:val="bottom"/>
            <w:hideMark/>
          </w:tcPr>
          <w:p w14:paraId="040ACDB6"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1024" w:type="dxa"/>
            <w:tcBorders>
              <w:top w:val="double" w:sz="6" w:space="0" w:color="auto"/>
              <w:left w:val="nil"/>
              <w:bottom w:val="double" w:sz="6" w:space="0" w:color="auto"/>
              <w:right w:val="nil"/>
            </w:tcBorders>
            <w:shd w:val="clear" w:color="000000" w:fill="F2F2F2"/>
            <w:noWrap/>
            <w:vAlign w:val="bottom"/>
            <w:hideMark/>
          </w:tcPr>
          <w:p w14:paraId="2D826ED9"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806" w:type="dxa"/>
            <w:tcBorders>
              <w:top w:val="double" w:sz="6" w:space="0" w:color="auto"/>
              <w:left w:val="nil"/>
              <w:bottom w:val="double" w:sz="6" w:space="0" w:color="auto"/>
              <w:right w:val="nil"/>
            </w:tcBorders>
            <w:shd w:val="clear" w:color="000000" w:fill="F2F2F2"/>
            <w:noWrap/>
            <w:vAlign w:val="bottom"/>
            <w:hideMark/>
          </w:tcPr>
          <w:p w14:paraId="7FE3495A"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c>
          <w:tcPr>
            <w:tcW w:w="954" w:type="dxa"/>
            <w:tcBorders>
              <w:top w:val="double" w:sz="6" w:space="0" w:color="auto"/>
              <w:left w:val="nil"/>
              <w:bottom w:val="double" w:sz="6" w:space="0" w:color="auto"/>
              <w:right w:val="double" w:sz="6" w:space="0" w:color="auto"/>
            </w:tcBorders>
            <w:shd w:val="clear" w:color="000000" w:fill="F2F2F2"/>
            <w:noWrap/>
            <w:vAlign w:val="bottom"/>
            <w:hideMark/>
          </w:tcPr>
          <w:p w14:paraId="4D820FAF" w14:textId="77777777" w:rsidR="005C3210" w:rsidRPr="00537C6A" w:rsidRDefault="005C3210" w:rsidP="00586232">
            <w:pPr>
              <w:jc w:val="left"/>
              <w:rPr>
                <w:rFonts w:eastAsia="Times New Roman"/>
                <w:b/>
                <w:bCs/>
                <w:color w:val="000000"/>
                <w:sz w:val="22"/>
                <w:szCs w:val="22"/>
              </w:rPr>
            </w:pPr>
            <w:r w:rsidRPr="00537C6A">
              <w:rPr>
                <w:rFonts w:eastAsia="Times New Roman"/>
                <w:b/>
                <w:bCs/>
                <w:color w:val="000000"/>
                <w:sz w:val="22"/>
                <w:szCs w:val="22"/>
              </w:rPr>
              <w:t> </w:t>
            </w:r>
          </w:p>
        </w:tc>
      </w:tr>
      <w:tr w:rsidR="005C3210" w:rsidRPr="00537C6A" w14:paraId="5B3B183C" w14:textId="77777777" w:rsidTr="00117833">
        <w:trPr>
          <w:trHeight w:val="20"/>
        </w:trPr>
        <w:tc>
          <w:tcPr>
            <w:tcW w:w="3510" w:type="dxa"/>
            <w:tcBorders>
              <w:top w:val="double" w:sz="6" w:space="0" w:color="auto"/>
              <w:left w:val="double" w:sz="6" w:space="0" w:color="auto"/>
              <w:bottom w:val="nil"/>
              <w:right w:val="double" w:sz="6" w:space="0" w:color="auto"/>
            </w:tcBorders>
            <w:shd w:val="clear" w:color="000000" w:fill="FFFFFF"/>
            <w:noWrap/>
            <w:vAlign w:val="bottom"/>
            <w:hideMark/>
          </w:tcPr>
          <w:p w14:paraId="5787D436"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None</w:t>
            </w:r>
          </w:p>
        </w:tc>
        <w:tc>
          <w:tcPr>
            <w:tcW w:w="811" w:type="dxa"/>
            <w:tcBorders>
              <w:top w:val="double" w:sz="6" w:space="0" w:color="auto"/>
              <w:left w:val="nil"/>
              <w:bottom w:val="nil"/>
              <w:right w:val="nil"/>
            </w:tcBorders>
            <w:shd w:val="clear" w:color="000000" w:fill="FFFFFF"/>
            <w:noWrap/>
            <w:vAlign w:val="bottom"/>
            <w:hideMark/>
          </w:tcPr>
          <w:p w14:paraId="10E5044C"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0.128</w:t>
            </w:r>
          </w:p>
        </w:tc>
        <w:tc>
          <w:tcPr>
            <w:tcW w:w="899" w:type="dxa"/>
            <w:tcBorders>
              <w:top w:val="double" w:sz="6" w:space="0" w:color="auto"/>
              <w:left w:val="nil"/>
              <w:bottom w:val="nil"/>
              <w:right w:val="double" w:sz="6" w:space="0" w:color="auto"/>
            </w:tcBorders>
            <w:shd w:val="clear" w:color="000000" w:fill="FFFFFF"/>
            <w:noWrap/>
            <w:vAlign w:val="bottom"/>
            <w:hideMark/>
          </w:tcPr>
          <w:p w14:paraId="3CE28192"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4.898</w:t>
            </w:r>
          </w:p>
        </w:tc>
        <w:tc>
          <w:tcPr>
            <w:tcW w:w="854" w:type="dxa"/>
            <w:tcBorders>
              <w:top w:val="double" w:sz="6" w:space="0" w:color="auto"/>
              <w:left w:val="nil"/>
              <w:bottom w:val="nil"/>
              <w:right w:val="nil"/>
            </w:tcBorders>
            <w:shd w:val="clear" w:color="000000" w:fill="FFFFFF"/>
            <w:noWrap/>
            <w:vAlign w:val="bottom"/>
            <w:hideMark/>
          </w:tcPr>
          <w:p w14:paraId="58918D16"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-0.224</w:t>
            </w:r>
          </w:p>
        </w:tc>
        <w:tc>
          <w:tcPr>
            <w:tcW w:w="911" w:type="dxa"/>
            <w:tcBorders>
              <w:top w:val="double" w:sz="6" w:space="0" w:color="auto"/>
              <w:left w:val="nil"/>
              <w:bottom w:val="nil"/>
              <w:right w:val="double" w:sz="6" w:space="0" w:color="auto"/>
            </w:tcBorders>
            <w:shd w:val="clear" w:color="000000" w:fill="FFFFFF"/>
            <w:noWrap/>
            <w:vAlign w:val="bottom"/>
            <w:hideMark/>
          </w:tcPr>
          <w:p w14:paraId="62DE7708"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-4.105</w:t>
            </w:r>
          </w:p>
        </w:tc>
        <w:tc>
          <w:tcPr>
            <w:tcW w:w="880" w:type="dxa"/>
            <w:tcBorders>
              <w:top w:val="double" w:sz="6" w:space="0" w:color="auto"/>
              <w:left w:val="nil"/>
              <w:bottom w:val="nil"/>
              <w:right w:val="nil"/>
            </w:tcBorders>
            <w:shd w:val="clear" w:color="000000" w:fill="FFFFFF"/>
            <w:noWrap/>
            <w:vAlign w:val="bottom"/>
            <w:hideMark/>
          </w:tcPr>
          <w:p w14:paraId="0B895948"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-0.087</w:t>
            </w:r>
          </w:p>
        </w:tc>
        <w:tc>
          <w:tcPr>
            <w:tcW w:w="880" w:type="dxa"/>
            <w:tcBorders>
              <w:top w:val="double" w:sz="6" w:space="0" w:color="auto"/>
              <w:left w:val="nil"/>
              <w:bottom w:val="nil"/>
              <w:right w:val="double" w:sz="6" w:space="0" w:color="auto"/>
            </w:tcBorders>
            <w:shd w:val="clear" w:color="000000" w:fill="FFFFFF"/>
            <w:noWrap/>
            <w:vAlign w:val="bottom"/>
            <w:hideMark/>
          </w:tcPr>
          <w:p w14:paraId="2F32DDCC"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-2.232</w:t>
            </w:r>
          </w:p>
        </w:tc>
        <w:tc>
          <w:tcPr>
            <w:tcW w:w="861" w:type="dxa"/>
            <w:tcBorders>
              <w:top w:val="double" w:sz="6" w:space="0" w:color="auto"/>
              <w:left w:val="nil"/>
              <w:bottom w:val="nil"/>
              <w:right w:val="nil"/>
            </w:tcBorders>
            <w:shd w:val="clear" w:color="000000" w:fill="FFFFFF"/>
            <w:noWrap/>
            <w:vAlign w:val="bottom"/>
            <w:hideMark/>
          </w:tcPr>
          <w:p w14:paraId="4D73AF41"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-0.211</w:t>
            </w:r>
          </w:p>
        </w:tc>
        <w:tc>
          <w:tcPr>
            <w:tcW w:w="1019" w:type="dxa"/>
            <w:tcBorders>
              <w:top w:val="double" w:sz="6" w:space="0" w:color="auto"/>
              <w:left w:val="nil"/>
              <w:bottom w:val="nil"/>
              <w:right w:val="double" w:sz="6" w:space="0" w:color="auto"/>
            </w:tcBorders>
            <w:shd w:val="clear" w:color="000000" w:fill="FFFFFF"/>
            <w:noWrap/>
            <w:vAlign w:val="bottom"/>
            <w:hideMark/>
          </w:tcPr>
          <w:p w14:paraId="6A1729C7"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-8.209</w:t>
            </w:r>
          </w:p>
        </w:tc>
        <w:tc>
          <w:tcPr>
            <w:tcW w:w="861" w:type="dxa"/>
            <w:tcBorders>
              <w:top w:val="double" w:sz="6" w:space="0" w:color="auto"/>
              <w:left w:val="nil"/>
              <w:bottom w:val="nil"/>
              <w:right w:val="nil"/>
            </w:tcBorders>
            <w:shd w:val="clear" w:color="000000" w:fill="FFFFFF"/>
            <w:noWrap/>
            <w:vAlign w:val="bottom"/>
            <w:hideMark/>
          </w:tcPr>
          <w:p w14:paraId="15AA96FB"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-0.291</w:t>
            </w:r>
          </w:p>
        </w:tc>
        <w:tc>
          <w:tcPr>
            <w:tcW w:w="1024" w:type="dxa"/>
            <w:tcBorders>
              <w:top w:val="double" w:sz="6" w:space="0" w:color="auto"/>
              <w:left w:val="nil"/>
              <w:bottom w:val="nil"/>
              <w:right w:val="double" w:sz="6" w:space="0" w:color="auto"/>
            </w:tcBorders>
            <w:shd w:val="clear" w:color="000000" w:fill="FFFFFF"/>
            <w:noWrap/>
            <w:vAlign w:val="bottom"/>
            <w:hideMark/>
          </w:tcPr>
          <w:p w14:paraId="4C6ECCF0"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-11.867</w:t>
            </w:r>
          </w:p>
        </w:tc>
        <w:tc>
          <w:tcPr>
            <w:tcW w:w="806" w:type="dxa"/>
            <w:tcBorders>
              <w:top w:val="double" w:sz="6" w:space="0" w:color="auto"/>
              <w:left w:val="nil"/>
              <w:bottom w:val="nil"/>
              <w:right w:val="nil"/>
            </w:tcBorders>
            <w:shd w:val="clear" w:color="000000" w:fill="FFFFFF"/>
            <w:noWrap/>
            <w:vAlign w:val="bottom"/>
            <w:hideMark/>
          </w:tcPr>
          <w:p w14:paraId="51B8DE0A"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-0.126</w:t>
            </w:r>
          </w:p>
        </w:tc>
        <w:tc>
          <w:tcPr>
            <w:tcW w:w="954" w:type="dxa"/>
            <w:tcBorders>
              <w:top w:val="double" w:sz="6" w:space="0" w:color="auto"/>
              <w:left w:val="nil"/>
              <w:bottom w:val="nil"/>
              <w:right w:val="double" w:sz="6" w:space="0" w:color="auto"/>
            </w:tcBorders>
            <w:shd w:val="clear" w:color="000000" w:fill="FFFFFF"/>
            <w:noWrap/>
            <w:vAlign w:val="bottom"/>
            <w:hideMark/>
          </w:tcPr>
          <w:p w14:paraId="3C2B1115"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-5.550</w:t>
            </w:r>
          </w:p>
        </w:tc>
      </w:tr>
      <w:tr w:rsidR="005C3210" w:rsidRPr="00537C6A" w14:paraId="00116C91" w14:textId="77777777" w:rsidTr="00117833">
        <w:trPr>
          <w:trHeight w:val="20"/>
        </w:trPr>
        <w:tc>
          <w:tcPr>
            <w:tcW w:w="3510" w:type="dxa"/>
            <w:tcBorders>
              <w:top w:val="nil"/>
              <w:left w:val="double" w:sz="6" w:space="0" w:color="auto"/>
              <w:bottom w:val="double" w:sz="6" w:space="0" w:color="auto"/>
              <w:right w:val="double" w:sz="6" w:space="0" w:color="auto"/>
            </w:tcBorders>
            <w:shd w:val="clear" w:color="000000" w:fill="FFFFFF"/>
            <w:noWrap/>
            <w:vAlign w:val="bottom"/>
            <w:hideMark/>
          </w:tcPr>
          <w:p w14:paraId="051DAC30" w14:textId="77777777" w:rsidR="005C3210" w:rsidRPr="00537C6A" w:rsidRDefault="005C3210" w:rsidP="00586232">
            <w:pPr>
              <w:jc w:val="left"/>
              <w:rPr>
                <w:rFonts w:eastAsia="Times New Roman"/>
                <w:color w:val="000000"/>
                <w:sz w:val="22"/>
                <w:szCs w:val="22"/>
              </w:rPr>
            </w:pPr>
            <w:r w:rsidRPr="00537C6A">
              <w:rPr>
                <w:rFonts w:eastAsia="Times New Roman"/>
                <w:color w:val="000000"/>
                <w:sz w:val="22"/>
                <w:szCs w:val="22"/>
              </w:rPr>
              <w:t>&lt; 1 per adult</w:t>
            </w:r>
          </w:p>
        </w:tc>
        <w:tc>
          <w:tcPr>
            <w:tcW w:w="811" w:type="dxa"/>
            <w:tcBorders>
              <w:top w:val="nil"/>
              <w:left w:val="nil"/>
              <w:bottom w:val="double" w:sz="6" w:space="0" w:color="auto"/>
              <w:right w:val="nil"/>
            </w:tcBorders>
            <w:shd w:val="clear" w:color="000000" w:fill="FFFFFF"/>
            <w:noWrap/>
            <w:vAlign w:val="bottom"/>
            <w:hideMark/>
          </w:tcPr>
          <w:p w14:paraId="5E63609D"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0.153</w:t>
            </w:r>
          </w:p>
        </w:tc>
        <w:tc>
          <w:tcPr>
            <w:tcW w:w="899" w:type="dxa"/>
            <w:tcBorders>
              <w:top w:val="nil"/>
              <w:left w:val="nil"/>
              <w:bottom w:val="double" w:sz="6" w:space="0" w:color="auto"/>
              <w:right w:val="double" w:sz="6" w:space="0" w:color="auto"/>
            </w:tcBorders>
            <w:shd w:val="clear" w:color="000000" w:fill="FFFFFF"/>
            <w:noWrap/>
            <w:vAlign w:val="bottom"/>
            <w:hideMark/>
          </w:tcPr>
          <w:p w14:paraId="257E4333"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5.522</w:t>
            </w:r>
          </w:p>
        </w:tc>
        <w:tc>
          <w:tcPr>
            <w:tcW w:w="854" w:type="dxa"/>
            <w:tcBorders>
              <w:top w:val="nil"/>
              <w:left w:val="nil"/>
              <w:bottom w:val="double" w:sz="6" w:space="0" w:color="auto"/>
              <w:right w:val="nil"/>
            </w:tcBorders>
            <w:shd w:val="clear" w:color="000000" w:fill="FFFFFF"/>
            <w:noWrap/>
            <w:vAlign w:val="bottom"/>
            <w:hideMark/>
          </w:tcPr>
          <w:p w14:paraId="77E4BF09"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0.242</w:t>
            </w:r>
          </w:p>
        </w:tc>
        <w:tc>
          <w:tcPr>
            <w:tcW w:w="911" w:type="dxa"/>
            <w:tcBorders>
              <w:top w:val="nil"/>
              <w:left w:val="nil"/>
              <w:bottom w:val="double" w:sz="6" w:space="0" w:color="auto"/>
              <w:right w:val="double" w:sz="6" w:space="0" w:color="auto"/>
            </w:tcBorders>
            <w:shd w:val="clear" w:color="000000" w:fill="FFFFFF"/>
            <w:noWrap/>
            <w:vAlign w:val="bottom"/>
            <w:hideMark/>
          </w:tcPr>
          <w:p w14:paraId="1D81AF5D"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6.196</w:t>
            </w:r>
          </w:p>
        </w:tc>
        <w:tc>
          <w:tcPr>
            <w:tcW w:w="880" w:type="dxa"/>
            <w:tcBorders>
              <w:top w:val="nil"/>
              <w:left w:val="nil"/>
              <w:bottom w:val="double" w:sz="6" w:space="0" w:color="auto"/>
              <w:right w:val="nil"/>
            </w:tcBorders>
            <w:shd w:val="clear" w:color="000000" w:fill="FFFFFF"/>
            <w:noWrap/>
            <w:vAlign w:val="bottom"/>
            <w:hideMark/>
          </w:tcPr>
          <w:p w14:paraId="13313644"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0.102</w:t>
            </w:r>
          </w:p>
        </w:tc>
        <w:tc>
          <w:tcPr>
            <w:tcW w:w="880" w:type="dxa"/>
            <w:tcBorders>
              <w:top w:val="nil"/>
              <w:left w:val="nil"/>
              <w:bottom w:val="double" w:sz="6" w:space="0" w:color="auto"/>
              <w:right w:val="double" w:sz="6" w:space="0" w:color="auto"/>
            </w:tcBorders>
            <w:shd w:val="clear" w:color="000000" w:fill="FFFFFF"/>
            <w:noWrap/>
            <w:vAlign w:val="bottom"/>
            <w:hideMark/>
          </w:tcPr>
          <w:p w14:paraId="61FB7A03"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3.114</w:t>
            </w:r>
          </w:p>
        </w:tc>
        <w:tc>
          <w:tcPr>
            <w:tcW w:w="861" w:type="dxa"/>
            <w:tcBorders>
              <w:top w:val="nil"/>
              <w:left w:val="nil"/>
              <w:bottom w:val="double" w:sz="6" w:space="0" w:color="auto"/>
              <w:right w:val="nil"/>
            </w:tcBorders>
            <w:shd w:val="clear" w:color="000000" w:fill="FFFFFF"/>
            <w:noWrap/>
            <w:vAlign w:val="bottom"/>
            <w:hideMark/>
          </w:tcPr>
          <w:p w14:paraId="07849E7C"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-0.323</w:t>
            </w:r>
          </w:p>
        </w:tc>
        <w:tc>
          <w:tcPr>
            <w:tcW w:w="1019" w:type="dxa"/>
            <w:tcBorders>
              <w:top w:val="nil"/>
              <w:left w:val="nil"/>
              <w:bottom w:val="double" w:sz="6" w:space="0" w:color="auto"/>
              <w:right w:val="double" w:sz="6" w:space="0" w:color="auto"/>
            </w:tcBorders>
            <w:shd w:val="clear" w:color="000000" w:fill="FFFFFF"/>
            <w:noWrap/>
            <w:vAlign w:val="bottom"/>
            <w:hideMark/>
          </w:tcPr>
          <w:p w14:paraId="05C0A2EA"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-12.232</w:t>
            </w:r>
          </w:p>
        </w:tc>
        <w:tc>
          <w:tcPr>
            <w:tcW w:w="861" w:type="dxa"/>
            <w:tcBorders>
              <w:top w:val="nil"/>
              <w:left w:val="nil"/>
              <w:bottom w:val="double" w:sz="6" w:space="0" w:color="auto"/>
              <w:right w:val="nil"/>
            </w:tcBorders>
            <w:shd w:val="clear" w:color="000000" w:fill="FFFFFF"/>
            <w:noWrap/>
            <w:vAlign w:val="bottom"/>
            <w:hideMark/>
          </w:tcPr>
          <w:p w14:paraId="4A369066"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-0.154</w:t>
            </w:r>
          </w:p>
        </w:tc>
        <w:tc>
          <w:tcPr>
            <w:tcW w:w="1024" w:type="dxa"/>
            <w:tcBorders>
              <w:top w:val="nil"/>
              <w:left w:val="nil"/>
              <w:bottom w:val="double" w:sz="6" w:space="0" w:color="auto"/>
              <w:right w:val="double" w:sz="6" w:space="0" w:color="auto"/>
            </w:tcBorders>
            <w:shd w:val="clear" w:color="000000" w:fill="FFFFFF"/>
            <w:noWrap/>
            <w:vAlign w:val="bottom"/>
            <w:hideMark/>
          </w:tcPr>
          <w:p w14:paraId="2A4E6509"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-5.698</w:t>
            </w:r>
          </w:p>
        </w:tc>
        <w:tc>
          <w:tcPr>
            <w:tcW w:w="806" w:type="dxa"/>
            <w:tcBorders>
              <w:top w:val="nil"/>
              <w:left w:val="nil"/>
              <w:bottom w:val="double" w:sz="6" w:space="0" w:color="auto"/>
              <w:right w:val="nil"/>
            </w:tcBorders>
            <w:shd w:val="clear" w:color="000000" w:fill="FFFFFF"/>
            <w:noWrap/>
            <w:vAlign w:val="bottom"/>
            <w:hideMark/>
          </w:tcPr>
          <w:p w14:paraId="1C86C4CB"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-0.059</w:t>
            </w:r>
          </w:p>
        </w:tc>
        <w:tc>
          <w:tcPr>
            <w:tcW w:w="954" w:type="dxa"/>
            <w:tcBorders>
              <w:top w:val="nil"/>
              <w:left w:val="nil"/>
              <w:bottom w:val="double" w:sz="6" w:space="0" w:color="auto"/>
              <w:right w:val="double" w:sz="6" w:space="0" w:color="auto"/>
            </w:tcBorders>
            <w:shd w:val="clear" w:color="000000" w:fill="FFFFFF"/>
            <w:noWrap/>
            <w:vAlign w:val="bottom"/>
            <w:hideMark/>
          </w:tcPr>
          <w:p w14:paraId="79384DE6" w14:textId="77777777" w:rsidR="005C3210" w:rsidRPr="00537C6A" w:rsidRDefault="005C3210" w:rsidP="00586232">
            <w:pPr>
              <w:jc w:val="right"/>
              <w:rPr>
                <w:rFonts w:eastAsia="Times New Roman"/>
                <w:color w:val="000000"/>
                <w:sz w:val="22"/>
                <w:szCs w:val="22"/>
              </w:rPr>
            </w:pPr>
            <w:r w:rsidRPr="00537C6A">
              <w:rPr>
                <w:rFonts w:eastAsia="Times New Roman"/>
                <w:color w:val="000000"/>
                <w:sz w:val="22"/>
                <w:szCs w:val="22"/>
              </w:rPr>
              <w:t>-2.253</w:t>
            </w:r>
          </w:p>
        </w:tc>
      </w:tr>
    </w:tbl>
    <w:p w14:paraId="377E9B77" w14:textId="77777777" w:rsidR="005C3210" w:rsidRDefault="005C3210" w:rsidP="005C3210">
      <w:pPr>
        <w:rPr>
          <w:shd w:val="clear" w:color="auto" w:fill="FFFFFF"/>
        </w:rPr>
      </w:pPr>
      <w:r>
        <w:rPr>
          <w:shd w:val="clear" w:color="auto" w:fill="FFFFFF"/>
        </w:rPr>
        <w:t xml:space="preserve"> </w:t>
      </w:r>
      <w:r>
        <w:rPr>
          <w:shd w:val="clear" w:color="auto" w:fill="FFFFFF"/>
        </w:rPr>
        <w:br w:type="page"/>
      </w:r>
    </w:p>
    <w:p w14:paraId="5AAFFD67" w14:textId="08020502" w:rsidR="005C3210" w:rsidRDefault="005C3210" w:rsidP="002501D1">
      <w:pPr>
        <w:pStyle w:val="Caption"/>
        <w:keepNext/>
      </w:pPr>
      <w:r>
        <w:lastRenderedPageBreak/>
        <w:t xml:space="preserve">Table </w:t>
      </w:r>
      <w:r w:rsidR="00054546">
        <w:t>4</w:t>
      </w:r>
      <w:r w:rsidR="00C335DA">
        <w:t>.</w:t>
      </w:r>
      <w:r>
        <w:t xml:space="preserve"> </w:t>
      </w:r>
      <w:r w:rsidRPr="00E5375C">
        <w:t xml:space="preserve">Estimation </w:t>
      </w:r>
      <w:r>
        <w:t>Results for Selected Model (H5): Endogenous Variable Effects</w:t>
      </w:r>
      <w:r w:rsidR="008E636E">
        <w:t>, Correlation Effects,</w:t>
      </w:r>
      <w:r>
        <w:t xml:space="preserve"> and Goodness-of-</w:t>
      </w:r>
      <w:r w:rsidR="00BB39F6">
        <w:t>F</w:t>
      </w:r>
      <w:r w:rsidR="008E636E">
        <w:t>it</w:t>
      </w:r>
    </w:p>
    <w:tbl>
      <w:tblPr>
        <w:tblW w:w="13104" w:type="dxa"/>
        <w:jc w:val="center"/>
        <w:tblLook w:val="04A0" w:firstRow="1" w:lastRow="0" w:firstColumn="1" w:lastColumn="0" w:noHBand="0" w:noVBand="1"/>
      </w:tblPr>
      <w:tblGrid>
        <w:gridCol w:w="2160"/>
        <w:gridCol w:w="900"/>
        <w:gridCol w:w="911"/>
        <w:gridCol w:w="889"/>
        <w:gridCol w:w="954"/>
        <w:gridCol w:w="790"/>
        <w:gridCol w:w="866"/>
        <w:gridCol w:w="6"/>
        <w:gridCol w:w="894"/>
        <w:gridCol w:w="900"/>
        <w:gridCol w:w="900"/>
        <w:gridCol w:w="1030"/>
        <w:gridCol w:w="950"/>
        <w:gridCol w:w="954"/>
      </w:tblGrid>
      <w:tr w:rsidR="005C3210" w:rsidRPr="00020020" w14:paraId="076BABC9" w14:textId="77777777" w:rsidTr="00117833">
        <w:trPr>
          <w:trHeight w:val="20"/>
          <w:jc w:val="center"/>
        </w:trPr>
        <w:tc>
          <w:tcPr>
            <w:tcW w:w="2160" w:type="dxa"/>
            <w:vMerge w:val="restart"/>
            <w:tcBorders>
              <w:top w:val="double" w:sz="6" w:space="0" w:color="auto"/>
              <w:left w:val="double" w:sz="6" w:space="0" w:color="auto"/>
              <w:bottom w:val="double" w:sz="6" w:space="0" w:color="000000"/>
              <w:right w:val="double" w:sz="6" w:space="0" w:color="auto"/>
            </w:tcBorders>
            <w:shd w:val="clear" w:color="000000" w:fill="FFFFFF"/>
            <w:noWrap/>
            <w:vAlign w:val="center"/>
            <w:hideMark/>
          </w:tcPr>
          <w:p w14:paraId="3416EB90" w14:textId="77777777" w:rsidR="005C3210" w:rsidRPr="00020020" w:rsidRDefault="005C3210" w:rsidP="001672AC">
            <w:pPr>
              <w:jc w:val="left"/>
              <w:rPr>
                <w:rFonts w:eastAsia="Times New Roman"/>
                <w:b/>
                <w:bCs/>
                <w:color w:val="000000"/>
                <w:sz w:val="22"/>
                <w:szCs w:val="22"/>
              </w:rPr>
            </w:pPr>
            <w:r w:rsidRPr="00020020">
              <w:rPr>
                <w:rFonts w:eastAsia="Times New Roman"/>
                <w:b/>
                <w:bCs/>
                <w:color w:val="000000"/>
                <w:sz w:val="22"/>
                <w:szCs w:val="22"/>
              </w:rPr>
              <w:t>Variables</w:t>
            </w:r>
          </w:p>
        </w:tc>
        <w:tc>
          <w:tcPr>
            <w:tcW w:w="1811" w:type="dxa"/>
            <w:gridSpan w:val="2"/>
            <w:tcBorders>
              <w:top w:val="double" w:sz="6" w:space="0" w:color="auto"/>
              <w:left w:val="nil"/>
              <w:bottom w:val="nil"/>
              <w:right w:val="double" w:sz="6" w:space="0" w:color="000000"/>
            </w:tcBorders>
            <w:shd w:val="clear" w:color="000000" w:fill="FFFFFF"/>
            <w:noWrap/>
            <w:tcMar>
              <w:left w:w="58" w:type="dxa"/>
              <w:right w:w="58" w:type="dxa"/>
            </w:tcMar>
            <w:vAlign w:val="center"/>
            <w:hideMark/>
          </w:tcPr>
          <w:p w14:paraId="6E57C714" w14:textId="08048C4D" w:rsidR="005C3210" w:rsidRPr="00020020" w:rsidRDefault="005C3210" w:rsidP="001672AC">
            <w:pPr>
              <w:jc w:val="center"/>
              <w:rPr>
                <w:rFonts w:eastAsia="Times New Roman"/>
                <w:b/>
                <w:color w:val="000000"/>
                <w:sz w:val="22"/>
                <w:szCs w:val="22"/>
              </w:rPr>
            </w:pPr>
            <w:r w:rsidRPr="00020020">
              <w:rPr>
                <w:rFonts w:eastAsia="Times New Roman"/>
                <w:b/>
                <w:color w:val="000000"/>
                <w:sz w:val="22"/>
                <w:szCs w:val="22"/>
              </w:rPr>
              <w:t>Online Shop</w:t>
            </w:r>
          </w:p>
        </w:tc>
        <w:tc>
          <w:tcPr>
            <w:tcW w:w="1843" w:type="dxa"/>
            <w:gridSpan w:val="2"/>
            <w:tcBorders>
              <w:top w:val="double" w:sz="6" w:space="0" w:color="auto"/>
              <w:left w:val="nil"/>
              <w:bottom w:val="nil"/>
              <w:right w:val="double" w:sz="6" w:space="0" w:color="000000"/>
            </w:tcBorders>
            <w:shd w:val="clear" w:color="000000" w:fill="FFFFFF"/>
            <w:noWrap/>
            <w:tcMar>
              <w:left w:w="58" w:type="dxa"/>
              <w:right w:w="58" w:type="dxa"/>
            </w:tcMar>
            <w:vAlign w:val="center"/>
            <w:hideMark/>
          </w:tcPr>
          <w:p w14:paraId="387D4D51" w14:textId="3A648324" w:rsidR="005C3210" w:rsidRPr="00020020" w:rsidRDefault="005C3210" w:rsidP="001672AC">
            <w:pPr>
              <w:jc w:val="center"/>
              <w:rPr>
                <w:rFonts w:eastAsia="Times New Roman"/>
                <w:b/>
                <w:color w:val="000000"/>
                <w:sz w:val="22"/>
                <w:szCs w:val="22"/>
              </w:rPr>
            </w:pPr>
            <w:r w:rsidRPr="00020020">
              <w:rPr>
                <w:rFonts w:eastAsia="Times New Roman"/>
                <w:b/>
                <w:color w:val="000000"/>
                <w:sz w:val="22"/>
                <w:szCs w:val="22"/>
              </w:rPr>
              <w:t>Online Groc</w:t>
            </w:r>
            <w:r w:rsidR="00482043">
              <w:rPr>
                <w:rFonts w:eastAsia="Times New Roman"/>
                <w:b/>
                <w:color w:val="000000"/>
                <w:sz w:val="22"/>
                <w:szCs w:val="22"/>
              </w:rPr>
              <w:t>ery</w:t>
            </w:r>
          </w:p>
        </w:tc>
        <w:tc>
          <w:tcPr>
            <w:tcW w:w="1656" w:type="dxa"/>
            <w:gridSpan w:val="2"/>
            <w:tcBorders>
              <w:top w:val="double" w:sz="6" w:space="0" w:color="auto"/>
              <w:left w:val="nil"/>
              <w:bottom w:val="nil"/>
              <w:right w:val="double" w:sz="6" w:space="0" w:color="000000"/>
            </w:tcBorders>
            <w:shd w:val="clear" w:color="000000" w:fill="FFFFFF"/>
            <w:noWrap/>
            <w:tcMar>
              <w:left w:w="58" w:type="dxa"/>
              <w:right w:w="58" w:type="dxa"/>
            </w:tcMar>
            <w:vAlign w:val="center"/>
            <w:hideMark/>
          </w:tcPr>
          <w:p w14:paraId="3A0BEA6D" w14:textId="77777777" w:rsidR="005C3210" w:rsidRPr="00020020" w:rsidRDefault="005C3210" w:rsidP="001672AC">
            <w:pPr>
              <w:jc w:val="center"/>
              <w:rPr>
                <w:rFonts w:eastAsia="Times New Roman"/>
                <w:b/>
                <w:color w:val="000000"/>
                <w:sz w:val="22"/>
                <w:szCs w:val="22"/>
              </w:rPr>
            </w:pPr>
            <w:r w:rsidRPr="00020020">
              <w:rPr>
                <w:rFonts w:eastAsia="Times New Roman"/>
                <w:b/>
                <w:color w:val="000000"/>
                <w:sz w:val="22"/>
                <w:szCs w:val="22"/>
              </w:rPr>
              <w:t>Online Meals</w:t>
            </w:r>
          </w:p>
        </w:tc>
        <w:tc>
          <w:tcPr>
            <w:tcW w:w="1800" w:type="dxa"/>
            <w:gridSpan w:val="3"/>
            <w:tcBorders>
              <w:top w:val="double" w:sz="6" w:space="0" w:color="auto"/>
              <w:left w:val="nil"/>
              <w:bottom w:val="nil"/>
              <w:right w:val="double" w:sz="6" w:space="0" w:color="000000"/>
            </w:tcBorders>
            <w:shd w:val="clear" w:color="000000" w:fill="FFFFFF"/>
            <w:noWrap/>
            <w:tcMar>
              <w:left w:w="58" w:type="dxa"/>
              <w:right w:w="58" w:type="dxa"/>
            </w:tcMar>
            <w:vAlign w:val="center"/>
            <w:hideMark/>
          </w:tcPr>
          <w:p w14:paraId="762D34CE" w14:textId="066B919D" w:rsidR="005C3210" w:rsidRPr="00020020" w:rsidRDefault="005C3210" w:rsidP="001672AC">
            <w:pPr>
              <w:jc w:val="center"/>
              <w:rPr>
                <w:rFonts w:eastAsia="Times New Roman"/>
                <w:b/>
                <w:color w:val="000000"/>
                <w:sz w:val="22"/>
                <w:szCs w:val="22"/>
              </w:rPr>
            </w:pPr>
            <w:r w:rsidRPr="00020020">
              <w:rPr>
                <w:rFonts w:eastAsia="Times New Roman"/>
                <w:b/>
                <w:color w:val="000000"/>
                <w:sz w:val="22"/>
                <w:szCs w:val="22"/>
              </w:rPr>
              <w:t>In-person Shop</w:t>
            </w:r>
          </w:p>
        </w:tc>
        <w:tc>
          <w:tcPr>
            <w:tcW w:w="1930" w:type="dxa"/>
            <w:gridSpan w:val="2"/>
            <w:tcBorders>
              <w:top w:val="double" w:sz="6" w:space="0" w:color="auto"/>
              <w:left w:val="nil"/>
              <w:bottom w:val="nil"/>
              <w:right w:val="double" w:sz="6" w:space="0" w:color="000000"/>
            </w:tcBorders>
            <w:shd w:val="clear" w:color="000000" w:fill="FFFFFF"/>
            <w:noWrap/>
            <w:tcMar>
              <w:left w:w="58" w:type="dxa"/>
              <w:right w:w="58" w:type="dxa"/>
            </w:tcMar>
            <w:vAlign w:val="center"/>
            <w:hideMark/>
          </w:tcPr>
          <w:p w14:paraId="3F4FC18A" w14:textId="577DC6F1" w:rsidR="005C3210" w:rsidRPr="00020020" w:rsidRDefault="005C3210" w:rsidP="001672AC">
            <w:pPr>
              <w:jc w:val="center"/>
              <w:rPr>
                <w:rFonts w:eastAsia="Times New Roman"/>
                <w:b/>
                <w:color w:val="000000"/>
                <w:sz w:val="22"/>
                <w:szCs w:val="22"/>
              </w:rPr>
            </w:pPr>
            <w:r w:rsidRPr="00020020">
              <w:rPr>
                <w:rFonts w:eastAsia="Times New Roman"/>
                <w:b/>
                <w:color w:val="000000"/>
                <w:sz w:val="22"/>
                <w:szCs w:val="22"/>
              </w:rPr>
              <w:t>In-person Groc</w:t>
            </w:r>
            <w:r w:rsidR="00482043">
              <w:rPr>
                <w:rFonts w:eastAsia="Times New Roman"/>
                <w:b/>
                <w:color w:val="000000"/>
                <w:sz w:val="22"/>
                <w:szCs w:val="22"/>
              </w:rPr>
              <w:t>ery</w:t>
            </w:r>
          </w:p>
        </w:tc>
        <w:tc>
          <w:tcPr>
            <w:tcW w:w="1904" w:type="dxa"/>
            <w:gridSpan w:val="2"/>
            <w:tcBorders>
              <w:top w:val="double" w:sz="6" w:space="0" w:color="auto"/>
              <w:left w:val="nil"/>
              <w:bottom w:val="nil"/>
              <w:right w:val="double" w:sz="6" w:space="0" w:color="000000"/>
            </w:tcBorders>
            <w:shd w:val="clear" w:color="000000" w:fill="FFFFFF"/>
            <w:noWrap/>
            <w:tcMar>
              <w:left w:w="58" w:type="dxa"/>
              <w:right w:w="58" w:type="dxa"/>
            </w:tcMar>
            <w:vAlign w:val="center"/>
            <w:hideMark/>
          </w:tcPr>
          <w:p w14:paraId="71C0AAF7" w14:textId="77777777" w:rsidR="005C3210" w:rsidRPr="00020020" w:rsidRDefault="005C3210" w:rsidP="001672AC">
            <w:pPr>
              <w:jc w:val="center"/>
              <w:rPr>
                <w:rFonts w:eastAsia="Times New Roman"/>
                <w:b/>
                <w:color w:val="000000"/>
                <w:sz w:val="22"/>
                <w:szCs w:val="22"/>
              </w:rPr>
            </w:pPr>
            <w:r w:rsidRPr="00020020">
              <w:rPr>
                <w:rFonts w:eastAsia="Times New Roman"/>
                <w:b/>
                <w:color w:val="000000"/>
                <w:sz w:val="22"/>
                <w:szCs w:val="22"/>
              </w:rPr>
              <w:t>In-person Meals</w:t>
            </w:r>
          </w:p>
        </w:tc>
      </w:tr>
      <w:tr w:rsidR="005C3210" w:rsidRPr="00020020" w14:paraId="010B4035" w14:textId="77777777" w:rsidTr="00117833">
        <w:trPr>
          <w:trHeight w:val="20"/>
          <w:jc w:val="center"/>
        </w:trPr>
        <w:tc>
          <w:tcPr>
            <w:tcW w:w="2160" w:type="dxa"/>
            <w:vMerge/>
            <w:tcBorders>
              <w:top w:val="double" w:sz="6" w:space="0" w:color="auto"/>
              <w:left w:val="double" w:sz="6" w:space="0" w:color="auto"/>
              <w:bottom w:val="double" w:sz="6" w:space="0" w:color="000000"/>
              <w:right w:val="double" w:sz="6" w:space="0" w:color="auto"/>
            </w:tcBorders>
            <w:vAlign w:val="center"/>
            <w:hideMark/>
          </w:tcPr>
          <w:p w14:paraId="48AA00C8" w14:textId="77777777" w:rsidR="005C3210" w:rsidRPr="00020020" w:rsidRDefault="005C3210" w:rsidP="001672AC">
            <w:pPr>
              <w:jc w:val="left"/>
              <w:rPr>
                <w:rFonts w:eastAsia="Times New Roman"/>
                <w:b/>
                <w:bCs/>
                <w:color w:val="000000"/>
                <w:sz w:val="22"/>
                <w:szCs w:val="22"/>
              </w:rPr>
            </w:pPr>
          </w:p>
        </w:tc>
        <w:tc>
          <w:tcPr>
            <w:tcW w:w="900" w:type="dxa"/>
            <w:tcBorders>
              <w:top w:val="nil"/>
              <w:left w:val="nil"/>
              <w:bottom w:val="double" w:sz="6" w:space="0" w:color="auto"/>
              <w:right w:val="nil"/>
            </w:tcBorders>
            <w:shd w:val="clear" w:color="000000" w:fill="FFFFFF"/>
            <w:noWrap/>
            <w:vAlign w:val="center"/>
            <w:hideMark/>
          </w:tcPr>
          <w:p w14:paraId="3CECCC6D" w14:textId="39CA4348" w:rsidR="005C3210" w:rsidRPr="00020020" w:rsidRDefault="00482043" w:rsidP="001672AC">
            <w:pPr>
              <w:jc w:val="right"/>
              <w:rPr>
                <w:rFonts w:eastAsia="Times New Roman"/>
                <w:i/>
                <w:color w:val="000000"/>
                <w:sz w:val="22"/>
                <w:szCs w:val="22"/>
              </w:rPr>
            </w:pPr>
            <w:proofErr w:type="spellStart"/>
            <w:r>
              <w:rPr>
                <w:rFonts w:eastAsia="Times New Roman"/>
                <w:i/>
                <w:color w:val="000000"/>
                <w:sz w:val="22"/>
                <w:szCs w:val="22"/>
              </w:rPr>
              <w:t>Coef</w:t>
            </w:r>
            <w:proofErr w:type="spellEnd"/>
          </w:p>
        </w:tc>
        <w:tc>
          <w:tcPr>
            <w:tcW w:w="911" w:type="dxa"/>
            <w:tcBorders>
              <w:top w:val="nil"/>
              <w:left w:val="nil"/>
              <w:bottom w:val="double" w:sz="6" w:space="0" w:color="auto"/>
              <w:right w:val="double" w:sz="6" w:space="0" w:color="auto"/>
            </w:tcBorders>
            <w:shd w:val="clear" w:color="000000" w:fill="FFFFFF"/>
            <w:noWrap/>
            <w:vAlign w:val="center"/>
            <w:hideMark/>
          </w:tcPr>
          <w:p w14:paraId="636B4E48"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t-stat</w:t>
            </w:r>
          </w:p>
        </w:tc>
        <w:tc>
          <w:tcPr>
            <w:tcW w:w="889" w:type="dxa"/>
            <w:tcBorders>
              <w:top w:val="nil"/>
              <w:left w:val="nil"/>
              <w:bottom w:val="double" w:sz="6" w:space="0" w:color="auto"/>
              <w:right w:val="nil"/>
            </w:tcBorders>
            <w:shd w:val="clear" w:color="000000" w:fill="FFFFFF"/>
            <w:noWrap/>
            <w:vAlign w:val="center"/>
            <w:hideMark/>
          </w:tcPr>
          <w:p w14:paraId="26A71472" w14:textId="7F3622D1" w:rsidR="005C3210" w:rsidRPr="00020020" w:rsidRDefault="00482043" w:rsidP="001672AC">
            <w:pPr>
              <w:jc w:val="right"/>
              <w:rPr>
                <w:rFonts w:eastAsia="Times New Roman"/>
                <w:i/>
                <w:color w:val="000000"/>
                <w:sz w:val="22"/>
                <w:szCs w:val="22"/>
              </w:rPr>
            </w:pPr>
            <w:proofErr w:type="spellStart"/>
            <w:r>
              <w:rPr>
                <w:rFonts w:eastAsia="Times New Roman"/>
                <w:i/>
                <w:color w:val="000000"/>
                <w:sz w:val="22"/>
                <w:szCs w:val="22"/>
              </w:rPr>
              <w:t>Coef</w:t>
            </w:r>
            <w:proofErr w:type="spellEnd"/>
          </w:p>
        </w:tc>
        <w:tc>
          <w:tcPr>
            <w:tcW w:w="954" w:type="dxa"/>
            <w:tcBorders>
              <w:top w:val="nil"/>
              <w:left w:val="nil"/>
              <w:bottom w:val="double" w:sz="6" w:space="0" w:color="auto"/>
              <w:right w:val="double" w:sz="6" w:space="0" w:color="auto"/>
            </w:tcBorders>
            <w:shd w:val="clear" w:color="000000" w:fill="FFFFFF"/>
            <w:noWrap/>
            <w:vAlign w:val="center"/>
            <w:hideMark/>
          </w:tcPr>
          <w:p w14:paraId="72C82FA7"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t-stat</w:t>
            </w:r>
          </w:p>
        </w:tc>
        <w:tc>
          <w:tcPr>
            <w:tcW w:w="790" w:type="dxa"/>
            <w:tcBorders>
              <w:top w:val="nil"/>
              <w:left w:val="nil"/>
              <w:bottom w:val="double" w:sz="6" w:space="0" w:color="auto"/>
              <w:right w:val="nil"/>
            </w:tcBorders>
            <w:shd w:val="clear" w:color="000000" w:fill="FFFFFF"/>
            <w:noWrap/>
            <w:vAlign w:val="center"/>
            <w:hideMark/>
          </w:tcPr>
          <w:p w14:paraId="04D91C7F" w14:textId="3CD219C1" w:rsidR="005C3210" w:rsidRPr="00020020" w:rsidRDefault="00482043" w:rsidP="001672AC">
            <w:pPr>
              <w:jc w:val="right"/>
              <w:rPr>
                <w:rFonts w:eastAsia="Times New Roman"/>
                <w:i/>
                <w:color w:val="000000"/>
                <w:sz w:val="22"/>
                <w:szCs w:val="22"/>
              </w:rPr>
            </w:pPr>
            <w:proofErr w:type="spellStart"/>
            <w:r>
              <w:rPr>
                <w:rFonts w:eastAsia="Times New Roman"/>
                <w:i/>
                <w:color w:val="000000"/>
                <w:sz w:val="22"/>
                <w:szCs w:val="22"/>
              </w:rPr>
              <w:t>Coef</w:t>
            </w:r>
            <w:proofErr w:type="spellEnd"/>
          </w:p>
        </w:tc>
        <w:tc>
          <w:tcPr>
            <w:tcW w:w="866" w:type="dxa"/>
            <w:tcBorders>
              <w:top w:val="nil"/>
              <w:left w:val="nil"/>
              <w:bottom w:val="double" w:sz="6" w:space="0" w:color="auto"/>
              <w:right w:val="double" w:sz="6" w:space="0" w:color="auto"/>
            </w:tcBorders>
            <w:shd w:val="clear" w:color="000000" w:fill="FFFFFF"/>
            <w:noWrap/>
            <w:vAlign w:val="center"/>
            <w:hideMark/>
          </w:tcPr>
          <w:p w14:paraId="1826ED4F"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t-stat</w:t>
            </w:r>
          </w:p>
        </w:tc>
        <w:tc>
          <w:tcPr>
            <w:tcW w:w="900" w:type="dxa"/>
            <w:gridSpan w:val="2"/>
            <w:tcBorders>
              <w:top w:val="nil"/>
              <w:left w:val="nil"/>
              <w:bottom w:val="double" w:sz="6" w:space="0" w:color="auto"/>
              <w:right w:val="nil"/>
            </w:tcBorders>
            <w:shd w:val="clear" w:color="000000" w:fill="FFFFFF"/>
            <w:noWrap/>
            <w:vAlign w:val="center"/>
            <w:hideMark/>
          </w:tcPr>
          <w:p w14:paraId="286AB9E1" w14:textId="5F98187C" w:rsidR="005C3210" w:rsidRPr="00020020" w:rsidRDefault="00482043" w:rsidP="001672AC">
            <w:pPr>
              <w:jc w:val="right"/>
              <w:rPr>
                <w:rFonts w:eastAsia="Times New Roman"/>
                <w:i/>
                <w:color w:val="000000"/>
                <w:sz w:val="22"/>
                <w:szCs w:val="22"/>
              </w:rPr>
            </w:pPr>
            <w:proofErr w:type="spellStart"/>
            <w:r>
              <w:rPr>
                <w:rFonts w:eastAsia="Times New Roman"/>
                <w:i/>
                <w:color w:val="000000"/>
                <w:sz w:val="22"/>
                <w:szCs w:val="22"/>
              </w:rPr>
              <w:t>Coef</w:t>
            </w:r>
            <w:proofErr w:type="spellEnd"/>
          </w:p>
        </w:tc>
        <w:tc>
          <w:tcPr>
            <w:tcW w:w="900" w:type="dxa"/>
            <w:tcBorders>
              <w:top w:val="nil"/>
              <w:left w:val="nil"/>
              <w:bottom w:val="double" w:sz="6" w:space="0" w:color="auto"/>
              <w:right w:val="double" w:sz="6" w:space="0" w:color="auto"/>
            </w:tcBorders>
            <w:shd w:val="clear" w:color="000000" w:fill="FFFFFF"/>
            <w:noWrap/>
            <w:vAlign w:val="center"/>
            <w:hideMark/>
          </w:tcPr>
          <w:p w14:paraId="2169BFD6"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t-stat</w:t>
            </w:r>
          </w:p>
        </w:tc>
        <w:tc>
          <w:tcPr>
            <w:tcW w:w="900" w:type="dxa"/>
            <w:tcBorders>
              <w:top w:val="nil"/>
              <w:left w:val="nil"/>
              <w:bottom w:val="double" w:sz="6" w:space="0" w:color="auto"/>
              <w:right w:val="nil"/>
            </w:tcBorders>
            <w:shd w:val="clear" w:color="000000" w:fill="FFFFFF"/>
            <w:noWrap/>
            <w:vAlign w:val="center"/>
            <w:hideMark/>
          </w:tcPr>
          <w:p w14:paraId="70F13913" w14:textId="4156BF7A" w:rsidR="005C3210" w:rsidRPr="00020020" w:rsidRDefault="00482043" w:rsidP="001672AC">
            <w:pPr>
              <w:jc w:val="right"/>
              <w:rPr>
                <w:rFonts w:eastAsia="Times New Roman"/>
                <w:i/>
                <w:color w:val="000000"/>
                <w:sz w:val="22"/>
                <w:szCs w:val="22"/>
              </w:rPr>
            </w:pPr>
            <w:proofErr w:type="spellStart"/>
            <w:r>
              <w:rPr>
                <w:rFonts w:eastAsia="Times New Roman"/>
                <w:i/>
                <w:color w:val="000000"/>
                <w:sz w:val="22"/>
                <w:szCs w:val="22"/>
              </w:rPr>
              <w:t>Coef</w:t>
            </w:r>
            <w:proofErr w:type="spellEnd"/>
          </w:p>
        </w:tc>
        <w:tc>
          <w:tcPr>
            <w:tcW w:w="1030" w:type="dxa"/>
            <w:tcBorders>
              <w:top w:val="nil"/>
              <w:left w:val="nil"/>
              <w:bottom w:val="double" w:sz="6" w:space="0" w:color="auto"/>
              <w:right w:val="double" w:sz="6" w:space="0" w:color="auto"/>
            </w:tcBorders>
            <w:shd w:val="clear" w:color="000000" w:fill="FFFFFF"/>
            <w:noWrap/>
            <w:vAlign w:val="center"/>
            <w:hideMark/>
          </w:tcPr>
          <w:p w14:paraId="712780EA"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t-stat</w:t>
            </w:r>
          </w:p>
        </w:tc>
        <w:tc>
          <w:tcPr>
            <w:tcW w:w="950" w:type="dxa"/>
            <w:tcBorders>
              <w:top w:val="nil"/>
              <w:left w:val="nil"/>
              <w:bottom w:val="double" w:sz="6" w:space="0" w:color="auto"/>
              <w:right w:val="nil"/>
            </w:tcBorders>
            <w:shd w:val="clear" w:color="000000" w:fill="FFFFFF"/>
            <w:noWrap/>
            <w:vAlign w:val="center"/>
            <w:hideMark/>
          </w:tcPr>
          <w:p w14:paraId="13898A52" w14:textId="7C55DF43" w:rsidR="005C3210" w:rsidRPr="00020020" w:rsidRDefault="00482043" w:rsidP="001672AC">
            <w:pPr>
              <w:jc w:val="right"/>
              <w:rPr>
                <w:rFonts w:eastAsia="Times New Roman"/>
                <w:i/>
                <w:color w:val="000000"/>
                <w:sz w:val="22"/>
                <w:szCs w:val="22"/>
              </w:rPr>
            </w:pPr>
            <w:proofErr w:type="spellStart"/>
            <w:r>
              <w:rPr>
                <w:rFonts w:eastAsia="Times New Roman"/>
                <w:i/>
                <w:color w:val="000000"/>
                <w:sz w:val="22"/>
                <w:szCs w:val="22"/>
              </w:rPr>
              <w:t>Coef</w:t>
            </w:r>
            <w:proofErr w:type="spellEnd"/>
          </w:p>
        </w:tc>
        <w:tc>
          <w:tcPr>
            <w:tcW w:w="954" w:type="dxa"/>
            <w:tcBorders>
              <w:top w:val="nil"/>
              <w:left w:val="nil"/>
              <w:bottom w:val="double" w:sz="6" w:space="0" w:color="auto"/>
              <w:right w:val="double" w:sz="6" w:space="0" w:color="auto"/>
            </w:tcBorders>
            <w:shd w:val="clear" w:color="000000" w:fill="FFFFFF"/>
            <w:noWrap/>
            <w:vAlign w:val="center"/>
            <w:hideMark/>
          </w:tcPr>
          <w:p w14:paraId="1E8C2244"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t-stat</w:t>
            </w:r>
          </w:p>
        </w:tc>
      </w:tr>
      <w:tr w:rsidR="005C3210" w:rsidRPr="00020020" w14:paraId="65707FA5" w14:textId="77777777" w:rsidTr="00117833">
        <w:trPr>
          <w:trHeight w:val="20"/>
          <w:jc w:val="center"/>
        </w:trPr>
        <w:tc>
          <w:tcPr>
            <w:tcW w:w="5814" w:type="dxa"/>
            <w:gridSpan w:val="5"/>
            <w:tcBorders>
              <w:top w:val="nil"/>
              <w:left w:val="double" w:sz="6" w:space="0" w:color="auto"/>
              <w:bottom w:val="nil"/>
              <w:right w:val="nil"/>
            </w:tcBorders>
            <w:shd w:val="clear" w:color="000000" w:fill="D9D9D9"/>
            <w:noWrap/>
            <w:vAlign w:val="center"/>
            <w:hideMark/>
          </w:tcPr>
          <w:p w14:paraId="27AAD8E5" w14:textId="77777777" w:rsidR="005C3210" w:rsidRPr="00020020" w:rsidRDefault="005C3210" w:rsidP="001672AC">
            <w:pPr>
              <w:jc w:val="left"/>
              <w:rPr>
                <w:rFonts w:eastAsia="Times New Roman"/>
                <w:b/>
                <w:bCs/>
                <w:color w:val="000000"/>
                <w:sz w:val="22"/>
                <w:szCs w:val="22"/>
              </w:rPr>
            </w:pPr>
            <w:r w:rsidRPr="00020020">
              <w:rPr>
                <w:rFonts w:eastAsia="Times New Roman"/>
                <w:b/>
                <w:bCs/>
                <w:color w:val="000000"/>
                <w:sz w:val="22"/>
                <w:szCs w:val="22"/>
              </w:rPr>
              <w:t>Endogenous Variables</w:t>
            </w:r>
          </w:p>
        </w:tc>
        <w:tc>
          <w:tcPr>
            <w:tcW w:w="790" w:type="dxa"/>
            <w:tcBorders>
              <w:top w:val="nil"/>
              <w:left w:val="nil"/>
              <w:bottom w:val="nil"/>
              <w:right w:val="nil"/>
            </w:tcBorders>
            <w:shd w:val="clear" w:color="000000" w:fill="D9D9D9"/>
            <w:noWrap/>
            <w:vAlign w:val="center"/>
            <w:hideMark/>
          </w:tcPr>
          <w:p w14:paraId="604F800A" w14:textId="77777777" w:rsidR="005C3210" w:rsidRPr="00020020" w:rsidRDefault="005C3210" w:rsidP="001672AC">
            <w:pPr>
              <w:jc w:val="right"/>
              <w:rPr>
                <w:rFonts w:eastAsia="Times New Roman"/>
                <w:b/>
                <w:bCs/>
                <w:color w:val="000000"/>
                <w:sz w:val="22"/>
                <w:szCs w:val="22"/>
              </w:rPr>
            </w:pPr>
            <w:r w:rsidRPr="00020020">
              <w:rPr>
                <w:rFonts w:eastAsia="Times New Roman"/>
                <w:b/>
                <w:bCs/>
                <w:color w:val="000000"/>
                <w:sz w:val="22"/>
                <w:szCs w:val="22"/>
              </w:rPr>
              <w:t> </w:t>
            </w:r>
          </w:p>
        </w:tc>
        <w:tc>
          <w:tcPr>
            <w:tcW w:w="866" w:type="dxa"/>
            <w:tcBorders>
              <w:top w:val="nil"/>
              <w:left w:val="nil"/>
              <w:bottom w:val="nil"/>
              <w:right w:val="nil"/>
            </w:tcBorders>
            <w:shd w:val="clear" w:color="000000" w:fill="D9D9D9"/>
            <w:noWrap/>
            <w:vAlign w:val="center"/>
            <w:hideMark/>
          </w:tcPr>
          <w:p w14:paraId="64EFE379" w14:textId="77777777" w:rsidR="005C3210" w:rsidRPr="00020020" w:rsidRDefault="005C3210" w:rsidP="001672AC">
            <w:pPr>
              <w:jc w:val="right"/>
              <w:rPr>
                <w:rFonts w:eastAsia="Times New Roman"/>
                <w:b/>
                <w:bCs/>
                <w:color w:val="000000"/>
                <w:sz w:val="22"/>
                <w:szCs w:val="22"/>
              </w:rPr>
            </w:pPr>
            <w:r w:rsidRPr="00020020">
              <w:rPr>
                <w:rFonts w:eastAsia="Times New Roman"/>
                <w:b/>
                <w:bCs/>
                <w:color w:val="000000"/>
                <w:sz w:val="22"/>
                <w:szCs w:val="22"/>
              </w:rPr>
              <w:t> </w:t>
            </w:r>
          </w:p>
        </w:tc>
        <w:tc>
          <w:tcPr>
            <w:tcW w:w="900" w:type="dxa"/>
            <w:gridSpan w:val="2"/>
            <w:tcBorders>
              <w:top w:val="nil"/>
              <w:left w:val="nil"/>
              <w:bottom w:val="nil"/>
              <w:right w:val="nil"/>
            </w:tcBorders>
            <w:shd w:val="clear" w:color="000000" w:fill="D9D9D9"/>
            <w:noWrap/>
            <w:vAlign w:val="center"/>
            <w:hideMark/>
          </w:tcPr>
          <w:p w14:paraId="61F68766" w14:textId="77777777" w:rsidR="005C3210" w:rsidRPr="00020020" w:rsidRDefault="005C3210" w:rsidP="001672AC">
            <w:pPr>
              <w:jc w:val="right"/>
              <w:rPr>
                <w:rFonts w:eastAsia="Times New Roman"/>
                <w:b/>
                <w:bCs/>
                <w:color w:val="000000"/>
                <w:sz w:val="22"/>
                <w:szCs w:val="22"/>
              </w:rPr>
            </w:pPr>
            <w:r w:rsidRPr="00020020">
              <w:rPr>
                <w:rFonts w:eastAsia="Times New Roman"/>
                <w:b/>
                <w:bCs/>
                <w:color w:val="000000"/>
                <w:sz w:val="22"/>
                <w:szCs w:val="22"/>
              </w:rPr>
              <w:t> </w:t>
            </w:r>
          </w:p>
        </w:tc>
        <w:tc>
          <w:tcPr>
            <w:tcW w:w="900" w:type="dxa"/>
            <w:tcBorders>
              <w:top w:val="nil"/>
              <w:left w:val="nil"/>
              <w:bottom w:val="nil"/>
              <w:right w:val="nil"/>
            </w:tcBorders>
            <w:shd w:val="clear" w:color="000000" w:fill="D9D9D9"/>
            <w:noWrap/>
            <w:vAlign w:val="center"/>
            <w:hideMark/>
          </w:tcPr>
          <w:p w14:paraId="49B54A37" w14:textId="77777777" w:rsidR="005C3210" w:rsidRPr="00020020" w:rsidRDefault="005C3210" w:rsidP="001672AC">
            <w:pPr>
              <w:jc w:val="right"/>
              <w:rPr>
                <w:rFonts w:eastAsia="Times New Roman"/>
                <w:b/>
                <w:bCs/>
                <w:color w:val="000000"/>
                <w:sz w:val="22"/>
                <w:szCs w:val="22"/>
              </w:rPr>
            </w:pPr>
            <w:r w:rsidRPr="00020020">
              <w:rPr>
                <w:rFonts w:eastAsia="Times New Roman"/>
                <w:b/>
                <w:bCs/>
                <w:color w:val="000000"/>
                <w:sz w:val="22"/>
                <w:szCs w:val="22"/>
              </w:rPr>
              <w:t> </w:t>
            </w:r>
          </w:p>
        </w:tc>
        <w:tc>
          <w:tcPr>
            <w:tcW w:w="900" w:type="dxa"/>
            <w:tcBorders>
              <w:top w:val="nil"/>
              <w:left w:val="nil"/>
              <w:bottom w:val="nil"/>
              <w:right w:val="nil"/>
            </w:tcBorders>
            <w:shd w:val="clear" w:color="000000" w:fill="D9D9D9"/>
            <w:noWrap/>
            <w:vAlign w:val="center"/>
            <w:hideMark/>
          </w:tcPr>
          <w:p w14:paraId="4AED0AFA" w14:textId="77777777" w:rsidR="005C3210" w:rsidRPr="00020020" w:rsidRDefault="005C3210" w:rsidP="001672AC">
            <w:pPr>
              <w:jc w:val="right"/>
              <w:rPr>
                <w:rFonts w:eastAsia="Times New Roman"/>
                <w:b/>
                <w:bCs/>
                <w:color w:val="000000"/>
                <w:sz w:val="22"/>
                <w:szCs w:val="22"/>
              </w:rPr>
            </w:pPr>
            <w:r w:rsidRPr="00020020">
              <w:rPr>
                <w:rFonts w:eastAsia="Times New Roman"/>
                <w:b/>
                <w:bCs/>
                <w:color w:val="000000"/>
                <w:sz w:val="22"/>
                <w:szCs w:val="22"/>
              </w:rPr>
              <w:t> </w:t>
            </w:r>
          </w:p>
        </w:tc>
        <w:tc>
          <w:tcPr>
            <w:tcW w:w="1030" w:type="dxa"/>
            <w:tcBorders>
              <w:top w:val="nil"/>
              <w:left w:val="nil"/>
              <w:bottom w:val="nil"/>
              <w:right w:val="nil"/>
            </w:tcBorders>
            <w:shd w:val="clear" w:color="000000" w:fill="D9D9D9"/>
            <w:noWrap/>
            <w:vAlign w:val="center"/>
            <w:hideMark/>
          </w:tcPr>
          <w:p w14:paraId="02CB0159" w14:textId="77777777" w:rsidR="005C3210" w:rsidRPr="00020020" w:rsidRDefault="005C3210" w:rsidP="001672AC">
            <w:pPr>
              <w:jc w:val="right"/>
              <w:rPr>
                <w:rFonts w:eastAsia="Times New Roman"/>
                <w:b/>
                <w:bCs/>
                <w:color w:val="000000"/>
                <w:sz w:val="22"/>
                <w:szCs w:val="22"/>
              </w:rPr>
            </w:pPr>
            <w:r w:rsidRPr="00020020">
              <w:rPr>
                <w:rFonts w:eastAsia="Times New Roman"/>
                <w:b/>
                <w:bCs/>
                <w:color w:val="000000"/>
                <w:sz w:val="22"/>
                <w:szCs w:val="22"/>
              </w:rPr>
              <w:t> </w:t>
            </w:r>
          </w:p>
        </w:tc>
        <w:tc>
          <w:tcPr>
            <w:tcW w:w="950" w:type="dxa"/>
            <w:tcBorders>
              <w:top w:val="nil"/>
              <w:left w:val="nil"/>
              <w:bottom w:val="nil"/>
              <w:right w:val="nil"/>
            </w:tcBorders>
            <w:shd w:val="clear" w:color="000000" w:fill="D9D9D9"/>
            <w:noWrap/>
            <w:vAlign w:val="center"/>
            <w:hideMark/>
          </w:tcPr>
          <w:p w14:paraId="40FF75B8" w14:textId="77777777" w:rsidR="005C3210" w:rsidRPr="00020020" w:rsidRDefault="005C3210" w:rsidP="001672AC">
            <w:pPr>
              <w:jc w:val="right"/>
              <w:rPr>
                <w:rFonts w:eastAsia="Times New Roman"/>
                <w:b/>
                <w:bCs/>
                <w:color w:val="000000"/>
                <w:sz w:val="22"/>
                <w:szCs w:val="22"/>
              </w:rPr>
            </w:pPr>
            <w:r w:rsidRPr="00020020">
              <w:rPr>
                <w:rFonts w:eastAsia="Times New Roman"/>
                <w:b/>
                <w:bCs/>
                <w:color w:val="000000"/>
                <w:sz w:val="22"/>
                <w:szCs w:val="22"/>
              </w:rPr>
              <w:t> </w:t>
            </w:r>
          </w:p>
        </w:tc>
        <w:tc>
          <w:tcPr>
            <w:tcW w:w="954" w:type="dxa"/>
            <w:tcBorders>
              <w:top w:val="nil"/>
              <w:left w:val="nil"/>
              <w:bottom w:val="nil"/>
              <w:right w:val="double" w:sz="6" w:space="0" w:color="auto"/>
            </w:tcBorders>
            <w:shd w:val="clear" w:color="000000" w:fill="D9D9D9"/>
            <w:noWrap/>
            <w:vAlign w:val="center"/>
            <w:hideMark/>
          </w:tcPr>
          <w:p w14:paraId="2353EB24" w14:textId="77777777" w:rsidR="005C3210" w:rsidRPr="00020020" w:rsidRDefault="005C3210" w:rsidP="001672AC">
            <w:pPr>
              <w:jc w:val="right"/>
              <w:rPr>
                <w:rFonts w:eastAsia="Times New Roman"/>
                <w:b/>
                <w:bCs/>
                <w:color w:val="000000"/>
                <w:sz w:val="22"/>
                <w:szCs w:val="22"/>
              </w:rPr>
            </w:pPr>
            <w:r w:rsidRPr="00020020">
              <w:rPr>
                <w:rFonts w:eastAsia="Times New Roman"/>
                <w:b/>
                <w:bCs/>
                <w:color w:val="000000"/>
                <w:sz w:val="22"/>
                <w:szCs w:val="22"/>
              </w:rPr>
              <w:t> </w:t>
            </w:r>
          </w:p>
        </w:tc>
      </w:tr>
      <w:tr w:rsidR="005C3210" w:rsidRPr="00020020" w14:paraId="07121D09" w14:textId="77777777" w:rsidTr="00117833">
        <w:trPr>
          <w:trHeight w:val="20"/>
          <w:jc w:val="center"/>
        </w:trPr>
        <w:tc>
          <w:tcPr>
            <w:tcW w:w="4860" w:type="dxa"/>
            <w:gridSpan w:val="4"/>
            <w:tcBorders>
              <w:top w:val="double" w:sz="6" w:space="0" w:color="auto"/>
              <w:left w:val="double" w:sz="6" w:space="0" w:color="auto"/>
              <w:bottom w:val="double" w:sz="6" w:space="0" w:color="auto"/>
              <w:right w:val="nil"/>
            </w:tcBorders>
            <w:shd w:val="clear" w:color="000000" w:fill="F2F2F2"/>
            <w:noWrap/>
            <w:vAlign w:val="center"/>
            <w:hideMark/>
          </w:tcPr>
          <w:p w14:paraId="00CCCC05" w14:textId="6CA27197" w:rsidR="005C3210" w:rsidRPr="00020020" w:rsidRDefault="005C3210" w:rsidP="001672AC">
            <w:pPr>
              <w:jc w:val="left"/>
              <w:rPr>
                <w:rFonts w:eastAsia="Times New Roman"/>
                <w:i/>
                <w:color w:val="000000"/>
                <w:sz w:val="22"/>
                <w:szCs w:val="22"/>
              </w:rPr>
            </w:pPr>
            <w:r w:rsidRPr="00020020">
              <w:rPr>
                <w:rFonts w:eastAsia="Times New Roman"/>
                <w:i/>
                <w:color w:val="000000"/>
                <w:sz w:val="22"/>
                <w:szCs w:val="22"/>
              </w:rPr>
              <w:t>Onli</w:t>
            </w:r>
            <w:r w:rsidRPr="00D56445">
              <w:rPr>
                <w:rFonts w:eastAsia="Times New Roman"/>
                <w:i/>
                <w:color w:val="000000"/>
                <w:sz w:val="22"/>
                <w:szCs w:val="22"/>
              </w:rPr>
              <w:t xml:space="preserve">ne </w:t>
            </w:r>
            <w:r w:rsidR="006A4B68">
              <w:rPr>
                <w:rFonts w:eastAsia="Times New Roman"/>
                <w:i/>
                <w:color w:val="000000"/>
                <w:sz w:val="22"/>
                <w:szCs w:val="22"/>
              </w:rPr>
              <w:t>m</w:t>
            </w:r>
            <w:r w:rsidRPr="00D56445">
              <w:rPr>
                <w:rFonts w:eastAsia="Times New Roman"/>
                <w:i/>
                <w:color w:val="000000"/>
                <w:sz w:val="22"/>
                <w:szCs w:val="22"/>
              </w:rPr>
              <w:t>eals (base: 0 days per week)</w:t>
            </w:r>
          </w:p>
        </w:tc>
        <w:tc>
          <w:tcPr>
            <w:tcW w:w="954" w:type="dxa"/>
            <w:tcBorders>
              <w:top w:val="double" w:sz="6" w:space="0" w:color="auto"/>
              <w:left w:val="nil"/>
              <w:bottom w:val="double" w:sz="6" w:space="0" w:color="auto"/>
              <w:right w:val="nil"/>
            </w:tcBorders>
            <w:shd w:val="clear" w:color="000000" w:fill="F2F2F2"/>
            <w:noWrap/>
            <w:vAlign w:val="center"/>
            <w:hideMark/>
          </w:tcPr>
          <w:p w14:paraId="4BBB9510"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 </w:t>
            </w:r>
          </w:p>
        </w:tc>
        <w:tc>
          <w:tcPr>
            <w:tcW w:w="790" w:type="dxa"/>
            <w:tcBorders>
              <w:top w:val="double" w:sz="6" w:space="0" w:color="auto"/>
              <w:left w:val="nil"/>
              <w:bottom w:val="double" w:sz="6" w:space="0" w:color="auto"/>
              <w:right w:val="nil"/>
            </w:tcBorders>
            <w:shd w:val="clear" w:color="000000" w:fill="F2F2F2"/>
            <w:noWrap/>
            <w:vAlign w:val="center"/>
            <w:hideMark/>
          </w:tcPr>
          <w:p w14:paraId="765257F5"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 </w:t>
            </w:r>
          </w:p>
        </w:tc>
        <w:tc>
          <w:tcPr>
            <w:tcW w:w="866" w:type="dxa"/>
            <w:tcBorders>
              <w:top w:val="double" w:sz="6" w:space="0" w:color="auto"/>
              <w:left w:val="nil"/>
              <w:bottom w:val="double" w:sz="6" w:space="0" w:color="auto"/>
              <w:right w:val="nil"/>
            </w:tcBorders>
            <w:shd w:val="clear" w:color="000000" w:fill="F2F2F2"/>
            <w:noWrap/>
            <w:vAlign w:val="center"/>
            <w:hideMark/>
          </w:tcPr>
          <w:p w14:paraId="500552CE"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 </w:t>
            </w:r>
          </w:p>
        </w:tc>
        <w:tc>
          <w:tcPr>
            <w:tcW w:w="900" w:type="dxa"/>
            <w:gridSpan w:val="2"/>
            <w:tcBorders>
              <w:top w:val="double" w:sz="6" w:space="0" w:color="auto"/>
              <w:left w:val="nil"/>
              <w:bottom w:val="double" w:sz="6" w:space="0" w:color="auto"/>
              <w:right w:val="nil"/>
            </w:tcBorders>
            <w:shd w:val="clear" w:color="000000" w:fill="F2F2F2"/>
            <w:noWrap/>
            <w:vAlign w:val="center"/>
            <w:hideMark/>
          </w:tcPr>
          <w:p w14:paraId="77468BF7"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 </w:t>
            </w:r>
          </w:p>
        </w:tc>
        <w:tc>
          <w:tcPr>
            <w:tcW w:w="900" w:type="dxa"/>
            <w:tcBorders>
              <w:top w:val="double" w:sz="6" w:space="0" w:color="auto"/>
              <w:left w:val="nil"/>
              <w:bottom w:val="double" w:sz="6" w:space="0" w:color="auto"/>
              <w:right w:val="nil"/>
            </w:tcBorders>
            <w:shd w:val="clear" w:color="000000" w:fill="F2F2F2"/>
            <w:noWrap/>
            <w:vAlign w:val="center"/>
            <w:hideMark/>
          </w:tcPr>
          <w:p w14:paraId="6874687B"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 </w:t>
            </w:r>
          </w:p>
        </w:tc>
        <w:tc>
          <w:tcPr>
            <w:tcW w:w="900" w:type="dxa"/>
            <w:tcBorders>
              <w:top w:val="double" w:sz="6" w:space="0" w:color="auto"/>
              <w:left w:val="nil"/>
              <w:bottom w:val="double" w:sz="6" w:space="0" w:color="auto"/>
              <w:right w:val="nil"/>
            </w:tcBorders>
            <w:shd w:val="clear" w:color="000000" w:fill="F2F2F2"/>
            <w:noWrap/>
            <w:vAlign w:val="center"/>
            <w:hideMark/>
          </w:tcPr>
          <w:p w14:paraId="54D92A4C"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 </w:t>
            </w:r>
          </w:p>
        </w:tc>
        <w:tc>
          <w:tcPr>
            <w:tcW w:w="1030" w:type="dxa"/>
            <w:tcBorders>
              <w:top w:val="double" w:sz="6" w:space="0" w:color="auto"/>
              <w:left w:val="nil"/>
              <w:bottom w:val="double" w:sz="6" w:space="0" w:color="auto"/>
              <w:right w:val="nil"/>
            </w:tcBorders>
            <w:shd w:val="clear" w:color="000000" w:fill="F2F2F2"/>
            <w:noWrap/>
            <w:vAlign w:val="center"/>
            <w:hideMark/>
          </w:tcPr>
          <w:p w14:paraId="2A3889DD"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 </w:t>
            </w:r>
          </w:p>
        </w:tc>
        <w:tc>
          <w:tcPr>
            <w:tcW w:w="950" w:type="dxa"/>
            <w:tcBorders>
              <w:top w:val="double" w:sz="6" w:space="0" w:color="auto"/>
              <w:left w:val="nil"/>
              <w:bottom w:val="double" w:sz="6" w:space="0" w:color="auto"/>
              <w:right w:val="nil"/>
            </w:tcBorders>
            <w:shd w:val="clear" w:color="000000" w:fill="F2F2F2"/>
            <w:noWrap/>
            <w:vAlign w:val="center"/>
            <w:hideMark/>
          </w:tcPr>
          <w:p w14:paraId="560DBE79"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 </w:t>
            </w:r>
          </w:p>
        </w:tc>
        <w:tc>
          <w:tcPr>
            <w:tcW w:w="954" w:type="dxa"/>
            <w:tcBorders>
              <w:top w:val="double" w:sz="6" w:space="0" w:color="auto"/>
              <w:left w:val="nil"/>
              <w:bottom w:val="double" w:sz="6" w:space="0" w:color="auto"/>
              <w:right w:val="double" w:sz="6" w:space="0" w:color="auto"/>
            </w:tcBorders>
            <w:shd w:val="clear" w:color="000000" w:fill="F2F2F2"/>
            <w:noWrap/>
            <w:vAlign w:val="center"/>
            <w:hideMark/>
          </w:tcPr>
          <w:p w14:paraId="685103F8"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 </w:t>
            </w:r>
          </w:p>
        </w:tc>
      </w:tr>
      <w:tr w:rsidR="005C3210" w:rsidRPr="00020020" w14:paraId="20BE301A" w14:textId="77777777" w:rsidTr="00117833">
        <w:trPr>
          <w:trHeight w:val="20"/>
          <w:jc w:val="center"/>
        </w:trPr>
        <w:tc>
          <w:tcPr>
            <w:tcW w:w="2160" w:type="dxa"/>
            <w:tcBorders>
              <w:top w:val="nil"/>
              <w:left w:val="double" w:sz="6" w:space="0" w:color="auto"/>
              <w:bottom w:val="nil"/>
              <w:right w:val="double" w:sz="6" w:space="0" w:color="auto"/>
            </w:tcBorders>
            <w:shd w:val="clear" w:color="000000" w:fill="FFFFFF"/>
            <w:noWrap/>
            <w:vAlign w:val="center"/>
            <w:hideMark/>
          </w:tcPr>
          <w:p w14:paraId="5CF090E0" w14:textId="77777777" w:rsidR="005C3210" w:rsidRPr="00020020" w:rsidRDefault="005C3210" w:rsidP="001672AC">
            <w:pPr>
              <w:jc w:val="left"/>
              <w:rPr>
                <w:rFonts w:eastAsia="Times New Roman"/>
                <w:color w:val="000000"/>
                <w:sz w:val="22"/>
                <w:szCs w:val="22"/>
              </w:rPr>
            </w:pPr>
            <w:r w:rsidRPr="00020020">
              <w:rPr>
                <w:rFonts w:eastAsia="Times New Roman"/>
                <w:color w:val="000000"/>
                <w:sz w:val="22"/>
                <w:szCs w:val="22"/>
              </w:rPr>
              <w:t>1-7 days per week</w:t>
            </w:r>
          </w:p>
        </w:tc>
        <w:tc>
          <w:tcPr>
            <w:tcW w:w="900" w:type="dxa"/>
            <w:tcBorders>
              <w:top w:val="nil"/>
              <w:left w:val="nil"/>
              <w:bottom w:val="nil"/>
              <w:right w:val="nil"/>
            </w:tcBorders>
            <w:shd w:val="clear" w:color="000000" w:fill="FFFFFF"/>
            <w:noWrap/>
            <w:vAlign w:val="center"/>
            <w:hideMark/>
          </w:tcPr>
          <w:p w14:paraId="13F2BA78"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911" w:type="dxa"/>
            <w:tcBorders>
              <w:top w:val="nil"/>
              <w:left w:val="nil"/>
              <w:bottom w:val="nil"/>
              <w:right w:val="double" w:sz="6" w:space="0" w:color="auto"/>
            </w:tcBorders>
            <w:shd w:val="clear" w:color="000000" w:fill="FFFFFF"/>
            <w:noWrap/>
            <w:vAlign w:val="center"/>
            <w:hideMark/>
          </w:tcPr>
          <w:p w14:paraId="61E83FF2"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889" w:type="dxa"/>
            <w:tcBorders>
              <w:top w:val="nil"/>
              <w:left w:val="nil"/>
              <w:bottom w:val="nil"/>
              <w:right w:val="nil"/>
            </w:tcBorders>
            <w:shd w:val="clear" w:color="000000" w:fill="FFFFFF"/>
            <w:noWrap/>
            <w:vAlign w:val="center"/>
            <w:hideMark/>
          </w:tcPr>
          <w:p w14:paraId="25EA0327"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954" w:type="dxa"/>
            <w:tcBorders>
              <w:top w:val="nil"/>
              <w:left w:val="nil"/>
              <w:bottom w:val="nil"/>
              <w:right w:val="double" w:sz="6" w:space="0" w:color="auto"/>
            </w:tcBorders>
            <w:shd w:val="clear" w:color="000000" w:fill="FFFFFF"/>
            <w:noWrap/>
            <w:vAlign w:val="center"/>
            <w:hideMark/>
          </w:tcPr>
          <w:p w14:paraId="1D87B9A6"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790" w:type="dxa"/>
            <w:tcBorders>
              <w:top w:val="nil"/>
              <w:left w:val="nil"/>
              <w:bottom w:val="nil"/>
              <w:right w:val="nil"/>
            </w:tcBorders>
            <w:shd w:val="clear" w:color="000000" w:fill="FFFFFF"/>
            <w:noWrap/>
            <w:vAlign w:val="center"/>
            <w:hideMark/>
          </w:tcPr>
          <w:p w14:paraId="7AE9DDE8"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866" w:type="dxa"/>
            <w:tcBorders>
              <w:top w:val="nil"/>
              <w:left w:val="nil"/>
              <w:bottom w:val="nil"/>
              <w:right w:val="double" w:sz="6" w:space="0" w:color="auto"/>
            </w:tcBorders>
            <w:shd w:val="clear" w:color="000000" w:fill="FFFFFF"/>
            <w:noWrap/>
            <w:vAlign w:val="center"/>
            <w:hideMark/>
          </w:tcPr>
          <w:p w14:paraId="78F30DDB"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900" w:type="dxa"/>
            <w:gridSpan w:val="2"/>
            <w:tcBorders>
              <w:top w:val="nil"/>
              <w:left w:val="nil"/>
              <w:bottom w:val="nil"/>
              <w:right w:val="nil"/>
            </w:tcBorders>
            <w:shd w:val="clear" w:color="000000" w:fill="FFFFFF"/>
            <w:noWrap/>
            <w:vAlign w:val="center"/>
            <w:hideMark/>
          </w:tcPr>
          <w:p w14:paraId="1F677F13"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-0.103</w:t>
            </w:r>
          </w:p>
        </w:tc>
        <w:tc>
          <w:tcPr>
            <w:tcW w:w="900" w:type="dxa"/>
            <w:tcBorders>
              <w:top w:val="nil"/>
              <w:left w:val="nil"/>
              <w:bottom w:val="nil"/>
              <w:right w:val="double" w:sz="6" w:space="0" w:color="auto"/>
            </w:tcBorders>
            <w:shd w:val="clear" w:color="000000" w:fill="FFFFFF"/>
            <w:noWrap/>
            <w:vAlign w:val="center"/>
            <w:hideMark/>
          </w:tcPr>
          <w:p w14:paraId="6082C0C3"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-3.784</w:t>
            </w:r>
          </w:p>
        </w:tc>
        <w:tc>
          <w:tcPr>
            <w:tcW w:w="900" w:type="dxa"/>
            <w:tcBorders>
              <w:top w:val="nil"/>
              <w:left w:val="nil"/>
              <w:bottom w:val="nil"/>
              <w:right w:val="nil"/>
            </w:tcBorders>
            <w:shd w:val="clear" w:color="000000" w:fill="FFFFFF"/>
            <w:noWrap/>
            <w:vAlign w:val="center"/>
            <w:hideMark/>
          </w:tcPr>
          <w:p w14:paraId="1329CFE9"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1030" w:type="dxa"/>
            <w:tcBorders>
              <w:top w:val="nil"/>
              <w:left w:val="nil"/>
              <w:bottom w:val="nil"/>
              <w:right w:val="double" w:sz="6" w:space="0" w:color="auto"/>
            </w:tcBorders>
            <w:shd w:val="clear" w:color="000000" w:fill="FFFFFF"/>
            <w:noWrap/>
            <w:vAlign w:val="center"/>
            <w:hideMark/>
          </w:tcPr>
          <w:p w14:paraId="4619D3AB"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950" w:type="dxa"/>
            <w:tcBorders>
              <w:top w:val="nil"/>
              <w:left w:val="nil"/>
              <w:bottom w:val="nil"/>
              <w:right w:val="nil"/>
            </w:tcBorders>
            <w:shd w:val="clear" w:color="000000" w:fill="FFFFFF"/>
            <w:noWrap/>
            <w:vAlign w:val="center"/>
            <w:hideMark/>
          </w:tcPr>
          <w:p w14:paraId="67DA1F89"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954" w:type="dxa"/>
            <w:tcBorders>
              <w:top w:val="nil"/>
              <w:left w:val="nil"/>
              <w:bottom w:val="nil"/>
              <w:right w:val="double" w:sz="6" w:space="0" w:color="auto"/>
            </w:tcBorders>
            <w:shd w:val="clear" w:color="000000" w:fill="FFFFFF"/>
            <w:noWrap/>
            <w:vAlign w:val="center"/>
            <w:hideMark/>
          </w:tcPr>
          <w:p w14:paraId="35F8B17F"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r>
      <w:tr w:rsidR="005C3210" w:rsidRPr="00020020" w14:paraId="05A4B69F" w14:textId="77777777" w:rsidTr="00117833">
        <w:trPr>
          <w:trHeight w:val="20"/>
          <w:jc w:val="center"/>
        </w:trPr>
        <w:tc>
          <w:tcPr>
            <w:tcW w:w="7476" w:type="dxa"/>
            <w:gridSpan w:val="8"/>
            <w:tcBorders>
              <w:top w:val="double" w:sz="6" w:space="0" w:color="auto"/>
              <w:left w:val="double" w:sz="6" w:space="0" w:color="auto"/>
              <w:bottom w:val="double" w:sz="6" w:space="0" w:color="auto"/>
              <w:right w:val="nil"/>
            </w:tcBorders>
            <w:shd w:val="clear" w:color="auto" w:fill="F2F2F2"/>
            <w:noWrap/>
            <w:vAlign w:val="center"/>
            <w:hideMark/>
          </w:tcPr>
          <w:p w14:paraId="3B481C8E" w14:textId="77777777" w:rsidR="005C3210" w:rsidRPr="00020020" w:rsidRDefault="005C3210" w:rsidP="001672AC">
            <w:pPr>
              <w:jc w:val="left"/>
              <w:rPr>
                <w:rFonts w:eastAsia="Times New Roman"/>
                <w:i/>
                <w:color w:val="000000"/>
                <w:sz w:val="22"/>
                <w:szCs w:val="22"/>
              </w:rPr>
            </w:pPr>
            <w:r w:rsidRPr="00020020">
              <w:rPr>
                <w:rFonts w:eastAsia="Times New Roman"/>
                <w:i/>
                <w:color w:val="000000"/>
                <w:sz w:val="22"/>
                <w:szCs w:val="22"/>
              </w:rPr>
              <w:t>In-person shopping (base: 0 days per week)</w:t>
            </w:r>
          </w:p>
        </w:tc>
        <w:tc>
          <w:tcPr>
            <w:tcW w:w="894" w:type="dxa"/>
            <w:tcBorders>
              <w:top w:val="double" w:sz="6" w:space="0" w:color="auto"/>
              <w:left w:val="nil"/>
              <w:bottom w:val="double" w:sz="6" w:space="0" w:color="auto"/>
              <w:right w:val="nil"/>
            </w:tcBorders>
            <w:shd w:val="clear" w:color="000000" w:fill="F2F2F2"/>
            <w:noWrap/>
            <w:vAlign w:val="center"/>
            <w:hideMark/>
          </w:tcPr>
          <w:p w14:paraId="587C3586"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 </w:t>
            </w:r>
          </w:p>
        </w:tc>
        <w:tc>
          <w:tcPr>
            <w:tcW w:w="900" w:type="dxa"/>
            <w:tcBorders>
              <w:top w:val="double" w:sz="6" w:space="0" w:color="auto"/>
              <w:left w:val="nil"/>
              <w:bottom w:val="double" w:sz="6" w:space="0" w:color="auto"/>
              <w:right w:val="nil"/>
            </w:tcBorders>
            <w:shd w:val="clear" w:color="000000" w:fill="F2F2F2"/>
            <w:noWrap/>
            <w:vAlign w:val="center"/>
            <w:hideMark/>
          </w:tcPr>
          <w:p w14:paraId="301E2987"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 </w:t>
            </w:r>
          </w:p>
        </w:tc>
        <w:tc>
          <w:tcPr>
            <w:tcW w:w="900" w:type="dxa"/>
            <w:tcBorders>
              <w:top w:val="double" w:sz="6" w:space="0" w:color="auto"/>
              <w:left w:val="nil"/>
              <w:bottom w:val="double" w:sz="6" w:space="0" w:color="auto"/>
              <w:right w:val="nil"/>
            </w:tcBorders>
            <w:shd w:val="clear" w:color="000000" w:fill="F2F2F2"/>
            <w:noWrap/>
            <w:vAlign w:val="center"/>
            <w:hideMark/>
          </w:tcPr>
          <w:p w14:paraId="102BDD56"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 </w:t>
            </w:r>
          </w:p>
        </w:tc>
        <w:tc>
          <w:tcPr>
            <w:tcW w:w="1030" w:type="dxa"/>
            <w:tcBorders>
              <w:top w:val="double" w:sz="6" w:space="0" w:color="auto"/>
              <w:left w:val="nil"/>
              <w:bottom w:val="double" w:sz="6" w:space="0" w:color="auto"/>
              <w:right w:val="nil"/>
            </w:tcBorders>
            <w:shd w:val="clear" w:color="000000" w:fill="F2F2F2"/>
            <w:noWrap/>
            <w:vAlign w:val="center"/>
            <w:hideMark/>
          </w:tcPr>
          <w:p w14:paraId="7DD6F60B"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 </w:t>
            </w:r>
          </w:p>
        </w:tc>
        <w:tc>
          <w:tcPr>
            <w:tcW w:w="950" w:type="dxa"/>
            <w:tcBorders>
              <w:top w:val="double" w:sz="6" w:space="0" w:color="auto"/>
              <w:left w:val="nil"/>
              <w:bottom w:val="double" w:sz="6" w:space="0" w:color="auto"/>
              <w:right w:val="nil"/>
            </w:tcBorders>
            <w:shd w:val="clear" w:color="000000" w:fill="F2F2F2"/>
            <w:noWrap/>
            <w:vAlign w:val="center"/>
            <w:hideMark/>
          </w:tcPr>
          <w:p w14:paraId="3AAA00FA"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 </w:t>
            </w:r>
          </w:p>
        </w:tc>
        <w:tc>
          <w:tcPr>
            <w:tcW w:w="954" w:type="dxa"/>
            <w:tcBorders>
              <w:top w:val="double" w:sz="6" w:space="0" w:color="auto"/>
              <w:left w:val="nil"/>
              <w:bottom w:val="double" w:sz="6" w:space="0" w:color="auto"/>
              <w:right w:val="double" w:sz="6" w:space="0" w:color="auto"/>
            </w:tcBorders>
            <w:shd w:val="clear" w:color="000000" w:fill="F2F2F2"/>
            <w:noWrap/>
            <w:vAlign w:val="center"/>
            <w:hideMark/>
          </w:tcPr>
          <w:p w14:paraId="26F44FC3" w14:textId="77777777" w:rsidR="005C3210" w:rsidRPr="00020020" w:rsidRDefault="005C3210" w:rsidP="001672AC">
            <w:pPr>
              <w:jc w:val="right"/>
              <w:rPr>
                <w:rFonts w:eastAsia="Times New Roman"/>
                <w:i/>
                <w:color w:val="000000"/>
                <w:sz w:val="22"/>
                <w:szCs w:val="22"/>
              </w:rPr>
            </w:pPr>
            <w:r w:rsidRPr="00020020">
              <w:rPr>
                <w:rFonts w:eastAsia="Times New Roman"/>
                <w:i/>
                <w:color w:val="000000"/>
                <w:sz w:val="22"/>
                <w:szCs w:val="22"/>
              </w:rPr>
              <w:t> </w:t>
            </w:r>
          </w:p>
        </w:tc>
      </w:tr>
      <w:tr w:rsidR="005C3210" w:rsidRPr="00020020" w14:paraId="08342010" w14:textId="77777777" w:rsidTr="00117833">
        <w:trPr>
          <w:trHeight w:val="20"/>
          <w:jc w:val="center"/>
        </w:trPr>
        <w:tc>
          <w:tcPr>
            <w:tcW w:w="2160" w:type="dxa"/>
            <w:tcBorders>
              <w:top w:val="nil"/>
              <w:left w:val="double" w:sz="6" w:space="0" w:color="auto"/>
              <w:bottom w:val="nil"/>
              <w:right w:val="double" w:sz="6" w:space="0" w:color="auto"/>
            </w:tcBorders>
            <w:shd w:val="clear" w:color="000000" w:fill="FFFFFF"/>
            <w:noWrap/>
            <w:vAlign w:val="center"/>
            <w:hideMark/>
          </w:tcPr>
          <w:p w14:paraId="1AFEAFE1" w14:textId="77777777" w:rsidR="005C3210" w:rsidRPr="00020020" w:rsidRDefault="005C3210" w:rsidP="001672AC">
            <w:pPr>
              <w:jc w:val="left"/>
              <w:rPr>
                <w:rFonts w:eastAsia="Times New Roman"/>
                <w:color w:val="000000"/>
                <w:sz w:val="22"/>
                <w:szCs w:val="22"/>
              </w:rPr>
            </w:pPr>
            <w:r w:rsidRPr="00020020">
              <w:rPr>
                <w:rFonts w:eastAsia="Times New Roman"/>
                <w:color w:val="000000"/>
                <w:sz w:val="22"/>
                <w:szCs w:val="22"/>
              </w:rPr>
              <w:t>1 day per week</w:t>
            </w:r>
          </w:p>
        </w:tc>
        <w:tc>
          <w:tcPr>
            <w:tcW w:w="900" w:type="dxa"/>
            <w:tcBorders>
              <w:top w:val="nil"/>
              <w:left w:val="nil"/>
              <w:bottom w:val="nil"/>
              <w:right w:val="nil"/>
            </w:tcBorders>
            <w:shd w:val="clear" w:color="000000" w:fill="FFFFFF"/>
            <w:noWrap/>
            <w:vAlign w:val="center"/>
            <w:hideMark/>
          </w:tcPr>
          <w:p w14:paraId="37AE1478"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0.092</w:t>
            </w:r>
          </w:p>
        </w:tc>
        <w:tc>
          <w:tcPr>
            <w:tcW w:w="911" w:type="dxa"/>
            <w:tcBorders>
              <w:top w:val="nil"/>
              <w:left w:val="nil"/>
              <w:bottom w:val="nil"/>
              <w:right w:val="double" w:sz="6" w:space="0" w:color="auto"/>
            </w:tcBorders>
            <w:shd w:val="clear" w:color="000000" w:fill="FFFFFF"/>
            <w:noWrap/>
            <w:vAlign w:val="center"/>
            <w:hideMark/>
          </w:tcPr>
          <w:p w14:paraId="2C540F3E"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3.802</w:t>
            </w:r>
          </w:p>
        </w:tc>
        <w:tc>
          <w:tcPr>
            <w:tcW w:w="889" w:type="dxa"/>
            <w:tcBorders>
              <w:top w:val="nil"/>
              <w:left w:val="nil"/>
              <w:bottom w:val="nil"/>
              <w:right w:val="nil"/>
            </w:tcBorders>
            <w:shd w:val="clear" w:color="000000" w:fill="FFFFFF"/>
            <w:noWrap/>
            <w:vAlign w:val="center"/>
            <w:hideMark/>
          </w:tcPr>
          <w:p w14:paraId="2FD99A96"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954" w:type="dxa"/>
            <w:tcBorders>
              <w:top w:val="nil"/>
              <w:left w:val="nil"/>
              <w:bottom w:val="nil"/>
              <w:right w:val="double" w:sz="6" w:space="0" w:color="auto"/>
            </w:tcBorders>
            <w:shd w:val="clear" w:color="000000" w:fill="FFFFFF"/>
            <w:noWrap/>
            <w:vAlign w:val="center"/>
            <w:hideMark/>
          </w:tcPr>
          <w:p w14:paraId="4A0C36E5"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790" w:type="dxa"/>
            <w:tcBorders>
              <w:top w:val="nil"/>
              <w:left w:val="nil"/>
              <w:bottom w:val="nil"/>
              <w:right w:val="nil"/>
            </w:tcBorders>
            <w:shd w:val="clear" w:color="000000" w:fill="FFFFFF"/>
            <w:noWrap/>
            <w:vAlign w:val="center"/>
            <w:hideMark/>
          </w:tcPr>
          <w:p w14:paraId="51A2D731"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866" w:type="dxa"/>
            <w:tcBorders>
              <w:top w:val="nil"/>
              <w:left w:val="nil"/>
              <w:bottom w:val="nil"/>
              <w:right w:val="double" w:sz="6" w:space="0" w:color="auto"/>
            </w:tcBorders>
            <w:shd w:val="clear" w:color="000000" w:fill="FFFFFF"/>
            <w:noWrap/>
            <w:vAlign w:val="center"/>
            <w:hideMark/>
          </w:tcPr>
          <w:p w14:paraId="6F265122"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900" w:type="dxa"/>
            <w:gridSpan w:val="2"/>
            <w:tcBorders>
              <w:top w:val="nil"/>
              <w:left w:val="nil"/>
              <w:bottom w:val="nil"/>
              <w:right w:val="nil"/>
            </w:tcBorders>
            <w:shd w:val="clear" w:color="000000" w:fill="FFFFFF"/>
            <w:noWrap/>
            <w:vAlign w:val="center"/>
            <w:hideMark/>
          </w:tcPr>
          <w:p w14:paraId="2C03797E"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900" w:type="dxa"/>
            <w:tcBorders>
              <w:top w:val="nil"/>
              <w:left w:val="nil"/>
              <w:bottom w:val="nil"/>
              <w:right w:val="double" w:sz="6" w:space="0" w:color="auto"/>
            </w:tcBorders>
            <w:shd w:val="clear" w:color="000000" w:fill="FFFFFF"/>
            <w:noWrap/>
            <w:vAlign w:val="center"/>
            <w:hideMark/>
          </w:tcPr>
          <w:p w14:paraId="1C589F3B"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900" w:type="dxa"/>
            <w:tcBorders>
              <w:top w:val="nil"/>
              <w:left w:val="nil"/>
              <w:bottom w:val="nil"/>
              <w:right w:val="nil"/>
            </w:tcBorders>
            <w:shd w:val="clear" w:color="000000" w:fill="FFFFFF"/>
            <w:noWrap/>
            <w:vAlign w:val="center"/>
            <w:hideMark/>
          </w:tcPr>
          <w:p w14:paraId="0EE166B7"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1030" w:type="dxa"/>
            <w:tcBorders>
              <w:top w:val="nil"/>
              <w:left w:val="nil"/>
              <w:bottom w:val="nil"/>
              <w:right w:val="double" w:sz="6" w:space="0" w:color="auto"/>
            </w:tcBorders>
            <w:shd w:val="clear" w:color="000000" w:fill="FFFFFF"/>
            <w:noWrap/>
            <w:vAlign w:val="center"/>
            <w:hideMark/>
          </w:tcPr>
          <w:p w14:paraId="782E2A82"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950" w:type="dxa"/>
            <w:tcBorders>
              <w:top w:val="nil"/>
              <w:left w:val="nil"/>
              <w:bottom w:val="nil"/>
              <w:right w:val="nil"/>
            </w:tcBorders>
            <w:shd w:val="clear" w:color="000000" w:fill="FFFFFF"/>
            <w:noWrap/>
            <w:vAlign w:val="center"/>
            <w:hideMark/>
          </w:tcPr>
          <w:p w14:paraId="1E21A7A1"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954" w:type="dxa"/>
            <w:tcBorders>
              <w:top w:val="nil"/>
              <w:left w:val="nil"/>
              <w:bottom w:val="nil"/>
              <w:right w:val="double" w:sz="6" w:space="0" w:color="auto"/>
            </w:tcBorders>
            <w:shd w:val="clear" w:color="000000" w:fill="FFFFFF"/>
            <w:noWrap/>
            <w:vAlign w:val="center"/>
            <w:hideMark/>
          </w:tcPr>
          <w:p w14:paraId="0C287C45"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r>
      <w:tr w:rsidR="005C3210" w:rsidRPr="00020020" w14:paraId="615094E1" w14:textId="77777777" w:rsidTr="00117833">
        <w:trPr>
          <w:trHeight w:val="20"/>
          <w:jc w:val="center"/>
        </w:trPr>
        <w:tc>
          <w:tcPr>
            <w:tcW w:w="2160" w:type="dxa"/>
            <w:tcBorders>
              <w:top w:val="nil"/>
              <w:left w:val="double" w:sz="6" w:space="0" w:color="auto"/>
              <w:bottom w:val="double" w:sz="4" w:space="0" w:color="auto"/>
              <w:right w:val="double" w:sz="6" w:space="0" w:color="auto"/>
            </w:tcBorders>
            <w:shd w:val="clear" w:color="000000" w:fill="FFFFFF"/>
            <w:noWrap/>
            <w:vAlign w:val="center"/>
            <w:hideMark/>
          </w:tcPr>
          <w:p w14:paraId="52BEB3BE" w14:textId="77777777" w:rsidR="005C3210" w:rsidRPr="00020020" w:rsidRDefault="005C3210" w:rsidP="001672AC">
            <w:pPr>
              <w:jc w:val="left"/>
              <w:rPr>
                <w:rFonts w:eastAsia="Times New Roman"/>
                <w:color w:val="000000"/>
                <w:sz w:val="22"/>
                <w:szCs w:val="22"/>
              </w:rPr>
            </w:pPr>
            <w:r w:rsidRPr="00020020">
              <w:rPr>
                <w:rFonts w:eastAsia="Times New Roman"/>
                <w:color w:val="000000"/>
                <w:sz w:val="22"/>
                <w:szCs w:val="22"/>
              </w:rPr>
              <w:t>2-7 days per week</w:t>
            </w:r>
          </w:p>
        </w:tc>
        <w:tc>
          <w:tcPr>
            <w:tcW w:w="900" w:type="dxa"/>
            <w:tcBorders>
              <w:top w:val="nil"/>
              <w:left w:val="nil"/>
              <w:bottom w:val="double" w:sz="4" w:space="0" w:color="auto"/>
              <w:right w:val="nil"/>
            </w:tcBorders>
            <w:shd w:val="clear" w:color="000000" w:fill="FFFFFF"/>
            <w:noWrap/>
            <w:vAlign w:val="center"/>
            <w:hideMark/>
          </w:tcPr>
          <w:p w14:paraId="7902671F"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0.138</w:t>
            </w:r>
          </w:p>
        </w:tc>
        <w:tc>
          <w:tcPr>
            <w:tcW w:w="911" w:type="dxa"/>
            <w:tcBorders>
              <w:top w:val="nil"/>
              <w:left w:val="nil"/>
              <w:bottom w:val="double" w:sz="4" w:space="0" w:color="auto"/>
              <w:right w:val="double" w:sz="6" w:space="0" w:color="auto"/>
            </w:tcBorders>
            <w:shd w:val="clear" w:color="000000" w:fill="FFFFFF"/>
            <w:noWrap/>
            <w:vAlign w:val="center"/>
            <w:hideMark/>
          </w:tcPr>
          <w:p w14:paraId="6C3B0E10"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5.996</w:t>
            </w:r>
          </w:p>
        </w:tc>
        <w:tc>
          <w:tcPr>
            <w:tcW w:w="889" w:type="dxa"/>
            <w:tcBorders>
              <w:top w:val="nil"/>
              <w:left w:val="nil"/>
              <w:bottom w:val="double" w:sz="4" w:space="0" w:color="auto"/>
              <w:right w:val="nil"/>
            </w:tcBorders>
            <w:shd w:val="clear" w:color="000000" w:fill="FFFFFF"/>
            <w:noWrap/>
            <w:vAlign w:val="center"/>
            <w:hideMark/>
          </w:tcPr>
          <w:p w14:paraId="30977B1E"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954" w:type="dxa"/>
            <w:tcBorders>
              <w:top w:val="nil"/>
              <w:left w:val="nil"/>
              <w:bottom w:val="double" w:sz="4" w:space="0" w:color="auto"/>
              <w:right w:val="double" w:sz="6" w:space="0" w:color="auto"/>
            </w:tcBorders>
            <w:shd w:val="clear" w:color="000000" w:fill="FFFFFF"/>
            <w:noWrap/>
            <w:vAlign w:val="center"/>
            <w:hideMark/>
          </w:tcPr>
          <w:p w14:paraId="3E5AF8C1"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790" w:type="dxa"/>
            <w:tcBorders>
              <w:top w:val="nil"/>
              <w:left w:val="nil"/>
              <w:bottom w:val="double" w:sz="4" w:space="0" w:color="auto"/>
              <w:right w:val="nil"/>
            </w:tcBorders>
            <w:shd w:val="clear" w:color="000000" w:fill="FFFFFF"/>
            <w:noWrap/>
            <w:vAlign w:val="center"/>
            <w:hideMark/>
          </w:tcPr>
          <w:p w14:paraId="4305C933"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866" w:type="dxa"/>
            <w:tcBorders>
              <w:top w:val="nil"/>
              <w:left w:val="nil"/>
              <w:bottom w:val="double" w:sz="4" w:space="0" w:color="auto"/>
              <w:right w:val="double" w:sz="6" w:space="0" w:color="auto"/>
            </w:tcBorders>
            <w:shd w:val="clear" w:color="000000" w:fill="FFFFFF"/>
            <w:noWrap/>
            <w:vAlign w:val="center"/>
            <w:hideMark/>
          </w:tcPr>
          <w:p w14:paraId="50046F23"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900" w:type="dxa"/>
            <w:gridSpan w:val="2"/>
            <w:tcBorders>
              <w:top w:val="nil"/>
              <w:left w:val="nil"/>
              <w:bottom w:val="double" w:sz="4" w:space="0" w:color="auto"/>
              <w:right w:val="nil"/>
            </w:tcBorders>
            <w:shd w:val="clear" w:color="000000" w:fill="FFFFFF"/>
            <w:noWrap/>
            <w:vAlign w:val="center"/>
            <w:hideMark/>
          </w:tcPr>
          <w:p w14:paraId="552861BD"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900" w:type="dxa"/>
            <w:tcBorders>
              <w:top w:val="nil"/>
              <w:left w:val="nil"/>
              <w:bottom w:val="double" w:sz="4" w:space="0" w:color="auto"/>
              <w:right w:val="double" w:sz="6" w:space="0" w:color="auto"/>
            </w:tcBorders>
            <w:shd w:val="clear" w:color="000000" w:fill="FFFFFF"/>
            <w:noWrap/>
            <w:vAlign w:val="center"/>
            <w:hideMark/>
          </w:tcPr>
          <w:p w14:paraId="093A6934"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900" w:type="dxa"/>
            <w:tcBorders>
              <w:top w:val="nil"/>
              <w:left w:val="nil"/>
              <w:bottom w:val="double" w:sz="4" w:space="0" w:color="auto"/>
              <w:right w:val="nil"/>
            </w:tcBorders>
            <w:shd w:val="clear" w:color="000000" w:fill="FFFFFF"/>
            <w:noWrap/>
            <w:vAlign w:val="center"/>
            <w:hideMark/>
          </w:tcPr>
          <w:p w14:paraId="20E2A5B1"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1030" w:type="dxa"/>
            <w:tcBorders>
              <w:top w:val="nil"/>
              <w:left w:val="nil"/>
              <w:bottom w:val="double" w:sz="4" w:space="0" w:color="auto"/>
              <w:right w:val="double" w:sz="6" w:space="0" w:color="auto"/>
            </w:tcBorders>
            <w:shd w:val="clear" w:color="000000" w:fill="FFFFFF"/>
            <w:noWrap/>
            <w:vAlign w:val="center"/>
            <w:hideMark/>
          </w:tcPr>
          <w:p w14:paraId="31FB3AD0"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950" w:type="dxa"/>
            <w:tcBorders>
              <w:top w:val="nil"/>
              <w:left w:val="nil"/>
              <w:bottom w:val="double" w:sz="4" w:space="0" w:color="auto"/>
              <w:right w:val="nil"/>
            </w:tcBorders>
            <w:shd w:val="clear" w:color="000000" w:fill="FFFFFF"/>
            <w:noWrap/>
            <w:vAlign w:val="center"/>
            <w:hideMark/>
          </w:tcPr>
          <w:p w14:paraId="0E0C0A4B"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c>
          <w:tcPr>
            <w:tcW w:w="954" w:type="dxa"/>
            <w:tcBorders>
              <w:top w:val="nil"/>
              <w:left w:val="nil"/>
              <w:bottom w:val="double" w:sz="4" w:space="0" w:color="auto"/>
              <w:right w:val="double" w:sz="6" w:space="0" w:color="auto"/>
            </w:tcBorders>
            <w:shd w:val="clear" w:color="000000" w:fill="FFFFFF"/>
            <w:noWrap/>
            <w:vAlign w:val="center"/>
            <w:hideMark/>
          </w:tcPr>
          <w:p w14:paraId="7EF392B8" w14:textId="77777777" w:rsidR="005C3210" w:rsidRPr="00020020" w:rsidRDefault="005C3210" w:rsidP="001672AC">
            <w:pPr>
              <w:jc w:val="right"/>
              <w:rPr>
                <w:rFonts w:eastAsia="Times New Roman"/>
                <w:color w:val="000000"/>
                <w:sz w:val="22"/>
                <w:szCs w:val="22"/>
              </w:rPr>
            </w:pPr>
            <w:r w:rsidRPr="00020020">
              <w:rPr>
                <w:rFonts w:eastAsia="Times New Roman"/>
                <w:color w:val="000000"/>
                <w:sz w:val="22"/>
                <w:szCs w:val="22"/>
              </w:rPr>
              <w:t> </w:t>
            </w:r>
          </w:p>
        </w:tc>
      </w:tr>
      <w:tr w:rsidR="00944378" w:rsidRPr="00944378" w14:paraId="0D455392" w14:textId="77777777" w:rsidTr="00117833">
        <w:trPr>
          <w:trHeight w:val="20"/>
          <w:jc w:val="center"/>
        </w:trPr>
        <w:tc>
          <w:tcPr>
            <w:tcW w:w="13104" w:type="dxa"/>
            <w:gridSpan w:val="14"/>
            <w:tcBorders>
              <w:top w:val="double" w:sz="4" w:space="0" w:color="auto"/>
              <w:left w:val="double" w:sz="6" w:space="0" w:color="auto"/>
              <w:bottom w:val="double" w:sz="4" w:space="0" w:color="auto"/>
              <w:right w:val="double" w:sz="6" w:space="0" w:color="auto"/>
            </w:tcBorders>
            <w:shd w:val="clear" w:color="auto" w:fill="F2F2F2"/>
            <w:noWrap/>
            <w:vAlign w:val="center"/>
          </w:tcPr>
          <w:p w14:paraId="3F50792C" w14:textId="455A8FC0" w:rsidR="00944378" w:rsidRPr="00944378" w:rsidRDefault="00944378" w:rsidP="00944378">
            <w:pPr>
              <w:jc w:val="left"/>
              <w:rPr>
                <w:rFonts w:eastAsia="Times New Roman"/>
                <w:i/>
                <w:color w:val="000000"/>
                <w:sz w:val="22"/>
                <w:szCs w:val="22"/>
              </w:rPr>
            </w:pPr>
            <w:r w:rsidRPr="00020020">
              <w:rPr>
                <w:rFonts w:eastAsia="Times New Roman"/>
                <w:i/>
                <w:color w:val="000000"/>
                <w:sz w:val="22"/>
                <w:szCs w:val="22"/>
              </w:rPr>
              <w:t xml:space="preserve">Online </w:t>
            </w:r>
            <w:r w:rsidR="006A4B68">
              <w:rPr>
                <w:rFonts w:eastAsia="Times New Roman"/>
                <w:i/>
                <w:color w:val="000000"/>
                <w:sz w:val="22"/>
                <w:szCs w:val="22"/>
              </w:rPr>
              <w:t>s</w:t>
            </w:r>
            <w:r w:rsidRPr="00020020">
              <w:rPr>
                <w:rFonts w:eastAsia="Times New Roman"/>
                <w:i/>
                <w:color w:val="000000"/>
                <w:sz w:val="22"/>
                <w:szCs w:val="22"/>
              </w:rPr>
              <w:t>hopping (base: 0-2 days per week)</w:t>
            </w:r>
          </w:p>
        </w:tc>
      </w:tr>
      <w:tr w:rsidR="00944378" w:rsidRPr="00020020" w14:paraId="7FB55200" w14:textId="77777777" w:rsidTr="00117833">
        <w:trPr>
          <w:trHeight w:val="20"/>
          <w:jc w:val="center"/>
        </w:trPr>
        <w:tc>
          <w:tcPr>
            <w:tcW w:w="2160" w:type="dxa"/>
            <w:tcBorders>
              <w:top w:val="double" w:sz="4" w:space="0" w:color="auto"/>
              <w:left w:val="double" w:sz="6" w:space="0" w:color="auto"/>
              <w:bottom w:val="nil"/>
              <w:right w:val="double" w:sz="6" w:space="0" w:color="auto"/>
            </w:tcBorders>
            <w:shd w:val="clear" w:color="000000" w:fill="FFFFFF"/>
            <w:noWrap/>
            <w:vAlign w:val="center"/>
          </w:tcPr>
          <w:p w14:paraId="0B8DDCCE" w14:textId="7D6A4151" w:rsidR="00944378" w:rsidRPr="00020020" w:rsidRDefault="00944378" w:rsidP="00944378">
            <w:pPr>
              <w:jc w:val="left"/>
              <w:rPr>
                <w:rFonts w:eastAsia="Times New Roman"/>
                <w:color w:val="000000"/>
                <w:sz w:val="22"/>
                <w:szCs w:val="22"/>
              </w:rPr>
            </w:pPr>
            <w:r w:rsidRPr="00020020">
              <w:rPr>
                <w:rFonts w:eastAsia="Times New Roman"/>
                <w:color w:val="000000"/>
                <w:sz w:val="22"/>
                <w:szCs w:val="22"/>
              </w:rPr>
              <w:t>3-7 days per week</w:t>
            </w:r>
          </w:p>
        </w:tc>
        <w:tc>
          <w:tcPr>
            <w:tcW w:w="900" w:type="dxa"/>
            <w:tcBorders>
              <w:top w:val="double" w:sz="4" w:space="0" w:color="auto"/>
              <w:left w:val="nil"/>
              <w:bottom w:val="nil"/>
              <w:right w:val="nil"/>
            </w:tcBorders>
            <w:shd w:val="clear" w:color="000000" w:fill="FFFFFF"/>
            <w:noWrap/>
            <w:vAlign w:val="center"/>
          </w:tcPr>
          <w:p w14:paraId="5C5C728C" w14:textId="7058CDBD"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11" w:type="dxa"/>
            <w:tcBorders>
              <w:top w:val="double" w:sz="4" w:space="0" w:color="auto"/>
              <w:left w:val="nil"/>
              <w:bottom w:val="nil"/>
              <w:right w:val="double" w:sz="6" w:space="0" w:color="auto"/>
            </w:tcBorders>
            <w:shd w:val="clear" w:color="000000" w:fill="FFFFFF"/>
            <w:noWrap/>
            <w:vAlign w:val="center"/>
          </w:tcPr>
          <w:p w14:paraId="61A34909" w14:textId="19D9BBAE"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889" w:type="dxa"/>
            <w:tcBorders>
              <w:top w:val="double" w:sz="4" w:space="0" w:color="auto"/>
              <w:left w:val="nil"/>
              <w:bottom w:val="nil"/>
              <w:right w:val="nil"/>
            </w:tcBorders>
            <w:shd w:val="clear" w:color="000000" w:fill="FFFFFF"/>
            <w:noWrap/>
            <w:vAlign w:val="center"/>
          </w:tcPr>
          <w:p w14:paraId="5035D8DA" w14:textId="5101CAF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54" w:type="dxa"/>
            <w:tcBorders>
              <w:top w:val="double" w:sz="4" w:space="0" w:color="auto"/>
              <w:left w:val="nil"/>
              <w:bottom w:val="nil"/>
              <w:right w:val="double" w:sz="6" w:space="0" w:color="auto"/>
            </w:tcBorders>
            <w:shd w:val="clear" w:color="000000" w:fill="FFFFFF"/>
            <w:noWrap/>
            <w:vAlign w:val="center"/>
          </w:tcPr>
          <w:p w14:paraId="3CCD0354" w14:textId="4CD44DE1"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790" w:type="dxa"/>
            <w:tcBorders>
              <w:top w:val="double" w:sz="4" w:space="0" w:color="auto"/>
              <w:left w:val="nil"/>
              <w:bottom w:val="nil"/>
              <w:right w:val="nil"/>
            </w:tcBorders>
            <w:shd w:val="clear" w:color="000000" w:fill="FFFFFF"/>
            <w:noWrap/>
            <w:vAlign w:val="center"/>
          </w:tcPr>
          <w:p w14:paraId="20058915" w14:textId="07BC9D03"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866" w:type="dxa"/>
            <w:tcBorders>
              <w:top w:val="double" w:sz="4" w:space="0" w:color="auto"/>
              <w:left w:val="nil"/>
              <w:bottom w:val="nil"/>
              <w:right w:val="double" w:sz="6" w:space="0" w:color="auto"/>
            </w:tcBorders>
            <w:shd w:val="clear" w:color="000000" w:fill="FFFFFF"/>
            <w:noWrap/>
            <w:vAlign w:val="center"/>
          </w:tcPr>
          <w:p w14:paraId="0F689CC2" w14:textId="69E0419F"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00" w:type="dxa"/>
            <w:gridSpan w:val="2"/>
            <w:tcBorders>
              <w:top w:val="double" w:sz="4" w:space="0" w:color="auto"/>
              <w:left w:val="nil"/>
              <w:bottom w:val="nil"/>
              <w:right w:val="nil"/>
            </w:tcBorders>
            <w:shd w:val="clear" w:color="000000" w:fill="FFFFFF"/>
            <w:noWrap/>
            <w:vAlign w:val="center"/>
          </w:tcPr>
          <w:p w14:paraId="3B5285CF" w14:textId="5B42602E"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00" w:type="dxa"/>
            <w:tcBorders>
              <w:top w:val="double" w:sz="4" w:space="0" w:color="auto"/>
              <w:left w:val="nil"/>
              <w:bottom w:val="nil"/>
              <w:right w:val="double" w:sz="6" w:space="0" w:color="auto"/>
            </w:tcBorders>
            <w:shd w:val="clear" w:color="000000" w:fill="FFFFFF"/>
            <w:noWrap/>
            <w:vAlign w:val="center"/>
          </w:tcPr>
          <w:p w14:paraId="67E42D0A" w14:textId="1C70A260"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00" w:type="dxa"/>
            <w:tcBorders>
              <w:top w:val="double" w:sz="4" w:space="0" w:color="auto"/>
              <w:left w:val="nil"/>
              <w:bottom w:val="nil"/>
              <w:right w:val="nil"/>
            </w:tcBorders>
            <w:shd w:val="clear" w:color="000000" w:fill="FFFFFF"/>
            <w:noWrap/>
            <w:vAlign w:val="center"/>
          </w:tcPr>
          <w:p w14:paraId="37A0C67B" w14:textId="2811F24D"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0.123</w:t>
            </w:r>
          </w:p>
        </w:tc>
        <w:tc>
          <w:tcPr>
            <w:tcW w:w="1030" w:type="dxa"/>
            <w:tcBorders>
              <w:top w:val="double" w:sz="4" w:space="0" w:color="auto"/>
              <w:left w:val="nil"/>
              <w:bottom w:val="nil"/>
              <w:right w:val="double" w:sz="6" w:space="0" w:color="auto"/>
            </w:tcBorders>
            <w:shd w:val="clear" w:color="000000" w:fill="FFFFFF"/>
            <w:noWrap/>
            <w:vAlign w:val="center"/>
          </w:tcPr>
          <w:p w14:paraId="2DEB1B1A" w14:textId="53893B01"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5.365</w:t>
            </w:r>
          </w:p>
        </w:tc>
        <w:tc>
          <w:tcPr>
            <w:tcW w:w="950" w:type="dxa"/>
            <w:tcBorders>
              <w:top w:val="double" w:sz="4" w:space="0" w:color="auto"/>
              <w:left w:val="nil"/>
              <w:bottom w:val="nil"/>
              <w:right w:val="nil"/>
            </w:tcBorders>
            <w:shd w:val="clear" w:color="000000" w:fill="FFFFFF"/>
            <w:noWrap/>
            <w:vAlign w:val="center"/>
          </w:tcPr>
          <w:p w14:paraId="2F7B73B0" w14:textId="52A976B2"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0.126</w:t>
            </w:r>
          </w:p>
        </w:tc>
        <w:tc>
          <w:tcPr>
            <w:tcW w:w="954" w:type="dxa"/>
            <w:tcBorders>
              <w:top w:val="double" w:sz="4" w:space="0" w:color="auto"/>
              <w:left w:val="nil"/>
              <w:bottom w:val="nil"/>
              <w:right w:val="double" w:sz="6" w:space="0" w:color="auto"/>
            </w:tcBorders>
            <w:shd w:val="clear" w:color="000000" w:fill="FFFFFF"/>
            <w:noWrap/>
            <w:vAlign w:val="center"/>
          </w:tcPr>
          <w:p w14:paraId="2E11E61A" w14:textId="4A3B62A1"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5.990</w:t>
            </w:r>
          </w:p>
        </w:tc>
      </w:tr>
      <w:tr w:rsidR="00944378" w:rsidRPr="00020020" w14:paraId="69101A8F" w14:textId="77777777" w:rsidTr="00117833">
        <w:trPr>
          <w:trHeight w:val="20"/>
          <w:jc w:val="center"/>
        </w:trPr>
        <w:tc>
          <w:tcPr>
            <w:tcW w:w="7476" w:type="dxa"/>
            <w:gridSpan w:val="8"/>
            <w:tcBorders>
              <w:top w:val="double" w:sz="6" w:space="0" w:color="auto"/>
              <w:left w:val="double" w:sz="6" w:space="0" w:color="auto"/>
              <w:bottom w:val="double" w:sz="6" w:space="0" w:color="auto"/>
              <w:right w:val="nil"/>
            </w:tcBorders>
            <w:shd w:val="clear" w:color="000000" w:fill="F2F2F2"/>
            <w:noWrap/>
            <w:vAlign w:val="center"/>
            <w:hideMark/>
          </w:tcPr>
          <w:p w14:paraId="6B6C5546" w14:textId="5B902903" w:rsidR="00944378" w:rsidRPr="00020020" w:rsidRDefault="00944378" w:rsidP="00944378">
            <w:pPr>
              <w:jc w:val="left"/>
              <w:rPr>
                <w:rFonts w:eastAsia="Times New Roman"/>
                <w:i/>
                <w:color w:val="000000"/>
                <w:sz w:val="22"/>
                <w:szCs w:val="22"/>
              </w:rPr>
            </w:pPr>
            <w:r w:rsidRPr="00020020">
              <w:rPr>
                <w:rFonts w:eastAsia="Times New Roman"/>
                <w:i/>
                <w:color w:val="000000"/>
                <w:sz w:val="22"/>
                <w:szCs w:val="22"/>
              </w:rPr>
              <w:t>In-person groceries (base: 0-2</w:t>
            </w:r>
            <w:r w:rsidR="006A4B68">
              <w:rPr>
                <w:rFonts w:eastAsia="Times New Roman"/>
                <w:i/>
                <w:color w:val="000000"/>
                <w:sz w:val="22"/>
                <w:szCs w:val="22"/>
              </w:rPr>
              <w:t xml:space="preserve"> </w:t>
            </w:r>
            <w:r w:rsidRPr="00020020">
              <w:rPr>
                <w:rFonts w:eastAsia="Times New Roman"/>
                <w:i/>
                <w:color w:val="000000"/>
                <w:sz w:val="22"/>
                <w:szCs w:val="22"/>
              </w:rPr>
              <w:t>days per week)</w:t>
            </w:r>
          </w:p>
        </w:tc>
        <w:tc>
          <w:tcPr>
            <w:tcW w:w="894" w:type="dxa"/>
            <w:tcBorders>
              <w:top w:val="double" w:sz="6" w:space="0" w:color="auto"/>
              <w:left w:val="nil"/>
              <w:bottom w:val="double" w:sz="6" w:space="0" w:color="auto"/>
              <w:right w:val="nil"/>
            </w:tcBorders>
            <w:shd w:val="clear" w:color="000000" w:fill="F2F2F2"/>
            <w:noWrap/>
            <w:vAlign w:val="center"/>
            <w:hideMark/>
          </w:tcPr>
          <w:p w14:paraId="361060F5" w14:textId="77777777" w:rsidR="00944378" w:rsidRPr="00020020" w:rsidRDefault="00944378" w:rsidP="00944378">
            <w:pPr>
              <w:jc w:val="right"/>
              <w:rPr>
                <w:rFonts w:eastAsia="Times New Roman"/>
                <w:i/>
                <w:color w:val="000000"/>
                <w:sz w:val="22"/>
                <w:szCs w:val="22"/>
              </w:rPr>
            </w:pPr>
            <w:r w:rsidRPr="00020020">
              <w:rPr>
                <w:rFonts w:eastAsia="Times New Roman"/>
                <w:i/>
                <w:color w:val="000000"/>
                <w:sz w:val="22"/>
                <w:szCs w:val="22"/>
              </w:rPr>
              <w:t> </w:t>
            </w:r>
          </w:p>
        </w:tc>
        <w:tc>
          <w:tcPr>
            <w:tcW w:w="900" w:type="dxa"/>
            <w:tcBorders>
              <w:top w:val="double" w:sz="6" w:space="0" w:color="auto"/>
              <w:left w:val="nil"/>
              <w:bottom w:val="double" w:sz="6" w:space="0" w:color="auto"/>
              <w:right w:val="nil"/>
            </w:tcBorders>
            <w:shd w:val="clear" w:color="000000" w:fill="F2F2F2"/>
            <w:noWrap/>
            <w:vAlign w:val="center"/>
            <w:hideMark/>
          </w:tcPr>
          <w:p w14:paraId="2D645AAA" w14:textId="77777777" w:rsidR="00944378" w:rsidRPr="00020020" w:rsidRDefault="00944378" w:rsidP="00944378">
            <w:pPr>
              <w:jc w:val="right"/>
              <w:rPr>
                <w:rFonts w:eastAsia="Times New Roman"/>
                <w:i/>
                <w:color w:val="000000"/>
                <w:sz w:val="22"/>
                <w:szCs w:val="22"/>
              </w:rPr>
            </w:pPr>
            <w:r w:rsidRPr="00020020">
              <w:rPr>
                <w:rFonts w:eastAsia="Times New Roman"/>
                <w:i/>
                <w:color w:val="000000"/>
                <w:sz w:val="22"/>
                <w:szCs w:val="22"/>
              </w:rPr>
              <w:t> </w:t>
            </w:r>
          </w:p>
        </w:tc>
        <w:tc>
          <w:tcPr>
            <w:tcW w:w="900" w:type="dxa"/>
            <w:tcBorders>
              <w:top w:val="double" w:sz="6" w:space="0" w:color="auto"/>
              <w:left w:val="nil"/>
              <w:bottom w:val="double" w:sz="6" w:space="0" w:color="auto"/>
              <w:right w:val="nil"/>
            </w:tcBorders>
            <w:shd w:val="clear" w:color="000000" w:fill="F2F2F2"/>
            <w:noWrap/>
            <w:vAlign w:val="center"/>
            <w:hideMark/>
          </w:tcPr>
          <w:p w14:paraId="7DF7066B" w14:textId="77777777" w:rsidR="00944378" w:rsidRPr="00020020" w:rsidRDefault="00944378" w:rsidP="00944378">
            <w:pPr>
              <w:jc w:val="right"/>
              <w:rPr>
                <w:rFonts w:eastAsia="Times New Roman"/>
                <w:i/>
                <w:color w:val="000000"/>
                <w:sz w:val="22"/>
                <w:szCs w:val="22"/>
              </w:rPr>
            </w:pPr>
            <w:r w:rsidRPr="00020020">
              <w:rPr>
                <w:rFonts w:eastAsia="Times New Roman"/>
                <w:i/>
                <w:color w:val="000000"/>
                <w:sz w:val="22"/>
                <w:szCs w:val="22"/>
              </w:rPr>
              <w:t> </w:t>
            </w:r>
          </w:p>
        </w:tc>
        <w:tc>
          <w:tcPr>
            <w:tcW w:w="1030" w:type="dxa"/>
            <w:tcBorders>
              <w:top w:val="double" w:sz="6" w:space="0" w:color="auto"/>
              <w:left w:val="nil"/>
              <w:bottom w:val="double" w:sz="6" w:space="0" w:color="auto"/>
              <w:right w:val="nil"/>
            </w:tcBorders>
            <w:shd w:val="clear" w:color="000000" w:fill="F2F2F2"/>
            <w:noWrap/>
            <w:vAlign w:val="center"/>
            <w:hideMark/>
          </w:tcPr>
          <w:p w14:paraId="08BE2ED6" w14:textId="77777777" w:rsidR="00944378" w:rsidRPr="00020020" w:rsidRDefault="00944378" w:rsidP="00944378">
            <w:pPr>
              <w:jc w:val="right"/>
              <w:rPr>
                <w:rFonts w:eastAsia="Times New Roman"/>
                <w:i/>
                <w:color w:val="000000"/>
                <w:sz w:val="22"/>
                <w:szCs w:val="22"/>
              </w:rPr>
            </w:pPr>
            <w:r w:rsidRPr="00020020">
              <w:rPr>
                <w:rFonts w:eastAsia="Times New Roman"/>
                <w:i/>
                <w:color w:val="000000"/>
                <w:sz w:val="22"/>
                <w:szCs w:val="22"/>
              </w:rPr>
              <w:t> </w:t>
            </w:r>
          </w:p>
        </w:tc>
        <w:tc>
          <w:tcPr>
            <w:tcW w:w="950" w:type="dxa"/>
            <w:tcBorders>
              <w:top w:val="double" w:sz="6" w:space="0" w:color="auto"/>
              <w:left w:val="nil"/>
              <w:bottom w:val="double" w:sz="6" w:space="0" w:color="auto"/>
              <w:right w:val="nil"/>
            </w:tcBorders>
            <w:shd w:val="clear" w:color="000000" w:fill="F2F2F2"/>
            <w:noWrap/>
            <w:vAlign w:val="center"/>
            <w:hideMark/>
          </w:tcPr>
          <w:p w14:paraId="031773E1" w14:textId="77777777" w:rsidR="00944378" w:rsidRPr="00020020" w:rsidRDefault="00944378" w:rsidP="00944378">
            <w:pPr>
              <w:jc w:val="right"/>
              <w:rPr>
                <w:rFonts w:eastAsia="Times New Roman"/>
                <w:i/>
                <w:color w:val="000000"/>
                <w:sz w:val="22"/>
                <w:szCs w:val="22"/>
              </w:rPr>
            </w:pPr>
            <w:r w:rsidRPr="00020020">
              <w:rPr>
                <w:rFonts w:eastAsia="Times New Roman"/>
                <w:i/>
                <w:color w:val="000000"/>
                <w:sz w:val="22"/>
                <w:szCs w:val="22"/>
              </w:rPr>
              <w:t> </w:t>
            </w:r>
          </w:p>
        </w:tc>
        <w:tc>
          <w:tcPr>
            <w:tcW w:w="954" w:type="dxa"/>
            <w:tcBorders>
              <w:top w:val="double" w:sz="6" w:space="0" w:color="auto"/>
              <w:left w:val="nil"/>
              <w:bottom w:val="double" w:sz="6" w:space="0" w:color="auto"/>
              <w:right w:val="double" w:sz="6" w:space="0" w:color="auto"/>
            </w:tcBorders>
            <w:shd w:val="clear" w:color="000000" w:fill="F2F2F2"/>
            <w:noWrap/>
            <w:vAlign w:val="center"/>
            <w:hideMark/>
          </w:tcPr>
          <w:p w14:paraId="35C531B1" w14:textId="77777777" w:rsidR="00944378" w:rsidRPr="00020020" w:rsidRDefault="00944378" w:rsidP="00944378">
            <w:pPr>
              <w:jc w:val="right"/>
              <w:rPr>
                <w:rFonts w:eastAsia="Times New Roman"/>
                <w:i/>
                <w:color w:val="000000"/>
                <w:sz w:val="22"/>
                <w:szCs w:val="22"/>
              </w:rPr>
            </w:pPr>
            <w:r w:rsidRPr="00020020">
              <w:rPr>
                <w:rFonts w:eastAsia="Times New Roman"/>
                <w:i/>
                <w:color w:val="000000"/>
                <w:sz w:val="22"/>
                <w:szCs w:val="22"/>
              </w:rPr>
              <w:t> </w:t>
            </w:r>
          </w:p>
        </w:tc>
      </w:tr>
      <w:tr w:rsidR="00944378" w:rsidRPr="00020020" w14:paraId="2D1ADD49" w14:textId="77777777" w:rsidTr="00117833">
        <w:trPr>
          <w:trHeight w:val="20"/>
          <w:jc w:val="center"/>
        </w:trPr>
        <w:tc>
          <w:tcPr>
            <w:tcW w:w="2160" w:type="dxa"/>
            <w:tcBorders>
              <w:top w:val="nil"/>
              <w:left w:val="double" w:sz="6" w:space="0" w:color="auto"/>
              <w:bottom w:val="nil"/>
              <w:right w:val="double" w:sz="6" w:space="0" w:color="auto"/>
            </w:tcBorders>
            <w:shd w:val="clear" w:color="000000" w:fill="FFFFFF"/>
            <w:noWrap/>
            <w:vAlign w:val="center"/>
            <w:hideMark/>
          </w:tcPr>
          <w:p w14:paraId="29D7C6D4" w14:textId="77777777" w:rsidR="00944378" w:rsidRPr="00020020" w:rsidRDefault="00944378" w:rsidP="00944378">
            <w:pPr>
              <w:jc w:val="left"/>
              <w:rPr>
                <w:rFonts w:eastAsia="Times New Roman"/>
                <w:color w:val="000000"/>
                <w:sz w:val="22"/>
                <w:szCs w:val="22"/>
              </w:rPr>
            </w:pPr>
            <w:r w:rsidRPr="00020020">
              <w:rPr>
                <w:rFonts w:eastAsia="Times New Roman"/>
                <w:color w:val="000000"/>
                <w:sz w:val="22"/>
                <w:szCs w:val="22"/>
              </w:rPr>
              <w:t>3-7 days per week</w:t>
            </w:r>
          </w:p>
        </w:tc>
        <w:tc>
          <w:tcPr>
            <w:tcW w:w="900" w:type="dxa"/>
            <w:tcBorders>
              <w:top w:val="nil"/>
              <w:left w:val="nil"/>
              <w:bottom w:val="nil"/>
              <w:right w:val="nil"/>
            </w:tcBorders>
            <w:shd w:val="clear" w:color="000000" w:fill="FFFFFF"/>
            <w:noWrap/>
            <w:vAlign w:val="center"/>
            <w:hideMark/>
          </w:tcPr>
          <w:p w14:paraId="55F3758D"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11" w:type="dxa"/>
            <w:tcBorders>
              <w:top w:val="nil"/>
              <w:left w:val="nil"/>
              <w:bottom w:val="nil"/>
              <w:right w:val="double" w:sz="6" w:space="0" w:color="auto"/>
            </w:tcBorders>
            <w:shd w:val="clear" w:color="000000" w:fill="FFFFFF"/>
            <w:noWrap/>
            <w:vAlign w:val="center"/>
            <w:hideMark/>
          </w:tcPr>
          <w:p w14:paraId="77F18773"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889" w:type="dxa"/>
            <w:tcBorders>
              <w:top w:val="nil"/>
              <w:left w:val="nil"/>
              <w:bottom w:val="nil"/>
              <w:right w:val="nil"/>
            </w:tcBorders>
            <w:shd w:val="clear" w:color="000000" w:fill="FFFFFF"/>
            <w:noWrap/>
            <w:vAlign w:val="center"/>
            <w:hideMark/>
          </w:tcPr>
          <w:p w14:paraId="07E62FD5"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-0.357</w:t>
            </w:r>
          </w:p>
        </w:tc>
        <w:tc>
          <w:tcPr>
            <w:tcW w:w="954" w:type="dxa"/>
            <w:tcBorders>
              <w:top w:val="nil"/>
              <w:left w:val="nil"/>
              <w:bottom w:val="nil"/>
              <w:right w:val="double" w:sz="6" w:space="0" w:color="auto"/>
            </w:tcBorders>
            <w:shd w:val="clear" w:color="000000" w:fill="FFFFFF"/>
            <w:noWrap/>
            <w:vAlign w:val="center"/>
            <w:hideMark/>
          </w:tcPr>
          <w:p w14:paraId="24C5A4F8"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-10.082</w:t>
            </w:r>
          </w:p>
        </w:tc>
        <w:tc>
          <w:tcPr>
            <w:tcW w:w="790" w:type="dxa"/>
            <w:tcBorders>
              <w:top w:val="nil"/>
              <w:left w:val="nil"/>
              <w:bottom w:val="nil"/>
              <w:right w:val="nil"/>
            </w:tcBorders>
            <w:shd w:val="clear" w:color="000000" w:fill="FFFFFF"/>
            <w:noWrap/>
            <w:vAlign w:val="center"/>
            <w:hideMark/>
          </w:tcPr>
          <w:p w14:paraId="4D568679"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866" w:type="dxa"/>
            <w:tcBorders>
              <w:top w:val="nil"/>
              <w:left w:val="nil"/>
              <w:bottom w:val="nil"/>
              <w:right w:val="double" w:sz="6" w:space="0" w:color="auto"/>
            </w:tcBorders>
            <w:shd w:val="clear" w:color="000000" w:fill="FFFFFF"/>
            <w:noWrap/>
            <w:vAlign w:val="center"/>
            <w:hideMark/>
          </w:tcPr>
          <w:p w14:paraId="0B71BBA2"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00" w:type="dxa"/>
            <w:gridSpan w:val="2"/>
            <w:tcBorders>
              <w:top w:val="nil"/>
              <w:left w:val="nil"/>
              <w:bottom w:val="nil"/>
              <w:right w:val="nil"/>
            </w:tcBorders>
            <w:shd w:val="clear" w:color="000000" w:fill="FFFFFF"/>
            <w:noWrap/>
            <w:vAlign w:val="center"/>
            <w:hideMark/>
          </w:tcPr>
          <w:p w14:paraId="2537EA01"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00" w:type="dxa"/>
            <w:tcBorders>
              <w:top w:val="nil"/>
              <w:left w:val="nil"/>
              <w:bottom w:val="nil"/>
              <w:right w:val="double" w:sz="6" w:space="0" w:color="auto"/>
            </w:tcBorders>
            <w:shd w:val="clear" w:color="000000" w:fill="FFFFFF"/>
            <w:noWrap/>
            <w:vAlign w:val="center"/>
            <w:hideMark/>
          </w:tcPr>
          <w:p w14:paraId="6D18EC05"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00" w:type="dxa"/>
            <w:tcBorders>
              <w:top w:val="nil"/>
              <w:left w:val="nil"/>
              <w:bottom w:val="nil"/>
              <w:right w:val="nil"/>
            </w:tcBorders>
            <w:shd w:val="clear" w:color="000000" w:fill="FFFFFF"/>
            <w:noWrap/>
            <w:vAlign w:val="center"/>
            <w:hideMark/>
          </w:tcPr>
          <w:p w14:paraId="70237CD7"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1030" w:type="dxa"/>
            <w:tcBorders>
              <w:top w:val="nil"/>
              <w:left w:val="nil"/>
              <w:bottom w:val="nil"/>
              <w:right w:val="double" w:sz="6" w:space="0" w:color="auto"/>
            </w:tcBorders>
            <w:shd w:val="clear" w:color="000000" w:fill="FFFFFF"/>
            <w:noWrap/>
            <w:vAlign w:val="center"/>
            <w:hideMark/>
          </w:tcPr>
          <w:p w14:paraId="1C793C38"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50" w:type="dxa"/>
            <w:tcBorders>
              <w:top w:val="nil"/>
              <w:left w:val="nil"/>
              <w:bottom w:val="nil"/>
              <w:right w:val="nil"/>
            </w:tcBorders>
            <w:shd w:val="clear" w:color="000000" w:fill="FFFFFF"/>
            <w:noWrap/>
            <w:vAlign w:val="center"/>
            <w:hideMark/>
          </w:tcPr>
          <w:p w14:paraId="7207EA69"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54" w:type="dxa"/>
            <w:tcBorders>
              <w:top w:val="nil"/>
              <w:left w:val="nil"/>
              <w:bottom w:val="nil"/>
              <w:right w:val="double" w:sz="6" w:space="0" w:color="auto"/>
            </w:tcBorders>
            <w:shd w:val="clear" w:color="000000" w:fill="FFFFFF"/>
            <w:noWrap/>
            <w:vAlign w:val="center"/>
            <w:hideMark/>
          </w:tcPr>
          <w:p w14:paraId="34B8B595"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r>
      <w:tr w:rsidR="00944378" w:rsidRPr="00020020" w14:paraId="6511BD6A" w14:textId="77777777" w:rsidTr="00117833">
        <w:trPr>
          <w:trHeight w:val="20"/>
          <w:jc w:val="center"/>
        </w:trPr>
        <w:tc>
          <w:tcPr>
            <w:tcW w:w="8370" w:type="dxa"/>
            <w:gridSpan w:val="9"/>
            <w:tcBorders>
              <w:top w:val="double" w:sz="6" w:space="0" w:color="auto"/>
              <w:left w:val="double" w:sz="6" w:space="0" w:color="auto"/>
              <w:bottom w:val="double" w:sz="6" w:space="0" w:color="auto"/>
              <w:right w:val="nil"/>
            </w:tcBorders>
            <w:shd w:val="clear" w:color="000000" w:fill="F2F2F2"/>
            <w:noWrap/>
            <w:vAlign w:val="center"/>
            <w:hideMark/>
          </w:tcPr>
          <w:p w14:paraId="7AA81049" w14:textId="77777777" w:rsidR="00944378" w:rsidRPr="00020020" w:rsidRDefault="00944378" w:rsidP="00944378">
            <w:pPr>
              <w:jc w:val="left"/>
              <w:rPr>
                <w:rFonts w:eastAsia="Times New Roman"/>
                <w:i/>
                <w:color w:val="000000"/>
                <w:sz w:val="22"/>
                <w:szCs w:val="22"/>
              </w:rPr>
            </w:pPr>
            <w:r w:rsidRPr="00020020">
              <w:rPr>
                <w:rFonts w:eastAsia="Times New Roman"/>
                <w:i/>
                <w:color w:val="000000"/>
                <w:sz w:val="22"/>
                <w:szCs w:val="22"/>
              </w:rPr>
              <w:t>In-person meals (base: 0 days per week) </w:t>
            </w:r>
          </w:p>
        </w:tc>
        <w:tc>
          <w:tcPr>
            <w:tcW w:w="900" w:type="dxa"/>
            <w:tcBorders>
              <w:top w:val="double" w:sz="6" w:space="0" w:color="auto"/>
              <w:left w:val="nil"/>
              <w:bottom w:val="double" w:sz="6" w:space="0" w:color="auto"/>
              <w:right w:val="nil"/>
            </w:tcBorders>
            <w:shd w:val="clear" w:color="000000" w:fill="F2F2F2"/>
            <w:noWrap/>
            <w:vAlign w:val="center"/>
            <w:hideMark/>
          </w:tcPr>
          <w:p w14:paraId="1C85A766" w14:textId="77777777" w:rsidR="00944378" w:rsidRPr="00020020" w:rsidRDefault="00944378" w:rsidP="00944378">
            <w:pPr>
              <w:jc w:val="right"/>
              <w:rPr>
                <w:rFonts w:eastAsia="Times New Roman"/>
                <w:i/>
                <w:color w:val="000000"/>
                <w:sz w:val="22"/>
                <w:szCs w:val="22"/>
              </w:rPr>
            </w:pPr>
            <w:r w:rsidRPr="00020020">
              <w:rPr>
                <w:rFonts w:eastAsia="Times New Roman"/>
                <w:i/>
                <w:color w:val="000000"/>
                <w:sz w:val="22"/>
                <w:szCs w:val="22"/>
              </w:rPr>
              <w:t> </w:t>
            </w:r>
          </w:p>
        </w:tc>
        <w:tc>
          <w:tcPr>
            <w:tcW w:w="900" w:type="dxa"/>
            <w:tcBorders>
              <w:top w:val="double" w:sz="6" w:space="0" w:color="auto"/>
              <w:left w:val="nil"/>
              <w:bottom w:val="double" w:sz="6" w:space="0" w:color="auto"/>
              <w:right w:val="nil"/>
            </w:tcBorders>
            <w:shd w:val="clear" w:color="000000" w:fill="F2F2F2"/>
            <w:noWrap/>
            <w:vAlign w:val="center"/>
            <w:hideMark/>
          </w:tcPr>
          <w:p w14:paraId="4E73B6AA" w14:textId="77777777" w:rsidR="00944378" w:rsidRPr="00020020" w:rsidRDefault="00944378" w:rsidP="00944378">
            <w:pPr>
              <w:jc w:val="right"/>
              <w:rPr>
                <w:rFonts w:eastAsia="Times New Roman"/>
                <w:i/>
                <w:color w:val="000000"/>
                <w:sz w:val="22"/>
                <w:szCs w:val="22"/>
              </w:rPr>
            </w:pPr>
            <w:r w:rsidRPr="00020020">
              <w:rPr>
                <w:rFonts w:eastAsia="Times New Roman"/>
                <w:i/>
                <w:color w:val="000000"/>
                <w:sz w:val="22"/>
                <w:szCs w:val="22"/>
              </w:rPr>
              <w:t> </w:t>
            </w:r>
          </w:p>
        </w:tc>
        <w:tc>
          <w:tcPr>
            <w:tcW w:w="1030" w:type="dxa"/>
            <w:tcBorders>
              <w:top w:val="double" w:sz="6" w:space="0" w:color="auto"/>
              <w:left w:val="nil"/>
              <w:bottom w:val="double" w:sz="6" w:space="0" w:color="auto"/>
              <w:right w:val="nil"/>
            </w:tcBorders>
            <w:shd w:val="clear" w:color="000000" w:fill="F2F2F2"/>
            <w:noWrap/>
            <w:vAlign w:val="center"/>
            <w:hideMark/>
          </w:tcPr>
          <w:p w14:paraId="483383F4" w14:textId="77777777" w:rsidR="00944378" w:rsidRPr="00020020" w:rsidRDefault="00944378" w:rsidP="00944378">
            <w:pPr>
              <w:jc w:val="right"/>
              <w:rPr>
                <w:rFonts w:eastAsia="Times New Roman"/>
                <w:i/>
                <w:color w:val="000000"/>
                <w:sz w:val="22"/>
                <w:szCs w:val="22"/>
              </w:rPr>
            </w:pPr>
            <w:r w:rsidRPr="00020020">
              <w:rPr>
                <w:rFonts w:eastAsia="Times New Roman"/>
                <w:i/>
                <w:color w:val="000000"/>
                <w:sz w:val="22"/>
                <w:szCs w:val="22"/>
              </w:rPr>
              <w:t> </w:t>
            </w:r>
          </w:p>
        </w:tc>
        <w:tc>
          <w:tcPr>
            <w:tcW w:w="950" w:type="dxa"/>
            <w:tcBorders>
              <w:top w:val="double" w:sz="6" w:space="0" w:color="auto"/>
              <w:left w:val="nil"/>
              <w:bottom w:val="double" w:sz="6" w:space="0" w:color="auto"/>
              <w:right w:val="nil"/>
            </w:tcBorders>
            <w:shd w:val="clear" w:color="000000" w:fill="F2F2F2"/>
            <w:noWrap/>
            <w:vAlign w:val="center"/>
            <w:hideMark/>
          </w:tcPr>
          <w:p w14:paraId="7B5A0C91" w14:textId="77777777" w:rsidR="00944378" w:rsidRPr="00020020" w:rsidRDefault="00944378" w:rsidP="00944378">
            <w:pPr>
              <w:jc w:val="right"/>
              <w:rPr>
                <w:rFonts w:eastAsia="Times New Roman"/>
                <w:i/>
                <w:color w:val="000000"/>
                <w:sz w:val="22"/>
                <w:szCs w:val="22"/>
              </w:rPr>
            </w:pPr>
            <w:r w:rsidRPr="00020020">
              <w:rPr>
                <w:rFonts w:eastAsia="Times New Roman"/>
                <w:i/>
                <w:color w:val="000000"/>
                <w:sz w:val="22"/>
                <w:szCs w:val="22"/>
              </w:rPr>
              <w:t> </w:t>
            </w:r>
          </w:p>
        </w:tc>
        <w:tc>
          <w:tcPr>
            <w:tcW w:w="954" w:type="dxa"/>
            <w:tcBorders>
              <w:top w:val="double" w:sz="6" w:space="0" w:color="auto"/>
              <w:left w:val="nil"/>
              <w:bottom w:val="double" w:sz="6" w:space="0" w:color="auto"/>
              <w:right w:val="double" w:sz="6" w:space="0" w:color="auto"/>
            </w:tcBorders>
            <w:shd w:val="clear" w:color="000000" w:fill="F2F2F2"/>
            <w:noWrap/>
            <w:vAlign w:val="center"/>
            <w:hideMark/>
          </w:tcPr>
          <w:p w14:paraId="48A10A37" w14:textId="77777777" w:rsidR="00944378" w:rsidRPr="00020020" w:rsidRDefault="00944378" w:rsidP="00944378">
            <w:pPr>
              <w:jc w:val="right"/>
              <w:rPr>
                <w:rFonts w:eastAsia="Times New Roman"/>
                <w:i/>
                <w:color w:val="000000"/>
                <w:sz w:val="22"/>
                <w:szCs w:val="22"/>
              </w:rPr>
            </w:pPr>
            <w:r w:rsidRPr="00020020">
              <w:rPr>
                <w:rFonts w:eastAsia="Times New Roman"/>
                <w:i/>
                <w:color w:val="000000"/>
                <w:sz w:val="22"/>
                <w:szCs w:val="22"/>
              </w:rPr>
              <w:t> </w:t>
            </w:r>
          </w:p>
        </w:tc>
      </w:tr>
      <w:tr w:rsidR="00944378" w:rsidRPr="00020020" w14:paraId="69F14A3F" w14:textId="77777777" w:rsidTr="00117833">
        <w:trPr>
          <w:trHeight w:val="20"/>
          <w:jc w:val="center"/>
        </w:trPr>
        <w:tc>
          <w:tcPr>
            <w:tcW w:w="2160" w:type="dxa"/>
            <w:tcBorders>
              <w:top w:val="nil"/>
              <w:left w:val="double" w:sz="6" w:space="0" w:color="auto"/>
              <w:bottom w:val="double" w:sz="4" w:space="0" w:color="auto"/>
              <w:right w:val="double" w:sz="6" w:space="0" w:color="auto"/>
            </w:tcBorders>
            <w:shd w:val="clear" w:color="000000" w:fill="FFFFFF"/>
            <w:noWrap/>
            <w:vAlign w:val="center"/>
            <w:hideMark/>
          </w:tcPr>
          <w:p w14:paraId="749C78C0" w14:textId="77777777" w:rsidR="00944378" w:rsidRPr="00020020" w:rsidRDefault="00944378" w:rsidP="00944378">
            <w:pPr>
              <w:jc w:val="left"/>
              <w:rPr>
                <w:rFonts w:eastAsia="Times New Roman"/>
                <w:color w:val="000000"/>
                <w:sz w:val="22"/>
                <w:szCs w:val="22"/>
              </w:rPr>
            </w:pPr>
            <w:r w:rsidRPr="00020020">
              <w:rPr>
                <w:rFonts w:eastAsia="Times New Roman"/>
                <w:color w:val="000000"/>
                <w:sz w:val="22"/>
                <w:szCs w:val="22"/>
              </w:rPr>
              <w:t>1-7 days per week</w:t>
            </w:r>
          </w:p>
        </w:tc>
        <w:tc>
          <w:tcPr>
            <w:tcW w:w="900" w:type="dxa"/>
            <w:tcBorders>
              <w:top w:val="nil"/>
              <w:left w:val="nil"/>
              <w:bottom w:val="double" w:sz="4" w:space="0" w:color="auto"/>
              <w:right w:val="nil"/>
            </w:tcBorders>
            <w:shd w:val="clear" w:color="000000" w:fill="FFFFFF"/>
            <w:noWrap/>
            <w:vAlign w:val="center"/>
            <w:hideMark/>
          </w:tcPr>
          <w:p w14:paraId="31D15782"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11" w:type="dxa"/>
            <w:tcBorders>
              <w:top w:val="nil"/>
              <w:left w:val="nil"/>
              <w:bottom w:val="double" w:sz="4" w:space="0" w:color="auto"/>
              <w:right w:val="double" w:sz="6" w:space="0" w:color="auto"/>
            </w:tcBorders>
            <w:shd w:val="clear" w:color="000000" w:fill="FFFFFF"/>
            <w:noWrap/>
            <w:vAlign w:val="center"/>
            <w:hideMark/>
          </w:tcPr>
          <w:p w14:paraId="4716F682"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889" w:type="dxa"/>
            <w:tcBorders>
              <w:top w:val="nil"/>
              <w:left w:val="nil"/>
              <w:bottom w:val="double" w:sz="4" w:space="0" w:color="auto"/>
              <w:right w:val="nil"/>
            </w:tcBorders>
            <w:shd w:val="clear" w:color="000000" w:fill="FFFFFF"/>
            <w:noWrap/>
            <w:vAlign w:val="center"/>
            <w:hideMark/>
          </w:tcPr>
          <w:p w14:paraId="56FBC2B9"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0.389</w:t>
            </w:r>
          </w:p>
        </w:tc>
        <w:tc>
          <w:tcPr>
            <w:tcW w:w="954" w:type="dxa"/>
            <w:tcBorders>
              <w:top w:val="nil"/>
              <w:left w:val="nil"/>
              <w:bottom w:val="double" w:sz="4" w:space="0" w:color="auto"/>
              <w:right w:val="double" w:sz="6" w:space="0" w:color="auto"/>
            </w:tcBorders>
            <w:shd w:val="clear" w:color="000000" w:fill="FFFFFF"/>
            <w:noWrap/>
            <w:vAlign w:val="center"/>
            <w:hideMark/>
          </w:tcPr>
          <w:p w14:paraId="136A29D2"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6.709</w:t>
            </w:r>
          </w:p>
        </w:tc>
        <w:tc>
          <w:tcPr>
            <w:tcW w:w="790" w:type="dxa"/>
            <w:tcBorders>
              <w:top w:val="nil"/>
              <w:left w:val="nil"/>
              <w:bottom w:val="double" w:sz="4" w:space="0" w:color="auto"/>
              <w:right w:val="nil"/>
            </w:tcBorders>
            <w:shd w:val="clear" w:color="000000" w:fill="FFFFFF"/>
            <w:noWrap/>
            <w:vAlign w:val="center"/>
            <w:hideMark/>
          </w:tcPr>
          <w:p w14:paraId="6AD3255E"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866" w:type="dxa"/>
            <w:tcBorders>
              <w:top w:val="nil"/>
              <w:left w:val="nil"/>
              <w:bottom w:val="double" w:sz="4" w:space="0" w:color="auto"/>
              <w:right w:val="double" w:sz="6" w:space="0" w:color="auto"/>
            </w:tcBorders>
            <w:shd w:val="clear" w:color="000000" w:fill="FFFFFF"/>
            <w:noWrap/>
            <w:vAlign w:val="center"/>
            <w:hideMark/>
          </w:tcPr>
          <w:p w14:paraId="414D7D50"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00" w:type="dxa"/>
            <w:gridSpan w:val="2"/>
            <w:tcBorders>
              <w:top w:val="nil"/>
              <w:left w:val="nil"/>
              <w:bottom w:val="double" w:sz="4" w:space="0" w:color="auto"/>
              <w:right w:val="nil"/>
            </w:tcBorders>
            <w:shd w:val="clear" w:color="000000" w:fill="FFFFFF"/>
            <w:noWrap/>
            <w:vAlign w:val="center"/>
            <w:hideMark/>
          </w:tcPr>
          <w:p w14:paraId="54CD2AC5"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00" w:type="dxa"/>
            <w:tcBorders>
              <w:top w:val="nil"/>
              <w:left w:val="nil"/>
              <w:bottom w:val="double" w:sz="4" w:space="0" w:color="auto"/>
              <w:right w:val="double" w:sz="6" w:space="0" w:color="auto"/>
            </w:tcBorders>
            <w:shd w:val="clear" w:color="000000" w:fill="FFFFFF"/>
            <w:noWrap/>
            <w:vAlign w:val="center"/>
            <w:hideMark/>
          </w:tcPr>
          <w:p w14:paraId="5DEEB70F"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00" w:type="dxa"/>
            <w:tcBorders>
              <w:top w:val="nil"/>
              <w:left w:val="nil"/>
              <w:bottom w:val="double" w:sz="4" w:space="0" w:color="auto"/>
              <w:right w:val="nil"/>
            </w:tcBorders>
            <w:shd w:val="clear" w:color="000000" w:fill="FFFFFF"/>
            <w:noWrap/>
            <w:vAlign w:val="center"/>
            <w:hideMark/>
          </w:tcPr>
          <w:p w14:paraId="29F19F14"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1030" w:type="dxa"/>
            <w:tcBorders>
              <w:top w:val="nil"/>
              <w:left w:val="nil"/>
              <w:bottom w:val="double" w:sz="4" w:space="0" w:color="auto"/>
              <w:right w:val="double" w:sz="6" w:space="0" w:color="auto"/>
            </w:tcBorders>
            <w:shd w:val="clear" w:color="000000" w:fill="FFFFFF"/>
            <w:noWrap/>
            <w:vAlign w:val="center"/>
            <w:hideMark/>
          </w:tcPr>
          <w:p w14:paraId="357099EF"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50" w:type="dxa"/>
            <w:tcBorders>
              <w:top w:val="nil"/>
              <w:left w:val="nil"/>
              <w:bottom w:val="double" w:sz="4" w:space="0" w:color="auto"/>
              <w:right w:val="nil"/>
            </w:tcBorders>
            <w:shd w:val="clear" w:color="000000" w:fill="FFFFFF"/>
            <w:noWrap/>
            <w:vAlign w:val="center"/>
            <w:hideMark/>
          </w:tcPr>
          <w:p w14:paraId="3BCE2D3B"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54" w:type="dxa"/>
            <w:tcBorders>
              <w:top w:val="nil"/>
              <w:left w:val="nil"/>
              <w:bottom w:val="double" w:sz="4" w:space="0" w:color="auto"/>
              <w:right w:val="double" w:sz="6" w:space="0" w:color="auto"/>
            </w:tcBorders>
            <w:shd w:val="clear" w:color="000000" w:fill="FFFFFF"/>
            <w:noWrap/>
            <w:vAlign w:val="center"/>
            <w:hideMark/>
          </w:tcPr>
          <w:p w14:paraId="6FAA0E3E"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r>
      <w:tr w:rsidR="00944378" w:rsidRPr="00020020" w14:paraId="7740C66E" w14:textId="77777777" w:rsidTr="00117833">
        <w:trPr>
          <w:trHeight w:val="20"/>
          <w:jc w:val="center"/>
        </w:trPr>
        <w:tc>
          <w:tcPr>
            <w:tcW w:w="2160" w:type="dxa"/>
            <w:tcBorders>
              <w:top w:val="double" w:sz="4" w:space="0" w:color="auto"/>
              <w:left w:val="double" w:sz="4" w:space="0" w:color="auto"/>
              <w:bottom w:val="double" w:sz="4" w:space="0" w:color="auto"/>
              <w:right w:val="nil"/>
            </w:tcBorders>
            <w:shd w:val="clear" w:color="000000" w:fill="D9D9D9"/>
            <w:noWrap/>
            <w:vAlign w:val="center"/>
            <w:hideMark/>
          </w:tcPr>
          <w:p w14:paraId="68BA381D" w14:textId="77777777" w:rsidR="00944378" w:rsidRPr="00020020" w:rsidRDefault="00944378" w:rsidP="00944378">
            <w:pPr>
              <w:jc w:val="left"/>
              <w:rPr>
                <w:rFonts w:eastAsia="Times New Roman"/>
                <w:b/>
                <w:bCs/>
                <w:color w:val="000000"/>
                <w:sz w:val="22"/>
                <w:szCs w:val="22"/>
              </w:rPr>
            </w:pPr>
            <w:r w:rsidRPr="00020020">
              <w:rPr>
                <w:rFonts w:eastAsia="Times New Roman"/>
                <w:b/>
                <w:bCs/>
                <w:color w:val="000000"/>
                <w:sz w:val="22"/>
                <w:szCs w:val="22"/>
              </w:rPr>
              <w:t>Thresholds</w:t>
            </w:r>
          </w:p>
        </w:tc>
        <w:tc>
          <w:tcPr>
            <w:tcW w:w="900" w:type="dxa"/>
            <w:tcBorders>
              <w:top w:val="double" w:sz="4" w:space="0" w:color="auto"/>
              <w:left w:val="nil"/>
              <w:bottom w:val="double" w:sz="4" w:space="0" w:color="auto"/>
              <w:right w:val="nil"/>
            </w:tcBorders>
            <w:shd w:val="clear" w:color="000000" w:fill="D9D9D9"/>
            <w:noWrap/>
            <w:vAlign w:val="center"/>
            <w:hideMark/>
          </w:tcPr>
          <w:p w14:paraId="4B079996" w14:textId="77777777" w:rsidR="00944378" w:rsidRPr="00020020" w:rsidRDefault="00944378" w:rsidP="00944378">
            <w:pPr>
              <w:jc w:val="right"/>
              <w:rPr>
                <w:rFonts w:eastAsia="Times New Roman"/>
                <w:b/>
                <w:bCs/>
                <w:color w:val="000000"/>
                <w:sz w:val="22"/>
                <w:szCs w:val="22"/>
              </w:rPr>
            </w:pPr>
            <w:r w:rsidRPr="00020020">
              <w:rPr>
                <w:rFonts w:eastAsia="Times New Roman"/>
                <w:b/>
                <w:bCs/>
                <w:color w:val="000000"/>
                <w:sz w:val="22"/>
                <w:szCs w:val="22"/>
              </w:rPr>
              <w:t> </w:t>
            </w:r>
          </w:p>
        </w:tc>
        <w:tc>
          <w:tcPr>
            <w:tcW w:w="911" w:type="dxa"/>
            <w:tcBorders>
              <w:top w:val="double" w:sz="4" w:space="0" w:color="auto"/>
              <w:left w:val="nil"/>
              <w:bottom w:val="double" w:sz="4" w:space="0" w:color="auto"/>
              <w:right w:val="nil"/>
            </w:tcBorders>
            <w:shd w:val="clear" w:color="000000" w:fill="D9D9D9"/>
            <w:noWrap/>
            <w:vAlign w:val="center"/>
            <w:hideMark/>
          </w:tcPr>
          <w:p w14:paraId="7D9BDC4A" w14:textId="77777777" w:rsidR="00944378" w:rsidRPr="00020020" w:rsidRDefault="00944378" w:rsidP="00944378">
            <w:pPr>
              <w:jc w:val="right"/>
              <w:rPr>
                <w:rFonts w:eastAsia="Times New Roman"/>
                <w:b/>
                <w:bCs/>
                <w:color w:val="000000"/>
                <w:sz w:val="22"/>
                <w:szCs w:val="22"/>
              </w:rPr>
            </w:pPr>
            <w:r w:rsidRPr="00020020">
              <w:rPr>
                <w:rFonts w:eastAsia="Times New Roman"/>
                <w:b/>
                <w:bCs/>
                <w:color w:val="000000"/>
                <w:sz w:val="22"/>
                <w:szCs w:val="22"/>
              </w:rPr>
              <w:t> </w:t>
            </w:r>
          </w:p>
        </w:tc>
        <w:tc>
          <w:tcPr>
            <w:tcW w:w="889" w:type="dxa"/>
            <w:tcBorders>
              <w:top w:val="double" w:sz="4" w:space="0" w:color="auto"/>
              <w:left w:val="nil"/>
              <w:bottom w:val="double" w:sz="4" w:space="0" w:color="auto"/>
              <w:right w:val="nil"/>
            </w:tcBorders>
            <w:shd w:val="clear" w:color="000000" w:fill="D9D9D9"/>
            <w:noWrap/>
            <w:vAlign w:val="center"/>
            <w:hideMark/>
          </w:tcPr>
          <w:p w14:paraId="5F5F0A0D" w14:textId="77777777" w:rsidR="00944378" w:rsidRPr="00020020" w:rsidRDefault="00944378" w:rsidP="00944378">
            <w:pPr>
              <w:jc w:val="right"/>
              <w:rPr>
                <w:rFonts w:eastAsia="Times New Roman"/>
                <w:b/>
                <w:bCs/>
                <w:color w:val="000000"/>
                <w:sz w:val="22"/>
                <w:szCs w:val="22"/>
              </w:rPr>
            </w:pPr>
            <w:r w:rsidRPr="00020020">
              <w:rPr>
                <w:rFonts w:eastAsia="Times New Roman"/>
                <w:b/>
                <w:bCs/>
                <w:color w:val="000000"/>
                <w:sz w:val="22"/>
                <w:szCs w:val="22"/>
              </w:rPr>
              <w:t> </w:t>
            </w:r>
          </w:p>
        </w:tc>
        <w:tc>
          <w:tcPr>
            <w:tcW w:w="954" w:type="dxa"/>
            <w:tcBorders>
              <w:top w:val="double" w:sz="4" w:space="0" w:color="auto"/>
              <w:left w:val="nil"/>
              <w:bottom w:val="double" w:sz="4" w:space="0" w:color="auto"/>
              <w:right w:val="nil"/>
            </w:tcBorders>
            <w:shd w:val="clear" w:color="000000" w:fill="D9D9D9"/>
            <w:noWrap/>
            <w:vAlign w:val="center"/>
            <w:hideMark/>
          </w:tcPr>
          <w:p w14:paraId="5C1188A3" w14:textId="77777777" w:rsidR="00944378" w:rsidRPr="00020020" w:rsidRDefault="00944378" w:rsidP="00944378">
            <w:pPr>
              <w:jc w:val="right"/>
              <w:rPr>
                <w:rFonts w:eastAsia="Times New Roman"/>
                <w:b/>
                <w:bCs/>
                <w:color w:val="000000"/>
                <w:sz w:val="22"/>
                <w:szCs w:val="22"/>
              </w:rPr>
            </w:pPr>
            <w:r w:rsidRPr="00020020">
              <w:rPr>
                <w:rFonts w:eastAsia="Times New Roman"/>
                <w:b/>
                <w:bCs/>
                <w:color w:val="000000"/>
                <w:sz w:val="22"/>
                <w:szCs w:val="22"/>
              </w:rPr>
              <w:t> </w:t>
            </w:r>
          </w:p>
        </w:tc>
        <w:tc>
          <w:tcPr>
            <w:tcW w:w="790" w:type="dxa"/>
            <w:tcBorders>
              <w:top w:val="double" w:sz="4" w:space="0" w:color="auto"/>
              <w:left w:val="nil"/>
              <w:bottom w:val="double" w:sz="4" w:space="0" w:color="auto"/>
              <w:right w:val="nil"/>
            </w:tcBorders>
            <w:shd w:val="clear" w:color="000000" w:fill="D9D9D9"/>
            <w:noWrap/>
            <w:vAlign w:val="center"/>
            <w:hideMark/>
          </w:tcPr>
          <w:p w14:paraId="27B3AEFB" w14:textId="77777777" w:rsidR="00944378" w:rsidRPr="00020020" w:rsidRDefault="00944378" w:rsidP="00944378">
            <w:pPr>
              <w:jc w:val="right"/>
              <w:rPr>
                <w:rFonts w:eastAsia="Times New Roman"/>
                <w:b/>
                <w:bCs/>
                <w:color w:val="000000"/>
                <w:sz w:val="22"/>
                <w:szCs w:val="22"/>
              </w:rPr>
            </w:pPr>
            <w:r w:rsidRPr="00020020">
              <w:rPr>
                <w:rFonts w:eastAsia="Times New Roman"/>
                <w:b/>
                <w:bCs/>
                <w:color w:val="000000"/>
                <w:sz w:val="22"/>
                <w:szCs w:val="22"/>
              </w:rPr>
              <w:t> </w:t>
            </w:r>
          </w:p>
        </w:tc>
        <w:tc>
          <w:tcPr>
            <w:tcW w:w="866" w:type="dxa"/>
            <w:tcBorders>
              <w:top w:val="double" w:sz="4" w:space="0" w:color="auto"/>
              <w:left w:val="nil"/>
              <w:bottom w:val="double" w:sz="4" w:space="0" w:color="auto"/>
              <w:right w:val="nil"/>
            </w:tcBorders>
            <w:shd w:val="clear" w:color="000000" w:fill="D9D9D9"/>
            <w:noWrap/>
            <w:vAlign w:val="center"/>
            <w:hideMark/>
          </w:tcPr>
          <w:p w14:paraId="334C9DE3" w14:textId="77777777" w:rsidR="00944378" w:rsidRPr="00020020" w:rsidRDefault="00944378" w:rsidP="00944378">
            <w:pPr>
              <w:jc w:val="right"/>
              <w:rPr>
                <w:rFonts w:eastAsia="Times New Roman"/>
                <w:b/>
                <w:bCs/>
                <w:color w:val="000000"/>
                <w:sz w:val="22"/>
                <w:szCs w:val="22"/>
              </w:rPr>
            </w:pPr>
            <w:r w:rsidRPr="00020020">
              <w:rPr>
                <w:rFonts w:eastAsia="Times New Roman"/>
                <w:b/>
                <w:bCs/>
                <w:color w:val="000000"/>
                <w:sz w:val="22"/>
                <w:szCs w:val="22"/>
              </w:rPr>
              <w:t> </w:t>
            </w:r>
          </w:p>
        </w:tc>
        <w:tc>
          <w:tcPr>
            <w:tcW w:w="900" w:type="dxa"/>
            <w:gridSpan w:val="2"/>
            <w:tcBorders>
              <w:top w:val="double" w:sz="4" w:space="0" w:color="auto"/>
              <w:left w:val="nil"/>
              <w:bottom w:val="double" w:sz="4" w:space="0" w:color="auto"/>
              <w:right w:val="nil"/>
            </w:tcBorders>
            <w:shd w:val="clear" w:color="000000" w:fill="D9D9D9"/>
            <w:noWrap/>
            <w:vAlign w:val="center"/>
            <w:hideMark/>
          </w:tcPr>
          <w:p w14:paraId="1D51EAFA" w14:textId="77777777" w:rsidR="00944378" w:rsidRPr="00020020" w:rsidRDefault="00944378" w:rsidP="00944378">
            <w:pPr>
              <w:jc w:val="right"/>
              <w:rPr>
                <w:rFonts w:eastAsia="Times New Roman"/>
                <w:b/>
                <w:bCs/>
                <w:color w:val="000000"/>
                <w:sz w:val="22"/>
                <w:szCs w:val="22"/>
              </w:rPr>
            </w:pPr>
            <w:r w:rsidRPr="00020020">
              <w:rPr>
                <w:rFonts w:eastAsia="Times New Roman"/>
                <w:b/>
                <w:bCs/>
                <w:color w:val="000000"/>
                <w:sz w:val="22"/>
                <w:szCs w:val="22"/>
              </w:rPr>
              <w:t> </w:t>
            </w:r>
          </w:p>
        </w:tc>
        <w:tc>
          <w:tcPr>
            <w:tcW w:w="900" w:type="dxa"/>
            <w:tcBorders>
              <w:top w:val="double" w:sz="4" w:space="0" w:color="auto"/>
              <w:left w:val="nil"/>
              <w:bottom w:val="double" w:sz="4" w:space="0" w:color="auto"/>
              <w:right w:val="nil"/>
            </w:tcBorders>
            <w:shd w:val="clear" w:color="000000" w:fill="D9D9D9"/>
            <w:noWrap/>
            <w:vAlign w:val="center"/>
            <w:hideMark/>
          </w:tcPr>
          <w:p w14:paraId="6AB046AB" w14:textId="77777777" w:rsidR="00944378" w:rsidRPr="00020020" w:rsidRDefault="00944378" w:rsidP="00944378">
            <w:pPr>
              <w:jc w:val="right"/>
              <w:rPr>
                <w:rFonts w:eastAsia="Times New Roman"/>
                <w:b/>
                <w:bCs/>
                <w:color w:val="000000"/>
                <w:sz w:val="22"/>
                <w:szCs w:val="22"/>
              </w:rPr>
            </w:pPr>
            <w:r w:rsidRPr="00020020">
              <w:rPr>
                <w:rFonts w:eastAsia="Times New Roman"/>
                <w:b/>
                <w:bCs/>
                <w:color w:val="000000"/>
                <w:sz w:val="22"/>
                <w:szCs w:val="22"/>
              </w:rPr>
              <w:t> </w:t>
            </w:r>
          </w:p>
        </w:tc>
        <w:tc>
          <w:tcPr>
            <w:tcW w:w="900" w:type="dxa"/>
            <w:tcBorders>
              <w:top w:val="double" w:sz="4" w:space="0" w:color="auto"/>
              <w:left w:val="nil"/>
              <w:bottom w:val="double" w:sz="4" w:space="0" w:color="auto"/>
              <w:right w:val="nil"/>
            </w:tcBorders>
            <w:shd w:val="clear" w:color="000000" w:fill="D9D9D9"/>
            <w:noWrap/>
            <w:vAlign w:val="center"/>
            <w:hideMark/>
          </w:tcPr>
          <w:p w14:paraId="079403C3" w14:textId="77777777" w:rsidR="00944378" w:rsidRPr="00020020" w:rsidRDefault="00944378" w:rsidP="00944378">
            <w:pPr>
              <w:jc w:val="right"/>
              <w:rPr>
                <w:rFonts w:eastAsia="Times New Roman"/>
                <w:b/>
                <w:bCs/>
                <w:color w:val="000000"/>
                <w:sz w:val="22"/>
                <w:szCs w:val="22"/>
              </w:rPr>
            </w:pPr>
            <w:r w:rsidRPr="00020020">
              <w:rPr>
                <w:rFonts w:eastAsia="Times New Roman"/>
                <w:b/>
                <w:bCs/>
                <w:color w:val="000000"/>
                <w:sz w:val="22"/>
                <w:szCs w:val="22"/>
              </w:rPr>
              <w:t> </w:t>
            </w:r>
          </w:p>
        </w:tc>
        <w:tc>
          <w:tcPr>
            <w:tcW w:w="1030" w:type="dxa"/>
            <w:tcBorders>
              <w:top w:val="double" w:sz="4" w:space="0" w:color="auto"/>
              <w:left w:val="nil"/>
              <w:bottom w:val="double" w:sz="4" w:space="0" w:color="auto"/>
              <w:right w:val="nil"/>
            </w:tcBorders>
            <w:shd w:val="clear" w:color="000000" w:fill="D9D9D9"/>
            <w:noWrap/>
            <w:vAlign w:val="center"/>
            <w:hideMark/>
          </w:tcPr>
          <w:p w14:paraId="54610A0F" w14:textId="77777777" w:rsidR="00944378" w:rsidRPr="00020020" w:rsidRDefault="00944378" w:rsidP="00944378">
            <w:pPr>
              <w:jc w:val="right"/>
              <w:rPr>
                <w:rFonts w:eastAsia="Times New Roman"/>
                <w:b/>
                <w:bCs/>
                <w:color w:val="000000"/>
                <w:sz w:val="22"/>
                <w:szCs w:val="22"/>
              </w:rPr>
            </w:pPr>
            <w:r w:rsidRPr="00020020">
              <w:rPr>
                <w:rFonts w:eastAsia="Times New Roman"/>
                <w:b/>
                <w:bCs/>
                <w:color w:val="000000"/>
                <w:sz w:val="22"/>
                <w:szCs w:val="22"/>
              </w:rPr>
              <w:t> </w:t>
            </w:r>
          </w:p>
        </w:tc>
        <w:tc>
          <w:tcPr>
            <w:tcW w:w="950" w:type="dxa"/>
            <w:tcBorders>
              <w:top w:val="double" w:sz="4" w:space="0" w:color="auto"/>
              <w:left w:val="nil"/>
              <w:bottom w:val="double" w:sz="4" w:space="0" w:color="auto"/>
              <w:right w:val="nil"/>
            </w:tcBorders>
            <w:shd w:val="clear" w:color="000000" w:fill="D9D9D9"/>
            <w:noWrap/>
            <w:vAlign w:val="center"/>
            <w:hideMark/>
          </w:tcPr>
          <w:p w14:paraId="29CBC076" w14:textId="77777777" w:rsidR="00944378" w:rsidRPr="00020020" w:rsidRDefault="00944378" w:rsidP="00944378">
            <w:pPr>
              <w:jc w:val="right"/>
              <w:rPr>
                <w:rFonts w:eastAsia="Times New Roman"/>
                <w:b/>
                <w:bCs/>
                <w:color w:val="000000"/>
                <w:sz w:val="22"/>
                <w:szCs w:val="22"/>
              </w:rPr>
            </w:pPr>
            <w:r w:rsidRPr="00020020">
              <w:rPr>
                <w:rFonts w:eastAsia="Times New Roman"/>
                <w:b/>
                <w:bCs/>
                <w:color w:val="000000"/>
                <w:sz w:val="22"/>
                <w:szCs w:val="22"/>
              </w:rPr>
              <w:t> </w:t>
            </w:r>
          </w:p>
        </w:tc>
        <w:tc>
          <w:tcPr>
            <w:tcW w:w="954" w:type="dxa"/>
            <w:tcBorders>
              <w:top w:val="double" w:sz="4" w:space="0" w:color="auto"/>
              <w:left w:val="nil"/>
              <w:bottom w:val="double" w:sz="4" w:space="0" w:color="auto"/>
              <w:right w:val="double" w:sz="4" w:space="0" w:color="auto"/>
            </w:tcBorders>
            <w:shd w:val="clear" w:color="000000" w:fill="D9D9D9"/>
            <w:noWrap/>
            <w:vAlign w:val="center"/>
            <w:hideMark/>
          </w:tcPr>
          <w:p w14:paraId="08A32EA3" w14:textId="77777777" w:rsidR="00944378" w:rsidRPr="00020020" w:rsidRDefault="00944378" w:rsidP="00944378">
            <w:pPr>
              <w:jc w:val="right"/>
              <w:rPr>
                <w:rFonts w:eastAsia="Times New Roman"/>
                <w:b/>
                <w:bCs/>
                <w:color w:val="000000"/>
                <w:sz w:val="22"/>
                <w:szCs w:val="22"/>
              </w:rPr>
            </w:pPr>
            <w:r w:rsidRPr="00020020">
              <w:rPr>
                <w:rFonts w:eastAsia="Times New Roman"/>
                <w:b/>
                <w:bCs/>
                <w:color w:val="000000"/>
                <w:sz w:val="22"/>
                <w:szCs w:val="22"/>
              </w:rPr>
              <w:t> </w:t>
            </w:r>
          </w:p>
        </w:tc>
      </w:tr>
      <w:tr w:rsidR="00117833" w:rsidRPr="00020020" w14:paraId="7CC1C2FC" w14:textId="77777777" w:rsidTr="00117833">
        <w:trPr>
          <w:trHeight w:val="20"/>
          <w:jc w:val="center"/>
        </w:trPr>
        <w:tc>
          <w:tcPr>
            <w:tcW w:w="2160" w:type="dxa"/>
            <w:tcBorders>
              <w:top w:val="double" w:sz="4" w:space="0" w:color="auto"/>
              <w:left w:val="double" w:sz="4" w:space="0" w:color="auto"/>
              <w:right w:val="double" w:sz="4" w:space="0" w:color="auto"/>
            </w:tcBorders>
            <w:shd w:val="clear" w:color="000000" w:fill="FFFFFF"/>
            <w:noWrap/>
            <w:vAlign w:val="center"/>
            <w:hideMark/>
          </w:tcPr>
          <w:p w14:paraId="0B09520A" w14:textId="77777777" w:rsidR="00944378" w:rsidRPr="00020020" w:rsidRDefault="00944378" w:rsidP="00944378">
            <w:pPr>
              <w:jc w:val="left"/>
              <w:rPr>
                <w:rFonts w:eastAsia="Times New Roman"/>
                <w:color w:val="000000"/>
                <w:sz w:val="22"/>
                <w:szCs w:val="22"/>
              </w:rPr>
            </w:pPr>
            <w:r w:rsidRPr="00020020">
              <w:rPr>
                <w:rFonts w:eastAsia="Times New Roman"/>
                <w:color w:val="000000"/>
                <w:sz w:val="22"/>
                <w:szCs w:val="22"/>
              </w:rPr>
              <w:t>Threshold 1</w:t>
            </w:r>
          </w:p>
        </w:tc>
        <w:tc>
          <w:tcPr>
            <w:tcW w:w="900" w:type="dxa"/>
            <w:tcBorders>
              <w:top w:val="double" w:sz="4" w:space="0" w:color="auto"/>
              <w:left w:val="double" w:sz="4" w:space="0" w:color="auto"/>
            </w:tcBorders>
            <w:shd w:val="clear" w:color="000000" w:fill="FFFFFF"/>
            <w:noWrap/>
            <w:vAlign w:val="center"/>
            <w:hideMark/>
          </w:tcPr>
          <w:p w14:paraId="7F9D08A5"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-0.354</w:t>
            </w:r>
          </w:p>
        </w:tc>
        <w:tc>
          <w:tcPr>
            <w:tcW w:w="911" w:type="dxa"/>
            <w:tcBorders>
              <w:top w:val="double" w:sz="4" w:space="0" w:color="auto"/>
              <w:right w:val="double" w:sz="4" w:space="0" w:color="auto"/>
            </w:tcBorders>
            <w:shd w:val="clear" w:color="000000" w:fill="FFFFFF"/>
            <w:noWrap/>
            <w:vAlign w:val="center"/>
            <w:hideMark/>
          </w:tcPr>
          <w:p w14:paraId="466198ED"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-9.492</w:t>
            </w:r>
          </w:p>
        </w:tc>
        <w:tc>
          <w:tcPr>
            <w:tcW w:w="889" w:type="dxa"/>
            <w:tcBorders>
              <w:top w:val="double" w:sz="4" w:space="0" w:color="auto"/>
              <w:left w:val="double" w:sz="4" w:space="0" w:color="auto"/>
            </w:tcBorders>
            <w:shd w:val="clear" w:color="000000" w:fill="FFFFFF"/>
            <w:noWrap/>
            <w:vAlign w:val="center"/>
            <w:hideMark/>
          </w:tcPr>
          <w:p w14:paraId="2934A706"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1.409</w:t>
            </w:r>
          </w:p>
        </w:tc>
        <w:tc>
          <w:tcPr>
            <w:tcW w:w="954" w:type="dxa"/>
            <w:tcBorders>
              <w:top w:val="double" w:sz="4" w:space="0" w:color="auto"/>
              <w:right w:val="double" w:sz="4" w:space="0" w:color="auto"/>
            </w:tcBorders>
            <w:shd w:val="clear" w:color="000000" w:fill="FFFFFF"/>
            <w:noWrap/>
            <w:vAlign w:val="center"/>
            <w:hideMark/>
          </w:tcPr>
          <w:p w14:paraId="63F84C5F"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20.423</w:t>
            </w:r>
          </w:p>
        </w:tc>
        <w:tc>
          <w:tcPr>
            <w:tcW w:w="790" w:type="dxa"/>
            <w:tcBorders>
              <w:top w:val="double" w:sz="4" w:space="0" w:color="auto"/>
              <w:left w:val="double" w:sz="4" w:space="0" w:color="auto"/>
            </w:tcBorders>
            <w:shd w:val="clear" w:color="000000" w:fill="FFFFFF"/>
            <w:noWrap/>
            <w:vAlign w:val="center"/>
            <w:hideMark/>
          </w:tcPr>
          <w:p w14:paraId="4796C562"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0.885</w:t>
            </w:r>
          </w:p>
        </w:tc>
        <w:tc>
          <w:tcPr>
            <w:tcW w:w="866" w:type="dxa"/>
            <w:tcBorders>
              <w:top w:val="double" w:sz="4" w:space="0" w:color="auto"/>
              <w:right w:val="double" w:sz="4" w:space="0" w:color="auto"/>
            </w:tcBorders>
            <w:shd w:val="clear" w:color="000000" w:fill="FFFFFF"/>
            <w:noWrap/>
            <w:vAlign w:val="center"/>
            <w:hideMark/>
          </w:tcPr>
          <w:p w14:paraId="7E1F1784"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28.510</w:t>
            </w:r>
          </w:p>
        </w:tc>
        <w:tc>
          <w:tcPr>
            <w:tcW w:w="900" w:type="dxa"/>
            <w:gridSpan w:val="2"/>
            <w:tcBorders>
              <w:top w:val="double" w:sz="4" w:space="0" w:color="auto"/>
              <w:left w:val="double" w:sz="4" w:space="0" w:color="auto"/>
            </w:tcBorders>
            <w:shd w:val="clear" w:color="000000" w:fill="FFFFFF"/>
            <w:noWrap/>
            <w:vAlign w:val="center"/>
            <w:hideMark/>
          </w:tcPr>
          <w:p w14:paraId="09D617C5"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-0.183</w:t>
            </w:r>
          </w:p>
        </w:tc>
        <w:tc>
          <w:tcPr>
            <w:tcW w:w="900" w:type="dxa"/>
            <w:tcBorders>
              <w:top w:val="double" w:sz="4" w:space="0" w:color="auto"/>
              <w:right w:val="double" w:sz="4" w:space="0" w:color="auto"/>
            </w:tcBorders>
            <w:shd w:val="clear" w:color="000000" w:fill="FFFFFF"/>
            <w:noWrap/>
            <w:vAlign w:val="center"/>
            <w:hideMark/>
          </w:tcPr>
          <w:p w14:paraId="755A9AEF"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-6.138</w:t>
            </w:r>
          </w:p>
        </w:tc>
        <w:tc>
          <w:tcPr>
            <w:tcW w:w="900" w:type="dxa"/>
            <w:tcBorders>
              <w:top w:val="double" w:sz="4" w:space="0" w:color="auto"/>
              <w:left w:val="double" w:sz="4" w:space="0" w:color="auto"/>
            </w:tcBorders>
            <w:shd w:val="clear" w:color="000000" w:fill="FFFFFF"/>
            <w:noWrap/>
            <w:vAlign w:val="center"/>
            <w:hideMark/>
          </w:tcPr>
          <w:p w14:paraId="2FF6AFC5"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-0.518</w:t>
            </w:r>
          </w:p>
        </w:tc>
        <w:tc>
          <w:tcPr>
            <w:tcW w:w="1030" w:type="dxa"/>
            <w:tcBorders>
              <w:top w:val="double" w:sz="4" w:space="0" w:color="auto"/>
              <w:right w:val="double" w:sz="4" w:space="0" w:color="auto"/>
            </w:tcBorders>
            <w:shd w:val="clear" w:color="000000" w:fill="FFFFFF"/>
            <w:noWrap/>
            <w:vAlign w:val="center"/>
            <w:hideMark/>
          </w:tcPr>
          <w:p w14:paraId="25C1F69A"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-20.817</w:t>
            </w:r>
          </w:p>
        </w:tc>
        <w:tc>
          <w:tcPr>
            <w:tcW w:w="950" w:type="dxa"/>
            <w:tcBorders>
              <w:top w:val="double" w:sz="4" w:space="0" w:color="auto"/>
              <w:left w:val="double" w:sz="4" w:space="0" w:color="auto"/>
            </w:tcBorders>
            <w:shd w:val="clear" w:color="000000" w:fill="FFFFFF"/>
            <w:noWrap/>
            <w:vAlign w:val="center"/>
            <w:hideMark/>
          </w:tcPr>
          <w:p w14:paraId="1D1E4A37"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-1.041</w:t>
            </w:r>
          </w:p>
        </w:tc>
        <w:tc>
          <w:tcPr>
            <w:tcW w:w="954" w:type="dxa"/>
            <w:tcBorders>
              <w:top w:val="double" w:sz="4" w:space="0" w:color="auto"/>
              <w:right w:val="double" w:sz="4" w:space="0" w:color="auto"/>
            </w:tcBorders>
            <w:shd w:val="clear" w:color="000000" w:fill="FFFFFF"/>
            <w:noWrap/>
            <w:vAlign w:val="center"/>
            <w:hideMark/>
          </w:tcPr>
          <w:p w14:paraId="2E11D269"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-31.347</w:t>
            </w:r>
          </w:p>
        </w:tc>
      </w:tr>
      <w:tr w:rsidR="00117833" w:rsidRPr="00020020" w14:paraId="7699E76D" w14:textId="77777777" w:rsidTr="00117833">
        <w:trPr>
          <w:trHeight w:val="20"/>
          <w:jc w:val="center"/>
        </w:trPr>
        <w:tc>
          <w:tcPr>
            <w:tcW w:w="2160" w:type="dxa"/>
            <w:tcBorders>
              <w:left w:val="double" w:sz="4" w:space="0" w:color="auto"/>
              <w:right w:val="double" w:sz="4" w:space="0" w:color="auto"/>
            </w:tcBorders>
            <w:shd w:val="clear" w:color="000000" w:fill="FFFFFF"/>
            <w:noWrap/>
            <w:vAlign w:val="center"/>
            <w:hideMark/>
          </w:tcPr>
          <w:p w14:paraId="30622A45" w14:textId="77777777" w:rsidR="00944378" w:rsidRPr="00020020" w:rsidRDefault="00944378" w:rsidP="00944378">
            <w:pPr>
              <w:jc w:val="left"/>
              <w:rPr>
                <w:rFonts w:eastAsia="Times New Roman"/>
                <w:color w:val="000000"/>
                <w:sz w:val="22"/>
                <w:szCs w:val="22"/>
              </w:rPr>
            </w:pPr>
            <w:r w:rsidRPr="00020020">
              <w:rPr>
                <w:rFonts w:eastAsia="Times New Roman"/>
                <w:color w:val="000000"/>
                <w:sz w:val="22"/>
                <w:szCs w:val="22"/>
              </w:rPr>
              <w:t>Threshold 2</w:t>
            </w:r>
          </w:p>
        </w:tc>
        <w:tc>
          <w:tcPr>
            <w:tcW w:w="900" w:type="dxa"/>
            <w:tcBorders>
              <w:left w:val="double" w:sz="4" w:space="0" w:color="auto"/>
            </w:tcBorders>
            <w:shd w:val="clear" w:color="000000" w:fill="FFFFFF"/>
            <w:noWrap/>
            <w:vAlign w:val="center"/>
            <w:hideMark/>
          </w:tcPr>
          <w:p w14:paraId="40FC621F"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0.763</w:t>
            </w:r>
          </w:p>
        </w:tc>
        <w:tc>
          <w:tcPr>
            <w:tcW w:w="911" w:type="dxa"/>
            <w:tcBorders>
              <w:right w:val="double" w:sz="4" w:space="0" w:color="auto"/>
            </w:tcBorders>
            <w:shd w:val="clear" w:color="000000" w:fill="FFFFFF"/>
            <w:noWrap/>
            <w:vAlign w:val="center"/>
            <w:hideMark/>
          </w:tcPr>
          <w:p w14:paraId="2D4D1CEC"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20.545</w:t>
            </w:r>
          </w:p>
        </w:tc>
        <w:tc>
          <w:tcPr>
            <w:tcW w:w="889" w:type="dxa"/>
            <w:tcBorders>
              <w:left w:val="double" w:sz="4" w:space="0" w:color="auto"/>
            </w:tcBorders>
            <w:shd w:val="clear" w:color="000000" w:fill="FFFFFF"/>
            <w:noWrap/>
            <w:vAlign w:val="center"/>
            <w:hideMark/>
          </w:tcPr>
          <w:p w14:paraId="025B6587"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54" w:type="dxa"/>
            <w:tcBorders>
              <w:right w:val="double" w:sz="4" w:space="0" w:color="auto"/>
            </w:tcBorders>
            <w:shd w:val="clear" w:color="000000" w:fill="FFFFFF"/>
            <w:noWrap/>
            <w:vAlign w:val="center"/>
            <w:hideMark/>
          </w:tcPr>
          <w:p w14:paraId="07528CB7"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790" w:type="dxa"/>
            <w:tcBorders>
              <w:left w:val="double" w:sz="4" w:space="0" w:color="auto"/>
            </w:tcBorders>
            <w:shd w:val="clear" w:color="000000" w:fill="FFFFFF"/>
            <w:noWrap/>
            <w:vAlign w:val="center"/>
            <w:hideMark/>
          </w:tcPr>
          <w:p w14:paraId="04ED0375"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866" w:type="dxa"/>
            <w:tcBorders>
              <w:right w:val="double" w:sz="4" w:space="0" w:color="auto"/>
            </w:tcBorders>
            <w:shd w:val="clear" w:color="000000" w:fill="FFFFFF"/>
            <w:noWrap/>
            <w:vAlign w:val="center"/>
            <w:hideMark/>
          </w:tcPr>
          <w:p w14:paraId="13AA41BD"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00" w:type="dxa"/>
            <w:gridSpan w:val="2"/>
            <w:tcBorders>
              <w:left w:val="double" w:sz="4" w:space="0" w:color="auto"/>
            </w:tcBorders>
            <w:shd w:val="clear" w:color="000000" w:fill="FFFFFF"/>
            <w:noWrap/>
            <w:vAlign w:val="center"/>
            <w:hideMark/>
          </w:tcPr>
          <w:p w14:paraId="05A8BA9F"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0.620</w:t>
            </w:r>
          </w:p>
        </w:tc>
        <w:tc>
          <w:tcPr>
            <w:tcW w:w="900" w:type="dxa"/>
            <w:tcBorders>
              <w:right w:val="double" w:sz="4" w:space="0" w:color="auto"/>
            </w:tcBorders>
            <w:shd w:val="clear" w:color="000000" w:fill="FFFFFF"/>
            <w:noWrap/>
            <w:vAlign w:val="center"/>
            <w:hideMark/>
          </w:tcPr>
          <w:p w14:paraId="350C12DF"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20.660</w:t>
            </w:r>
          </w:p>
        </w:tc>
        <w:tc>
          <w:tcPr>
            <w:tcW w:w="900" w:type="dxa"/>
            <w:tcBorders>
              <w:left w:val="double" w:sz="4" w:space="0" w:color="auto"/>
            </w:tcBorders>
            <w:shd w:val="clear" w:color="000000" w:fill="FFFFFF"/>
            <w:noWrap/>
            <w:vAlign w:val="center"/>
            <w:hideMark/>
          </w:tcPr>
          <w:p w14:paraId="2B3CB5D4"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0.361</w:t>
            </w:r>
          </w:p>
        </w:tc>
        <w:tc>
          <w:tcPr>
            <w:tcW w:w="1030" w:type="dxa"/>
            <w:tcBorders>
              <w:right w:val="double" w:sz="4" w:space="0" w:color="auto"/>
            </w:tcBorders>
            <w:shd w:val="clear" w:color="000000" w:fill="FFFFFF"/>
            <w:noWrap/>
            <w:vAlign w:val="center"/>
            <w:hideMark/>
          </w:tcPr>
          <w:p w14:paraId="53183E10"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14.460</w:t>
            </w:r>
          </w:p>
        </w:tc>
        <w:tc>
          <w:tcPr>
            <w:tcW w:w="950" w:type="dxa"/>
            <w:tcBorders>
              <w:left w:val="double" w:sz="4" w:space="0" w:color="auto"/>
            </w:tcBorders>
            <w:shd w:val="clear" w:color="000000" w:fill="FFFFFF"/>
            <w:noWrap/>
            <w:vAlign w:val="center"/>
            <w:hideMark/>
          </w:tcPr>
          <w:p w14:paraId="6411C08E"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-0.474</w:t>
            </w:r>
          </w:p>
        </w:tc>
        <w:tc>
          <w:tcPr>
            <w:tcW w:w="954" w:type="dxa"/>
            <w:tcBorders>
              <w:right w:val="double" w:sz="4" w:space="0" w:color="auto"/>
            </w:tcBorders>
            <w:shd w:val="clear" w:color="000000" w:fill="FFFFFF"/>
            <w:noWrap/>
            <w:vAlign w:val="center"/>
            <w:hideMark/>
          </w:tcPr>
          <w:p w14:paraId="1814F223"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-14.882</w:t>
            </w:r>
          </w:p>
        </w:tc>
      </w:tr>
      <w:tr w:rsidR="00117833" w:rsidRPr="00020020" w14:paraId="71A67A7B" w14:textId="77777777" w:rsidTr="00117833">
        <w:trPr>
          <w:trHeight w:val="20"/>
          <w:jc w:val="center"/>
        </w:trPr>
        <w:tc>
          <w:tcPr>
            <w:tcW w:w="2160" w:type="dxa"/>
            <w:tcBorders>
              <w:left w:val="double" w:sz="4" w:space="0" w:color="auto"/>
              <w:right w:val="double" w:sz="4" w:space="0" w:color="auto"/>
            </w:tcBorders>
            <w:shd w:val="clear" w:color="000000" w:fill="FFFFFF"/>
            <w:noWrap/>
            <w:vAlign w:val="center"/>
            <w:hideMark/>
          </w:tcPr>
          <w:p w14:paraId="09504214" w14:textId="77777777" w:rsidR="00944378" w:rsidRPr="00020020" w:rsidRDefault="00944378" w:rsidP="00944378">
            <w:pPr>
              <w:jc w:val="left"/>
              <w:rPr>
                <w:rFonts w:eastAsia="Times New Roman"/>
                <w:color w:val="000000"/>
                <w:sz w:val="22"/>
                <w:szCs w:val="22"/>
              </w:rPr>
            </w:pPr>
            <w:r w:rsidRPr="00020020">
              <w:rPr>
                <w:rFonts w:eastAsia="Times New Roman"/>
                <w:color w:val="000000"/>
                <w:sz w:val="22"/>
                <w:szCs w:val="22"/>
              </w:rPr>
              <w:t>Threshold 3</w:t>
            </w:r>
          </w:p>
        </w:tc>
        <w:tc>
          <w:tcPr>
            <w:tcW w:w="900" w:type="dxa"/>
            <w:tcBorders>
              <w:left w:val="double" w:sz="4" w:space="0" w:color="auto"/>
            </w:tcBorders>
            <w:shd w:val="clear" w:color="000000" w:fill="FFFFFF"/>
            <w:noWrap/>
            <w:vAlign w:val="center"/>
            <w:hideMark/>
          </w:tcPr>
          <w:p w14:paraId="6703A7F2"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11" w:type="dxa"/>
            <w:tcBorders>
              <w:right w:val="double" w:sz="4" w:space="0" w:color="auto"/>
            </w:tcBorders>
            <w:shd w:val="clear" w:color="000000" w:fill="FFFFFF"/>
            <w:noWrap/>
            <w:vAlign w:val="center"/>
            <w:hideMark/>
          </w:tcPr>
          <w:p w14:paraId="124ECEFA"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889" w:type="dxa"/>
            <w:tcBorders>
              <w:left w:val="double" w:sz="4" w:space="0" w:color="auto"/>
            </w:tcBorders>
            <w:shd w:val="clear" w:color="000000" w:fill="FFFFFF"/>
            <w:noWrap/>
            <w:vAlign w:val="center"/>
            <w:hideMark/>
          </w:tcPr>
          <w:p w14:paraId="7466FB0C"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54" w:type="dxa"/>
            <w:tcBorders>
              <w:right w:val="double" w:sz="4" w:space="0" w:color="auto"/>
            </w:tcBorders>
            <w:shd w:val="clear" w:color="000000" w:fill="FFFFFF"/>
            <w:noWrap/>
            <w:vAlign w:val="center"/>
            <w:hideMark/>
          </w:tcPr>
          <w:p w14:paraId="2DB9FE56"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790" w:type="dxa"/>
            <w:tcBorders>
              <w:left w:val="double" w:sz="4" w:space="0" w:color="auto"/>
            </w:tcBorders>
            <w:shd w:val="clear" w:color="000000" w:fill="FFFFFF"/>
            <w:noWrap/>
            <w:vAlign w:val="center"/>
            <w:hideMark/>
          </w:tcPr>
          <w:p w14:paraId="535EF033"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866" w:type="dxa"/>
            <w:tcBorders>
              <w:right w:val="double" w:sz="4" w:space="0" w:color="auto"/>
            </w:tcBorders>
            <w:shd w:val="clear" w:color="000000" w:fill="FFFFFF"/>
            <w:noWrap/>
            <w:vAlign w:val="center"/>
            <w:hideMark/>
          </w:tcPr>
          <w:p w14:paraId="7C31AEE3"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00" w:type="dxa"/>
            <w:gridSpan w:val="2"/>
            <w:tcBorders>
              <w:left w:val="double" w:sz="4" w:space="0" w:color="auto"/>
            </w:tcBorders>
            <w:shd w:val="clear" w:color="000000" w:fill="FFFFFF"/>
            <w:noWrap/>
            <w:vAlign w:val="center"/>
            <w:hideMark/>
          </w:tcPr>
          <w:p w14:paraId="190F3CEB"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1.322</w:t>
            </w:r>
          </w:p>
        </w:tc>
        <w:tc>
          <w:tcPr>
            <w:tcW w:w="900" w:type="dxa"/>
            <w:tcBorders>
              <w:right w:val="double" w:sz="4" w:space="0" w:color="auto"/>
            </w:tcBorders>
            <w:shd w:val="clear" w:color="000000" w:fill="FFFFFF"/>
            <w:noWrap/>
            <w:vAlign w:val="center"/>
            <w:hideMark/>
          </w:tcPr>
          <w:p w14:paraId="78A0BFFC"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41.962</w:t>
            </w:r>
          </w:p>
        </w:tc>
        <w:tc>
          <w:tcPr>
            <w:tcW w:w="900" w:type="dxa"/>
            <w:tcBorders>
              <w:left w:val="double" w:sz="4" w:space="0" w:color="auto"/>
            </w:tcBorders>
            <w:shd w:val="clear" w:color="000000" w:fill="FFFFFF"/>
            <w:noWrap/>
            <w:vAlign w:val="center"/>
            <w:hideMark/>
          </w:tcPr>
          <w:p w14:paraId="49F224BA"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1.093</w:t>
            </w:r>
          </w:p>
        </w:tc>
        <w:tc>
          <w:tcPr>
            <w:tcW w:w="1030" w:type="dxa"/>
            <w:tcBorders>
              <w:right w:val="double" w:sz="4" w:space="0" w:color="auto"/>
            </w:tcBorders>
            <w:shd w:val="clear" w:color="000000" w:fill="FFFFFF"/>
            <w:noWrap/>
            <w:vAlign w:val="center"/>
            <w:hideMark/>
          </w:tcPr>
          <w:p w14:paraId="6977C8E9"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42.287</w:t>
            </w:r>
          </w:p>
        </w:tc>
        <w:tc>
          <w:tcPr>
            <w:tcW w:w="950" w:type="dxa"/>
            <w:tcBorders>
              <w:left w:val="double" w:sz="4" w:space="0" w:color="auto"/>
            </w:tcBorders>
            <w:shd w:val="clear" w:color="000000" w:fill="FFFFFF"/>
            <w:noWrap/>
            <w:vAlign w:val="center"/>
            <w:hideMark/>
          </w:tcPr>
          <w:p w14:paraId="33638E94"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0.112</w:t>
            </w:r>
          </w:p>
        </w:tc>
        <w:tc>
          <w:tcPr>
            <w:tcW w:w="954" w:type="dxa"/>
            <w:tcBorders>
              <w:right w:val="double" w:sz="4" w:space="0" w:color="auto"/>
            </w:tcBorders>
            <w:shd w:val="clear" w:color="000000" w:fill="FFFFFF"/>
            <w:noWrap/>
            <w:vAlign w:val="center"/>
            <w:hideMark/>
          </w:tcPr>
          <w:p w14:paraId="0D6187E1"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3.500</w:t>
            </w:r>
          </w:p>
        </w:tc>
      </w:tr>
      <w:tr w:rsidR="00117833" w:rsidRPr="00020020" w14:paraId="5C016A9B" w14:textId="77777777" w:rsidTr="00117833">
        <w:trPr>
          <w:trHeight w:val="20"/>
          <w:jc w:val="center"/>
        </w:trPr>
        <w:tc>
          <w:tcPr>
            <w:tcW w:w="2160" w:type="dxa"/>
            <w:tcBorders>
              <w:left w:val="double" w:sz="4" w:space="0" w:color="auto"/>
              <w:right w:val="double" w:sz="4" w:space="0" w:color="auto"/>
            </w:tcBorders>
            <w:shd w:val="clear" w:color="000000" w:fill="FFFFFF"/>
            <w:noWrap/>
            <w:vAlign w:val="center"/>
            <w:hideMark/>
          </w:tcPr>
          <w:p w14:paraId="1AB5C649" w14:textId="77777777" w:rsidR="00944378" w:rsidRPr="00020020" w:rsidRDefault="00944378" w:rsidP="00944378">
            <w:pPr>
              <w:jc w:val="left"/>
              <w:rPr>
                <w:rFonts w:eastAsia="Times New Roman"/>
                <w:color w:val="000000"/>
                <w:sz w:val="22"/>
                <w:szCs w:val="22"/>
              </w:rPr>
            </w:pPr>
            <w:r w:rsidRPr="00020020">
              <w:rPr>
                <w:rFonts w:eastAsia="Times New Roman"/>
                <w:color w:val="000000"/>
                <w:sz w:val="22"/>
                <w:szCs w:val="22"/>
              </w:rPr>
              <w:t>Threshold 4</w:t>
            </w:r>
          </w:p>
        </w:tc>
        <w:tc>
          <w:tcPr>
            <w:tcW w:w="900" w:type="dxa"/>
            <w:tcBorders>
              <w:left w:val="double" w:sz="4" w:space="0" w:color="auto"/>
            </w:tcBorders>
            <w:shd w:val="clear" w:color="000000" w:fill="FFFFFF"/>
            <w:noWrap/>
            <w:vAlign w:val="center"/>
            <w:hideMark/>
          </w:tcPr>
          <w:p w14:paraId="4A848CE6"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11" w:type="dxa"/>
            <w:tcBorders>
              <w:right w:val="double" w:sz="4" w:space="0" w:color="auto"/>
            </w:tcBorders>
            <w:shd w:val="clear" w:color="000000" w:fill="FFFFFF"/>
            <w:noWrap/>
            <w:vAlign w:val="center"/>
            <w:hideMark/>
          </w:tcPr>
          <w:p w14:paraId="5A1E3E1A"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889" w:type="dxa"/>
            <w:tcBorders>
              <w:left w:val="double" w:sz="4" w:space="0" w:color="auto"/>
            </w:tcBorders>
            <w:shd w:val="clear" w:color="000000" w:fill="FFFFFF"/>
            <w:noWrap/>
            <w:vAlign w:val="center"/>
            <w:hideMark/>
          </w:tcPr>
          <w:p w14:paraId="55415086"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54" w:type="dxa"/>
            <w:tcBorders>
              <w:right w:val="double" w:sz="4" w:space="0" w:color="auto"/>
            </w:tcBorders>
            <w:shd w:val="clear" w:color="000000" w:fill="FFFFFF"/>
            <w:noWrap/>
            <w:vAlign w:val="center"/>
            <w:hideMark/>
          </w:tcPr>
          <w:p w14:paraId="45BAFFCB"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790" w:type="dxa"/>
            <w:tcBorders>
              <w:left w:val="double" w:sz="4" w:space="0" w:color="auto"/>
            </w:tcBorders>
            <w:shd w:val="clear" w:color="000000" w:fill="FFFFFF"/>
            <w:noWrap/>
            <w:vAlign w:val="center"/>
            <w:hideMark/>
          </w:tcPr>
          <w:p w14:paraId="31F3E3CA"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866" w:type="dxa"/>
            <w:tcBorders>
              <w:right w:val="double" w:sz="4" w:space="0" w:color="auto"/>
            </w:tcBorders>
            <w:shd w:val="clear" w:color="000000" w:fill="FFFFFF"/>
            <w:noWrap/>
            <w:vAlign w:val="center"/>
            <w:hideMark/>
          </w:tcPr>
          <w:p w14:paraId="74769C70"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00" w:type="dxa"/>
            <w:gridSpan w:val="2"/>
            <w:tcBorders>
              <w:left w:val="double" w:sz="4" w:space="0" w:color="auto"/>
            </w:tcBorders>
            <w:shd w:val="clear" w:color="000000" w:fill="FFFFFF"/>
            <w:noWrap/>
            <w:vAlign w:val="center"/>
            <w:hideMark/>
          </w:tcPr>
          <w:p w14:paraId="055C6FA6"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00" w:type="dxa"/>
            <w:tcBorders>
              <w:right w:val="double" w:sz="4" w:space="0" w:color="auto"/>
            </w:tcBorders>
            <w:shd w:val="clear" w:color="000000" w:fill="FFFFFF"/>
            <w:noWrap/>
            <w:vAlign w:val="center"/>
            <w:hideMark/>
          </w:tcPr>
          <w:p w14:paraId="4633E9A1"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00" w:type="dxa"/>
            <w:tcBorders>
              <w:left w:val="double" w:sz="4" w:space="0" w:color="auto"/>
            </w:tcBorders>
            <w:shd w:val="clear" w:color="000000" w:fill="FFFFFF"/>
            <w:noWrap/>
            <w:vAlign w:val="center"/>
            <w:hideMark/>
          </w:tcPr>
          <w:p w14:paraId="5096936A"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1030" w:type="dxa"/>
            <w:tcBorders>
              <w:right w:val="double" w:sz="4" w:space="0" w:color="auto"/>
            </w:tcBorders>
            <w:shd w:val="clear" w:color="000000" w:fill="FFFFFF"/>
            <w:noWrap/>
            <w:vAlign w:val="center"/>
            <w:hideMark/>
          </w:tcPr>
          <w:p w14:paraId="3BA21FC0"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50" w:type="dxa"/>
            <w:tcBorders>
              <w:left w:val="double" w:sz="4" w:space="0" w:color="auto"/>
            </w:tcBorders>
            <w:shd w:val="clear" w:color="000000" w:fill="FFFFFF"/>
            <w:noWrap/>
            <w:vAlign w:val="center"/>
            <w:hideMark/>
          </w:tcPr>
          <w:p w14:paraId="55A8E536"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0.595</w:t>
            </w:r>
          </w:p>
        </w:tc>
        <w:tc>
          <w:tcPr>
            <w:tcW w:w="954" w:type="dxa"/>
            <w:tcBorders>
              <w:right w:val="double" w:sz="4" w:space="0" w:color="auto"/>
            </w:tcBorders>
            <w:shd w:val="clear" w:color="000000" w:fill="FFFFFF"/>
            <w:noWrap/>
            <w:vAlign w:val="center"/>
            <w:hideMark/>
          </w:tcPr>
          <w:p w14:paraId="4B6E2800"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18.590</w:t>
            </w:r>
          </w:p>
        </w:tc>
      </w:tr>
      <w:tr w:rsidR="00117833" w:rsidRPr="00020020" w14:paraId="45A2930D" w14:textId="77777777" w:rsidTr="00117833">
        <w:trPr>
          <w:trHeight w:val="20"/>
          <w:jc w:val="center"/>
        </w:trPr>
        <w:tc>
          <w:tcPr>
            <w:tcW w:w="2160" w:type="dxa"/>
            <w:tcBorders>
              <w:left w:val="double" w:sz="4" w:space="0" w:color="auto"/>
              <w:bottom w:val="double" w:sz="4" w:space="0" w:color="auto"/>
              <w:right w:val="double" w:sz="4" w:space="0" w:color="auto"/>
            </w:tcBorders>
            <w:shd w:val="clear" w:color="000000" w:fill="FFFFFF"/>
            <w:noWrap/>
            <w:vAlign w:val="center"/>
            <w:hideMark/>
          </w:tcPr>
          <w:p w14:paraId="3D6397A6" w14:textId="77777777" w:rsidR="00944378" w:rsidRPr="00020020" w:rsidRDefault="00944378" w:rsidP="00944378">
            <w:pPr>
              <w:jc w:val="left"/>
              <w:rPr>
                <w:rFonts w:eastAsia="Times New Roman"/>
                <w:color w:val="000000"/>
                <w:sz w:val="22"/>
                <w:szCs w:val="22"/>
              </w:rPr>
            </w:pPr>
            <w:r w:rsidRPr="00020020">
              <w:rPr>
                <w:rFonts w:eastAsia="Times New Roman"/>
                <w:color w:val="000000"/>
                <w:sz w:val="22"/>
                <w:szCs w:val="22"/>
              </w:rPr>
              <w:t>Threshold 5</w:t>
            </w:r>
          </w:p>
        </w:tc>
        <w:tc>
          <w:tcPr>
            <w:tcW w:w="900" w:type="dxa"/>
            <w:tcBorders>
              <w:left w:val="double" w:sz="4" w:space="0" w:color="auto"/>
              <w:bottom w:val="double" w:sz="4" w:space="0" w:color="auto"/>
            </w:tcBorders>
            <w:shd w:val="clear" w:color="000000" w:fill="FFFFFF"/>
            <w:noWrap/>
            <w:vAlign w:val="center"/>
            <w:hideMark/>
          </w:tcPr>
          <w:p w14:paraId="30BD7EE4"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11" w:type="dxa"/>
            <w:tcBorders>
              <w:bottom w:val="double" w:sz="4" w:space="0" w:color="auto"/>
              <w:right w:val="double" w:sz="4" w:space="0" w:color="auto"/>
            </w:tcBorders>
            <w:shd w:val="clear" w:color="000000" w:fill="FFFFFF"/>
            <w:noWrap/>
            <w:vAlign w:val="center"/>
            <w:hideMark/>
          </w:tcPr>
          <w:p w14:paraId="70B9C485"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889" w:type="dxa"/>
            <w:tcBorders>
              <w:left w:val="double" w:sz="4" w:space="0" w:color="auto"/>
              <w:bottom w:val="double" w:sz="4" w:space="0" w:color="auto"/>
            </w:tcBorders>
            <w:shd w:val="clear" w:color="000000" w:fill="FFFFFF"/>
            <w:noWrap/>
            <w:vAlign w:val="center"/>
            <w:hideMark/>
          </w:tcPr>
          <w:p w14:paraId="21B51E66"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54" w:type="dxa"/>
            <w:tcBorders>
              <w:bottom w:val="double" w:sz="4" w:space="0" w:color="auto"/>
              <w:right w:val="double" w:sz="4" w:space="0" w:color="auto"/>
            </w:tcBorders>
            <w:shd w:val="clear" w:color="000000" w:fill="FFFFFF"/>
            <w:noWrap/>
            <w:vAlign w:val="center"/>
            <w:hideMark/>
          </w:tcPr>
          <w:p w14:paraId="3C5C011A"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790" w:type="dxa"/>
            <w:tcBorders>
              <w:left w:val="double" w:sz="4" w:space="0" w:color="auto"/>
              <w:bottom w:val="double" w:sz="4" w:space="0" w:color="auto"/>
            </w:tcBorders>
            <w:shd w:val="clear" w:color="000000" w:fill="FFFFFF"/>
            <w:noWrap/>
            <w:vAlign w:val="center"/>
            <w:hideMark/>
          </w:tcPr>
          <w:p w14:paraId="30A31850"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866" w:type="dxa"/>
            <w:tcBorders>
              <w:bottom w:val="double" w:sz="4" w:space="0" w:color="auto"/>
              <w:right w:val="double" w:sz="4" w:space="0" w:color="auto"/>
            </w:tcBorders>
            <w:shd w:val="clear" w:color="000000" w:fill="FFFFFF"/>
            <w:noWrap/>
            <w:vAlign w:val="center"/>
            <w:hideMark/>
          </w:tcPr>
          <w:p w14:paraId="7BE8950B"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00" w:type="dxa"/>
            <w:gridSpan w:val="2"/>
            <w:tcBorders>
              <w:left w:val="double" w:sz="4" w:space="0" w:color="auto"/>
              <w:bottom w:val="double" w:sz="4" w:space="0" w:color="auto"/>
            </w:tcBorders>
            <w:shd w:val="clear" w:color="000000" w:fill="FFFFFF"/>
            <w:noWrap/>
            <w:vAlign w:val="center"/>
            <w:hideMark/>
          </w:tcPr>
          <w:p w14:paraId="24AABAFD"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00" w:type="dxa"/>
            <w:tcBorders>
              <w:bottom w:val="double" w:sz="4" w:space="0" w:color="auto"/>
              <w:right w:val="double" w:sz="4" w:space="0" w:color="auto"/>
            </w:tcBorders>
            <w:shd w:val="clear" w:color="000000" w:fill="FFFFFF"/>
            <w:noWrap/>
            <w:vAlign w:val="center"/>
            <w:hideMark/>
          </w:tcPr>
          <w:p w14:paraId="44D43648"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00" w:type="dxa"/>
            <w:tcBorders>
              <w:left w:val="double" w:sz="4" w:space="0" w:color="auto"/>
              <w:bottom w:val="double" w:sz="4" w:space="0" w:color="auto"/>
            </w:tcBorders>
            <w:shd w:val="clear" w:color="000000" w:fill="FFFFFF"/>
            <w:noWrap/>
            <w:vAlign w:val="center"/>
            <w:hideMark/>
          </w:tcPr>
          <w:p w14:paraId="1C332EBE"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1030" w:type="dxa"/>
            <w:tcBorders>
              <w:bottom w:val="double" w:sz="4" w:space="0" w:color="auto"/>
              <w:right w:val="double" w:sz="4" w:space="0" w:color="auto"/>
            </w:tcBorders>
            <w:shd w:val="clear" w:color="000000" w:fill="FFFFFF"/>
            <w:noWrap/>
            <w:vAlign w:val="center"/>
            <w:hideMark/>
          </w:tcPr>
          <w:p w14:paraId="7294E68B"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 </w:t>
            </w:r>
          </w:p>
        </w:tc>
        <w:tc>
          <w:tcPr>
            <w:tcW w:w="950" w:type="dxa"/>
            <w:tcBorders>
              <w:left w:val="double" w:sz="4" w:space="0" w:color="auto"/>
              <w:bottom w:val="double" w:sz="4" w:space="0" w:color="auto"/>
            </w:tcBorders>
            <w:shd w:val="clear" w:color="000000" w:fill="FFFFFF"/>
            <w:noWrap/>
            <w:vAlign w:val="center"/>
            <w:hideMark/>
          </w:tcPr>
          <w:p w14:paraId="555D5330"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1.067</w:t>
            </w:r>
          </w:p>
        </w:tc>
        <w:tc>
          <w:tcPr>
            <w:tcW w:w="954" w:type="dxa"/>
            <w:tcBorders>
              <w:bottom w:val="double" w:sz="4" w:space="0" w:color="auto"/>
              <w:right w:val="double" w:sz="4" w:space="0" w:color="auto"/>
            </w:tcBorders>
            <w:shd w:val="clear" w:color="000000" w:fill="FFFFFF"/>
            <w:noWrap/>
            <w:vAlign w:val="center"/>
            <w:hideMark/>
          </w:tcPr>
          <w:p w14:paraId="784D3977" w14:textId="77777777" w:rsidR="00944378" w:rsidRPr="00020020" w:rsidRDefault="00944378" w:rsidP="00944378">
            <w:pPr>
              <w:jc w:val="right"/>
              <w:rPr>
                <w:rFonts w:eastAsia="Times New Roman"/>
                <w:color w:val="000000"/>
                <w:sz w:val="22"/>
                <w:szCs w:val="22"/>
              </w:rPr>
            </w:pPr>
            <w:r w:rsidRPr="00020020">
              <w:rPr>
                <w:rFonts w:eastAsia="Times New Roman"/>
                <w:color w:val="000000"/>
                <w:sz w:val="22"/>
                <w:szCs w:val="22"/>
              </w:rPr>
              <w:t>32.636</w:t>
            </w:r>
          </w:p>
        </w:tc>
      </w:tr>
      <w:tr w:rsidR="00117833" w:rsidRPr="00537C6A" w14:paraId="158A3327" w14:textId="77777777" w:rsidTr="00117833">
        <w:trPr>
          <w:trHeight w:val="20"/>
          <w:jc w:val="center"/>
        </w:trPr>
        <w:tc>
          <w:tcPr>
            <w:tcW w:w="2160" w:type="dxa"/>
            <w:tcBorders>
              <w:top w:val="double" w:sz="4" w:space="0" w:color="auto"/>
              <w:left w:val="double" w:sz="4" w:space="0" w:color="auto"/>
              <w:bottom w:val="double" w:sz="4" w:space="0" w:color="auto"/>
            </w:tcBorders>
            <w:shd w:val="clear" w:color="000000" w:fill="D9D9D9"/>
            <w:noWrap/>
            <w:vAlign w:val="center"/>
            <w:hideMark/>
          </w:tcPr>
          <w:p w14:paraId="08F02747" w14:textId="77777777" w:rsidR="00944378" w:rsidRPr="00537C6A" w:rsidRDefault="00944378" w:rsidP="00944378">
            <w:pPr>
              <w:jc w:val="left"/>
              <w:rPr>
                <w:rFonts w:eastAsia="Times New Roman"/>
                <w:b/>
                <w:bCs/>
                <w:color w:val="000000"/>
                <w:sz w:val="22"/>
                <w:szCs w:val="22"/>
              </w:rPr>
            </w:pPr>
            <w:r w:rsidRPr="00537C6A">
              <w:rPr>
                <w:rFonts w:eastAsia="Times New Roman"/>
                <w:b/>
                <w:bCs/>
                <w:color w:val="000000"/>
                <w:sz w:val="22"/>
                <w:szCs w:val="22"/>
              </w:rPr>
              <w:t>Correlation Terms</w:t>
            </w:r>
          </w:p>
        </w:tc>
        <w:tc>
          <w:tcPr>
            <w:tcW w:w="900" w:type="dxa"/>
            <w:tcBorders>
              <w:top w:val="double" w:sz="4" w:space="0" w:color="auto"/>
              <w:bottom w:val="double" w:sz="4" w:space="0" w:color="auto"/>
            </w:tcBorders>
            <w:shd w:val="clear" w:color="000000" w:fill="D9D9D9"/>
            <w:noWrap/>
            <w:vAlign w:val="center"/>
            <w:hideMark/>
          </w:tcPr>
          <w:p w14:paraId="001F8233" w14:textId="77777777" w:rsidR="00944378" w:rsidRPr="00537C6A" w:rsidRDefault="00944378" w:rsidP="00944378">
            <w:pPr>
              <w:jc w:val="right"/>
              <w:rPr>
                <w:rFonts w:eastAsia="Times New Roman"/>
                <w:b/>
                <w:bCs/>
                <w:color w:val="000000"/>
                <w:sz w:val="22"/>
                <w:szCs w:val="22"/>
              </w:rPr>
            </w:pPr>
            <w:r w:rsidRPr="00537C6A">
              <w:rPr>
                <w:rFonts w:eastAsia="Times New Roman"/>
                <w:b/>
                <w:bCs/>
                <w:color w:val="000000"/>
                <w:sz w:val="22"/>
                <w:szCs w:val="22"/>
              </w:rPr>
              <w:t> </w:t>
            </w:r>
          </w:p>
        </w:tc>
        <w:tc>
          <w:tcPr>
            <w:tcW w:w="911" w:type="dxa"/>
            <w:tcBorders>
              <w:top w:val="double" w:sz="4" w:space="0" w:color="auto"/>
              <w:bottom w:val="double" w:sz="4" w:space="0" w:color="auto"/>
            </w:tcBorders>
            <w:shd w:val="clear" w:color="000000" w:fill="D9D9D9"/>
            <w:noWrap/>
            <w:vAlign w:val="center"/>
            <w:hideMark/>
          </w:tcPr>
          <w:p w14:paraId="53D282DE" w14:textId="77777777" w:rsidR="00944378" w:rsidRPr="00537C6A" w:rsidRDefault="00944378" w:rsidP="00944378">
            <w:pPr>
              <w:jc w:val="right"/>
              <w:rPr>
                <w:rFonts w:eastAsia="Times New Roman"/>
                <w:b/>
                <w:bCs/>
                <w:color w:val="000000"/>
                <w:sz w:val="22"/>
                <w:szCs w:val="22"/>
              </w:rPr>
            </w:pPr>
            <w:r w:rsidRPr="00537C6A">
              <w:rPr>
                <w:rFonts w:eastAsia="Times New Roman"/>
                <w:b/>
                <w:bCs/>
                <w:color w:val="000000"/>
                <w:sz w:val="22"/>
                <w:szCs w:val="22"/>
              </w:rPr>
              <w:t> </w:t>
            </w:r>
          </w:p>
        </w:tc>
        <w:tc>
          <w:tcPr>
            <w:tcW w:w="889" w:type="dxa"/>
            <w:tcBorders>
              <w:top w:val="double" w:sz="4" w:space="0" w:color="auto"/>
              <w:bottom w:val="double" w:sz="4" w:space="0" w:color="auto"/>
            </w:tcBorders>
            <w:shd w:val="clear" w:color="000000" w:fill="D9D9D9"/>
            <w:noWrap/>
            <w:vAlign w:val="center"/>
            <w:hideMark/>
          </w:tcPr>
          <w:p w14:paraId="4DF35C29" w14:textId="77777777" w:rsidR="00944378" w:rsidRPr="00537C6A" w:rsidRDefault="00944378" w:rsidP="00944378">
            <w:pPr>
              <w:jc w:val="right"/>
              <w:rPr>
                <w:rFonts w:eastAsia="Times New Roman"/>
                <w:b/>
                <w:bCs/>
                <w:color w:val="000000"/>
                <w:sz w:val="22"/>
                <w:szCs w:val="22"/>
              </w:rPr>
            </w:pPr>
            <w:r w:rsidRPr="00537C6A">
              <w:rPr>
                <w:rFonts w:eastAsia="Times New Roman"/>
                <w:b/>
                <w:bCs/>
                <w:color w:val="000000"/>
                <w:sz w:val="22"/>
                <w:szCs w:val="22"/>
              </w:rPr>
              <w:t> </w:t>
            </w:r>
          </w:p>
        </w:tc>
        <w:tc>
          <w:tcPr>
            <w:tcW w:w="954" w:type="dxa"/>
            <w:tcBorders>
              <w:top w:val="double" w:sz="4" w:space="0" w:color="auto"/>
              <w:bottom w:val="double" w:sz="4" w:space="0" w:color="auto"/>
            </w:tcBorders>
            <w:shd w:val="clear" w:color="000000" w:fill="D9D9D9"/>
            <w:noWrap/>
            <w:vAlign w:val="center"/>
            <w:hideMark/>
          </w:tcPr>
          <w:p w14:paraId="0C236D22" w14:textId="77777777" w:rsidR="00944378" w:rsidRPr="00537C6A" w:rsidRDefault="00944378" w:rsidP="00944378">
            <w:pPr>
              <w:jc w:val="right"/>
              <w:rPr>
                <w:rFonts w:eastAsia="Times New Roman"/>
                <w:b/>
                <w:bCs/>
                <w:color w:val="000000"/>
                <w:sz w:val="22"/>
                <w:szCs w:val="22"/>
              </w:rPr>
            </w:pPr>
            <w:r w:rsidRPr="00537C6A">
              <w:rPr>
                <w:rFonts w:eastAsia="Times New Roman"/>
                <w:b/>
                <w:bCs/>
                <w:color w:val="000000"/>
                <w:sz w:val="22"/>
                <w:szCs w:val="22"/>
              </w:rPr>
              <w:t> </w:t>
            </w:r>
          </w:p>
        </w:tc>
        <w:tc>
          <w:tcPr>
            <w:tcW w:w="790" w:type="dxa"/>
            <w:tcBorders>
              <w:top w:val="double" w:sz="4" w:space="0" w:color="auto"/>
              <w:bottom w:val="double" w:sz="4" w:space="0" w:color="auto"/>
            </w:tcBorders>
            <w:shd w:val="clear" w:color="000000" w:fill="D9D9D9"/>
            <w:noWrap/>
            <w:vAlign w:val="center"/>
            <w:hideMark/>
          </w:tcPr>
          <w:p w14:paraId="461E7BD5" w14:textId="77777777" w:rsidR="00944378" w:rsidRPr="00537C6A" w:rsidRDefault="00944378" w:rsidP="00944378">
            <w:pPr>
              <w:jc w:val="right"/>
              <w:rPr>
                <w:rFonts w:eastAsia="Times New Roman"/>
                <w:b/>
                <w:bCs/>
                <w:color w:val="000000"/>
                <w:sz w:val="22"/>
                <w:szCs w:val="22"/>
              </w:rPr>
            </w:pPr>
            <w:r w:rsidRPr="00537C6A">
              <w:rPr>
                <w:rFonts w:eastAsia="Times New Roman"/>
                <w:b/>
                <w:bCs/>
                <w:color w:val="000000"/>
                <w:sz w:val="22"/>
                <w:szCs w:val="22"/>
              </w:rPr>
              <w:t> </w:t>
            </w:r>
          </w:p>
        </w:tc>
        <w:tc>
          <w:tcPr>
            <w:tcW w:w="866" w:type="dxa"/>
            <w:tcBorders>
              <w:top w:val="double" w:sz="4" w:space="0" w:color="auto"/>
              <w:bottom w:val="double" w:sz="4" w:space="0" w:color="auto"/>
            </w:tcBorders>
            <w:shd w:val="clear" w:color="000000" w:fill="D9D9D9"/>
            <w:noWrap/>
            <w:vAlign w:val="center"/>
            <w:hideMark/>
          </w:tcPr>
          <w:p w14:paraId="1A8162FD" w14:textId="77777777" w:rsidR="00944378" w:rsidRPr="00537C6A" w:rsidRDefault="00944378" w:rsidP="00944378">
            <w:pPr>
              <w:jc w:val="right"/>
              <w:rPr>
                <w:rFonts w:eastAsia="Times New Roman"/>
                <w:b/>
                <w:bCs/>
                <w:color w:val="000000"/>
                <w:sz w:val="22"/>
                <w:szCs w:val="22"/>
              </w:rPr>
            </w:pPr>
            <w:r w:rsidRPr="00537C6A">
              <w:rPr>
                <w:rFonts w:eastAsia="Times New Roman"/>
                <w:b/>
                <w:bCs/>
                <w:color w:val="000000"/>
                <w:sz w:val="22"/>
                <w:szCs w:val="22"/>
              </w:rPr>
              <w:t> </w:t>
            </w:r>
          </w:p>
        </w:tc>
        <w:tc>
          <w:tcPr>
            <w:tcW w:w="900" w:type="dxa"/>
            <w:gridSpan w:val="2"/>
            <w:tcBorders>
              <w:top w:val="double" w:sz="4" w:space="0" w:color="auto"/>
              <w:bottom w:val="double" w:sz="4" w:space="0" w:color="auto"/>
            </w:tcBorders>
            <w:shd w:val="clear" w:color="000000" w:fill="D9D9D9"/>
            <w:noWrap/>
            <w:vAlign w:val="center"/>
            <w:hideMark/>
          </w:tcPr>
          <w:p w14:paraId="70BF37C2" w14:textId="77777777" w:rsidR="00944378" w:rsidRPr="00537C6A" w:rsidRDefault="00944378" w:rsidP="00944378">
            <w:pPr>
              <w:jc w:val="right"/>
              <w:rPr>
                <w:rFonts w:eastAsia="Times New Roman"/>
                <w:b/>
                <w:bCs/>
                <w:color w:val="000000"/>
                <w:sz w:val="22"/>
                <w:szCs w:val="22"/>
              </w:rPr>
            </w:pPr>
            <w:r w:rsidRPr="00537C6A">
              <w:rPr>
                <w:rFonts w:eastAsia="Times New Roman"/>
                <w:b/>
                <w:bCs/>
                <w:color w:val="000000"/>
                <w:sz w:val="22"/>
                <w:szCs w:val="22"/>
              </w:rPr>
              <w:t> </w:t>
            </w:r>
          </w:p>
        </w:tc>
        <w:tc>
          <w:tcPr>
            <w:tcW w:w="900" w:type="dxa"/>
            <w:tcBorders>
              <w:top w:val="double" w:sz="4" w:space="0" w:color="auto"/>
              <w:bottom w:val="double" w:sz="4" w:space="0" w:color="auto"/>
            </w:tcBorders>
            <w:shd w:val="clear" w:color="000000" w:fill="D9D9D9"/>
            <w:noWrap/>
            <w:vAlign w:val="center"/>
            <w:hideMark/>
          </w:tcPr>
          <w:p w14:paraId="72CB01FD" w14:textId="77777777" w:rsidR="00944378" w:rsidRPr="00537C6A" w:rsidRDefault="00944378" w:rsidP="00944378">
            <w:pPr>
              <w:jc w:val="right"/>
              <w:rPr>
                <w:rFonts w:eastAsia="Times New Roman"/>
                <w:b/>
                <w:bCs/>
                <w:color w:val="000000"/>
                <w:sz w:val="22"/>
                <w:szCs w:val="22"/>
              </w:rPr>
            </w:pPr>
            <w:r w:rsidRPr="00537C6A">
              <w:rPr>
                <w:rFonts w:eastAsia="Times New Roman"/>
                <w:b/>
                <w:bCs/>
                <w:color w:val="000000"/>
                <w:sz w:val="22"/>
                <w:szCs w:val="22"/>
              </w:rPr>
              <w:t> </w:t>
            </w:r>
          </w:p>
        </w:tc>
        <w:tc>
          <w:tcPr>
            <w:tcW w:w="900" w:type="dxa"/>
            <w:tcBorders>
              <w:top w:val="double" w:sz="4" w:space="0" w:color="auto"/>
              <w:bottom w:val="double" w:sz="4" w:space="0" w:color="auto"/>
            </w:tcBorders>
            <w:shd w:val="clear" w:color="000000" w:fill="D9D9D9"/>
            <w:noWrap/>
            <w:vAlign w:val="center"/>
            <w:hideMark/>
          </w:tcPr>
          <w:p w14:paraId="71183221" w14:textId="77777777" w:rsidR="00944378" w:rsidRPr="00537C6A" w:rsidRDefault="00944378" w:rsidP="00944378">
            <w:pPr>
              <w:jc w:val="right"/>
              <w:rPr>
                <w:rFonts w:eastAsia="Times New Roman"/>
                <w:b/>
                <w:bCs/>
                <w:color w:val="000000"/>
                <w:sz w:val="22"/>
                <w:szCs w:val="22"/>
              </w:rPr>
            </w:pPr>
            <w:r w:rsidRPr="00537C6A">
              <w:rPr>
                <w:rFonts w:eastAsia="Times New Roman"/>
                <w:b/>
                <w:bCs/>
                <w:color w:val="000000"/>
                <w:sz w:val="22"/>
                <w:szCs w:val="22"/>
              </w:rPr>
              <w:t> </w:t>
            </w:r>
          </w:p>
        </w:tc>
        <w:tc>
          <w:tcPr>
            <w:tcW w:w="1030" w:type="dxa"/>
            <w:tcBorders>
              <w:top w:val="double" w:sz="4" w:space="0" w:color="auto"/>
              <w:bottom w:val="double" w:sz="4" w:space="0" w:color="auto"/>
            </w:tcBorders>
            <w:shd w:val="clear" w:color="000000" w:fill="D9D9D9"/>
            <w:noWrap/>
            <w:vAlign w:val="center"/>
            <w:hideMark/>
          </w:tcPr>
          <w:p w14:paraId="4848197E" w14:textId="77777777" w:rsidR="00944378" w:rsidRPr="00537C6A" w:rsidRDefault="00944378" w:rsidP="00944378">
            <w:pPr>
              <w:jc w:val="right"/>
              <w:rPr>
                <w:rFonts w:eastAsia="Times New Roman"/>
                <w:b/>
                <w:bCs/>
                <w:color w:val="000000"/>
                <w:sz w:val="22"/>
                <w:szCs w:val="22"/>
              </w:rPr>
            </w:pPr>
            <w:r w:rsidRPr="00537C6A">
              <w:rPr>
                <w:rFonts w:eastAsia="Times New Roman"/>
                <w:b/>
                <w:bCs/>
                <w:color w:val="000000"/>
                <w:sz w:val="22"/>
                <w:szCs w:val="22"/>
              </w:rPr>
              <w:t> </w:t>
            </w:r>
          </w:p>
        </w:tc>
        <w:tc>
          <w:tcPr>
            <w:tcW w:w="950" w:type="dxa"/>
            <w:tcBorders>
              <w:top w:val="double" w:sz="4" w:space="0" w:color="auto"/>
              <w:bottom w:val="double" w:sz="4" w:space="0" w:color="auto"/>
            </w:tcBorders>
            <w:shd w:val="clear" w:color="000000" w:fill="D9D9D9"/>
            <w:noWrap/>
            <w:vAlign w:val="center"/>
            <w:hideMark/>
          </w:tcPr>
          <w:p w14:paraId="1106DA35" w14:textId="77777777" w:rsidR="00944378" w:rsidRPr="00537C6A" w:rsidRDefault="00944378" w:rsidP="00944378">
            <w:pPr>
              <w:jc w:val="right"/>
              <w:rPr>
                <w:rFonts w:eastAsia="Times New Roman"/>
                <w:b/>
                <w:bCs/>
                <w:color w:val="000000"/>
                <w:sz w:val="22"/>
                <w:szCs w:val="22"/>
              </w:rPr>
            </w:pPr>
            <w:r w:rsidRPr="00537C6A">
              <w:rPr>
                <w:rFonts w:eastAsia="Times New Roman"/>
                <w:b/>
                <w:bCs/>
                <w:color w:val="000000"/>
                <w:sz w:val="22"/>
                <w:szCs w:val="22"/>
              </w:rPr>
              <w:t> </w:t>
            </w:r>
          </w:p>
        </w:tc>
        <w:tc>
          <w:tcPr>
            <w:tcW w:w="954" w:type="dxa"/>
            <w:tcBorders>
              <w:top w:val="double" w:sz="4" w:space="0" w:color="auto"/>
              <w:bottom w:val="double" w:sz="4" w:space="0" w:color="auto"/>
              <w:right w:val="double" w:sz="4" w:space="0" w:color="auto"/>
            </w:tcBorders>
            <w:shd w:val="clear" w:color="000000" w:fill="D9D9D9"/>
            <w:noWrap/>
            <w:vAlign w:val="center"/>
            <w:hideMark/>
          </w:tcPr>
          <w:p w14:paraId="4EEDD827" w14:textId="77777777" w:rsidR="00944378" w:rsidRPr="00537C6A" w:rsidRDefault="00944378" w:rsidP="00944378">
            <w:pPr>
              <w:jc w:val="right"/>
              <w:rPr>
                <w:rFonts w:eastAsia="Times New Roman"/>
                <w:b/>
                <w:bCs/>
                <w:color w:val="000000"/>
                <w:sz w:val="22"/>
                <w:szCs w:val="22"/>
              </w:rPr>
            </w:pPr>
            <w:r w:rsidRPr="00537C6A">
              <w:rPr>
                <w:rFonts w:eastAsia="Times New Roman"/>
                <w:b/>
                <w:bCs/>
                <w:color w:val="000000"/>
                <w:sz w:val="22"/>
                <w:szCs w:val="22"/>
              </w:rPr>
              <w:t> </w:t>
            </w:r>
          </w:p>
        </w:tc>
      </w:tr>
      <w:tr w:rsidR="00117833" w:rsidRPr="00537C6A" w14:paraId="49FF2E87" w14:textId="77777777" w:rsidTr="00117833">
        <w:trPr>
          <w:trHeight w:val="20"/>
          <w:jc w:val="center"/>
        </w:trPr>
        <w:tc>
          <w:tcPr>
            <w:tcW w:w="2160" w:type="dxa"/>
            <w:tcBorders>
              <w:top w:val="double" w:sz="4" w:space="0" w:color="auto"/>
              <w:left w:val="double" w:sz="4" w:space="0" w:color="auto"/>
              <w:right w:val="double" w:sz="4" w:space="0" w:color="auto"/>
            </w:tcBorders>
            <w:shd w:val="clear" w:color="000000" w:fill="FFFFFF"/>
            <w:noWrap/>
            <w:vAlign w:val="center"/>
            <w:hideMark/>
          </w:tcPr>
          <w:p w14:paraId="71D9109E" w14:textId="77777777" w:rsidR="00944378" w:rsidRPr="00537C6A" w:rsidRDefault="00944378" w:rsidP="00944378">
            <w:pPr>
              <w:jc w:val="left"/>
              <w:rPr>
                <w:rFonts w:eastAsia="Times New Roman"/>
                <w:color w:val="000000"/>
                <w:sz w:val="22"/>
                <w:szCs w:val="22"/>
              </w:rPr>
            </w:pPr>
            <w:r w:rsidRPr="00537C6A">
              <w:rPr>
                <w:rFonts w:eastAsia="Times New Roman"/>
                <w:color w:val="000000"/>
                <w:sz w:val="22"/>
                <w:szCs w:val="22"/>
              </w:rPr>
              <w:t>Online Groceries</w:t>
            </w:r>
          </w:p>
        </w:tc>
        <w:tc>
          <w:tcPr>
            <w:tcW w:w="900" w:type="dxa"/>
            <w:tcBorders>
              <w:top w:val="double" w:sz="4" w:space="0" w:color="auto"/>
              <w:left w:val="double" w:sz="4" w:space="0" w:color="auto"/>
            </w:tcBorders>
            <w:shd w:val="clear" w:color="000000" w:fill="FFFFFF"/>
            <w:noWrap/>
            <w:vAlign w:val="center"/>
            <w:hideMark/>
          </w:tcPr>
          <w:p w14:paraId="2F5F791B"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0.225</w:t>
            </w:r>
          </w:p>
        </w:tc>
        <w:tc>
          <w:tcPr>
            <w:tcW w:w="911" w:type="dxa"/>
            <w:tcBorders>
              <w:top w:val="double" w:sz="4" w:space="0" w:color="auto"/>
              <w:right w:val="double" w:sz="4" w:space="0" w:color="auto"/>
            </w:tcBorders>
            <w:shd w:val="clear" w:color="000000" w:fill="FFFFFF"/>
            <w:noWrap/>
            <w:vAlign w:val="center"/>
            <w:hideMark/>
          </w:tcPr>
          <w:p w14:paraId="7CB5D673"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2.724</w:t>
            </w:r>
          </w:p>
        </w:tc>
        <w:tc>
          <w:tcPr>
            <w:tcW w:w="889" w:type="dxa"/>
            <w:tcBorders>
              <w:top w:val="double" w:sz="4" w:space="0" w:color="auto"/>
              <w:left w:val="double" w:sz="4" w:space="0" w:color="auto"/>
            </w:tcBorders>
            <w:shd w:val="clear" w:color="000000" w:fill="FFFFFF"/>
            <w:noWrap/>
            <w:vAlign w:val="center"/>
            <w:hideMark/>
          </w:tcPr>
          <w:p w14:paraId="66F0EB37"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54" w:type="dxa"/>
            <w:tcBorders>
              <w:top w:val="double" w:sz="4" w:space="0" w:color="auto"/>
              <w:right w:val="double" w:sz="4" w:space="0" w:color="auto"/>
            </w:tcBorders>
            <w:shd w:val="clear" w:color="000000" w:fill="FFFFFF"/>
            <w:noWrap/>
            <w:vAlign w:val="center"/>
            <w:hideMark/>
          </w:tcPr>
          <w:p w14:paraId="437C9D7C"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790" w:type="dxa"/>
            <w:tcBorders>
              <w:top w:val="double" w:sz="4" w:space="0" w:color="auto"/>
              <w:left w:val="double" w:sz="4" w:space="0" w:color="auto"/>
            </w:tcBorders>
            <w:shd w:val="clear" w:color="000000" w:fill="FFFFFF"/>
            <w:noWrap/>
            <w:vAlign w:val="center"/>
            <w:hideMark/>
          </w:tcPr>
          <w:p w14:paraId="1EB2653B"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866" w:type="dxa"/>
            <w:tcBorders>
              <w:top w:val="double" w:sz="4" w:space="0" w:color="auto"/>
              <w:right w:val="double" w:sz="4" w:space="0" w:color="auto"/>
            </w:tcBorders>
            <w:shd w:val="clear" w:color="000000" w:fill="FFFFFF"/>
            <w:noWrap/>
            <w:vAlign w:val="center"/>
            <w:hideMark/>
          </w:tcPr>
          <w:p w14:paraId="3CE25157"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00" w:type="dxa"/>
            <w:gridSpan w:val="2"/>
            <w:tcBorders>
              <w:top w:val="double" w:sz="4" w:space="0" w:color="auto"/>
              <w:left w:val="double" w:sz="4" w:space="0" w:color="auto"/>
            </w:tcBorders>
            <w:shd w:val="clear" w:color="000000" w:fill="FFFFFF"/>
            <w:noWrap/>
            <w:vAlign w:val="center"/>
            <w:hideMark/>
          </w:tcPr>
          <w:p w14:paraId="51574654"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00" w:type="dxa"/>
            <w:tcBorders>
              <w:top w:val="double" w:sz="4" w:space="0" w:color="auto"/>
              <w:right w:val="double" w:sz="4" w:space="0" w:color="auto"/>
            </w:tcBorders>
            <w:shd w:val="clear" w:color="000000" w:fill="FFFFFF"/>
            <w:noWrap/>
            <w:vAlign w:val="center"/>
            <w:hideMark/>
          </w:tcPr>
          <w:p w14:paraId="1C31E88C"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00" w:type="dxa"/>
            <w:tcBorders>
              <w:top w:val="double" w:sz="4" w:space="0" w:color="auto"/>
              <w:left w:val="double" w:sz="4" w:space="0" w:color="auto"/>
            </w:tcBorders>
            <w:shd w:val="clear" w:color="000000" w:fill="FFFFFF"/>
            <w:noWrap/>
            <w:vAlign w:val="center"/>
            <w:hideMark/>
          </w:tcPr>
          <w:p w14:paraId="41B30924"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1030" w:type="dxa"/>
            <w:tcBorders>
              <w:top w:val="double" w:sz="4" w:space="0" w:color="auto"/>
              <w:right w:val="double" w:sz="4" w:space="0" w:color="auto"/>
            </w:tcBorders>
            <w:shd w:val="clear" w:color="000000" w:fill="FFFFFF"/>
            <w:noWrap/>
            <w:vAlign w:val="center"/>
            <w:hideMark/>
          </w:tcPr>
          <w:p w14:paraId="0C729275"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50" w:type="dxa"/>
            <w:tcBorders>
              <w:top w:val="double" w:sz="4" w:space="0" w:color="auto"/>
              <w:left w:val="double" w:sz="4" w:space="0" w:color="auto"/>
            </w:tcBorders>
            <w:shd w:val="clear" w:color="000000" w:fill="FFFFFF"/>
            <w:noWrap/>
            <w:vAlign w:val="center"/>
            <w:hideMark/>
          </w:tcPr>
          <w:p w14:paraId="226946F5"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54" w:type="dxa"/>
            <w:tcBorders>
              <w:top w:val="double" w:sz="4" w:space="0" w:color="auto"/>
              <w:right w:val="double" w:sz="4" w:space="0" w:color="auto"/>
            </w:tcBorders>
            <w:shd w:val="clear" w:color="000000" w:fill="FFFFFF"/>
            <w:noWrap/>
            <w:vAlign w:val="center"/>
            <w:hideMark/>
          </w:tcPr>
          <w:p w14:paraId="3BD3DE2D"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r>
      <w:tr w:rsidR="00117833" w:rsidRPr="00537C6A" w14:paraId="5EB03DC9" w14:textId="77777777" w:rsidTr="00117833">
        <w:trPr>
          <w:trHeight w:val="20"/>
          <w:jc w:val="center"/>
        </w:trPr>
        <w:tc>
          <w:tcPr>
            <w:tcW w:w="2160" w:type="dxa"/>
            <w:tcBorders>
              <w:left w:val="double" w:sz="4" w:space="0" w:color="auto"/>
              <w:right w:val="double" w:sz="4" w:space="0" w:color="auto"/>
            </w:tcBorders>
            <w:shd w:val="clear" w:color="000000" w:fill="FFFFFF"/>
            <w:noWrap/>
            <w:vAlign w:val="center"/>
            <w:hideMark/>
          </w:tcPr>
          <w:p w14:paraId="5DA8C423" w14:textId="77777777" w:rsidR="00944378" w:rsidRPr="00537C6A" w:rsidRDefault="00944378" w:rsidP="00944378">
            <w:pPr>
              <w:jc w:val="left"/>
              <w:rPr>
                <w:rFonts w:eastAsia="Times New Roman"/>
                <w:color w:val="000000"/>
                <w:sz w:val="22"/>
                <w:szCs w:val="22"/>
              </w:rPr>
            </w:pPr>
            <w:r w:rsidRPr="00537C6A">
              <w:rPr>
                <w:rFonts w:eastAsia="Times New Roman"/>
                <w:color w:val="000000"/>
                <w:sz w:val="22"/>
                <w:szCs w:val="22"/>
              </w:rPr>
              <w:t>Online Meals</w:t>
            </w:r>
          </w:p>
        </w:tc>
        <w:tc>
          <w:tcPr>
            <w:tcW w:w="900" w:type="dxa"/>
            <w:tcBorders>
              <w:left w:val="double" w:sz="4" w:space="0" w:color="auto"/>
            </w:tcBorders>
            <w:shd w:val="clear" w:color="000000" w:fill="FFFFFF"/>
            <w:noWrap/>
            <w:vAlign w:val="center"/>
            <w:hideMark/>
          </w:tcPr>
          <w:p w14:paraId="2E795D6A"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11" w:type="dxa"/>
            <w:tcBorders>
              <w:right w:val="double" w:sz="4" w:space="0" w:color="auto"/>
            </w:tcBorders>
            <w:shd w:val="clear" w:color="000000" w:fill="FFFFFF"/>
            <w:noWrap/>
            <w:vAlign w:val="center"/>
            <w:hideMark/>
          </w:tcPr>
          <w:p w14:paraId="0101782A"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889" w:type="dxa"/>
            <w:tcBorders>
              <w:left w:val="double" w:sz="4" w:space="0" w:color="auto"/>
            </w:tcBorders>
            <w:shd w:val="clear" w:color="000000" w:fill="FFFFFF"/>
            <w:noWrap/>
            <w:vAlign w:val="center"/>
            <w:hideMark/>
          </w:tcPr>
          <w:p w14:paraId="306B8FC4"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0.510</w:t>
            </w:r>
          </w:p>
        </w:tc>
        <w:tc>
          <w:tcPr>
            <w:tcW w:w="954" w:type="dxa"/>
            <w:tcBorders>
              <w:right w:val="double" w:sz="4" w:space="0" w:color="auto"/>
            </w:tcBorders>
            <w:shd w:val="clear" w:color="000000" w:fill="FFFFFF"/>
            <w:noWrap/>
            <w:vAlign w:val="center"/>
            <w:hideMark/>
          </w:tcPr>
          <w:p w14:paraId="29772800"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5.866</w:t>
            </w:r>
          </w:p>
        </w:tc>
        <w:tc>
          <w:tcPr>
            <w:tcW w:w="790" w:type="dxa"/>
            <w:tcBorders>
              <w:left w:val="double" w:sz="4" w:space="0" w:color="auto"/>
            </w:tcBorders>
            <w:shd w:val="clear" w:color="000000" w:fill="FFFFFF"/>
            <w:noWrap/>
            <w:vAlign w:val="center"/>
            <w:hideMark/>
          </w:tcPr>
          <w:p w14:paraId="5B464627"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866" w:type="dxa"/>
            <w:tcBorders>
              <w:right w:val="double" w:sz="4" w:space="0" w:color="auto"/>
            </w:tcBorders>
            <w:shd w:val="clear" w:color="000000" w:fill="FFFFFF"/>
            <w:noWrap/>
            <w:vAlign w:val="center"/>
            <w:hideMark/>
          </w:tcPr>
          <w:p w14:paraId="31FE2690"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00" w:type="dxa"/>
            <w:gridSpan w:val="2"/>
            <w:tcBorders>
              <w:left w:val="double" w:sz="4" w:space="0" w:color="auto"/>
            </w:tcBorders>
            <w:shd w:val="clear" w:color="000000" w:fill="FFFFFF"/>
            <w:noWrap/>
            <w:vAlign w:val="center"/>
            <w:hideMark/>
          </w:tcPr>
          <w:p w14:paraId="7E1A431E"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00" w:type="dxa"/>
            <w:tcBorders>
              <w:right w:val="double" w:sz="4" w:space="0" w:color="auto"/>
            </w:tcBorders>
            <w:shd w:val="clear" w:color="000000" w:fill="FFFFFF"/>
            <w:noWrap/>
            <w:vAlign w:val="center"/>
            <w:hideMark/>
          </w:tcPr>
          <w:p w14:paraId="508DC9D0"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00" w:type="dxa"/>
            <w:tcBorders>
              <w:left w:val="double" w:sz="4" w:space="0" w:color="auto"/>
            </w:tcBorders>
            <w:shd w:val="clear" w:color="000000" w:fill="FFFFFF"/>
            <w:noWrap/>
            <w:vAlign w:val="center"/>
            <w:hideMark/>
          </w:tcPr>
          <w:p w14:paraId="6A840A66"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1030" w:type="dxa"/>
            <w:tcBorders>
              <w:right w:val="double" w:sz="4" w:space="0" w:color="auto"/>
            </w:tcBorders>
            <w:shd w:val="clear" w:color="000000" w:fill="FFFFFF"/>
            <w:noWrap/>
            <w:vAlign w:val="center"/>
            <w:hideMark/>
          </w:tcPr>
          <w:p w14:paraId="668FE316"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50" w:type="dxa"/>
            <w:tcBorders>
              <w:left w:val="double" w:sz="4" w:space="0" w:color="auto"/>
            </w:tcBorders>
            <w:shd w:val="clear" w:color="000000" w:fill="FFFFFF"/>
            <w:noWrap/>
            <w:vAlign w:val="center"/>
            <w:hideMark/>
          </w:tcPr>
          <w:p w14:paraId="3907C2BF"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54" w:type="dxa"/>
            <w:tcBorders>
              <w:right w:val="double" w:sz="4" w:space="0" w:color="auto"/>
            </w:tcBorders>
            <w:shd w:val="clear" w:color="000000" w:fill="FFFFFF"/>
            <w:noWrap/>
            <w:vAlign w:val="center"/>
            <w:hideMark/>
          </w:tcPr>
          <w:p w14:paraId="79C6E79C"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r>
      <w:tr w:rsidR="00117833" w:rsidRPr="00537C6A" w14:paraId="500F1E6B" w14:textId="77777777" w:rsidTr="00117833">
        <w:trPr>
          <w:trHeight w:val="20"/>
          <w:jc w:val="center"/>
        </w:trPr>
        <w:tc>
          <w:tcPr>
            <w:tcW w:w="2160" w:type="dxa"/>
            <w:tcBorders>
              <w:left w:val="double" w:sz="4" w:space="0" w:color="auto"/>
              <w:right w:val="double" w:sz="4" w:space="0" w:color="auto"/>
            </w:tcBorders>
            <w:shd w:val="clear" w:color="000000" w:fill="FFFFFF"/>
            <w:noWrap/>
            <w:vAlign w:val="center"/>
            <w:hideMark/>
          </w:tcPr>
          <w:p w14:paraId="2A3F3A70" w14:textId="77777777" w:rsidR="00944378" w:rsidRPr="00537C6A" w:rsidRDefault="00944378" w:rsidP="00944378">
            <w:pPr>
              <w:jc w:val="left"/>
              <w:rPr>
                <w:rFonts w:eastAsia="Times New Roman"/>
                <w:color w:val="000000"/>
                <w:sz w:val="22"/>
                <w:szCs w:val="22"/>
              </w:rPr>
            </w:pPr>
            <w:r w:rsidRPr="00537C6A">
              <w:rPr>
                <w:rFonts w:eastAsia="Times New Roman"/>
                <w:color w:val="000000"/>
                <w:sz w:val="22"/>
                <w:szCs w:val="22"/>
              </w:rPr>
              <w:t>In-person Shopping</w:t>
            </w:r>
          </w:p>
        </w:tc>
        <w:tc>
          <w:tcPr>
            <w:tcW w:w="900" w:type="dxa"/>
            <w:tcBorders>
              <w:left w:val="double" w:sz="4" w:space="0" w:color="auto"/>
            </w:tcBorders>
            <w:shd w:val="clear" w:color="000000" w:fill="FFFFFF"/>
            <w:noWrap/>
            <w:vAlign w:val="center"/>
            <w:hideMark/>
          </w:tcPr>
          <w:p w14:paraId="56B19C2C"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11" w:type="dxa"/>
            <w:tcBorders>
              <w:right w:val="double" w:sz="4" w:space="0" w:color="auto"/>
            </w:tcBorders>
            <w:shd w:val="clear" w:color="000000" w:fill="FFFFFF"/>
            <w:noWrap/>
            <w:vAlign w:val="center"/>
            <w:hideMark/>
          </w:tcPr>
          <w:p w14:paraId="76C13ABE"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889" w:type="dxa"/>
            <w:tcBorders>
              <w:left w:val="double" w:sz="4" w:space="0" w:color="auto"/>
            </w:tcBorders>
            <w:shd w:val="clear" w:color="000000" w:fill="FFFFFF"/>
            <w:noWrap/>
            <w:vAlign w:val="center"/>
            <w:hideMark/>
          </w:tcPr>
          <w:p w14:paraId="6DF78767"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54" w:type="dxa"/>
            <w:tcBorders>
              <w:right w:val="double" w:sz="4" w:space="0" w:color="auto"/>
            </w:tcBorders>
            <w:shd w:val="clear" w:color="000000" w:fill="FFFFFF"/>
            <w:noWrap/>
            <w:vAlign w:val="center"/>
            <w:hideMark/>
          </w:tcPr>
          <w:p w14:paraId="4C126856"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790" w:type="dxa"/>
            <w:tcBorders>
              <w:left w:val="double" w:sz="4" w:space="0" w:color="auto"/>
            </w:tcBorders>
            <w:shd w:val="clear" w:color="000000" w:fill="FFFFFF"/>
            <w:noWrap/>
            <w:vAlign w:val="center"/>
            <w:hideMark/>
          </w:tcPr>
          <w:p w14:paraId="79399710"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866" w:type="dxa"/>
            <w:tcBorders>
              <w:right w:val="double" w:sz="4" w:space="0" w:color="auto"/>
            </w:tcBorders>
            <w:shd w:val="clear" w:color="000000" w:fill="FFFFFF"/>
            <w:noWrap/>
            <w:vAlign w:val="center"/>
            <w:hideMark/>
          </w:tcPr>
          <w:p w14:paraId="31652944"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00" w:type="dxa"/>
            <w:gridSpan w:val="2"/>
            <w:tcBorders>
              <w:left w:val="double" w:sz="4" w:space="0" w:color="auto"/>
            </w:tcBorders>
            <w:shd w:val="clear" w:color="000000" w:fill="FFFFFF"/>
            <w:noWrap/>
            <w:vAlign w:val="center"/>
            <w:hideMark/>
          </w:tcPr>
          <w:p w14:paraId="10ECD146"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00" w:type="dxa"/>
            <w:tcBorders>
              <w:right w:val="double" w:sz="4" w:space="0" w:color="auto"/>
            </w:tcBorders>
            <w:shd w:val="clear" w:color="000000" w:fill="FFFFFF"/>
            <w:noWrap/>
            <w:vAlign w:val="center"/>
            <w:hideMark/>
          </w:tcPr>
          <w:p w14:paraId="68252D6A"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00" w:type="dxa"/>
            <w:tcBorders>
              <w:left w:val="double" w:sz="4" w:space="0" w:color="auto"/>
            </w:tcBorders>
            <w:shd w:val="clear" w:color="000000" w:fill="FFFFFF"/>
            <w:noWrap/>
            <w:vAlign w:val="center"/>
            <w:hideMark/>
          </w:tcPr>
          <w:p w14:paraId="754C242E"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1030" w:type="dxa"/>
            <w:tcBorders>
              <w:right w:val="double" w:sz="4" w:space="0" w:color="auto"/>
            </w:tcBorders>
            <w:shd w:val="clear" w:color="000000" w:fill="FFFFFF"/>
            <w:noWrap/>
            <w:vAlign w:val="center"/>
            <w:hideMark/>
          </w:tcPr>
          <w:p w14:paraId="0514EF67"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50" w:type="dxa"/>
            <w:tcBorders>
              <w:left w:val="double" w:sz="4" w:space="0" w:color="auto"/>
            </w:tcBorders>
            <w:shd w:val="clear" w:color="000000" w:fill="FFFFFF"/>
            <w:noWrap/>
            <w:vAlign w:val="center"/>
            <w:hideMark/>
          </w:tcPr>
          <w:p w14:paraId="0F30EB1B"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54" w:type="dxa"/>
            <w:tcBorders>
              <w:right w:val="double" w:sz="4" w:space="0" w:color="auto"/>
            </w:tcBorders>
            <w:shd w:val="clear" w:color="000000" w:fill="FFFFFF"/>
            <w:noWrap/>
            <w:vAlign w:val="center"/>
            <w:hideMark/>
          </w:tcPr>
          <w:p w14:paraId="62B8367C"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r>
      <w:tr w:rsidR="00117833" w:rsidRPr="00537C6A" w14:paraId="52587957" w14:textId="77777777" w:rsidTr="00117833">
        <w:trPr>
          <w:trHeight w:val="20"/>
          <w:jc w:val="center"/>
        </w:trPr>
        <w:tc>
          <w:tcPr>
            <w:tcW w:w="2160" w:type="dxa"/>
            <w:tcBorders>
              <w:left w:val="double" w:sz="4" w:space="0" w:color="auto"/>
              <w:right w:val="double" w:sz="4" w:space="0" w:color="auto"/>
            </w:tcBorders>
            <w:shd w:val="clear" w:color="000000" w:fill="FFFFFF"/>
            <w:noWrap/>
            <w:vAlign w:val="center"/>
            <w:hideMark/>
          </w:tcPr>
          <w:p w14:paraId="6F0ED3DF" w14:textId="77777777" w:rsidR="00944378" w:rsidRPr="00537C6A" w:rsidRDefault="00944378" w:rsidP="00944378">
            <w:pPr>
              <w:jc w:val="left"/>
              <w:rPr>
                <w:rFonts w:eastAsia="Times New Roman"/>
                <w:color w:val="000000"/>
                <w:sz w:val="22"/>
                <w:szCs w:val="22"/>
              </w:rPr>
            </w:pPr>
            <w:r w:rsidRPr="00537C6A">
              <w:rPr>
                <w:rFonts w:eastAsia="Times New Roman"/>
                <w:color w:val="000000"/>
                <w:sz w:val="22"/>
                <w:szCs w:val="22"/>
              </w:rPr>
              <w:t>In-person Groceries</w:t>
            </w:r>
          </w:p>
        </w:tc>
        <w:tc>
          <w:tcPr>
            <w:tcW w:w="900" w:type="dxa"/>
            <w:tcBorders>
              <w:left w:val="double" w:sz="4" w:space="0" w:color="auto"/>
            </w:tcBorders>
            <w:shd w:val="clear" w:color="000000" w:fill="FFFFFF"/>
            <w:noWrap/>
            <w:vAlign w:val="center"/>
            <w:hideMark/>
          </w:tcPr>
          <w:p w14:paraId="26E30C85"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11" w:type="dxa"/>
            <w:tcBorders>
              <w:right w:val="double" w:sz="4" w:space="0" w:color="auto"/>
            </w:tcBorders>
            <w:shd w:val="clear" w:color="000000" w:fill="FFFFFF"/>
            <w:noWrap/>
            <w:vAlign w:val="center"/>
            <w:hideMark/>
          </w:tcPr>
          <w:p w14:paraId="6F64238E"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889" w:type="dxa"/>
            <w:tcBorders>
              <w:left w:val="double" w:sz="4" w:space="0" w:color="auto"/>
            </w:tcBorders>
            <w:shd w:val="clear" w:color="000000" w:fill="FFFFFF"/>
            <w:noWrap/>
            <w:vAlign w:val="center"/>
            <w:hideMark/>
          </w:tcPr>
          <w:p w14:paraId="6FB4E53C"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54" w:type="dxa"/>
            <w:tcBorders>
              <w:right w:val="double" w:sz="4" w:space="0" w:color="auto"/>
            </w:tcBorders>
            <w:shd w:val="clear" w:color="000000" w:fill="FFFFFF"/>
            <w:noWrap/>
            <w:vAlign w:val="center"/>
            <w:hideMark/>
          </w:tcPr>
          <w:p w14:paraId="09CB294F"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790" w:type="dxa"/>
            <w:tcBorders>
              <w:left w:val="double" w:sz="4" w:space="0" w:color="auto"/>
            </w:tcBorders>
            <w:shd w:val="clear" w:color="000000" w:fill="FFFFFF"/>
            <w:noWrap/>
            <w:vAlign w:val="center"/>
            <w:hideMark/>
          </w:tcPr>
          <w:p w14:paraId="51FC6E93"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866" w:type="dxa"/>
            <w:tcBorders>
              <w:right w:val="double" w:sz="4" w:space="0" w:color="auto"/>
            </w:tcBorders>
            <w:shd w:val="clear" w:color="000000" w:fill="FFFFFF"/>
            <w:noWrap/>
            <w:vAlign w:val="center"/>
            <w:hideMark/>
          </w:tcPr>
          <w:p w14:paraId="5C2AE40D"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00" w:type="dxa"/>
            <w:gridSpan w:val="2"/>
            <w:tcBorders>
              <w:left w:val="double" w:sz="4" w:space="0" w:color="auto"/>
            </w:tcBorders>
            <w:shd w:val="clear" w:color="000000" w:fill="FFFFFF"/>
            <w:noWrap/>
            <w:vAlign w:val="center"/>
            <w:hideMark/>
          </w:tcPr>
          <w:p w14:paraId="747BC114"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0.275</w:t>
            </w:r>
          </w:p>
        </w:tc>
        <w:tc>
          <w:tcPr>
            <w:tcW w:w="900" w:type="dxa"/>
            <w:tcBorders>
              <w:right w:val="double" w:sz="4" w:space="0" w:color="auto"/>
            </w:tcBorders>
            <w:shd w:val="clear" w:color="000000" w:fill="FFFFFF"/>
            <w:noWrap/>
            <w:vAlign w:val="center"/>
            <w:hideMark/>
          </w:tcPr>
          <w:p w14:paraId="4AAB0DDB"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6.193</w:t>
            </w:r>
          </w:p>
        </w:tc>
        <w:tc>
          <w:tcPr>
            <w:tcW w:w="900" w:type="dxa"/>
            <w:tcBorders>
              <w:left w:val="double" w:sz="4" w:space="0" w:color="auto"/>
            </w:tcBorders>
            <w:shd w:val="clear" w:color="000000" w:fill="FFFFFF"/>
            <w:noWrap/>
            <w:vAlign w:val="center"/>
            <w:hideMark/>
          </w:tcPr>
          <w:p w14:paraId="1F3F727D"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1030" w:type="dxa"/>
            <w:tcBorders>
              <w:right w:val="double" w:sz="4" w:space="0" w:color="auto"/>
            </w:tcBorders>
            <w:shd w:val="clear" w:color="000000" w:fill="FFFFFF"/>
            <w:noWrap/>
            <w:vAlign w:val="center"/>
            <w:hideMark/>
          </w:tcPr>
          <w:p w14:paraId="6017D669"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50" w:type="dxa"/>
            <w:tcBorders>
              <w:left w:val="double" w:sz="4" w:space="0" w:color="auto"/>
            </w:tcBorders>
            <w:shd w:val="clear" w:color="000000" w:fill="FFFFFF"/>
            <w:noWrap/>
            <w:vAlign w:val="center"/>
            <w:hideMark/>
          </w:tcPr>
          <w:p w14:paraId="0D897268"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54" w:type="dxa"/>
            <w:tcBorders>
              <w:right w:val="double" w:sz="4" w:space="0" w:color="auto"/>
            </w:tcBorders>
            <w:shd w:val="clear" w:color="000000" w:fill="FFFFFF"/>
            <w:noWrap/>
            <w:vAlign w:val="center"/>
            <w:hideMark/>
          </w:tcPr>
          <w:p w14:paraId="6CF6C7B6"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r>
      <w:tr w:rsidR="00117833" w:rsidRPr="00537C6A" w14:paraId="1F8917E4" w14:textId="77777777" w:rsidTr="00117833">
        <w:trPr>
          <w:trHeight w:val="20"/>
          <w:jc w:val="center"/>
        </w:trPr>
        <w:tc>
          <w:tcPr>
            <w:tcW w:w="2160" w:type="dxa"/>
            <w:tcBorders>
              <w:left w:val="double" w:sz="4" w:space="0" w:color="auto"/>
              <w:bottom w:val="double" w:sz="4" w:space="0" w:color="auto"/>
              <w:right w:val="double" w:sz="4" w:space="0" w:color="auto"/>
            </w:tcBorders>
            <w:shd w:val="clear" w:color="000000" w:fill="FFFFFF"/>
            <w:noWrap/>
            <w:vAlign w:val="center"/>
            <w:hideMark/>
          </w:tcPr>
          <w:p w14:paraId="2733F1EC" w14:textId="77777777" w:rsidR="00944378" w:rsidRPr="00537C6A" w:rsidRDefault="00944378" w:rsidP="00944378">
            <w:pPr>
              <w:jc w:val="left"/>
              <w:rPr>
                <w:rFonts w:eastAsia="Times New Roman"/>
                <w:color w:val="000000"/>
                <w:sz w:val="22"/>
                <w:szCs w:val="22"/>
              </w:rPr>
            </w:pPr>
            <w:r w:rsidRPr="00537C6A">
              <w:rPr>
                <w:rFonts w:eastAsia="Times New Roman"/>
                <w:color w:val="000000"/>
                <w:sz w:val="22"/>
                <w:szCs w:val="22"/>
              </w:rPr>
              <w:t>In-person Meals</w:t>
            </w:r>
          </w:p>
        </w:tc>
        <w:tc>
          <w:tcPr>
            <w:tcW w:w="900" w:type="dxa"/>
            <w:tcBorders>
              <w:left w:val="double" w:sz="4" w:space="0" w:color="auto"/>
              <w:bottom w:val="double" w:sz="4" w:space="0" w:color="auto"/>
            </w:tcBorders>
            <w:shd w:val="clear" w:color="000000" w:fill="FFFFFF"/>
            <w:noWrap/>
            <w:vAlign w:val="center"/>
            <w:hideMark/>
          </w:tcPr>
          <w:p w14:paraId="0ED4B31E"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11" w:type="dxa"/>
            <w:tcBorders>
              <w:bottom w:val="double" w:sz="4" w:space="0" w:color="auto"/>
              <w:right w:val="double" w:sz="4" w:space="0" w:color="auto"/>
            </w:tcBorders>
            <w:shd w:val="clear" w:color="000000" w:fill="FFFFFF"/>
            <w:noWrap/>
            <w:vAlign w:val="center"/>
            <w:hideMark/>
          </w:tcPr>
          <w:p w14:paraId="10E84B36"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889" w:type="dxa"/>
            <w:tcBorders>
              <w:left w:val="double" w:sz="4" w:space="0" w:color="auto"/>
              <w:bottom w:val="double" w:sz="4" w:space="0" w:color="auto"/>
            </w:tcBorders>
            <w:shd w:val="clear" w:color="000000" w:fill="FFFFFF"/>
            <w:noWrap/>
            <w:vAlign w:val="center"/>
            <w:hideMark/>
          </w:tcPr>
          <w:p w14:paraId="3A9A0AC5"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54" w:type="dxa"/>
            <w:tcBorders>
              <w:bottom w:val="double" w:sz="4" w:space="0" w:color="auto"/>
              <w:right w:val="double" w:sz="4" w:space="0" w:color="auto"/>
            </w:tcBorders>
            <w:shd w:val="clear" w:color="000000" w:fill="FFFFFF"/>
            <w:noWrap/>
            <w:vAlign w:val="center"/>
            <w:hideMark/>
          </w:tcPr>
          <w:p w14:paraId="429BEB3A"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790" w:type="dxa"/>
            <w:tcBorders>
              <w:left w:val="double" w:sz="4" w:space="0" w:color="auto"/>
              <w:bottom w:val="double" w:sz="4" w:space="0" w:color="auto"/>
            </w:tcBorders>
            <w:shd w:val="clear" w:color="000000" w:fill="FFFFFF"/>
            <w:noWrap/>
            <w:vAlign w:val="center"/>
            <w:hideMark/>
          </w:tcPr>
          <w:p w14:paraId="729BEABB"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866" w:type="dxa"/>
            <w:tcBorders>
              <w:bottom w:val="double" w:sz="4" w:space="0" w:color="auto"/>
              <w:right w:val="double" w:sz="4" w:space="0" w:color="auto"/>
            </w:tcBorders>
            <w:shd w:val="clear" w:color="000000" w:fill="FFFFFF"/>
            <w:noWrap/>
            <w:vAlign w:val="center"/>
            <w:hideMark/>
          </w:tcPr>
          <w:p w14:paraId="6288FFE4"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00" w:type="dxa"/>
            <w:gridSpan w:val="2"/>
            <w:tcBorders>
              <w:left w:val="double" w:sz="4" w:space="0" w:color="auto"/>
              <w:bottom w:val="double" w:sz="4" w:space="0" w:color="auto"/>
            </w:tcBorders>
            <w:shd w:val="clear" w:color="000000" w:fill="FFFFFF"/>
            <w:noWrap/>
            <w:vAlign w:val="center"/>
            <w:hideMark/>
          </w:tcPr>
          <w:p w14:paraId="3CCDC6B0"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0.188</w:t>
            </w:r>
          </w:p>
        </w:tc>
        <w:tc>
          <w:tcPr>
            <w:tcW w:w="900" w:type="dxa"/>
            <w:tcBorders>
              <w:bottom w:val="double" w:sz="4" w:space="0" w:color="auto"/>
              <w:right w:val="double" w:sz="4" w:space="0" w:color="auto"/>
            </w:tcBorders>
            <w:shd w:val="clear" w:color="000000" w:fill="FFFFFF"/>
            <w:noWrap/>
            <w:vAlign w:val="center"/>
            <w:hideMark/>
          </w:tcPr>
          <w:p w14:paraId="3D4C2741"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4.056</w:t>
            </w:r>
          </w:p>
        </w:tc>
        <w:tc>
          <w:tcPr>
            <w:tcW w:w="900" w:type="dxa"/>
            <w:tcBorders>
              <w:left w:val="double" w:sz="4" w:space="0" w:color="auto"/>
              <w:bottom w:val="double" w:sz="4" w:space="0" w:color="auto"/>
            </w:tcBorders>
            <w:shd w:val="clear" w:color="000000" w:fill="FFFFFF"/>
            <w:noWrap/>
            <w:vAlign w:val="center"/>
            <w:hideMark/>
          </w:tcPr>
          <w:p w14:paraId="2D8AAFDF"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0.192</w:t>
            </w:r>
          </w:p>
        </w:tc>
        <w:tc>
          <w:tcPr>
            <w:tcW w:w="1030" w:type="dxa"/>
            <w:tcBorders>
              <w:bottom w:val="double" w:sz="4" w:space="0" w:color="auto"/>
              <w:right w:val="double" w:sz="4" w:space="0" w:color="auto"/>
            </w:tcBorders>
            <w:shd w:val="clear" w:color="000000" w:fill="FFFFFF"/>
            <w:noWrap/>
            <w:vAlign w:val="center"/>
            <w:hideMark/>
          </w:tcPr>
          <w:p w14:paraId="3C89CDE3"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4.182</w:t>
            </w:r>
          </w:p>
        </w:tc>
        <w:tc>
          <w:tcPr>
            <w:tcW w:w="950" w:type="dxa"/>
            <w:tcBorders>
              <w:left w:val="double" w:sz="4" w:space="0" w:color="auto"/>
              <w:bottom w:val="double" w:sz="4" w:space="0" w:color="auto"/>
            </w:tcBorders>
            <w:shd w:val="clear" w:color="000000" w:fill="FFFFFF"/>
            <w:noWrap/>
            <w:vAlign w:val="center"/>
            <w:hideMark/>
          </w:tcPr>
          <w:p w14:paraId="0DAC4912"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c>
          <w:tcPr>
            <w:tcW w:w="954" w:type="dxa"/>
            <w:tcBorders>
              <w:bottom w:val="double" w:sz="4" w:space="0" w:color="auto"/>
              <w:right w:val="double" w:sz="4" w:space="0" w:color="auto"/>
            </w:tcBorders>
            <w:shd w:val="clear" w:color="000000" w:fill="FFFFFF"/>
            <w:noWrap/>
            <w:vAlign w:val="center"/>
            <w:hideMark/>
          </w:tcPr>
          <w:p w14:paraId="257BF595" w14:textId="77777777" w:rsidR="00944378" w:rsidRPr="00537C6A" w:rsidRDefault="00944378" w:rsidP="00944378">
            <w:pPr>
              <w:jc w:val="right"/>
              <w:rPr>
                <w:rFonts w:eastAsia="Times New Roman"/>
                <w:color w:val="000000"/>
                <w:sz w:val="22"/>
                <w:szCs w:val="22"/>
              </w:rPr>
            </w:pPr>
            <w:r w:rsidRPr="00537C6A">
              <w:rPr>
                <w:rFonts w:eastAsia="Times New Roman"/>
                <w:color w:val="000000"/>
                <w:sz w:val="22"/>
                <w:szCs w:val="22"/>
              </w:rPr>
              <w:t> </w:t>
            </w:r>
          </w:p>
        </w:tc>
      </w:tr>
      <w:tr w:rsidR="00944378" w:rsidRPr="00537C6A" w14:paraId="118DA099" w14:textId="77777777" w:rsidTr="00117833">
        <w:trPr>
          <w:trHeight w:val="20"/>
          <w:jc w:val="center"/>
        </w:trPr>
        <w:tc>
          <w:tcPr>
            <w:tcW w:w="13104" w:type="dxa"/>
            <w:gridSpan w:val="14"/>
            <w:tcBorders>
              <w:top w:val="double" w:sz="4" w:space="0" w:color="auto"/>
              <w:left w:val="double" w:sz="6" w:space="0" w:color="auto"/>
              <w:bottom w:val="double" w:sz="6" w:space="0" w:color="auto"/>
              <w:right w:val="double" w:sz="6" w:space="0" w:color="auto"/>
            </w:tcBorders>
            <w:shd w:val="clear" w:color="000000" w:fill="FFFFFF"/>
            <w:noWrap/>
            <w:vAlign w:val="center"/>
          </w:tcPr>
          <w:p w14:paraId="474DB4F0" w14:textId="77777777" w:rsidR="00944378" w:rsidRPr="00C335DA" w:rsidRDefault="00944378" w:rsidP="00944378">
            <w:pPr>
              <w:jc w:val="left"/>
              <w:rPr>
                <w:i/>
                <w:iCs/>
                <w:sz w:val="22"/>
                <w:szCs w:val="22"/>
                <w:shd w:val="clear" w:color="auto" w:fill="FFFFFF"/>
              </w:rPr>
            </w:pPr>
            <w:r w:rsidRPr="00C335DA">
              <w:rPr>
                <w:i/>
                <w:iCs/>
                <w:sz w:val="22"/>
                <w:szCs w:val="22"/>
                <w:shd w:val="clear" w:color="auto" w:fill="FFFFFF"/>
              </w:rPr>
              <w:t xml:space="preserve">Goodness-of-Fit Measures: </w:t>
            </w:r>
          </w:p>
          <w:p w14:paraId="0B23310F" w14:textId="77777777" w:rsidR="00944378" w:rsidRPr="00C335DA" w:rsidRDefault="00944378" w:rsidP="00944378">
            <w:pPr>
              <w:ind w:left="720"/>
              <w:jc w:val="left"/>
              <w:rPr>
                <w:sz w:val="22"/>
                <w:szCs w:val="22"/>
                <w:shd w:val="clear" w:color="auto" w:fill="FFFFFF"/>
              </w:rPr>
            </w:pPr>
            <w:r w:rsidRPr="00C335DA">
              <w:rPr>
                <w:sz w:val="22"/>
                <w:szCs w:val="22"/>
                <w:shd w:val="clear" w:color="auto" w:fill="FFFFFF"/>
              </w:rPr>
              <w:t>Free Parameters: 88; Composite Marginal, LL: -21274.3920; Predicted, LL: -4278.3787; Rho-squared: 0.0555</w:t>
            </w:r>
          </w:p>
          <w:p w14:paraId="601DC611" w14:textId="1A9DB404" w:rsidR="00944378" w:rsidRPr="00C335DA" w:rsidRDefault="00944378" w:rsidP="00944378">
            <w:pPr>
              <w:ind w:left="720"/>
              <w:jc w:val="left"/>
              <w:rPr>
                <w:sz w:val="22"/>
                <w:szCs w:val="22"/>
                <w:shd w:val="clear" w:color="auto" w:fill="FFFFFF"/>
              </w:rPr>
            </w:pPr>
            <w:r w:rsidRPr="00C335DA">
              <w:rPr>
                <w:sz w:val="22"/>
                <w:szCs w:val="22"/>
                <w:shd w:val="clear" w:color="auto" w:fill="FFFFFF"/>
              </w:rPr>
              <w:t>Adjusted rho-squared: 0.0394; Likelihood Ratio vs</w:t>
            </w:r>
            <w:r w:rsidR="00505D0E">
              <w:rPr>
                <w:sz w:val="22"/>
                <w:szCs w:val="22"/>
                <w:shd w:val="clear" w:color="auto" w:fill="FFFFFF"/>
              </w:rPr>
              <w:t>.</w:t>
            </w:r>
            <w:r w:rsidRPr="00C335DA">
              <w:rPr>
                <w:sz w:val="22"/>
                <w:szCs w:val="22"/>
                <w:shd w:val="clear" w:color="auto" w:fill="FFFFFF"/>
              </w:rPr>
              <w:t xml:space="preserve"> Null: 502.7996 (p=0.00)</w:t>
            </w:r>
          </w:p>
          <w:p w14:paraId="10C285A4" w14:textId="0BC0A112" w:rsidR="00944378" w:rsidRPr="001672AC" w:rsidRDefault="00944378" w:rsidP="00944378">
            <w:pPr>
              <w:ind w:left="720"/>
              <w:jc w:val="left"/>
              <w:rPr>
                <w:shd w:val="clear" w:color="auto" w:fill="FFFFFF"/>
              </w:rPr>
            </w:pPr>
            <w:r w:rsidRPr="00C335DA">
              <w:rPr>
                <w:sz w:val="22"/>
                <w:szCs w:val="22"/>
                <w:shd w:val="clear" w:color="auto" w:fill="FFFFFF"/>
              </w:rPr>
              <w:t>Likelihood Ratio vs</w:t>
            </w:r>
            <w:r w:rsidR="00505D0E">
              <w:rPr>
                <w:sz w:val="22"/>
                <w:szCs w:val="22"/>
                <w:shd w:val="clear" w:color="auto" w:fill="FFFFFF"/>
              </w:rPr>
              <w:t>.</w:t>
            </w:r>
            <w:r w:rsidRPr="00C335DA">
              <w:rPr>
                <w:sz w:val="22"/>
                <w:szCs w:val="22"/>
                <w:shd w:val="clear" w:color="auto" w:fill="FFFFFF"/>
              </w:rPr>
              <w:t xml:space="preserve"> Independent Model: 143.7270 (p=0.00); Likelihood Ratio vs</w:t>
            </w:r>
            <w:r w:rsidR="00505D0E">
              <w:rPr>
                <w:sz w:val="22"/>
                <w:szCs w:val="22"/>
                <w:shd w:val="clear" w:color="auto" w:fill="FFFFFF"/>
              </w:rPr>
              <w:t>.</w:t>
            </w:r>
            <w:r w:rsidRPr="00C335DA">
              <w:rPr>
                <w:sz w:val="22"/>
                <w:szCs w:val="22"/>
                <w:shd w:val="clear" w:color="auto" w:fill="FFFFFF"/>
              </w:rPr>
              <w:t xml:space="preserve"> H0: 50.7350 (p=0.00)</w:t>
            </w:r>
          </w:p>
        </w:tc>
      </w:tr>
    </w:tbl>
    <w:p w14:paraId="02F0B8D8" w14:textId="36EC4DF0" w:rsidR="00C353E1" w:rsidRDefault="00C353E1" w:rsidP="00E645B4"/>
    <w:p w14:paraId="190897AB" w14:textId="72EC62EE" w:rsidR="005C3210" w:rsidRDefault="005C3210" w:rsidP="00E645B4">
      <w:pPr>
        <w:sectPr w:rsidR="005C3210" w:rsidSect="003347E4">
          <w:headerReference w:type="default" r:id="rId71"/>
          <w:pgSz w:w="15840" w:h="12240" w:orient="landscape"/>
          <w:pgMar w:top="1440" w:right="1440" w:bottom="1440" w:left="1440" w:header="720" w:footer="720" w:gutter="0"/>
          <w:cols w:space="720"/>
          <w:docGrid w:linePitch="360"/>
        </w:sectPr>
      </w:pPr>
    </w:p>
    <w:p w14:paraId="6A1CAED0" w14:textId="74C337AC" w:rsidR="00582393" w:rsidRDefault="00582393" w:rsidP="00582393">
      <w:pPr>
        <w:ind w:firstLine="720"/>
      </w:pPr>
      <w:r>
        <w:lastRenderedPageBreak/>
        <w:t xml:space="preserve">Households with no workers depict </w:t>
      </w:r>
      <w:r w:rsidR="000842A6">
        <w:t>a higher propensity to engage in</w:t>
      </w:r>
      <w:r>
        <w:t xml:space="preserve"> online meal delivery; these are households with retirees who are likely to enjoy the convenience of having prepared meals delivered to the home. Because it is possible to order meals from many establishments over the phone, technology may not necessarily be a barrier for virtual meal engagement for these households (Pearce and Rice, 2013). Additionally, these no-worker households are able to pursue a greater frequency of in-person shopping episodes, presumably because they do not have the same time constraints as households with workers do (Zhou and Wang, 2014).  </w:t>
      </w:r>
    </w:p>
    <w:p w14:paraId="689C90A9" w14:textId="44146130" w:rsidR="00A86B7A" w:rsidRDefault="00582393" w:rsidP="00582393">
      <w:r>
        <w:tab/>
        <w:t xml:space="preserve">Households with greater number of adults and children </w:t>
      </w:r>
      <w:r w:rsidR="000842A6">
        <w:t>show a propensity to</w:t>
      </w:r>
      <w:r>
        <w:t xml:space="preserve"> engage in a higher frequency of both online and in-person shopping episodes for goods, groceries, and meals. This is consistent with expectations as larger households are likely to consume (and hence shop) more across all commodity categories considered in this paper. The presence of children appears to </w:t>
      </w:r>
      <w:r w:rsidR="00E05F64">
        <w:t>enhance the propensity to pursue</w:t>
      </w:r>
      <w:r>
        <w:t xml:space="preserve"> online grocery and meal purchases; this finding is similar to that in prior research</w:t>
      </w:r>
      <w:r w:rsidR="007F30F3">
        <w:t xml:space="preserve"> </w:t>
      </w:r>
      <w:r>
        <w:t>(e.g., Lavieri et al., 2018).</w:t>
      </w:r>
      <w:r w:rsidR="00A629EF">
        <w:t xml:space="preserve"> </w:t>
      </w:r>
      <w:r>
        <w:t>Households with children may find the convenience afforded by online grocery and meal delivery appealing, in light of their busy schedules.</w:t>
      </w:r>
      <w:r w:rsidR="00A629EF">
        <w:t xml:space="preserve"> </w:t>
      </w:r>
      <w:r w:rsidR="00A86B7A">
        <w:t xml:space="preserve">Households in higher density areas (presumably more urban core areas) </w:t>
      </w:r>
      <w:r w:rsidR="00290B2A">
        <w:t xml:space="preserve">have a higher propensity </w:t>
      </w:r>
      <w:r w:rsidR="00A86B7A">
        <w:t>to engage in</w:t>
      </w:r>
      <w:r w:rsidR="00290B2A">
        <w:t xml:space="preserve"> </w:t>
      </w:r>
      <w:r w:rsidR="00A86B7A">
        <w:t xml:space="preserve">online shopping for goods, groceries, and meals. On the other hand, those in lower density areas (such as suburban and rural environments) </w:t>
      </w:r>
      <w:r w:rsidR="00290B2A">
        <w:t xml:space="preserve">have a higher propensity </w:t>
      </w:r>
      <w:r w:rsidR="00A86B7A">
        <w:t>to engage in</w:t>
      </w:r>
      <w:r w:rsidR="00290B2A">
        <w:t xml:space="preserve"> </w:t>
      </w:r>
      <w:r w:rsidR="00A86B7A">
        <w:t xml:space="preserve">in-person shopping for goods and groceries. Those residing in urban areas are likely to be more technology-savvy and participating in the sharing/delivery-based economy, thereby leading to this finding; similar findings have been reported by others (e.g., Cao et al., 2012; Zhou and Wang, 2014). Households in dense urban areas </w:t>
      </w:r>
      <w:r w:rsidR="00290B2A">
        <w:t xml:space="preserve">have a higher propensity to </w:t>
      </w:r>
      <w:r w:rsidR="00A86B7A">
        <w:t>eat ou</w:t>
      </w:r>
      <w:r w:rsidR="00290B2A">
        <w:t>t</w:t>
      </w:r>
      <w:r w:rsidR="00A86B7A">
        <w:t>; the</w:t>
      </w:r>
      <w:r w:rsidR="00290B2A">
        <w:t xml:space="preserve"> </w:t>
      </w:r>
      <w:r w:rsidR="00A86B7A">
        <w:t>greater access to eating establishments in urban core areas likely contribute to this finding.</w:t>
      </w:r>
    </w:p>
    <w:p w14:paraId="59669A74" w14:textId="4F673906" w:rsidR="00A86B7A" w:rsidRDefault="00A86B7A" w:rsidP="00A86B7A">
      <w:r>
        <w:tab/>
        <w:t xml:space="preserve">Household </w:t>
      </w:r>
      <w:r w:rsidR="008149DE">
        <w:t>tenure</w:t>
      </w:r>
      <w:r>
        <w:t xml:space="preserve"> and housing unit type are found to significantly impact </w:t>
      </w:r>
      <w:r w:rsidR="00E05F64">
        <w:t>propensity to pursue</w:t>
      </w:r>
      <w:r>
        <w:t xml:space="preserve"> in-person and online shopping for various types of commodities. Homeowners </w:t>
      </w:r>
      <w:r w:rsidR="008149DE">
        <w:t xml:space="preserve">display a lower propensity </w:t>
      </w:r>
      <w:r>
        <w:t xml:space="preserve">to engage in online shopping for goods, groceries, and meals; </w:t>
      </w:r>
      <w:r w:rsidR="008149DE">
        <w:t xml:space="preserve">but exhibit a higher propensity </w:t>
      </w:r>
      <w:r>
        <w:t>to engage in</w:t>
      </w:r>
      <w:r w:rsidR="008149DE">
        <w:t xml:space="preserve"> </w:t>
      </w:r>
      <w:r>
        <w:t>in-person shopping episodes for non-grocery items. The</w:t>
      </w:r>
      <w:r w:rsidR="008149DE">
        <w:t xml:space="preserve">ir propensity to participate in </w:t>
      </w:r>
      <w:r>
        <w:t>in-person eat-out activities</w:t>
      </w:r>
      <w:r w:rsidR="008149DE">
        <w:t xml:space="preserve"> is also low</w:t>
      </w:r>
      <w:r>
        <w:t xml:space="preserve">. All of these findings are consistent with </w:t>
      </w:r>
      <w:r w:rsidR="008149DE">
        <w:t>homeowners being more stabilized in their lifecycles and preferring a traditional lifestyle wherein shopping at the neighborhood store and eating cooked meals inside the home constitute the norm</w:t>
      </w:r>
      <w:r w:rsidR="00361BDF">
        <w:t xml:space="preserve"> </w:t>
      </w:r>
      <w:r w:rsidR="00361BDF" w:rsidRPr="000F0C35">
        <w:t>(</w:t>
      </w:r>
      <w:proofErr w:type="spellStart"/>
      <w:r w:rsidR="000F0C35" w:rsidRPr="000F0C35">
        <w:t>Lallukka</w:t>
      </w:r>
      <w:proofErr w:type="spellEnd"/>
      <w:r w:rsidR="000F0C35" w:rsidRPr="000F0C35">
        <w:t xml:space="preserve"> et al., 2007</w:t>
      </w:r>
      <w:r w:rsidR="00361BDF" w:rsidRPr="000F0C35">
        <w:t>)</w:t>
      </w:r>
      <w:r w:rsidR="008149DE" w:rsidRPr="000F0C35">
        <w:t>.</w:t>
      </w:r>
      <w:r w:rsidR="00A629EF">
        <w:t xml:space="preserve"> </w:t>
      </w:r>
      <w:r>
        <w:t>Those residing in apartments and condos are found to engage in less online activity and higher in-person activities for groceries and eating out. The</w:t>
      </w:r>
      <w:r w:rsidR="007333FE">
        <w:t xml:space="preserve"> higher propensity to eat out among those who live in apartments and condos may </w:t>
      </w:r>
      <w:proofErr w:type="gramStart"/>
      <w:r w:rsidR="007333FE">
        <w:t>be a reflection of</w:t>
      </w:r>
      <w:proofErr w:type="gramEnd"/>
      <w:r w:rsidR="007333FE">
        <w:t xml:space="preserve"> relatively transient populations who are open to exploring a variety of types of cuisines</w:t>
      </w:r>
      <w:r w:rsidR="00920471">
        <w:t>.</w:t>
      </w:r>
      <w:r w:rsidR="00361BDF">
        <w:t xml:space="preserve"> </w:t>
      </w:r>
    </w:p>
    <w:p w14:paraId="50404608" w14:textId="3BDC4F80" w:rsidR="00A86B7A" w:rsidRDefault="00A86B7A" w:rsidP="003347E4">
      <w:r>
        <w:tab/>
        <w:t xml:space="preserve">Finally, vehicle availability is found to significantly </w:t>
      </w:r>
      <w:r w:rsidR="007333FE">
        <w:t xml:space="preserve">impact the propensity </w:t>
      </w:r>
      <w:r>
        <w:t>of online and in-person shopping activities. Across all in-person activity categories, higher car ownership is associated with a greater propensity of episodes. This is consistent with expectations as auto availability facilitates in-person engagement in activities. Conversely, zero-vehicle and vehicle-deficient households depict a higher propensity to engage in online activities; these households may find it convenient to use online services to access goods and services. Households with zero cars depict a lower propensity for online grocery and meal deliveries</w:t>
      </w:r>
      <w:r w:rsidR="007333FE">
        <w:t>.</w:t>
      </w:r>
    </w:p>
    <w:p w14:paraId="4CCB7E57" w14:textId="77777777" w:rsidR="00A86B7A" w:rsidRPr="008F2990" w:rsidRDefault="00A86B7A" w:rsidP="003347E4">
      <w:pPr>
        <w:rPr>
          <w:sz w:val="22"/>
          <w:szCs w:val="22"/>
        </w:rPr>
      </w:pPr>
    </w:p>
    <w:p w14:paraId="35BABCDA" w14:textId="4474638F" w:rsidR="00A86B7A" w:rsidRPr="003347E4" w:rsidRDefault="00A86B7A" w:rsidP="003347E4">
      <w:pPr>
        <w:pStyle w:val="Heading2"/>
        <w:spacing w:before="0"/>
        <w:rPr>
          <w:smallCaps w:val="0"/>
        </w:rPr>
      </w:pPr>
      <w:r w:rsidRPr="003347E4">
        <w:rPr>
          <w:smallCaps w:val="0"/>
        </w:rPr>
        <w:t xml:space="preserve">Endogenous </w:t>
      </w:r>
      <w:r w:rsidR="003347E4">
        <w:rPr>
          <w:smallCaps w:val="0"/>
        </w:rPr>
        <w:t>V</w:t>
      </w:r>
      <w:r w:rsidRPr="003347E4">
        <w:rPr>
          <w:smallCaps w:val="0"/>
        </w:rPr>
        <w:t xml:space="preserve">ariable </w:t>
      </w:r>
      <w:r w:rsidR="003347E4">
        <w:rPr>
          <w:smallCaps w:val="0"/>
        </w:rPr>
        <w:t>E</w:t>
      </w:r>
      <w:r w:rsidRPr="003347E4">
        <w:rPr>
          <w:smallCaps w:val="0"/>
        </w:rPr>
        <w:t>ffects</w:t>
      </w:r>
      <w:r w:rsidR="00613224" w:rsidRPr="003347E4">
        <w:rPr>
          <w:smallCaps w:val="0"/>
        </w:rPr>
        <w:t xml:space="preserve">, Correlation </w:t>
      </w:r>
      <w:r w:rsidR="003347E4">
        <w:rPr>
          <w:smallCaps w:val="0"/>
        </w:rPr>
        <w:t>E</w:t>
      </w:r>
      <w:r w:rsidR="00613224" w:rsidRPr="003347E4">
        <w:rPr>
          <w:smallCaps w:val="0"/>
        </w:rPr>
        <w:t>ffects,</w:t>
      </w:r>
      <w:r w:rsidRPr="003347E4">
        <w:rPr>
          <w:smallCaps w:val="0"/>
        </w:rPr>
        <w:t xml:space="preserve"> and </w:t>
      </w:r>
      <w:r w:rsidR="003347E4">
        <w:rPr>
          <w:smallCaps w:val="0"/>
        </w:rPr>
        <w:t>G</w:t>
      </w:r>
      <w:r w:rsidRPr="003347E4">
        <w:rPr>
          <w:smallCaps w:val="0"/>
        </w:rPr>
        <w:t>oodness-of-</w:t>
      </w:r>
      <w:r w:rsidR="003347E4">
        <w:rPr>
          <w:smallCaps w:val="0"/>
        </w:rPr>
        <w:t>F</w:t>
      </w:r>
      <w:r w:rsidRPr="003347E4">
        <w:rPr>
          <w:smallCaps w:val="0"/>
        </w:rPr>
        <w:t>it</w:t>
      </w:r>
    </w:p>
    <w:p w14:paraId="57EBCA97" w14:textId="40040CE4" w:rsidR="00A86B7A" w:rsidRDefault="00A86B7A" w:rsidP="003347E4">
      <w:r>
        <w:t>A key objective of this study is to unravel the complex interplay of relationships among the six endogenous variables with a view to better understand the complementarity and substitution effects that may be present. Table 4 offers estimates of the endogenous variable effects together with error correlations and goodness-of-fit measures.</w:t>
      </w:r>
      <w:r w:rsidR="00A629EF">
        <w:t xml:space="preserve"> </w:t>
      </w:r>
      <w:r>
        <w:t xml:space="preserve">A graphical depiction of the significant endogenous variable effects retained in the final model specification is shown in Figure 1 </w:t>
      </w:r>
      <w:r>
        <w:lastRenderedPageBreak/>
        <w:t xml:space="preserve">(specification H5). </w:t>
      </w:r>
      <w:r w:rsidR="00613224">
        <w:t xml:space="preserve">Note that these effects are </w:t>
      </w:r>
      <w:r w:rsidR="00B97C8F">
        <w:t>“true”</w:t>
      </w:r>
      <w:r w:rsidR="00613224">
        <w:t xml:space="preserve"> </w:t>
      </w:r>
      <w:r w:rsidR="00B97C8F">
        <w:t xml:space="preserve">causal </w:t>
      </w:r>
      <w:r w:rsidR="00613224">
        <w:t xml:space="preserve">effects because the jointness among the six endogenous variables </w:t>
      </w:r>
      <w:r w:rsidR="00D15B90">
        <w:t xml:space="preserve">has been captured </w:t>
      </w:r>
      <w:r w:rsidR="00613224">
        <w:t>through the error correlations</w:t>
      </w:r>
      <w:r w:rsidR="00616D2E">
        <w:t xml:space="preserve"> (</w:t>
      </w:r>
      <w:r w:rsidR="00E766B7">
        <w:t>discuss</w:t>
      </w:r>
      <w:r w:rsidR="00616D2E">
        <w:t>ed</w:t>
      </w:r>
      <w:r w:rsidR="00E766B7">
        <w:t xml:space="preserve"> later in this section</w:t>
      </w:r>
      <w:r w:rsidR="00616D2E">
        <w:t>)</w:t>
      </w:r>
      <w:r w:rsidR="00E766B7">
        <w:t xml:space="preserve">. </w:t>
      </w:r>
    </w:p>
    <w:p w14:paraId="6CD92734" w14:textId="5D37F827" w:rsidR="00361BDF" w:rsidRDefault="00A86B7A" w:rsidP="00A86B7A">
      <w:r>
        <w:tab/>
      </w:r>
      <w:r w:rsidR="0054188F">
        <w:t>The chain of recursive effects starts with online meals (see H5 in Figure 1).</w:t>
      </w:r>
      <w:r w:rsidR="00A629EF">
        <w:t xml:space="preserve"> </w:t>
      </w:r>
      <w:r w:rsidR="0054188F">
        <w:t xml:space="preserve">There is a negative effect of the number of days of online meals </w:t>
      </w:r>
      <w:r w:rsidR="009E1662">
        <w:t xml:space="preserve">ordered (and delivered to the home) </w:t>
      </w:r>
      <w:r w:rsidR="0054188F">
        <w:t>on in-person shopping</w:t>
      </w:r>
      <w:r w:rsidR="00361BDF">
        <w:t xml:space="preserve"> propensity</w:t>
      </w:r>
      <w:r w:rsidR="009E1662">
        <w:t xml:space="preserve">. </w:t>
      </w:r>
      <w:r w:rsidR="00616D2E">
        <w:t xml:space="preserve">Indeed, order meals to the home may be indicative of an individual who spends more time at home and enjoys the convenience of having things delivered to the home.  Such a person is likely to engage in fewer in-person shopping activities. </w:t>
      </w:r>
      <w:r w:rsidR="009E1662">
        <w:t>A</w:t>
      </w:r>
      <w:r w:rsidR="0054188F">
        <w:t xml:space="preserve"> hig</w:t>
      </w:r>
      <w:r w:rsidR="00AF25C3">
        <w:t xml:space="preserve">her level of in-person shopping </w:t>
      </w:r>
      <w:r w:rsidR="0054188F">
        <w:t xml:space="preserve">itself then has a positive </w:t>
      </w:r>
      <w:r w:rsidR="00616D2E">
        <w:t>effect on the propensity</w:t>
      </w:r>
      <w:r w:rsidR="0054188F">
        <w:t xml:space="preserve"> </w:t>
      </w:r>
      <w:r w:rsidR="00616D2E">
        <w:t xml:space="preserve">for </w:t>
      </w:r>
      <w:r w:rsidR="0054188F">
        <w:t>online shopping (though there</w:t>
      </w:r>
      <w:r w:rsidR="009E1662">
        <w:t xml:space="preserve"> is</w:t>
      </w:r>
      <w:r w:rsidR="0054188F">
        <w:t xml:space="preserve"> no statistically significant difference in this latter effect between 2-7 days of in-person shopping). </w:t>
      </w:r>
      <w:r w:rsidR="009E1662">
        <w:t>The complementarity between online and in-person shopping for goods has been observed in a number of previous studies (e.g., Cao et al., 2012; Ding and Lu, 201</w:t>
      </w:r>
      <w:r w:rsidR="00A8778D">
        <w:t>7</w:t>
      </w:r>
      <w:r w:rsidR="009E1662">
        <w:t xml:space="preserve">; Lee et al., 2017). However, </w:t>
      </w:r>
      <w:r w:rsidR="00616D2E">
        <w:t>the</w:t>
      </w:r>
      <w:r w:rsidR="009E1662">
        <w:t xml:space="preserve"> result</w:t>
      </w:r>
      <w:r w:rsidR="00616D2E">
        <w:t xml:space="preserve">s here </w:t>
      </w:r>
      <w:r w:rsidR="009E1662">
        <w:t xml:space="preserve">suggest that the primary element of complementarity originates from individuals employing in-person shopping episodes as a means to “scout” for </w:t>
      </w:r>
      <w:r w:rsidR="00AF25C3">
        <w:t>goods and then using</w:t>
      </w:r>
      <w:r w:rsidR="009E1662">
        <w:t xml:space="preserve"> online platforms to undertake additional research, comparison</w:t>
      </w:r>
      <w:r w:rsidR="00361BDF">
        <w:t>-</w:t>
      </w:r>
      <w:r w:rsidR="009E1662">
        <w:t>shop, and ultimately buy goods (technically, it is also possible that in-person shopping leads to placing orders that are then shipped to homes; unfortunately,</w:t>
      </w:r>
      <w:r w:rsidR="00616D2E">
        <w:t xml:space="preserve"> the Puget Sound </w:t>
      </w:r>
      <w:r w:rsidR="009E1662">
        <w:t>survey is not able to distinguish between store purchases followed by a deliver</w:t>
      </w:r>
      <w:r w:rsidR="00AF25C3">
        <w:t>y home and</w:t>
      </w:r>
      <w:r w:rsidR="009E1662">
        <w:t xml:space="preserve"> an online purchas</w:t>
      </w:r>
      <w:r w:rsidR="00361BDF">
        <w:t xml:space="preserve">e followed by a delivery home). Overall, based on the results, </w:t>
      </w:r>
      <w:r w:rsidR="00AF25C3">
        <w:t xml:space="preserve">it is not that </w:t>
      </w:r>
      <w:r w:rsidR="009E1662">
        <w:t xml:space="preserve">online </w:t>
      </w:r>
      <w:r w:rsidR="00AF25C3">
        <w:t xml:space="preserve">shopping </w:t>
      </w:r>
      <w:r w:rsidR="009E1662">
        <w:t xml:space="preserve">activity </w:t>
      </w:r>
      <w:r w:rsidR="00AF25C3">
        <w:t xml:space="preserve">for goods </w:t>
      </w:r>
      <w:r w:rsidR="009E1662">
        <w:t>engenders more frequent in-person visits to stores</w:t>
      </w:r>
      <w:r w:rsidR="00AF25C3">
        <w:t xml:space="preserve">, but that in-person visits to stores leads to online shopping activity. </w:t>
      </w:r>
    </w:p>
    <w:p w14:paraId="4F4731F2" w14:textId="1D20F8CB" w:rsidR="0083212B" w:rsidRDefault="00A86B7A" w:rsidP="002501D1">
      <w:pPr>
        <w:ind w:firstLine="720"/>
      </w:pPr>
      <w:r>
        <w:t xml:space="preserve">While shopping for non-grocery appears to depict a complementary effect between in-person and online activity, shopping for grocery items depicts a substitution effect. </w:t>
      </w:r>
      <w:r w:rsidR="00A629EF">
        <w:t>A</w:t>
      </w:r>
      <w:r>
        <w:t xml:space="preserve">s expected, a higher frequency of in-person grocery shopping is associated with a lower </w:t>
      </w:r>
      <w:r w:rsidR="00BF1C67">
        <w:t>propensity for</w:t>
      </w:r>
      <w:r>
        <w:t xml:space="preserve"> online grocery shopping activity, which is a finding also reported by </w:t>
      </w:r>
      <w:proofErr w:type="spellStart"/>
      <w:r>
        <w:t>Suel</w:t>
      </w:r>
      <w:proofErr w:type="spellEnd"/>
      <w:r>
        <w:t xml:space="preserve"> et al. (2018). A higher frequency of in-person eat-meal activities is associated with a higher </w:t>
      </w:r>
      <w:r w:rsidR="00BF1C67">
        <w:t>propensity for</w:t>
      </w:r>
      <w:r>
        <w:t xml:space="preserve"> online grocery shopping. </w:t>
      </w:r>
      <w:r w:rsidR="00AF25C3">
        <w:t xml:space="preserve">It is possible that those who eat out often find something </w:t>
      </w:r>
      <w:r w:rsidR="00BF1C67">
        <w:t>appealing and</w:t>
      </w:r>
      <w:r w:rsidR="00361BDF">
        <w:t xml:space="preserve"> decide to </w:t>
      </w:r>
      <w:r w:rsidR="00BF1C67">
        <w:t>try it at home</w:t>
      </w:r>
      <w:r w:rsidR="00AF25C3">
        <w:t xml:space="preserve">, </w:t>
      </w:r>
      <w:r w:rsidR="00BF1C67">
        <w:t xml:space="preserve">thus </w:t>
      </w:r>
      <w:r w:rsidR="00AF25C3">
        <w:t xml:space="preserve">potentially leading to more </w:t>
      </w:r>
      <w:r w:rsidR="00BF1C67">
        <w:t xml:space="preserve">online </w:t>
      </w:r>
      <w:r w:rsidR="00AF25C3">
        <w:t>grocery</w:t>
      </w:r>
      <w:r w:rsidR="00BF1C67">
        <w:t xml:space="preserve"> </w:t>
      </w:r>
      <w:r w:rsidR="00AF25C3">
        <w:t>shopping</w:t>
      </w:r>
      <w:r w:rsidR="008E636E">
        <w:t xml:space="preserve"> </w:t>
      </w:r>
      <w:r w:rsidR="00E766B7">
        <w:t xml:space="preserve">in the process of </w:t>
      </w:r>
      <w:r w:rsidR="0083212B">
        <w:t>obtain</w:t>
      </w:r>
      <w:r w:rsidR="00E766B7">
        <w:t>ing</w:t>
      </w:r>
      <w:r w:rsidR="0083212B">
        <w:t xml:space="preserve"> the </w:t>
      </w:r>
      <w:r w:rsidR="00BF1C67">
        <w:t>specialty dish or</w:t>
      </w:r>
      <w:r w:rsidR="0083212B">
        <w:t xml:space="preserve"> ingredients.  </w:t>
      </w:r>
    </w:p>
    <w:p w14:paraId="0BC7E311" w14:textId="54D86630" w:rsidR="00A86B7A" w:rsidRDefault="0083212B" w:rsidP="002501D1">
      <w:pPr>
        <w:ind w:firstLine="720"/>
      </w:pPr>
      <w:r>
        <w:t>The error correlation matrix at the bottom of Table 4 shows that a few error covariances are statistically significant in this data set. This is to be expected, as unobserved lifestyle preferences and attitudinal variables are likely to simultaneously affect frequency of in-person and online shopping and meal activities.</w:t>
      </w:r>
      <w:r w:rsidR="00A629EF">
        <w:t xml:space="preserve"> </w:t>
      </w:r>
      <w:r>
        <w:t>The positive error correlation between online groceries and online shopping suggests that unobserved attributes (e.g.</w:t>
      </w:r>
      <w:r w:rsidR="00A629EF">
        <w:t>,</w:t>
      </w:r>
      <w:r>
        <w:t xml:space="preserve"> tech-savviness) that contribute to increasing online grocery episodes also contribute to increasing online shopping episodes.</w:t>
      </w:r>
      <w:r w:rsidR="00A629EF">
        <w:t xml:space="preserve"> </w:t>
      </w:r>
      <w:r>
        <w:t>A similar positive error correlation is found for online meal activity and online grocery shopping</w:t>
      </w:r>
      <w:r w:rsidR="00B97C8F">
        <w:t xml:space="preserve"> (</w:t>
      </w:r>
      <w:r>
        <w:t>people comfortable with ordering perishable items are likely to increase both online meal and online grocery activity</w:t>
      </w:r>
      <w:r w:rsidR="00B97C8F">
        <w:t xml:space="preserve">) and </w:t>
      </w:r>
      <w:r>
        <w:t>between in-person grocery shopping and in-person goods shopping</w:t>
      </w:r>
      <w:r w:rsidR="00B97C8F">
        <w:t xml:space="preserve"> (</w:t>
      </w:r>
      <w:r>
        <w:t xml:space="preserve">households with </w:t>
      </w:r>
      <w:r w:rsidR="00B97C8F">
        <w:t xml:space="preserve">intrinsically </w:t>
      </w:r>
      <w:r>
        <w:t>higher consumption lifestyles and a proclivity for out-of-home activity engagement are likely to engage in higher levels of both of these shopping types</w:t>
      </w:r>
      <w:r w:rsidR="00B97C8F">
        <w:t>)</w:t>
      </w:r>
      <w:r>
        <w:t xml:space="preserve">. A positive error correlation exists between in-personal meals and in-person grocery shopping, presumably due to the same reasons. Overall, it can be seen that a multivariate ordered </w:t>
      </w:r>
      <w:proofErr w:type="spellStart"/>
      <w:r>
        <w:t>probit</w:t>
      </w:r>
      <w:proofErr w:type="spellEnd"/>
      <w:r>
        <w:t xml:space="preserve"> modeling methodology is warranted because there are significant error correlations that capture the effects of correlated unobserved attributes simultaneously affecting multiple activity engagement outcomes. It is imperative that these error correlations be estimated so that consistent estimates of exogenous and endogenous variable effects can be obtained</w:t>
      </w:r>
      <w:r w:rsidR="00B97C8F">
        <w:t xml:space="preserve">, </w:t>
      </w:r>
      <w:r w:rsidR="00BF1C67">
        <w:t>and</w:t>
      </w:r>
      <w:r w:rsidR="00B97C8F">
        <w:t xml:space="preserve"> accurate forecasts of combinations of the six endogenous variables may be made.</w:t>
      </w:r>
    </w:p>
    <w:p w14:paraId="2276BECA" w14:textId="206539E0" w:rsidR="005C3210" w:rsidRDefault="00A86B7A" w:rsidP="003347E4">
      <w:r>
        <w:lastRenderedPageBreak/>
        <w:tab/>
        <w:t xml:space="preserve">The goodness-of-fit measures at the bottom of Table 4 are in line with expectations for a multivariate ordered </w:t>
      </w:r>
      <w:proofErr w:type="spellStart"/>
      <w:r>
        <w:t>probit</w:t>
      </w:r>
      <w:proofErr w:type="spellEnd"/>
      <w:r>
        <w:t xml:space="preserve"> model of the type presented in this paper. The likelihood ratio </w:t>
      </w:r>
      <w:r w:rsidRPr="00424939">
        <w:rPr>
          <w:rFonts w:ascii="Symbol" w:hAnsi="Symbol"/>
        </w:rPr>
        <w:t></w:t>
      </w:r>
      <w:r>
        <w:rPr>
          <w:vertAlign w:val="superscript"/>
        </w:rPr>
        <w:t>2</w:t>
      </w:r>
      <w:r>
        <w:t xml:space="preserve"> statistic is computed against the null model (all parameters set to zero), the independent model (all error covariances set to zero), and </w:t>
      </w:r>
      <w:r w:rsidR="00367F9D">
        <w:t>the</w:t>
      </w:r>
      <w:r>
        <w:t xml:space="preserve"> base model (called H0).</w:t>
      </w:r>
      <w:r w:rsidR="00A629EF">
        <w:t xml:space="preserve"> </w:t>
      </w:r>
      <w:r>
        <w:t xml:space="preserve">In all cases, the </w:t>
      </w:r>
      <w:r w:rsidRPr="00424939">
        <w:rPr>
          <w:rFonts w:ascii="Symbol" w:hAnsi="Symbol"/>
        </w:rPr>
        <w:t></w:t>
      </w:r>
      <w:r>
        <w:rPr>
          <w:vertAlign w:val="superscript"/>
        </w:rPr>
        <w:t>2</w:t>
      </w:r>
      <w:r>
        <w:t xml:space="preserve"> statistic is statistically significant suggesting that the model H5 is providing a significant improvement over the base, null, and independent models. The </w:t>
      </w:r>
      <w:r w:rsidRPr="000B4CE6">
        <w:rPr>
          <w:rFonts w:ascii="Symbol" w:hAnsi="Symbol"/>
          <w:i/>
          <w:iCs/>
        </w:rPr>
        <w:t></w:t>
      </w:r>
      <w:r>
        <w:rPr>
          <w:vertAlign w:val="superscript"/>
        </w:rPr>
        <w:t>2</w:t>
      </w:r>
      <w:r>
        <w:t xml:space="preserve"> and adjusted </w:t>
      </w:r>
      <w:r w:rsidRPr="000B4CE6">
        <w:rPr>
          <w:rFonts w:ascii="Symbol" w:hAnsi="Symbol"/>
          <w:i/>
          <w:iCs/>
        </w:rPr>
        <w:t></w:t>
      </w:r>
      <w:r>
        <w:rPr>
          <w:vertAlign w:val="superscript"/>
        </w:rPr>
        <w:t>2</w:t>
      </w:r>
      <w:r>
        <w:t xml:space="preserve"> values appear low</w:t>
      </w:r>
      <w:r w:rsidR="000B4CE6">
        <w:t xml:space="preserve"> </w:t>
      </w:r>
      <w:r>
        <w:t xml:space="preserve">but are consistent with values generally obtained for </w:t>
      </w:r>
      <w:r w:rsidR="00B97C8F">
        <w:t xml:space="preserve">relatively high-dimensional </w:t>
      </w:r>
      <w:r>
        <w:t xml:space="preserve">multivariate ordered </w:t>
      </w:r>
      <w:proofErr w:type="spellStart"/>
      <w:r>
        <w:t>probit</w:t>
      </w:r>
      <w:proofErr w:type="spellEnd"/>
      <w:r>
        <w:t xml:space="preserve"> models where the </w:t>
      </w:r>
      <w:r w:rsidR="00B97C8F">
        <w:t xml:space="preserve">probability of any high-dimensional combination (six-dimensional in </w:t>
      </w:r>
      <w:r w:rsidR="000B4CE6">
        <w:t>this</w:t>
      </w:r>
      <w:r w:rsidR="00B97C8F">
        <w:t xml:space="preserve"> setting) is bound to be low. </w:t>
      </w:r>
      <w:r>
        <w:t>In addition to assessing these goodness-of-fit measures, additional evaluations of goodness-of-fit were conducted by computing probability of correct predictions offered by the model and by comparing model</w:t>
      </w:r>
      <w:r w:rsidR="00B97C8F">
        <w:t>-</w:t>
      </w:r>
      <w:r>
        <w:t xml:space="preserve">predicted market shares against observed (true) shares of households choosing various combinations of endogenous variable outcomes. These results are suppressed in the interest of brevity, but the findings suggest that the model H5 offers </w:t>
      </w:r>
      <w:r w:rsidR="00B97C8F">
        <w:t>significantly better data fit relative to the more restrictive models. Essentially, the result is that both jointness (due to error correlations) as well as recursive effects need to be accommodated. More broadly, the model results offer strong support for the notion that</w:t>
      </w:r>
      <w:r w:rsidR="0011418F">
        <w:t xml:space="preserve"> online and</w:t>
      </w:r>
      <w:r w:rsidR="00BF1C67">
        <w:t xml:space="preserve"> </w:t>
      </w:r>
      <w:r w:rsidR="0011418F">
        <w:t xml:space="preserve">in-person activities of multiple purposes </w:t>
      </w:r>
      <w:r w:rsidR="004511E6">
        <w:t>constitute a lifestyle package and</w:t>
      </w:r>
      <w:r w:rsidR="0011418F">
        <w:t xml:space="preserve"> need to be considered as such. </w:t>
      </w:r>
      <w:r>
        <w:tab/>
      </w:r>
    </w:p>
    <w:p w14:paraId="18454BA6" w14:textId="77777777" w:rsidR="00283AE6" w:rsidRPr="008F2990" w:rsidRDefault="00283AE6" w:rsidP="003347E4">
      <w:pPr>
        <w:rPr>
          <w:sz w:val="22"/>
          <w:szCs w:val="22"/>
          <w:shd w:val="clear" w:color="auto" w:fill="FFFFFF"/>
        </w:rPr>
      </w:pPr>
    </w:p>
    <w:p w14:paraId="3573ED3B" w14:textId="2C345329" w:rsidR="00C353E1" w:rsidRPr="003347E4" w:rsidRDefault="00C353E1" w:rsidP="003347E4">
      <w:pPr>
        <w:pStyle w:val="Heading2"/>
        <w:spacing w:before="0"/>
        <w:rPr>
          <w:smallCaps w:val="0"/>
        </w:rPr>
      </w:pPr>
      <w:r w:rsidRPr="003347E4">
        <w:rPr>
          <w:smallCaps w:val="0"/>
        </w:rPr>
        <w:t xml:space="preserve">Average </w:t>
      </w:r>
      <w:r w:rsidR="003347E4">
        <w:rPr>
          <w:smallCaps w:val="0"/>
        </w:rPr>
        <w:t>T</w:t>
      </w:r>
      <w:r w:rsidRPr="003347E4">
        <w:rPr>
          <w:smallCaps w:val="0"/>
        </w:rPr>
        <w:t xml:space="preserve">reatment </w:t>
      </w:r>
      <w:r w:rsidR="003347E4">
        <w:rPr>
          <w:smallCaps w:val="0"/>
        </w:rPr>
        <w:t>E</w:t>
      </w:r>
      <w:r w:rsidRPr="003347E4">
        <w:rPr>
          <w:smallCaps w:val="0"/>
        </w:rPr>
        <w:t>ffects</w:t>
      </w:r>
    </w:p>
    <w:p w14:paraId="3B60C6AD" w14:textId="6F21D7DB" w:rsidR="00E01668" w:rsidRDefault="00E01668" w:rsidP="003347E4">
      <w:r w:rsidRPr="001C77B9">
        <w:t xml:space="preserve">To </w:t>
      </w:r>
      <w:r w:rsidR="005A04A5">
        <w:t>assess</w:t>
      </w:r>
      <w:r w:rsidR="00315161">
        <w:t xml:space="preserve"> the magnitude of the </w:t>
      </w:r>
      <w:r>
        <w:t xml:space="preserve">impact of exogenous variables on online and in-person </w:t>
      </w:r>
      <w:r w:rsidR="005A04A5">
        <w:t>shopping and meal activity engagement</w:t>
      </w:r>
      <w:r>
        <w:t>,</w:t>
      </w:r>
      <w:r w:rsidRPr="001C77B9">
        <w:t xml:space="preserve"> average treatment effects (ATEs)</w:t>
      </w:r>
      <w:r w:rsidR="005A04A5">
        <w:t xml:space="preserve"> are computed and presented in this section</w:t>
      </w:r>
      <w:r>
        <w:t xml:space="preserve">. </w:t>
      </w:r>
      <w:r w:rsidR="0011418F">
        <w:t xml:space="preserve">While </w:t>
      </w:r>
      <w:r w:rsidR="001F1EDA">
        <w:t>it is possible to</w:t>
      </w:r>
      <w:r w:rsidR="0011418F">
        <w:t xml:space="preserve"> obtain ATEs for any combination of the six activity purposes, for simplicity, only the marginal ATEs for each univariate activity purpose</w:t>
      </w:r>
      <w:r w:rsidR="001F1EDA">
        <w:t xml:space="preserve"> are considered</w:t>
      </w:r>
      <w:r w:rsidR="0011418F">
        <w:t xml:space="preserve"> here. </w:t>
      </w:r>
      <w:r w:rsidRPr="001C77B9">
        <w:t xml:space="preserve">For </w:t>
      </w:r>
      <w:r>
        <w:t xml:space="preserve">all six outcomes of interest, </w:t>
      </w:r>
      <w:r w:rsidRPr="001C77B9">
        <w:t xml:space="preserve">cardinal values </w:t>
      </w:r>
      <w:r w:rsidR="005A04A5">
        <w:t xml:space="preserve">are assigned </w:t>
      </w:r>
      <w:r w:rsidRPr="001C77B9">
        <w:t>to each of the ordinal levels, and then the ATE</w:t>
      </w:r>
      <w:r w:rsidR="005A04A5">
        <w:t>s</w:t>
      </w:r>
      <w:r w:rsidRPr="001C77B9">
        <w:t xml:space="preserve"> of</w:t>
      </w:r>
      <w:r>
        <w:t xml:space="preserve"> the</w:t>
      </w:r>
      <w:r w:rsidRPr="001C77B9">
        <w:t xml:space="preserve"> determinant variables </w:t>
      </w:r>
      <w:r w:rsidR="005A04A5">
        <w:t xml:space="preserve">are computed </w:t>
      </w:r>
      <w:r w:rsidRPr="001C77B9">
        <w:t xml:space="preserve">on the expected number </w:t>
      </w:r>
      <w:r>
        <w:t xml:space="preserve">days </w:t>
      </w:r>
      <w:r w:rsidR="005A04A5">
        <w:t>in which</w:t>
      </w:r>
      <w:r>
        <w:t xml:space="preserve"> each activity takes place</w:t>
      </w:r>
      <w:r w:rsidRPr="001C77B9">
        <w:t xml:space="preserve">. </w:t>
      </w:r>
      <w:r w:rsidR="0011418F">
        <w:t>For presentation ease, only the two extreme categories</w:t>
      </w:r>
      <w:r w:rsidR="001F1EDA">
        <w:t xml:space="preserve"> are considered</w:t>
      </w:r>
      <w:r w:rsidR="0011418F">
        <w:t xml:space="preserve"> in the case of variables with multiple categories (for example, only the effect on each endogenous variable of a change from the lowest income level of “&lt;25,000” to the highest income level of “≥100,000”</w:t>
      </w:r>
      <w:r w:rsidR="001F1EDA">
        <w:t xml:space="preserve"> is presented)</w:t>
      </w:r>
      <w:r w:rsidR="0011418F">
        <w:t xml:space="preserve">. </w:t>
      </w:r>
    </w:p>
    <w:p w14:paraId="0AB2B750" w14:textId="77777777" w:rsidR="00E01668" w:rsidRPr="001C77B9" w:rsidRDefault="001C5EF0" w:rsidP="005A04A5">
      <w:pPr>
        <w:ind w:firstLine="720"/>
      </w:pPr>
      <w:r>
        <w:t>In more general terms, t</w:t>
      </w:r>
      <w:r w:rsidR="00E01668" w:rsidRPr="001C77B9">
        <w:t>he ATE</w:t>
      </w:r>
      <w:r w:rsidR="00E01668">
        <w:t xml:space="preserve"> of</w:t>
      </w:r>
      <w:r w:rsidR="00E01668" w:rsidRPr="001C77B9">
        <w:t xml:space="preserve"> </w:t>
      </w:r>
      <w:r w:rsidR="00E01668">
        <w:t>the</w:t>
      </w:r>
      <w:r w:rsidR="00E01668" w:rsidRPr="001C77B9">
        <w:t xml:space="preserve"> determinant variable</w:t>
      </w:r>
      <w:r>
        <w:t xml:space="preserve"> </w:t>
      </w:r>
      <w:r w:rsidR="00E01668" w:rsidRPr="001C77B9">
        <w:t xml:space="preserve">that is changed from category </w:t>
      </w:r>
      <w:r w:rsidR="00E01668" w:rsidRPr="001C77B9">
        <w:rPr>
          <w:i/>
        </w:rPr>
        <w:t>k</w:t>
      </w:r>
      <w:r w:rsidR="00E01668" w:rsidRPr="001C77B9">
        <w:t xml:space="preserve"> to category </w:t>
      </w:r>
      <w:r w:rsidR="00E01668" w:rsidRPr="001C77B9">
        <w:rPr>
          <w:i/>
        </w:rPr>
        <w:t>i</w:t>
      </w:r>
      <w:r w:rsidR="00E01668" w:rsidRPr="001C77B9">
        <w:t xml:space="preserve"> is computed as follows:</w:t>
      </w:r>
    </w:p>
    <w:p w14:paraId="052F3116" w14:textId="350B6FBF" w:rsidR="00E01668" w:rsidRPr="001C77B9" w:rsidRDefault="00C20013" w:rsidP="007F30F3">
      <w:pPr>
        <w:tabs>
          <w:tab w:val="right" w:pos="9360"/>
        </w:tabs>
        <w:spacing w:before="80" w:after="80"/>
      </w:pPr>
      <w:r w:rsidRPr="001C77B9">
        <w:rPr>
          <w:position w:val="-30"/>
        </w:rPr>
        <w:object w:dxaOrig="7839" w:dyaOrig="720" w14:anchorId="3C9CD0F2">
          <v:shape id="_x0000_i1048" type="#_x0000_t75" style="width:392.25pt;height:36pt" o:ole="" o:preferrelative="f">
            <v:imagedata r:id="rId72" o:title=""/>
            <o:lock v:ext="edit" aspectratio="f"/>
          </v:shape>
          <o:OLEObject Type="Embed" ProgID="Equation.DSMT4" ShapeID="_x0000_i1048" DrawAspect="Content" ObjectID="_1644050131" r:id="rId73"/>
        </w:object>
      </w:r>
      <w:r w:rsidR="00E01668" w:rsidRPr="001C77B9">
        <w:t xml:space="preserve"> </w:t>
      </w:r>
      <w:r w:rsidR="00E01668" w:rsidRPr="001C77B9">
        <w:tab/>
        <w:t>(4)</w:t>
      </w:r>
    </w:p>
    <w:p w14:paraId="49533A22" w14:textId="449D375A" w:rsidR="00E01668" w:rsidRDefault="00E01668" w:rsidP="005A04A5">
      <w:r w:rsidRPr="001C77B9">
        <w:t xml:space="preserve">where </w:t>
      </w:r>
      <w:r w:rsidR="003347E4" w:rsidRPr="001C77B9">
        <w:rPr>
          <w:position w:val="-12"/>
        </w:rPr>
        <w:object w:dxaOrig="260" w:dyaOrig="360" w14:anchorId="6708A343">
          <v:shape id="_x0000_i1049" type="#_x0000_t75" style="width:12.75pt;height:18pt" o:ole="" o:preferrelative="f">
            <v:imagedata r:id="rId74" o:title=""/>
            <o:lock v:ext="edit" aspectratio="f"/>
          </v:shape>
          <o:OLEObject Type="Embed" ProgID="Equation.DSMT4" ShapeID="_x0000_i1049" DrawAspect="Content" ObjectID="_1644050132" r:id="rId75"/>
        </w:object>
      </w:r>
      <w:r w:rsidRPr="001C77B9">
        <w:t xml:space="preserve"> is the cardinal value assignment corresponding to the ordinal level </w:t>
      </w:r>
      <w:r w:rsidRPr="001C77B9">
        <w:rPr>
          <w:i/>
        </w:rPr>
        <w:t>h</w:t>
      </w:r>
      <w:r w:rsidRPr="001C77B9">
        <w:t xml:space="preserve">, and </w:t>
      </w:r>
      <w:r w:rsidR="007F30F3" w:rsidRPr="001C77B9">
        <w:rPr>
          <w:position w:val="-14"/>
        </w:rPr>
        <w:object w:dxaOrig="1180" w:dyaOrig="380" w14:anchorId="516C28E4">
          <v:shape id="_x0000_i1050" type="#_x0000_t75" style="width:58.5pt;height:18.75pt" o:ole="" o:preferrelative="f">
            <v:imagedata r:id="rId76" o:title=""/>
            <o:lock v:ext="edit" aspectratio="f"/>
          </v:shape>
          <o:OLEObject Type="Embed" ProgID="Equation.DSMT4" ShapeID="_x0000_i1050" DrawAspect="Content" ObjectID="_1644050133" r:id="rId77"/>
        </w:object>
      </w:r>
      <w:r w:rsidRPr="001C77B9">
        <w:t xml:space="preserve"> corresponds to the ordinal </w:t>
      </w:r>
      <w:r w:rsidR="001C5EF0">
        <w:t>category</w:t>
      </w:r>
      <w:r>
        <w:t xml:space="preserve"> of </w:t>
      </w:r>
      <w:r w:rsidR="001C5EF0">
        <w:t xml:space="preserve">frequency of online or in-person activity engagement </w:t>
      </w:r>
      <w:r>
        <w:t xml:space="preserve">of </w:t>
      </w:r>
      <w:r w:rsidRPr="00E56BEB">
        <w:t xml:space="preserve">household </w:t>
      </w:r>
      <w:r w:rsidRPr="00E56BEB">
        <w:rPr>
          <w:i/>
        </w:rPr>
        <w:t>q</w:t>
      </w:r>
      <w:r w:rsidRPr="00E56BEB">
        <w:t xml:space="preserve"> in one day. </w:t>
      </w:r>
      <w:r w:rsidR="001F1EDA">
        <w:t>To compute</w:t>
      </w:r>
      <w:r w:rsidRPr="00E56BEB">
        <w:t xml:space="preserve"> this effect, the value</w:t>
      </w:r>
      <w:r>
        <w:t xml:space="preserve"> of the base category </w:t>
      </w:r>
      <w:r w:rsidR="005A04A5">
        <w:t>is first assigned to</w:t>
      </w:r>
      <w:r>
        <w:t xml:space="preserve"> </w:t>
      </w:r>
      <w:r w:rsidR="001C5EF0">
        <w:t xml:space="preserve">all </w:t>
      </w:r>
      <w:r>
        <w:t>household</w:t>
      </w:r>
      <w:r w:rsidR="001C5EF0">
        <w:t>s</w:t>
      </w:r>
      <w:r w:rsidRPr="00E56BEB">
        <w:t xml:space="preserve"> in the sample (that is, assign the value of </w:t>
      </w:r>
      <w:r w:rsidR="003347E4" w:rsidRPr="00E56BEB">
        <w:rPr>
          <w:position w:val="-14"/>
        </w:rPr>
        <w:object w:dxaOrig="680" w:dyaOrig="380" w14:anchorId="3D698DB7">
          <v:shape id="_x0000_i1051" type="#_x0000_t75" style="width:33.75pt;height:18.75pt" o:ole="" o:preferrelative="f">
            <v:imagedata r:id="rId78" o:title=""/>
            <o:lock v:ext="edit" aspectratio="f"/>
          </v:shape>
          <o:OLEObject Type="Embed" ProgID="Equation.DSMT4" ShapeID="_x0000_i1051" DrawAspect="Content" ObjectID="_1644050134" r:id="rId79"/>
        </w:object>
      </w:r>
      <w:r w:rsidRPr="00E56BEB">
        <w:t xml:space="preserve"> to the determinant variable </w:t>
      </w:r>
      <w:r w:rsidR="001F1EDA">
        <w:t xml:space="preserve">for </w:t>
      </w:r>
      <w:r w:rsidR="001C5EF0">
        <w:t>all</w:t>
      </w:r>
      <w:r w:rsidRPr="00E56BEB">
        <w:t xml:space="preserve"> </w:t>
      </w:r>
      <w:r w:rsidR="005A04A5">
        <w:t xml:space="preserve">households </w:t>
      </w:r>
      <w:r w:rsidRPr="00E56BEB">
        <w:t>to compute</w:t>
      </w:r>
      <w:r w:rsidR="003347E4" w:rsidRPr="00E56BEB">
        <w:rPr>
          <w:position w:val="-14"/>
        </w:rPr>
        <w:object w:dxaOrig="1740" w:dyaOrig="380" w14:anchorId="156E8BFC">
          <v:shape id="_x0000_i1052" type="#_x0000_t75" style="width:87pt;height:18.75pt" o:ole="" o:preferrelative="f">
            <v:imagedata r:id="rId80" o:title=""/>
            <o:lock v:ext="edit" aspectratio="f"/>
          </v:shape>
          <o:OLEObject Type="Embed" ProgID="Equation.DSMT4" ShapeID="_x0000_i1052" DrawAspect="Content" ObjectID="_1644050135" r:id="rId81"/>
        </w:object>
      </w:r>
      <w:r w:rsidRPr="00E56BEB">
        <w:t xml:space="preserve"> and then change the value of the variable to </w:t>
      </w:r>
      <w:r w:rsidR="003347E4" w:rsidRPr="00E56BEB">
        <w:rPr>
          <w:position w:val="-14"/>
        </w:rPr>
        <w:object w:dxaOrig="639" w:dyaOrig="380" w14:anchorId="4CFD089B">
          <v:shape id="_x0000_i1053" type="#_x0000_t75" style="width:31.5pt;height:18.75pt" o:ole="" o:preferrelative="f">
            <v:imagedata r:id="rId82" o:title=""/>
            <o:lock v:ext="edit" aspectratio="f"/>
          </v:shape>
          <o:OLEObject Type="Embed" ProgID="Equation.DSMT4" ShapeID="_x0000_i1053" DrawAspect="Content" ObjectID="_1644050136" r:id="rId83"/>
        </w:object>
      </w:r>
      <w:r w:rsidRPr="00E56BEB">
        <w:t xml:space="preserve"> </w:t>
      </w:r>
      <w:r>
        <w:t>and</w:t>
      </w:r>
      <w:r w:rsidRPr="00E56BEB">
        <w:t xml:space="preserve"> compute</w:t>
      </w:r>
      <w:r w:rsidR="003347E4" w:rsidRPr="00E56BEB">
        <w:rPr>
          <w:position w:val="-14"/>
        </w:rPr>
        <w:object w:dxaOrig="1700" w:dyaOrig="380" w14:anchorId="223FF5C8">
          <v:shape id="_x0000_i1054" type="#_x0000_t75" style="width:84.75pt;height:18.75pt" o:ole="" o:preferrelative="f">
            <v:imagedata r:id="rId84" o:title=""/>
            <o:lock v:ext="edit" aspectratio="f"/>
          </v:shape>
          <o:OLEObject Type="Embed" ProgID="Equation.DSMT4" ShapeID="_x0000_i1054" DrawAspect="Content" ObjectID="_1644050137" r:id="rId85"/>
        </w:object>
      </w:r>
      <w:r w:rsidR="005A04A5">
        <w:t>)</w:t>
      </w:r>
      <w:r w:rsidRPr="00E56BEB">
        <w:t>.</w:t>
      </w:r>
      <w:r>
        <w:t xml:space="preserve"> </w:t>
      </w:r>
      <w:r w:rsidR="005A04A5">
        <w:t>Results of ATE computations are presented in Table 5. T</w:t>
      </w:r>
      <w:r>
        <w:t xml:space="preserve">he base category </w:t>
      </w:r>
      <w:r w:rsidR="003E5812">
        <w:t xml:space="preserve">varies </w:t>
      </w:r>
      <w:r>
        <w:t xml:space="preserve">for </w:t>
      </w:r>
      <w:r w:rsidR="003E5812">
        <w:t xml:space="preserve">each exogenous </w:t>
      </w:r>
      <w:r>
        <w:t xml:space="preserve">variable </w:t>
      </w:r>
      <w:r w:rsidR="003E5812">
        <w:t>analyzed</w:t>
      </w:r>
      <w:r>
        <w:t xml:space="preserve">. </w:t>
      </w:r>
      <w:r w:rsidRPr="001C77B9">
        <w:t>To calculate the ATE</w:t>
      </w:r>
      <w:r>
        <w:t xml:space="preserve"> values, </w:t>
      </w:r>
      <w:r w:rsidRPr="001C77B9">
        <w:t xml:space="preserve">a realization of random draws </w:t>
      </w:r>
      <w:r w:rsidR="005A04A5">
        <w:t xml:space="preserve">is constructed </w:t>
      </w:r>
      <w:r w:rsidRPr="001C77B9">
        <w:t>by appropriately drawing from the sampling distribution of all relevant parameters.</w:t>
      </w:r>
      <w:r>
        <w:t xml:space="preserve"> </w:t>
      </w:r>
      <w:r w:rsidRPr="001C77B9">
        <w:t xml:space="preserve">The ATE values are </w:t>
      </w:r>
      <w:r w:rsidR="003342A4">
        <w:t xml:space="preserve">then </w:t>
      </w:r>
      <w:r w:rsidRPr="001C77B9">
        <w:t xml:space="preserve">computed for </w:t>
      </w:r>
      <w:r w:rsidR="003342A4">
        <w:t>10</w:t>
      </w:r>
      <w:r>
        <w:t>00</w:t>
      </w:r>
      <w:r w:rsidRPr="001C77B9">
        <w:t xml:space="preserve"> different draws (for each</w:t>
      </w:r>
      <w:r w:rsidR="005A04A5">
        <w:t xml:space="preserve"> household</w:t>
      </w:r>
      <w:r w:rsidRPr="001C77B9">
        <w:t>) so that standard</w:t>
      </w:r>
      <w:r w:rsidR="00DE51F7">
        <w:t xml:space="preserve"> errors are obtained</w:t>
      </w:r>
      <w:r w:rsidRPr="00604D2F">
        <w:t>.</w:t>
      </w:r>
      <w:r>
        <w:t xml:space="preserve"> </w:t>
      </w:r>
    </w:p>
    <w:p w14:paraId="36FD7917" w14:textId="5879F2E6" w:rsidR="008D5DFE" w:rsidRPr="002501D1" w:rsidRDefault="008D5DFE" w:rsidP="008D5DFE">
      <w:pPr>
        <w:rPr>
          <w:shd w:val="clear" w:color="auto" w:fill="FFFFFF"/>
          <w:lang w:val="en-AU"/>
        </w:rPr>
      </w:pPr>
    </w:p>
    <w:p w14:paraId="52A77099" w14:textId="77777777" w:rsidR="008D5DFE" w:rsidRPr="002501D1" w:rsidRDefault="008D5DFE" w:rsidP="008D5DFE">
      <w:pPr>
        <w:rPr>
          <w:shd w:val="clear" w:color="auto" w:fill="FFFFFF"/>
          <w:lang w:val="en-AU"/>
        </w:rPr>
        <w:sectPr w:rsidR="008D5DFE" w:rsidRPr="002501D1" w:rsidSect="003347E4">
          <w:headerReference w:type="default" r:id="rId86"/>
          <w:pgSz w:w="12240" w:h="15840"/>
          <w:pgMar w:top="1440" w:right="1440" w:bottom="1440" w:left="1440" w:header="720" w:footer="720" w:gutter="0"/>
          <w:cols w:space="720"/>
          <w:docGrid w:linePitch="360"/>
        </w:sectPr>
      </w:pPr>
    </w:p>
    <w:p w14:paraId="59683B3E" w14:textId="7AFFDC1E" w:rsidR="008D5DFE" w:rsidRPr="002501D1" w:rsidRDefault="008D5DFE" w:rsidP="008D5DFE">
      <w:pPr>
        <w:rPr>
          <w:shd w:val="clear" w:color="auto" w:fill="FFFFFF"/>
          <w:lang w:val="en-AU"/>
        </w:rPr>
      </w:pPr>
    </w:p>
    <w:p w14:paraId="24DD674B" w14:textId="448246FC" w:rsidR="008D5DFE" w:rsidRDefault="008D5DFE" w:rsidP="002501D1">
      <w:pPr>
        <w:pStyle w:val="Caption"/>
        <w:keepNext/>
      </w:pPr>
      <w:bookmarkStart w:id="9" w:name="_Ref521445749"/>
      <w:r>
        <w:t xml:space="preserve">Table </w:t>
      </w:r>
      <w:bookmarkEnd w:id="9"/>
      <w:r>
        <w:rPr>
          <w:noProof/>
        </w:rPr>
        <w:t>5</w:t>
      </w:r>
      <w:r w:rsidR="006A4B68">
        <w:rPr>
          <w:noProof/>
        </w:rPr>
        <w:t>.</w:t>
      </w:r>
      <w:r>
        <w:t xml:space="preserve"> Average Treatment Effects of Exogenous Variables</w:t>
      </w:r>
    </w:p>
    <w:tbl>
      <w:tblPr>
        <w:tblW w:w="13770" w:type="dxa"/>
        <w:tblInd w:w="-383" w:type="dxa"/>
        <w:tblLook w:val="04A0" w:firstRow="1" w:lastRow="0" w:firstColumn="1" w:lastColumn="0" w:noHBand="0" w:noVBand="1"/>
      </w:tblPr>
      <w:tblGrid>
        <w:gridCol w:w="1530"/>
        <w:gridCol w:w="2543"/>
        <w:gridCol w:w="810"/>
        <w:gridCol w:w="900"/>
        <w:gridCol w:w="810"/>
        <w:gridCol w:w="900"/>
        <w:gridCol w:w="730"/>
        <w:gridCol w:w="900"/>
        <w:gridCol w:w="730"/>
        <w:gridCol w:w="857"/>
        <w:gridCol w:w="730"/>
        <w:gridCol w:w="800"/>
        <w:gridCol w:w="730"/>
        <w:gridCol w:w="800"/>
      </w:tblGrid>
      <w:tr w:rsidR="008D5DFE" w:rsidRPr="00FE55C4" w14:paraId="21813725" w14:textId="77777777" w:rsidTr="00A41CA1">
        <w:trPr>
          <w:trHeight w:val="576"/>
        </w:trPr>
        <w:tc>
          <w:tcPr>
            <w:tcW w:w="1530" w:type="dxa"/>
            <w:vMerge w:val="restart"/>
            <w:tcBorders>
              <w:top w:val="double" w:sz="6" w:space="0" w:color="auto"/>
              <w:left w:val="double" w:sz="6" w:space="0" w:color="auto"/>
              <w:bottom w:val="double" w:sz="6" w:space="0" w:color="000000"/>
              <w:right w:val="nil"/>
            </w:tcBorders>
            <w:shd w:val="clear" w:color="auto" w:fill="auto"/>
            <w:noWrap/>
            <w:vAlign w:val="center"/>
            <w:hideMark/>
          </w:tcPr>
          <w:p w14:paraId="5CD05CB2" w14:textId="77777777" w:rsidR="008D5DFE" w:rsidRPr="00FE55C4" w:rsidRDefault="008D5DFE" w:rsidP="00586232">
            <w:pPr>
              <w:jc w:val="center"/>
              <w:rPr>
                <w:rFonts w:eastAsia="Times New Roman"/>
                <w:b/>
                <w:bCs/>
                <w:color w:val="000000"/>
                <w:sz w:val="22"/>
                <w:szCs w:val="22"/>
              </w:rPr>
            </w:pPr>
            <w:r>
              <w:rPr>
                <w:rFonts w:eastAsia="Times New Roman"/>
                <w:b/>
                <w:bCs/>
                <w:color w:val="000000"/>
                <w:sz w:val="22"/>
                <w:szCs w:val="22"/>
              </w:rPr>
              <w:t>Exogenous v</w:t>
            </w:r>
            <w:r w:rsidRPr="00FE55C4">
              <w:rPr>
                <w:rFonts w:eastAsia="Times New Roman"/>
                <w:b/>
                <w:bCs/>
                <w:color w:val="000000"/>
                <w:sz w:val="22"/>
                <w:szCs w:val="22"/>
              </w:rPr>
              <w:t xml:space="preserve">ariable </w:t>
            </w:r>
          </w:p>
        </w:tc>
        <w:tc>
          <w:tcPr>
            <w:tcW w:w="2543" w:type="dxa"/>
            <w:vMerge w:val="restart"/>
            <w:tcBorders>
              <w:top w:val="double" w:sz="6" w:space="0" w:color="auto"/>
              <w:left w:val="nil"/>
              <w:bottom w:val="double" w:sz="6" w:space="0" w:color="000000"/>
              <w:right w:val="double" w:sz="6" w:space="0" w:color="auto"/>
            </w:tcBorders>
            <w:shd w:val="clear" w:color="auto" w:fill="auto"/>
            <w:noWrap/>
            <w:vAlign w:val="center"/>
            <w:hideMark/>
          </w:tcPr>
          <w:p w14:paraId="4080F833" w14:textId="77777777" w:rsidR="008D5DFE" w:rsidRPr="00FE55C4" w:rsidRDefault="008D5DFE" w:rsidP="0029070B">
            <w:pPr>
              <w:jc w:val="center"/>
              <w:rPr>
                <w:rFonts w:eastAsia="Times New Roman"/>
                <w:b/>
                <w:bCs/>
                <w:color w:val="000000"/>
                <w:sz w:val="22"/>
                <w:szCs w:val="22"/>
              </w:rPr>
            </w:pPr>
            <w:r w:rsidRPr="00FE55C4">
              <w:rPr>
                <w:rFonts w:eastAsia="Times New Roman"/>
                <w:b/>
                <w:bCs/>
                <w:color w:val="000000"/>
                <w:sz w:val="22"/>
                <w:szCs w:val="22"/>
              </w:rPr>
              <w:t>Categories compared</w:t>
            </w:r>
          </w:p>
        </w:tc>
        <w:tc>
          <w:tcPr>
            <w:tcW w:w="1710" w:type="dxa"/>
            <w:gridSpan w:val="2"/>
            <w:tcBorders>
              <w:top w:val="double" w:sz="6" w:space="0" w:color="auto"/>
              <w:left w:val="nil"/>
              <w:bottom w:val="nil"/>
              <w:right w:val="double" w:sz="6" w:space="0" w:color="000000"/>
            </w:tcBorders>
            <w:shd w:val="clear" w:color="000000" w:fill="FFFFFF"/>
            <w:noWrap/>
            <w:vAlign w:val="center"/>
            <w:hideMark/>
          </w:tcPr>
          <w:p w14:paraId="2EBE86B5" w14:textId="77777777" w:rsidR="008D5DFE" w:rsidRPr="00FE55C4" w:rsidRDefault="008D5DFE" w:rsidP="0029070B">
            <w:pPr>
              <w:jc w:val="center"/>
              <w:rPr>
                <w:rFonts w:eastAsia="Times New Roman"/>
                <w:b/>
                <w:bCs/>
                <w:color w:val="000000"/>
                <w:sz w:val="22"/>
                <w:szCs w:val="22"/>
              </w:rPr>
            </w:pPr>
            <w:r w:rsidRPr="00FE55C4">
              <w:rPr>
                <w:rFonts w:eastAsia="Times New Roman"/>
                <w:b/>
                <w:bCs/>
                <w:color w:val="000000"/>
                <w:sz w:val="22"/>
                <w:szCs w:val="22"/>
              </w:rPr>
              <w:t>Online Shop</w:t>
            </w:r>
          </w:p>
        </w:tc>
        <w:tc>
          <w:tcPr>
            <w:tcW w:w="1710" w:type="dxa"/>
            <w:gridSpan w:val="2"/>
            <w:tcBorders>
              <w:top w:val="double" w:sz="6" w:space="0" w:color="auto"/>
              <w:left w:val="nil"/>
              <w:bottom w:val="nil"/>
              <w:right w:val="double" w:sz="6" w:space="0" w:color="000000"/>
            </w:tcBorders>
            <w:shd w:val="clear" w:color="000000" w:fill="FFFFFF"/>
            <w:noWrap/>
            <w:vAlign w:val="center"/>
            <w:hideMark/>
          </w:tcPr>
          <w:p w14:paraId="5E42A0D9" w14:textId="7212A3F7" w:rsidR="008D5DFE" w:rsidRPr="00FE55C4" w:rsidRDefault="008D5DFE" w:rsidP="0029070B">
            <w:pPr>
              <w:jc w:val="center"/>
              <w:rPr>
                <w:rFonts w:eastAsia="Times New Roman"/>
                <w:b/>
                <w:bCs/>
                <w:color w:val="000000"/>
                <w:sz w:val="22"/>
                <w:szCs w:val="22"/>
              </w:rPr>
            </w:pPr>
            <w:r w:rsidRPr="00FE55C4">
              <w:rPr>
                <w:rFonts w:eastAsia="Times New Roman"/>
                <w:b/>
                <w:bCs/>
                <w:color w:val="000000"/>
                <w:sz w:val="22"/>
                <w:szCs w:val="22"/>
              </w:rPr>
              <w:t>Online Groc</w:t>
            </w:r>
            <w:r w:rsidR="0029070B">
              <w:rPr>
                <w:rFonts w:eastAsia="Times New Roman"/>
                <w:b/>
                <w:bCs/>
                <w:color w:val="000000"/>
                <w:sz w:val="22"/>
                <w:szCs w:val="22"/>
              </w:rPr>
              <w:t>ery</w:t>
            </w:r>
          </w:p>
        </w:tc>
        <w:tc>
          <w:tcPr>
            <w:tcW w:w="1630" w:type="dxa"/>
            <w:gridSpan w:val="2"/>
            <w:tcBorders>
              <w:top w:val="double" w:sz="6" w:space="0" w:color="auto"/>
              <w:left w:val="nil"/>
              <w:bottom w:val="nil"/>
              <w:right w:val="double" w:sz="6" w:space="0" w:color="000000"/>
            </w:tcBorders>
            <w:shd w:val="clear" w:color="000000" w:fill="FFFFFF"/>
            <w:noWrap/>
            <w:vAlign w:val="center"/>
            <w:hideMark/>
          </w:tcPr>
          <w:p w14:paraId="3D218F88" w14:textId="77777777" w:rsidR="008D5DFE" w:rsidRPr="00FE55C4" w:rsidRDefault="008D5DFE" w:rsidP="0029070B">
            <w:pPr>
              <w:jc w:val="center"/>
              <w:rPr>
                <w:rFonts w:eastAsia="Times New Roman"/>
                <w:b/>
                <w:bCs/>
                <w:color w:val="000000"/>
                <w:sz w:val="22"/>
                <w:szCs w:val="22"/>
              </w:rPr>
            </w:pPr>
            <w:r w:rsidRPr="00FE55C4">
              <w:rPr>
                <w:rFonts w:eastAsia="Times New Roman"/>
                <w:b/>
                <w:bCs/>
                <w:color w:val="000000"/>
                <w:sz w:val="22"/>
                <w:szCs w:val="22"/>
              </w:rPr>
              <w:t>Online Meals</w:t>
            </w:r>
          </w:p>
        </w:tc>
        <w:tc>
          <w:tcPr>
            <w:tcW w:w="1587" w:type="dxa"/>
            <w:gridSpan w:val="2"/>
            <w:tcBorders>
              <w:top w:val="double" w:sz="6" w:space="0" w:color="auto"/>
              <w:left w:val="nil"/>
              <w:bottom w:val="nil"/>
              <w:right w:val="double" w:sz="6" w:space="0" w:color="000000"/>
            </w:tcBorders>
            <w:shd w:val="clear" w:color="000000" w:fill="FFFFFF"/>
            <w:noWrap/>
            <w:vAlign w:val="center"/>
            <w:hideMark/>
          </w:tcPr>
          <w:p w14:paraId="4B8C210F" w14:textId="77777777" w:rsidR="008D5DFE" w:rsidRPr="00FE55C4" w:rsidRDefault="008D5DFE" w:rsidP="0029070B">
            <w:pPr>
              <w:jc w:val="center"/>
              <w:rPr>
                <w:rFonts w:eastAsia="Times New Roman"/>
                <w:b/>
                <w:bCs/>
                <w:color w:val="000000"/>
                <w:sz w:val="22"/>
                <w:szCs w:val="22"/>
              </w:rPr>
            </w:pPr>
            <w:r w:rsidRPr="00FE55C4">
              <w:rPr>
                <w:rFonts w:eastAsia="Times New Roman"/>
                <w:b/>
                <w:bCs/>
                <w:color w:val="000000"/>
                <w:sz w:val="22"/>
                <w:szCs w:val="22"/>
              </w:rPr>
              <w:t>In-person Shop</w:t>
            </w:r>
          </w:p>
        </w:tc>
        <w:tc>
          <w:tcPr>
            <w:tcW w:w="1530" w:type="dxa"/>
            <w:gridSpan w:val="2"/>
            <w:tcBorders>
              <w:top w:val="double" w:sz="6" w:space="0" w:color="auto"/>
              <w:left w:val="nil"/>
              <w:bottom w:val="nil"/>
              <w:right w:val="double" w:sz="6" w:space="0" w:color="000000"/>
            </w:tcBorders>
            <w:shd w:val="clear" w:color="000000" w:fill="FFFFFF"/>
            <w:noWrap/>
            <w:vAlign w:val="center"/>
            <w:hideMark/>
          </w:tcPr>
          <w:p w14:paraId="59DD0F52" w14:textId="6C1CEC08" w:rsidR="008D5DFE" w:rsidRPr="00FE55C4" w:rsidRDefault="008D5DFE" w:rsidP="0029070B">
            <w:pPr>
              <w:jc w:val="center"/>
              <w:rPr>
                <w:rFonts w:eastAsia="Times New Roman"/>
                <w:b/>
                <w:bCs/>
                <w:color w:val="000000"/>
                <w:sz w:val="22"/>
                <w:szCs w:val="22"/>
              </w:rPr>
            </w:pPr>
            <w:r w:rsidRPr="00FE55C4">
              <w:rPr>
                <w:rFonts w:eastAsia="Times New Roman"/>
                <w:b/>
                <w:bCs/>
                <w:color w:val="000000"/>
                <w:sz w:val="22"/>
                <w:szCs w:val="22"/>
              </w:rPr>
              <w:t>In-person Groc</w:t>
            </w:r>
            <w:r w:rsidR="0029070B">
              <w:rPr>
                <w:rFonts w:eastAsia="Times New Roman"/>
                <w:b/>
                <w:bCs/>
                <w:color w:val="000000"/>
                <w:sz w:val="22"/>
                <w:szCs w:val="22"/>
              </w:rPr>
              <w:t>ery</w:t>
            </w:r>
          </w:p>
        </w:tc>
        <w:tc>
          <w:tcPr>
            <w:tcW w:w="1530" w:type="dxa"/>
            <w:gridSpan w:val="2"/>
            <w:tcBorders>
              <w:top w:val="double" w:sz="6" w:space="0" w:color="auto"/>
              <w:left w:val="nil"/>
              <w:bottom w:val="nil"/>
              <w:right w:val="double" w:sz="6" w:space="0" w:color="000000"/>
            </w:tcBorders>
            <w:shd w:val="clear" w:color="000000" w:fill="FFFFFF"/>
            <w:noWrap/>
            <w:vAlign w:val="center"/>
            <w:hideMark/>
          </w:tcPr>
          <w:p w14:paraId="10A19296" w14:textId="77777777" w:rsidR="008D5DFE" w:rsidRPr="00FE55C4" w:rsidRDefault="008D5DFE" w:rsidP="0029070B">
            <w:pPr>
              <w:jc w:val="center"/>
              <w:rPr>
                <w:rFonts w:eastAsia="Times New Roman"/>
                <w:b/>
                <w:bCs/>
                <w:color w:val="000000"/>
                <w:sz w:val="22"/>
                <w:szCs w:val="22"/>
              </w:rPr>
            </w:pPr>
            <w:r w:rsidRPr="00FE55C4">
              <w:rPr>
                <w:rFonts w:eastAsia="Times New Roman"/>
                <w:b/>
                <w:bCs/>
                <w:color w:val="000000"/>
                <w:sz w:val="22"/>
                <w:szCs w:val="22"/>
              </w:rPr>
              <w:t>In-person Meals</w:t>
            </w:r>
          </w:p>
        </w:tc>
      </w:tr>
      <w:tr w:rsidR="008D5DFE" w:rsidRPr="00FE55C4" w14:paraId="16F64EE2" w14:textId="77777777" w:rsidTr="00A41CA1">
        <w:trPr>
          <w:trHeight w:val="288"/>
        </w:trPr>
        <w:tc>
          <w:tcPr>
            <w:tcW w:w="1530" w:type="dxa"/>
            <w:vMerge/>
            <w:tcBorders>
              <w:top w:val="double" w:sz="6" w:space="0" w:color="auto"/>
              <w:left w:val="double" w:sz="6" w:space="0" w:color="auto"/>
              <w:bottom w:val="double" w:sz="6" w:space="0" w:color="000000"/>
              <w:right w:val="nil"/>
            </w:tcBorders>
            <w:vAlign w:val="center"/>
            <w:hideMark/>
          </w:tcPr>
          <w:p w14:paraId="752D582F" w14:textId="77777777" w:rsidR="008D5DFE" w:rsidRPr="00FE55C4" w:rsidRDefault="008D5DFE" w:rsidP="00586232">
            <w:pPr>
              <w:jc w:val="left"/>
              <w:rPr>
                <w:rFonts w:eastAsia="Times New Roman"/>
                <w:b/>
                <w:bCs/>
                <w:color w:val="000000"/>
                <w:sz w:val="22"/>
                <w:szCs w:val="22"/>
              </w:rPr>
            </w:pPr>
          </w:p>
        </w:tc>
        <w:tc>
          <w:tcPr>
            <w:tcW w:w="2543" w:type="dxa"/>
            <w:vMerge/>
            <w:tcBorders>
              <w:top w:val="double" w:sz="6" w:space="0" w:color="auto"/>
              <w:left w:val="nil"/>
              <w:bottom w:val="double" w:sz="6" w:space="0" w:color="000000"/>
              <w:right w:val="double" w:sz="6" w:space="0" w:color="auto"/>
            </w:tcBorders>
            <w:vAlign w:val="center"/>
            <w:hideMark/>
          </w:tcPr>
          <w:p w14:paraId="679D09CB" w14:textId="77777777" w:rsidR="008D5DFE" w:rsidRPr="00FE55C4" w:rsidRDefault="008D5DFE" w:rsidP="00586232">
            <w:pPr>
              <w:jc w:val="left"/>
              <w:rPr>
                <w:rFonts w:eastAsia="Times New Roman"/>
                <w:b/>
                <w:bCs/>
                <w:color w:val="000000"/>
                <w:sz w:val="22"/>
                <w:szCs w:val="22"/>
              </w:rPr>
            </w:pPr>
          </w:p>
        </w:tc>
        <w:tc>
          <w:tcPr>
            <w:tcW w:w="810" w:type="dxa"/>
            <w:tcBorders>
              <w:top w:val="nil"/>
              <w:left w:val="nil"/>
              <w:bottom w:val="nil"/>
              <w:right w:val="nil"/>
            </w:tcBorders>
            <w:shd w:val="clear" w:color="000000" w:fill="FFFFFF"/>
            <w:noWrap/>
            <w:vAlign w:val="bottom"/>
            <w:hideMark/>
          </w:tcPr>
          <w:p w14:paraId="0E8DA15E" w14:textId="77777777" w:rsidR="008D5DFE" w:rsidRPr="00FE55C4" w:rsidRDefault="008D5DFE" w:rsidP="00586232">
            <w:pPr>
              <w:jc w:val="center"/>
              <w:rPr>
                <w:rFonts w:eastAsia="Times New Roman"/>
                <w:i/>
                <w:iCs/>
                <w:color w:val="000000"/>
                <w:sz w:val="22"/>
                <w:szCs w:val="22"/>
              </w:rPr>
            </w:pPr>
            <w:r w:rsidRPr="00FE55C4">
              <w:rPr>
                <w:rFonts w:eastAsia="Times New Roman"/>
                <w:i/>
                <w:iCs/>
                <w:color w:val="000000"/>
                <w:sz w:val="22"/>
                <w:szCs w:val="22"/>
              </w:rPr>
              <w:t>Value</w:t>
            </w:r>
          </w:p>
        </w:tc>
        <w:tc>
          <w:tcPr>
            <w:tcW w:w="900" w:type="dxa"/>
            <w:tcBorders>
              <w:top w:val="nil"/>
              <w:left w:val="nil"/>
              <w:bottom w:val="nil"/>
              <w:right w:val="double" w:sz="6" w:space="0" w:color="auto"/>
            </w:tcBorders>
            <w:shd w:val="clear" w:color="000000" w:fill="FFFFFF"/>
            <w:noWrap/>
            <w:vAlign w:val="bottom"/>
            <w:hideMark/>
          </w:tcPr>
          <w:p w14:paraId="6A7446D9" w14:textId="77777777" w:rsidR="008D5DFE" w:rsidRPr="00FE55C4" w:rsidRDefault="008D5DFE" w:rsidP="00586232">
            <w:pPr>
              <w:jc w:val="center"/>
              <w:rPr>
                <w:rFonts w:eastAsia="Times New Roman"/>
                <w:i/>
                <w:iCs/>
                <w:color w:val="000000"/>
                <w:sz w:val="22"/>
                <w:szCs w:val="22"/>
              </w:rPr>
            </w:pPr>
            <w:r w:rsidRPr="00FE55C4">
              <w:rPr>
                <w:rFonts w:eastAsia="Times New Roman"/>
                <w:i/>
                <w:iCs/>
                <w:color w:val="000000"/>
                <w:sz w:val="22"/>
                <w:szCs w:val="22"/>
              </w:rPr>
              <w:t>t-stat</w:t>
            </w:r>
          </w:p>
        </w:tc>
        <w:tc>
          <w:tcPr>
            <w:tcW w:w="810" w:type="dxa"/>
            <w:tcBorders>
              <w:top w:val="nil"/>
              <w:left w:val="nil"/>
              <w:bottom w:val="nil"/>
              <w:right w:val="nil"/>
            </w:tcBorders>
            <w:shd w:val="clear" w:color="000000" w:fill="FFFFFF"/>
            <w:noWrap/>
            <w:vAlign w:val="bottom"/>
            <w:hideMark/>
          </w:tcPr>
          <w:p w14:paraId="09CED96A" w14:textId="77777777" w:rsidR="008D5DFE" w:rsidRPr="00FE55C4" w:rsidRDefault="008D5DFE" w:rsidP="00586232">
            <w:pPr>
              <w:jc w:val="center"/>
              <w:rPr>
                <w:rFonts w:eastAsia="Times New Roman"/>
                <w:i/>
                <w:iCs/>
                <w:color w:val="000000"/>
                <w:sz w:val="22"/>
                <w:szCs w:val="22"/>
              </w:rPr>
            </w:pPr>
            <w:r w:rsidRPr="00FE55C4">
              <w:rPr>
                <w:rFonts w:eastAsia="Times New Roman"/>
                <w:i/>
                <w:iCs/>
                <w:color w:val="000000"/>
                <w:sz w:val="22"/>
                <w:szCs w:val="22"/>
              </w:rPr>
              <w:t>Value</w:t>
            </w:r>
          </w:p>
        </w:tc>
        <w:tc>
          <w:tcPr>
            <w:tcW w:w="900" w:type="dxa"/>
            <w:tcBorders>
              <w:top w:val="nil"/>
              <w:left w:val="nil"/>
              <w:bottom w:val="nil"/>
              <w:right w:val="double" w:sz="6" w:space="0" w:color="auto"/>
            </w:tcBorders>
            <w:shd w:val="clear" w:color="000000" w:fill="FFFFFF"/>
            <w:noWrap/>
            <w:vAlign w:val="bottom"/>
            <w:hideMark/>
          </w:tcPr>
          <w:p w14:paraId="5F775E2B" w14:textId="77777777" w:rsidR="008D5DFE" w:rsidRPr="00FE55C4" w:rsidRDefault="008D5DFE" w:rsidP="00586232">
            <w:pPr>
              <w:jc w:val="center"/>
              <w:rPr>
                <w:rFonts w:eastAsia="Times New Roman"/>
                <w:i/>
                <w:iCs/>
                <w:color w:val="000000"/>
                <w:sz w:val="22"/>
                <w:szCs w:val="22"/>
              </w:rPr>
            </w:pPr>
            <w:r w:rsidRPr="00FE55C4">
              <w:rPr>
                <w:rFonts w:eastAsia="Times New Roman"/>
                <w:i/>
                <w:iCs/>
                <w:color w:val="000000"/>
                <w:sz w:val="22"/>
                <w:szCs w:val="22"/>
              </w:rPr>
              <w:t>t-stat</w:t>
            </w:r>
          </w:p>
        </w:tc>
        <w:tc>
          <w:tcPr>
            <w:tcW w:w="730" w:type="dxa"/>
            <w:tcBorders>
              <w:top w:val="nil"/>
              <w:left w:val="nil"/>
              <w:bottom w:val="nil"/>
              <w:right w:val="nil"/>
            </w:tcBorders>
            <w:shd w:val="clear" w:color="000000" w:fill="FFFFFF"/>
            <w:noWrap/>
            <w:vAlign w:val="bottom"/>
            <w:hideMark/>
          </w:tcPr>
          <w:p w14:paraId="01648D56" w14:textId="77777777" w:rsidR="008D5DFE" w:rsidRPr="00FE55C4" w:rsidRDefault="008D5DFE" w:rsidP="00586232">
            <w:pPr>
              <w:jc w:val="center"/>
              <w:rPr>
                <w:rFonts w:eastAsia="Times New Roman"/>
                <w:i/>
                <w:iCs/>
                <w:color w:val="000000"/>
                <w:sz w:val="22"/>
                <w:szCs w:val="22"/>
              </w:rPr>
            </w:pPr>
            <w:r w:rsidRPr="00FE55C4">
              <w:rPr>
                <w:rFonts w:eastAsia="Times New Roman"/>
                <w:i/>
                <w:iCs/>
                <w:color w:val="000000"/>
                <w:sz w:val="22"/>
                <w:szCs w:val="22"/>
              </w:rPr>
              <w:t>Value</w:t>
            </w:r>
          </w:p>
        </w:tc>
        <w:tc>
          <w:tcPr>
            <w:tcW w:w="900" w:type="dxa"/>
            <w:tcBorders>
              <w:top w:val="nil"/>
              <w:left w:val="nil"/>
              <w:bottom w:val="nil"/>
              <w:right w:val="double" w:sz="6" w:space="0" w:color="auto"/>
            </w:tcBorders>
            <w:shd w:val="clear" w:color="000000" w:fill="FFFFFF"/>
            <w:noWrap/>
            <w:vAlign w:val="bottom"/>
            <w:hideMark/>
          </w:tcPr>
          <w:p w14:paraId="098EDD6F" w14:textId="77777777" w:rsidR="008D5DFE" w:rsidRPr="00FE55C4" w:rsidRDefault="008D5DFE" w:rsidP="00586232">
            <w:pPr>
              <w:jc w:val="center"/>
              <w:rPr>
                <w:rFonts w:eastAsia="Times New Roman"/>
                <w:i/>
                <w:iCs/>
                <w:color w:val="000000"/>
                <w:sz w:val="22"/>
                <w:szCs w:val="22"/>
              </w:rPr>
            </w:pPr>
            <w:r w:rsidRPr="00FE55C4">
              <w:rPr>
                <w:rFonts w:eastAsia="Times New Roman"/>
                <w:i/>
                <w:iCs/>
                <w:color w:val="000000"/>
                <w:sz w:val="22"/>
                <w:szCs w:val="22"/>
              </w:rPr>
              <w:t>t-stat</w:t>
            </w:r>
          </w:p>
        </w:tc>
        <w:tc>
          <w:tcPr>
            <w:tcW w:w="730" w:type="dxa"/>
            <w:tcBorders>
              <w:top w:val="nil"/>
              <w:left w:val="nil"/>
              <w:bottom w:val="nil"/>
              <w:right w:val="nil"/>
            </w:tcBorders>
            <w:shd w:val="clear" w:color="000000" w:fill="FFFFFF"/>
            <w:noWrap/>
            <w:vAlign w:val="bottom"/>
            <w:hideMark/>
          </w:tcPr>
          <w:p w14:paraId="48D19FDA" w14:textId="77777777" w:rsidR="008D5DFE" w:rsidRPr="00FE55C4" w:rsidRDefault="008D5DFE" w:rsidP="00586232">
            <w:pPr>
              <w:jc w:val="center"/>
              <w:rPr>
                <w:rFonts w:eastAsia="Times New Roman"/>
                <w:i/>
                <w:iCs/>
                <w:color w:val="000000"/>
                <w:sz w:val="22"/>
                <w:szCs w:val="22"/>
              </w:rPr>
            </w:pPr>
            <w:r w:rsidRPr="00FE55C4">
              <w:rPr>
                <w:rFonts w:eastAsia="Times New Roman"/>
                <w:i/>
                <w:iCs/>
                <w:color w:val="000000"/>
                <w:sz w:val="22"/>
                <w:szCs w:val="22"/>
              </w:rPr>
              <w:t>Value</w:t>
            </w:r>
          </w:p>
        </w:tc>
        <w:tc>
          <w:tcPr>
            <w:tcW w:w="857" w:type="dxa"/>
            <w:tcBorders>
              <w:top w:val="nil"/>
              <w:left w:val="nil"/>
              <w:bottom w:val="nil"/>
              <w:right w:val="double" w:sz="6" w:space="0" w:color="auto"/>
            </w:tcBorders>
            <w:shd w:val="clear" w:color="000000" w:fill="FFFFFF"/>
            <w:noWrap/>
            <w:vAlign w:val="bottom"/>
            <w:hideMark/>
          </w:tcPr>
          <w:p w14:paraId="2CEE39D6" w14:textId="77777777" w:rsidR="008D5DFE" w:rsidRPr="00FE55C4" w:rsidRDefault="008D5DFE" w:rsidP="00586232">
            <w:pPr>
              <w:jc w:val="center"/>
              <w:rPr>
                <w:rFonts w:eastAsia="Times New Roman"/>
                <w:i/>
                <w:iCs/>
                <w:color w:val="000000"/>
                <w:sz w:val="22"/>
                <w:szCs w:val="22"/>
              </w:rPr>
            </w:pPr>
            <w:r w:rsidRPr="00FE55C4">
              <w:rPr>
                <w:rFonts w:eastAsia="Times New Roman"/>
                <w:i/>
                <w:iCs/>
                <w:color w:val="000000"/>
                <w:sz w:val="22"/>
                <w:szCs w:val="22"/>
              </w:rPr>
              <w:t>t-stat</w:t>
            </w:r>
          </w:p>
        </w:tc>
        <w:tc>
          <w:tcPr>
            <w:tcW w:w="730" w:type="dxa"/>
            <w:tcBorders>
              <w:top w:val="nil"/>
              <w:left w:val="nil"/>
              <w:bottom w:val="nil"/>
              <w:right w:val="nil"/>
            </w:tcBorders>
            <w:shd w:val="clear" w:color="000000" w:fill="FFFFFF"/>
            <w:noWrap/>
            <w:vAlign w:val="bottom"/>
            <w:hideMark/>
          </w:tcPr>
          <w:p w14:paraId="4A2D9B69" w14:textId="77777777" w:rsidR="008D5DFE" w:rsidRPr="00FE55C4" w:rsidRDefault="008D5DFE" w:rsidP="00586232">
            <w:pPr>
              <w:jc w:val="center"/>
              <w:rPr>
                <w:rFonts w:eastAsia="Times New Roman"/>
                <w:i/>
                <w:iCs/>
                <w:color w:val="000000"/>
                <w:sz w:val="22"/>
                <w:szCs w:val="22"/>
              </w:rPr>
            </w:pPr>
            <w:r w:rsidRPr="00FE55C4">
              <w:rPr>
                <w:rFonts w:eastAsia="Times New Roman"/>
                <w:i/>
                <w:iCs/>
                <w:color w:val="000000"/>
                <w:sz w:val="22"/>
                <w:szCs w:val="22"/>
              </w:rPr>
              <w:t>Value</w:t>
            </w:r>
          </w:p>
        </w:tc>
        <w:tc>
          <w:tcPr>
            <w:tcW w:w="800" w:type="dxa"/>
            <w:tcBorders>
              <w:top w:val="nil"/>
              <w:left w:val="nil"/>
              <w:bottom w:val="nil"/>
              <w:right w:val="double" w:sz="6" w:space="0" w:color="auto"/>
            </w:tcBorders>
            <w:shd w:val="clear" w:color="000000" w:fill="FFFFFF"/>
            <w:noWrap/>
            <w:vAlign w:val="bottom"/>
            <w:hideMark/>
          </w:tcPr>
          <w:p w14:paraId="52AFEEB9" w14:textId="77777777" w:rsidR="008D5DFE" w:rsidRPr="00FE55C4" w:rsidRDefault="008D5DFE" w:rsidP="00586232">
            <w:pPr>
              <w:jc w:val="center"/>
              <w:rPr>
                <w:rFonts w:eastAsia="Times New Roman"/>
                <w:i/>
                <w:iCs/>
                <w:color w:val="000000"/>
                <w:sz w:val="22"/>
                <w:szCs w:val="22"/>
              </w:rPr>
            </w:pPr>
            <w:r w:rsidRPr="00FE55C4">
              <w:rPr>
                <w:rFonts w:eastAsia="Times New Roman"/>
                <w:i/>
                <w:iCs/>
                <w:color w:val="000000"/>
                <w:sz w:val="22"/>
                <w:szCs w:val="22"/>
              </w:rPr>
              <w:t>t-stat</w:t>
            </w:r>
          </w:p>
        </w:tc>
        <w:tc>
          <w:tcPr>
            <w:tcW w:w="730" w:type="dxa"/>
            <w:tcBorders>
              <w:top w:val="nil"/>
              <w:left w:val="nil"/>
              <w:bottom w:val="nil"/>
              <w:right w:val="nil"/>
            </w:tcBorders>
            <w:shd w:val="clear" w:color="000000" w:fill="FFFFFF"/>
            <w:noWrap/>
            <w:vAlign w:val="bottom"/>
            <w:hideMark/>
          </w:tcPr>
          <w:p w14:paraId="42661868" w14:textId="77777777" w:rsidR="008D5DFE" w:rsidRPr="00FE55C4" w:rsidRDefault="008D5DFE" w:rsidP="00586232">
            <w:pPr>
              <w:jc w:val="center"/>
              <w:rPr>
                <w:rFonts w:eastAsia="Times New Roman"/>
                <w:i/>
                <w:iCs/>
                <w:color w:val="000000"/>
                <w:sz w:val="22"/>
                <w:szCs w:val="22"/>
              </w:rPr>
            </w:pPr>
            <w:r w:rsidRPr="00FE55C4">
              <w:rPr>
                <w:rFonts w:eastAsia="Times New Roman"/>
                <w:i/>
                <w:iCs/>
                <w:color w:val="000000"/>
                <w:sz w:val="22"/>
                <w:szCs w:val="22"/>
              </w:rPr>
              <w:t>Value</w:t>
            </w:r>
          </w:p>
        </w:tc>
        <w:tc>
          <w:tcPr>
            <w:tcW w:w="800" w:type="dxa"/>
            <w:tcBorders>
              <w:top w:val="nil"/>
              <w:left w:val="nil"/>
              <w:bottom w:val="nil"/>
              <w:right w:val="double" w:sz="6" w:space="0" w:color="auto"/>
            </w:tcBorders>
            <w:shd w:val="clear" w:color="000000" w:fill="FFFFFF"/>
            <w:noWrap/>
            <w:vAlign w:val="bottom"/>
            <w:hideMark/>
          </w:tcPr>
          <w:p w14:paraId="61C32885" w14:textId="77777777" w:rsidR="008D5DFE" w:rsidRPr="00FE55C4" w:rsidRDefault="008D5DFE" w:rsidP="00586232">
            <w:pPr>
              <w:jc w:val="center"/>
              <w:rPr>
                <w:rFonts w:eastAsia="Times New Roman"/>
                <w:i/>
                <w:iCs/>
                <w:color w:val="000000"/>
                <w:sz w:val="22"/>
                <w:szCs w:val="22"/>
              </w:rPr>
            </w:pPr>
            <w:r w:rsidRPr="00FE55C4">
              <w:rPr>
                <w:rFonts w:eastAsia="Times New Roman"/>
                <w:i/>
                <w:iCs/>
                <w:color w:val="000000"/>
                <w:sz w:val="22"/>
                <w:szCs w:val="22"/>
              </w:rPr>
              <w:t>t-stat</w:t>
            </w:r>
          </w:p>
        </w:tc>
      </w:tr>
      <w:tr w:rsidR="008D5DFE" w:rsidRPr="00FE55C4" w14:paraId="267283BD" w14:textId="77777777" w:rsidTr="00A41CA1">
        <w:trPr>
          <w:trHeight w:val="576"/>
        </w:trPr>
        <w:tc>
          <w:tcPr>
            <w:tcW w:w="1530" w:type="dxa"/>
            <w:tcBorders>
              <w:top w:val="nil"/>
              <w:left w:val="double" w:sz="6" w:space="0" w:color="auto"/>
              <w:bottom w:val="single" w:sz="4" w:space="0" w:color="auto"/>
              <w:right w:val="nil"/>
            </w:tcBorders>
            <w:shd w:val="clear" w:color="auto" w:fill="auto"/>
            <w:noWrap/>
            <w:vAlign w:val="center"/>
            <w:hideMark/>
          </w:tcPr>
          <w:p w14:paraId="023D0268" w14:textId="77777777" w:rsidR="008D5DFE" w:rsidRPr="00FE55C4" w:rsidRDefault="008D5DFE" w:rsidP="00586232">
            <w:pPr>
              <w:jc w:val="left"/>
              <w:rPr>
                <w:rFonts w:eastAsia="Times New Roman"/>
                <w:color w:val="000000"/>
                <w:sz w:val="22"/>
                <w:szCs w:val="22"/>
              </w:rPr>
            </w:pPr>
            <w:r w:rsidRPr="00FE55C4">
              <w:rPr>
                <w:rFonts w:eastAsia="Times New Roman"/>
                <w:color w:val="000000"/>
                <w:sz w:val="22"/>
                <w:szCs w:val="22"/>
              </w:rPr>
              <w:t>Income</w:t>
            </w:r>
          </w:p>
        </w:tc>
        <w:tc>
          <w:tcPr>
            <w:tcW w:w="2543" w:type="dxa"/>
            <w:tcBorders>
              <w:top w:val="nil"/>
              <w:left w:val="nil"/>
              <w:bottom w:val="single" w:sz="4" w:space="0" w:color="auto"/>
              <w:right w:val="double" w:sz="6" w:space="0" w:color="auto"/>
            </w:tcBorders>
            <w:shd w:val="clear" w:color="auto" w:fill="auto"/>
            <w:noWrap/>
            <w:vAlign w:val="center"/>
            <w:hideMark/>
          </w:tcPr>
          <w:p w14:paraId="7991FC23" w14:textId="77777777" w:rsidR="008D5DFE" w:rsidRPr="00FE55C4" w:rsidRDefault="008D5DFE" w:rsidP="00A41CA1">
            <w:pPr>
              <w:jc w:val="left"/>
              <w:rPr>
                <w:rFonts w:eastAsia="Times New Roman"/>
                <w:color w:val="000000"/>
                <w:sz w:val="22"/>
                <w:szCs w:val="22"/>
              </w:rPr>
            </w:pPr>
            <w:r w:rsidRPr="00FE55C4">
              <w:rPr>
                <w:rFonts w:eastAsia="Times New Roman"/>
                <w:color w:val="000000"/>
                <w:sz w:val="22"/>
                <w:szCs w:val="22"/>
              </w:rPr>
              <w:t xml:space="preserve">From "&lt; $25,000" </w:t>
            </w:r>
            <w:r>
              <w:rPr>
                <w:rFonts w:eastAsia="Times New Roman"/>
                <w:color w:val="000000"/>
                <w:sz w:val="22"/>
                <w:szCs w:val="22"/>
              </w:rPr>
              <w:br/>
            </w:r>
            <w:r w:rsidRPr="00FE55C4">
              <w:rPr>
                <w:rFonts w:eastAsia="Times New Roman"/>
                <w:color w:val="000000"/>
                <w:sz w:val="22"/>
                <w:szCs w:val="22"/>
              </w:rPr>
              <w:t>to "≥$100,000"</w:t>
            </w:r>
          </w:p>
        </w:tc>
        <w:tc>
          <w:tcPr>
            <w:tcW w:w="810" w:type="dxa"/>
            <w:tcBorders>
              <w:top w:val="double" w:sz="6" w:space="0" w:color="auto"/>
              <w:left w:val="nil"/>
              <w:bottom w:val="single" w:sz="4" w:space="0" w:color="auto"/>
              <w:right w:val="nil"/>
            </w:tcBorders>
            <w:shd w:val="clear" w:color="auto" w:fill="auto"/>
            <w:noWrap/>
            <w:tcMar>
              <w:left w:w="58" w:type="dxa"/>
              <w:right w:w="58" w:type="dxa"/>
            </w:tcMar>
            <w:vAlign w:val="center"/>
            <w:hideMark/>
          </w:tcPr>
          <w:p w14:paraId="7082B8EF"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0.161</w:t>
            </w:r>
          </w:p>
        </w:tc>
        <w:tc>
          <w:tcPr>
            <w:tcW w:w="900" w:type="dxa"/>
            <w:tcBorders>
              <w:top w:val="double" w:sz="6" w:space="0" w:color="auto"/>
              <w:left w:val="nil"/>
              <w:bottom w:val="single" w:sz="4" w:space="0" w:color="auto"/>
              <w:right w:val="double" w:sz="6" w:space="0" w:color="auto"/>
            </w:tcBorders>
            <w:shd w:val="clear" w:color="auto" w:fill="auto"/>
            <w:noWrap/>
            <w:tcMar>
              <w:left w:w="58" w:type="dxa"/>
              <w:right w:w="58" w:type="dxa"/>
            </w:tcMar>
            <w:vAlign w:val="center"/>
            <w:hideMark/>
          </w:tcPr>
          <w:p w14:paraId="61FDA115"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69.931</w:t>
            </w:r>
          </w:p>
        </w:tc>
        <w:tc>
          <w:tcPr>
            <w:tcW w:w="810" w:type="dxa"/>
            <w:tcBorders>
              <w:top w:val="double" w:sz="6" w:space="0" w:color="auto"/>
              <w:left w:val="nil"/>
              <w:bottom w:val="single" w:sz="4" w:space="0" w:color="auto"/>
              <w:right w:val="nil"/>
            </w:tcBorders>
            <w:shd w:val="clear" w:color="auto" w:fill="auto"/>
            <w:noWrap/>
            <w:tcMar>
              <w:left w:w="58" w:type="dxa"/>
              <w:right w:w="58" w:type="dxa"/>
            </w:tcMar>
            <w:vAlign w:val="center"/>
            <w:hideMark/>
          </w:tcPr>
          <w:p w14:paraId="5A1990FF"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0.034</w:t>
            </w:r>
          </w:p>
        </w:tc>
        <w:tc>
          <w:tcPr>
            <w:tcW w:w="900" w:type="dxa"/>
            <w:tcBorders>
              <w:top w:val="double" w:sz="6" w:space="0" w:color="auto"/>
              <w:left w:val="nil"/>
              <w:bottom w:val="single" w:sz="4" w:space="0" w:color="auto"/>
              <w:right w:val="double" w:sz="6" w:space="0" w:color="auto"/>
            </w:tcBorders>
            <w:shd w:val="clear" w:color="auto" w:fill="auto"/>
            <w:noWrap/>
            <w:tcMar>
              <w:left w:w="58" w:type="dxa"/>
              <w:right w:w="58" w:type="dxa"/>
            </w:tcMar>
            <w:vAlign w:val="center"/>
            <w:hideMark/>
          </w:tcPr>
          <w:p w14:paraId="21DC75D5"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34.944</w:t>
            </w:r>
          </w:p>
        </w:tc>
        <w:tc>
          <w:tcPr>
            <w:tcW w:w="730" w:type="dxa"/>
            <w:tcBorders>
              <w:top w:val="double" w:sz="6" w:space="0" w:color="auto"/>
              <w:left w:val="nil"/>
              <w:bottom w:val="single" w:sz="4" w:space="0" w:color="auto"/>
              <w:right w:val="nil"/>
            </w:tcBorders>
            <w:shd w:val="clear" w:color="auto" w:fill="auto"/>
            <w:noWrap/>
            <w:tcMar>
              <w:left w:w="58" w:type="dxa"/>
              <w:right w:w="58" w:type="dxa"/>
            </w:tcMar>
            <w:vAlign w:val="center"/>
            <w:hideMark/>
          </w:tcPr>
          <w:p w14:paraId="21A13523"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0.056</w:t>
            </w:r>
          </w:p>
        </w:tc>
        <w:tc>
          <w:tcPr>
            <w:tcW w:w="900" w:type="dxa"/>
            <w:tcBorders>
              <w:top w:val="double" w:sz="6" w:space="0" w:color="auto"/>
              <w:left w:val="nil"/>
              <w:bottom w:val="single" w:sz="4" w:space="0" w:color="auto"/>
              <w:right w:val="double" w:sz="6" w:space="0" w:color="auto"/>
            </w:tcBorders>
            <w:shd w:val="clear" w:color="auto" w:fill="auto"/>
            <w:noWrap/>
            <w:tcMar>
              <w:left w:w="58" w:type="dxa"/>
              <w:right w:w="58" w:type="dxa"/>
            </w:tcMar>
            <w:vAlign w:val="center"/>
            <w:hideMark/>
          </w:tcPr>
          <w:p w14:paraId="40804181"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39.466</w:t>
            </w:r>
          </w:p>
        </w:tc>
        <w:tc>
          <w:tcPr>
            <w:tcW w:w="730" w:type="dxa"/>
            <w:tcBorders>
              <w:top w:val="double" w:sz="6" w:space="0" w:color="auto"/>
              <w:left w:val="nil"/>
              <w:bottom w:val="single" w:sz="4" w:space="0" w:color="auto"/>
              <w:right w:val="nil"/>
            </w:tcBorders>
            <w:shd w:val="clear" w:color="auto" w:fill="auto"/>
            <w:noWrap/>
            <w:tcMar>
              <w:left w:w="58" w:type="dxa"/>
              <w:right w:w="58" w:type="dxa"/>
            </w:tcMar>
            <w:vAlign w:val="center"/>
            <w:hideMark/>
          </w:tcPr>
          <w:p w14:paraId="135DB7C6"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 </w:t>
            </w:r>
          </w:p>
        </w:tc>
        <w:tc>
          <w:tcPr>
            <w:tcW w:w="857" w:type="dxa"/>
            <w:tcBorders>
              <w:top w:val="double" w:sz="6" w:space="0" w:color="auto"/>
              <w:left w:val="nil"/>
              <w:bottom w:val="single" w:sz="4" w:space="0" w:color="auto"/>
              <w:right w:val="double" w:sz="6" w:space="0" w:color="auto"/>
            </w:tcBorders>
            <w:shd w:val="clear" w:color="auto" w:fill="auto"/>
            <w:noWrap/>
            <w:tcMar>
              <w:left w:w="58" w:type="dxa"/>
              <w:right w:w="58" w:type="dxa"/>
            </w:tcMar>
            <w:vAlign w:val="center"/>
            <w:hideMark/>
          </w:tcPr>
          <w:p w14:paraId="0D5FEC77"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 </w:t>
            </w:r>
          </w:p>
        </w:tc>
        <w:tc>
          <w:tcPr>
            <w:tcW w:w="730" w:type="dxa"/>
            <w:tcBorders>
              <w:top w:val="double" w:sz="6" w:space="0" w:color="auto"/>
              <w:left w:val="nil"/>
              <w:bottom w:val="single" w:sz="4" w:space="0" w:color="auto"/>
              <w:right w:val="nil"/>
            </w:tcBorders>
            <w:shd w:val="clear" w:color="auto" w:fill="auto"/>
            <w:noWrap/>
            <w:tcMar>
              <w:left w:w="58" w:type="dxa"/>
              <w:right w:w="58" w:type="dxa"/>
            </w:tcMar>
            <w:vAlign w:val="center"/>
            <w:hideMark/>
          </w:tcPr>
          <w:p w14:paraId="33FF5A49"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-0.054</w:t>
            </w:r>
          </w:p>
        </w:tc>
        <w:tc>
          <w:tcPr>
            <w:tcW w:w="800" w:type="dxa"/>
            <w:tcBorders>
              <w:top w:val="double" w:sz="6" w:space="0" w:color="auto"/>
              <w:left w:val="nil"/>
              <w:bottom w:val="single" w:sz="4" w:space="0" w:color="auto"/>
              <w:right w:val="double" w:sz="6" w:space="0" w:color="auto"/>
            </w:tcBorders>
            <w:shd w:val="clear" w:color="auto" w:fill="auto"/>
            <w:noWrap/>
            <w:tcMar>
              <w:left w:w="58" w:type="dxa"/>
              <w:right w:w="58" w:type="dxa"/>
            </w:tcMar>
            <w:vAlign w:val="center"/>
            <w:hideMark/>
          </w:tcPr>
          <w:p w14:paraId="6637802E"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-81.696</w:t>
            </w:r>
          </w:p>
        </w:tc>
        <w:tc>
          <w:tcPr>
            <w:tcW w:w="730" w:type="dxa"/>
            <w:tcBorders>
              <w:top w:val="double" w:sz="6" w:space="0" w:color="auto"/>
              <w:left w:val="nil"/>
              <w:bottom w:val="single" w:sz="4" w:space="0" w:color="auto"/>
              <w:right w:val="nil"/>
            </w:tcBorders>
            <w:shd w:val="clear" w:color="auto" w:fill="auto"/>
            <w:noWrap/>
            <w:tcMar>
              <w:left w:w="58" w:type="dxa"/>
              <w:right w:w="58" w:type="dxa"/>
            </w:tcMar>
            <w:vAlign w:val="center"/>
            <w:hideMark/>
          </w:tcPr>
          <w:p w14:paraId="7A3D407F"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0.372</w:t>
            </w:r>
          </w:p>
        </w:tc>
        <w:tc>
          <w:tcPr>
            <w:tcW w:w="800" w:type="dxa"/>
            <w:tcBorders>
              <w:top w:val="double" w:sz="6" w:space="0" w:color="auto"/>
              <w:left w:val="nil"/>
              <w:bottom w:val="single" w:sz="4" w:space="0" w:color="auto"/>
              <w:right w:val="double" w:sz="6" w:space="0" w:color="auto"/>
            </w:tcBorders>
            <w:shd w:val="clear" w:color="auto" w:fill="auto"/>
            <w:noWrap/>
            <w:tcMar>
              <w:left w:w="58" w:type="dxa"/>
              <w:right w:w="58" w:type="dxa"/>
            </w:tcMar>
            <w:vAlign w:val="center"/>
            <w:hideMark/>
          </w:tcPr>
          <w:p w14:paraId="1AE03589"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91.414</w:t>
            </w:r>
          </w:p>
        </w:tc>
      </w:tr>
      <w:tr w:rsidR="008D5DFE" w:rsidRPr="00FE55C4" w14:paraId="0EAA3486" w14:textId="77777777" w:rsidTr="00A41CA1">
        <w:trPr>
          <w:trHeight w:val="576"/>
        </w:trPr>
        <w:tc>
          <w:tcPr>
            <w:tcW w:w="1530" w:type="dxa"/>
            <w:tcBorders>
              <w:top w:val="single" w:sz="4" w:space="0" w:color="auto"/>
              <w:left w:val="double" w:sz="6" w:space="0" w:color="auto"/>
              <w:bottom w:val="single" w:sz="4" w:space="0" w:color="auto"/>
              <w:right w:val="nil"/>
            </w:tcBorders>
            <w:shd w:val="clear" w:color="auto" w:fill="F2F2F2" w:themeFill="background1" w:themeFillShade="F2"/>
            <w:noWrap/>
            <w:vAlign w:val="center"/>
            <w:hideMark/>
          </w:tcPr>
          <w:p w14:paraId="1234C1A1" w14:textId="30C6B205" w:rsidR="008D5DFE" w:rsidRPr="00FE55C4" w:rsidRDefault="008D5DFE" w:rsidP="00586232">
            <w:pPr>
              <w:jc w:val="left"/>
              <w:rPr>
                <w:rFonts w:eastAsia="Times New Roman"/>
                <w:color w:val="000000"/>
                <w:sz w:val="22"/>
                <w:szCs w:val="22"/>
              </w:rPr>
            </w:pPr>
            <w:r w:rsidRPr="00FE55C4">
              <w:rPr>
                <w:rFonts w:eastAsia="Times New Roman"/>
                <w:color w:val="000000"/>
                <w:sz w:val="22"/>
                <w:szCs w:val="22"/>
              </w:rPr>
              <w:t xml:space="preserve">Worker </w:t>
            </w:r>
            <w:r w:rsidR="006A4B68">
              <w:rPr>
                <w:rFonts w:eastAsia="Times New Roman"/>
                <w:color w:val="000000"/>
                <w:sz w:val="22"/>
                <w:szCs w:val="22"/>
              </w:rPr>
              <w:t>S</w:t>
            </w:r>
            <w:r w:rsidRPr="00FE55C4">
              <w:rPr>
                <w:rFonts w:eastAsia="Times New Roman"/>
                <w:color w:val="000000"/>
                <w:sz w:val="22"/>
                <w:szCs w:val="22"/>
              </w:rPr>
              <w:t>tatus</w:t>
            </w:r>
          </w:p>
        </w:tc>
        <w:tc>
          <w:tcPr>
            <w:tcW w:w="2543" w:type="dxa"/>
            <w:tcBorders>
              <w:top w:val="single" w:sz="4" w:space="0" w:color="auto"/>
              <w:left w:val="nil"/>
              <w:bottom w:val="single" w:sz="4" w:space="0" w:color="auto"/>
              <w:right w:val="double" w:sz="6" w:space="0" w:color="auto"/>
            </w:tcBorders>
            <w:shd w:val="clear" w:color="auto" w:fill="F2F2F2" w:themeFill="background1" w:themeFillShade="F2"/>
            <w:noWrap/>
            <w:vAlign w:val="center"/>
            <w:hideMark/>
          </w:tcPr>
          <w:p w14:paraId="0CF4FA69" w14:textId="77777777" w:rsidR="008D5DFE" w:rsidRPr="00FE55C4" w:rsidRDefault="008D5DFE" w:rsidP="00A41CA1">
            <w:pPr>
              <w:jc w:val="left"/>
              <w:rPr>
                <w:rFonts w:eastAsia="Times New Roman"/>
                <w:color w:val="000000"/>
                <w:sz w:val="22"/>
                <w:szCs w:val="22"/>
              </w:rPr>
            </w:pPr>
            <w:r w:rsidRPr="00FE55C4">
              <w:rPr>
                <w:rFonts w:eastAsia="Times New Roman"/>
                <w:color w:val="000000"/>
                <w:sz w:val="22"/>
                <w:szCs w:val="22"/>
              </w:rPr>
              <w:t>From "Single worker" to "Multiple workers"</w:t>
            </w:r>
          </w:p>
        </w:tc>
        <w:tc>
          <w:tcPr>
            <w:tcW w:w="810" w:type="dxa"/>
            <w:tcBorders>
              <w:top w:val="single" w:sz="4" w:space="0" w:color="auto"/>
              <w:left w:val="nil"/>
              <w:bottom w:val="single" w:sz="4" w:space="0" w:color="auto"/>
              <w:right w:val="nil"/>
            </w:tcBorders>
            <w:shd w:val="clear" w:color="auto" w:fill="F2F2F2" w:themeFill="background1" w:themeFillShade="F2"/>
            <w:noWrap/>
            <w:tcMar>
              <w:left w:w="58" w:type="dxa"/>
              <w:right w:w="58" w:type="dxa"/>
            </w:tcMar>
            <w:vAlign w:val="center"/>
            <w:hideMark/>
          </w:tcPr>
          <w:p w14:paraId="2D37351C"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-0.163</w:t>
            </w:r>
          </w:p>
        </w:tc>
        <w:tc>
          <w:tcPr>
            <w:tcW w:w="900" w:type="dxa"/>
            <w:tcBorders>
              <w:top w:val="single" w:sz="4" w:space="0" w:color="auto"/>
              <w:left w:val="nil"/>
              <w:bottom w:val="single" w:sz="4" w:space="0" w:color="auto"/>
              <w:right w:val="double" w:sz="6" w:space="0" w:color="auto"/>
            </w:tcBorders>
            <w:shd w:val="clear" w:color="auto" w:fill="F2F2F2" w:themeFill="background1" w:themeFillShade="F2"/>
            <w:noWrap/>
            <w:tcMar>
              <w:left w:w="58" w:type="dxa"/>
              <w:right w:w="58" w:type="dxa"/>
            </w:tcMar>
            <w:vAlign w:val="center"/>
            <w:hideMark/>
          </w:tcPr>
          <w:p w14:paraId="39FD3808"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-67.321</w:t>
            </w:r>
          </w:p>
        </w:tc>
        <w:tc>
          <w:tcPr>
            <w:tcW w:w="810" w:type="dxa"/>
            <w:tcBorders>
              <w:top w:val="single" w:sz="4" w:space="0" w:color="auto"/>
              <w:left w:val="nil"/>
              <w:bottom w:val="single" w:sz="4" w:space="0" w:color="auto"/>
              <w:right w:val="nil"/>
            </w:tcBorders>
            <w:shd w:val="clear" w:color="auto" w:fill="F2F2F2" w:themeFill="background1" w:themeFillShade="F2"/>
            <w:noWrap/>
            <w:tcMar>
              <w:left w:w="58" w:type="dxa"/>
              <w:right w:w="58" w:type="dxa"/>
            </w:tcMar>
            <w:vAlign w:val="center"/>
            <w:hideMark/>
          </w:tcPr>
          <w:p w14:paraId="425B61F9"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-0.040</w:t>
            </w:r>
          </w:p>
        </w:tc>
        <w:tc>
          <w:tcPr>
            <w:tcW w:w="900" w:type="dxa"/>
            <w:tcBorders>
              <w:top w:val="single" w:sz="4" w:space="0" w:color="auto"/>
              <w:left w:val="nil"/>
              <w:bottom w:val="single" w:sz="4" w:space="0" w:color="auto"/>
              <w:right w:val="double" w:sz="6" w:space="0" w:color="auto"/>
            </w:tcBorders>
            <w:shd w:val="clear" w:color="auto" w:fill="F2F2F2" w:themeFill="background1" w:themeFillShade="F2"/>
            <w:noWrap/>
            <w:tcMar>
              <w:left w:w="58" w:type="dxa"/>
              <w:right w:w="58" w:type="dxa"/>
            </w:tcMar>
            <w:vAlign w:val="center"/>
            <w:hideMark/>
          </w:tcPr>
          <w:p w14:paraId="46CA69D8"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-35.685</w:t>
            </w:r>
          </w:p>
        </w:tc>
        <w:tc>
          <w:tcPr>
            <w:tcW w:w="730" w:type="dxa"/>
            <w:tcBorders>
              <w:top w:val="single" w:sz="4" w:space="0" w:color="auto"/>
              <w:left w:val="nil"/>
              <w:bottom w:val="single" w:sz="4" w:space="0" w:color="auto"/>
              <w:right w:val="nil"/>
            </w:tcBorders>
            <w:shd w:val="clear" w:color="auto" w:fill="F2F2F2" w:themeFill="background1" w:themeFillShade="F2"/>
            <w:noWrap/>
            <w:tcMar>
              <w:left w:w="58" w:type="dxa"/>
              <w:right w:w="58" w:type="dxa"/>
            </w:tcMar>
            <w:vAlign w:val="center"/>
            <w:hideMark/>
          </w:tcPr>
          <w:p w14:paraId="5E4B5BE2"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 </w:t>
            </w:r>
          </w:p>
        </w:tc>
        <w:tc>
          <w:tcPr>
            <w:tcW w:w="900" w:type="dxa"/>
            <w:tcBorders>
              <w:top w:val="single" w:sz="4" w:space="0" w:color="auto"/>
              <w:left w:val="nil"/>
              <w:bottom w:val="single" w:sz="4" w:space="0" w:color="auto"/>
              <w:right w:val="double" w:sz="6" w:space="0" w:color="auto"/>
            </w:tcBorders>
            <w:shd w:val="clear" w:color="auto" w:fill="F2F2F2" w:themeFill="background1" w:themeFillShade="F2"/>
            <w:noWrap/>
            <w:tcMar>
              <w:left w:w="58" w:type="dxa"/>
              <w:right w:w="58" w:type="dxa"/>
            </w:tcMar>
            <w:vAlign w:val="center"/>
            <w:hideMark/>
          </w:tcPr>
          <w:p w14:paraId="0C10D3D5"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 </w:t>
            </w:r>
          </w:p>
        </w:tc>
        <w:tc>
          <w:tcPr>
            <w:tcW w:w="730" w:type="dxa"/>
            <w:tcBorders>
              <w:top w:val="single" w:sz="4" w:space="0" w:color="auto"/>
              <w:left w:val="nil"/>
              <w:bottom w:val="single" w:sz="4" w:space="0" w:color="auto"/>
              <w:right w:val="nil"/>
            </w:tcBorders>
            <w:shd w:val="clear" w:color="auto" w:fill="F2F2F2" w:themeFill="background1" w:themeFillShade="F2"/>
            <w:noWrap/>
            <w:tcMar>
              <w:left w:w="58" w:type="dxa"/>
              <w:right w:w="58" w:type="dxa"/>
            </w:tcMar>
            <w:vAlign w:val="center"/>
            <w:hideMark/>
          </w:tcPr>
          <w:p w14:paraId="7C9B46FA"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-0.085</w:t>
            </w:r>
          </w:p>
        </w:tc>
        <w:tc>
          <w:tcPr>
            <w:tcW w:w="857" w:type="dxa"/>
            <w:tcBorders>
              <w:top w:val="single" w:sz="4" w:space="0" w:color="auto"/>
              <w:left w:val="nil"/>
              <w:bottom w:val="single" w:sz="4" w:space="0" w:color="auto"/>
              <w:right w:val="double" w:sz="6" w:space="0" w:color="auto"/>
            </w:tcBorders>
            <w:shd w:val="clear" w:color="auto" w:fill="F2F2F2" w:themeFill="background1" w:themeFillShade="F2"/>
            <w:noWrap/>
            <w:tcMar>
              <w:left w:w="58" w:type="dxa"/>
              <w:right w:w="58" w:type="dxa"/>
            </w:tcMar>
            <w:vAlign w:val="center"/>
            <w:hideMark/>
          </w:tcPr>
          <w:p w14:paraId="6BFED24A"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-71.142</w:t>
            </w:r>
          </w:p>
        </w:tc>
        <w:tc>
          <w:tcPr>
            <w:tcW w:w="730" w:type="dxa"/>
            <w:tcBorders>
              <w:top w:val="single" w:sz="4" w:space="0" w:color="auto"/>
              <w:left w:val="nil"/>
              <w:bottom w:val="single" w:sz="4" w:space="0" w:color="auto"/>
              <w:right w:val="nil"/>
            </w:tcBorders>
            <w:shd w:val="clear" w:color="auto" w:fill="F2F2F2" w:themeFill="background1" w:themeFillShade="F2"/>
            <w:noWrap/>
            <w:tcMar>
              <w:left w:w="58" w:type="dxa"/>
              <w:right w:w="58" w:type="dxa"/>
            </w:tcMar>
            <w:vAlign w:val="center"/>
            <w:hideMark/>
          </w:tcPr>
          <w:p w14:paraId="29D64942"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-0.335</w:t>
            </w:r>
          </w:p>
        </w:tc>
        <w:tc>
          <w:tcPr>
            <w:tcW w:w="800" w:type="dxa"/>
            <w:tcBorders>
              <w:top w:val="single" w:sz="4" w:space="0" w:color="auto"/>
              <w:left w:val="nil"/>
              <w:bottom w:val="single" w:sz="4" w:space="0" w:color="auto"/>
              <w:right w:val="double" w:sz="6" w:space="0" w:color="auto"/>
            </w:tcBorders>
            <w:shd w:val="clear" w:color="auto" w:fill="F2F2F2" w:themeFill="background1" w:themeFillShade="F2"/>
            <w:noWrap/>
            <w:tcMar>
              <w:left w:w="58" w:type="dxa"/>
              <w:right w:w="58" w:type="dxa"/>
            </w:tcMar>
            <w:vAlign w:val="center"/>
            <w:hideMark/>
          </w:tcPr>
          <w:p w14:paraId="1CC543DE"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-77.093</w:t>
            </w:r>
          </w:p>
        </w:tc>
        <w:tc>
          <w:tcPr>
            <w:tcW w:w="730" w:type="dxa"/>
            <w:tcBorders>
              <w:top w:val="single" w:sz="4" w:space="0" w:color="auto"/>
              <w:left w:val="nil"/>
              <w:bottom w:val="single" w:sz="4" w:space="0" w:color="auto"/>
              <w:right w:val="nil"/>
            </w:tcBorders>
            <w:shd w:val="clear" w:color="auto" w:fill="F2F2F2" w:themeFill="background1" w:themeFillShade="F2"/>
            <w:noWrap/>
            <w:tcMar>
              <w:left w:w="58" w:type="dxa"/>
              <w:right w:w="58" w:type="dxa"/>
            </w:tcMar>
            <w:vAlign w:val="center"/>
            <w:hideMark/>
          </w:tcPr>
          <w:p w14:paraId="56C95BC9"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0.362</w:t>
            </w:r>
          </w:p>
        </w:tc>
        <w:tc>
          <w:tcPr>
            <w:tcW w:w="800" w:type="dxa"/>
            <w:tcBorders>
              <w:top w:val="single" w:sz="4" w:space="0" w:color="auto"/>
              <w:left w:val="nil"/>
              <w:bottom w:val="single" w:sz="4" w:space="0" w:color="auto"/>
              <w:right w:val="double" w:sz="6" w:space="0" w:color="auto"/>
            </w:tcBorders>
            <w:shd w:val="clear" w:color="auto" w:fill="F2F2F2" w:themeFill="background1" w:themeFillShade="F2"/>
            <w:noWrap/>
            <w:tcMar>
              <w:left w:w="58" w:type="dxa"/>
              <w:right w:w="58" w:type="dxa"/>
            </w:tcMar>
            <w:vAlign w:val="center"/>
            <w:hideMark/>
          </w:tcPr>
          <w:p w14:paraId="05D31A72"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92.617</w:t>
            </w:r>
          </w:p>
        </w:tc>
      </w:tr>
      <w:tr w:rsidR="008D5DFE" w:rsidRPr="00FE55C4" w14:paraId="11F3E86F" w14:textId="77777777" w:rsidTr="00A41CA1">
        <w:trPr>
          <w:trHeight w:val="720"/>
        </w:trPr>
        <w:tc>
          <w:tcPr>
            <w:tcW w:w="1530" w:type="dxa"/>
            <w:tcBorders>
              <w:top w:val="single" w:sz="4" w:space="0" w:color="auto"/>
              <w:left w:val="double" w:sz="6" w:space="0" w:color="auto"/>
              <w:bottom w:val="single" w:sz="4" w:space="0" w:color="auto"/>
              <w:right w:val="nil"/>
            </w:tcBorders>
            <w:shd w:val="clear" w:color="auto" w:fill="auto"/>
            <w:noWrap/>
            <w:vAlign w:val="center"/>
            <w:hideMark/>
          </w:tcPr>
          <w:p w14:paraId="32ADB97E" w14:textId="77777777" w:rsidR="008D5DFE" w:rsidRPr="00FE55C4" w:rsidRDefault="008D5DFE" w:rsidP="00586232">
            <w:pPr>
              <w:jc w:val="left"/>
              <w:rPr>
                <w:rFonts w:eastAsia="Times New Roman"/>
                <w:color w:val="000000"/>
                <w:sz w:val="22"/>
                <w:szCs w:val="22"/>
              </w:rPr>
            </w:pPr>
            <w:r w:rsidRPr="00FE55C4">
              <w:rPr>
                <w:rFonts w:eastAsia="Times New Roman"/>
                <w:color w:val="000000"/>
                <w:sz w:val="22"/>
                <w:szCs w:val="22"/>
              </w:rPr>
              <w:t>Household Structure</w:t>
            </w:r>
          </w:p>
        </w:tc>
        <w:tc>
          <w:tcPr>
            <w:tcW w:w="2543" w:type="dxa"/>
            <w:tcBorders>
              <w:top w:val="single" w:sz="4" w:space="0" w:color="auto"/>
              <w:left w:val="nil"/>
              <w:bottom w:val="single" w:sz="4" w:space="0" w:color="auto"/>
              <w:right w:val="double" w:sz="6" w:space="0" w:color="auto"/>
            </w:tcBorders>
            <w:shd w:val="clear" w:color="auto" w:fill="auto"/>
            <w:noWrap/>
            <w:vAlign w:val="center"/>
            <w:hideMark/>
          </w:tcPr>
          <w:p w14:paraId="4DB1F52F" w14:textId="77777777" w:rsidR="008D5DFE" w:rsidRPr="00FE55C4" w:rsidRDefault="008D5DFE" w:rsidP="00A41CA1">
            <w:pPr>
              <w:jc w:val="left"/>
              <w:rPr>
                <w:rFonts w:eastAsia="Times New Roman"/>
                <w:color w:val="000000"/>
                <w:sz w:val="22"/>
                <w:szCs w:val="22"/>
              </w:rPr>
            </w:pPr>
            <w:r w:rsidRPr="00FE55C4">
              <w:rPr>
                <w:rFonts w:eastAsia="Times New Roman"/>
                <w:color w:val="000000"/>
                <w:sz w:val="22"/>
                <w:szCs w:val="22"/>
              </w:rPr>
              <w:t>From "Single adult w/ or w/o children" to "Multiple adults with children"</w:t>
            </w:r>
          </w:p>
        </w:tc>
        <w:tc>
          <w:tcPr>
            <w:tcW w:w="810" w:type="dxa"/>
            <w:tcBorders>
              <w:top w:val="single" w:sz="4" w:space="0" w:color="auto"/>
              <w:left w:val="nil"/>
              <w:bottom w:val="single" w:sz="4" w:space="0" w:color="auto"/>
              <w:right w:val="nil"/>
            </w:tcBorders>
            <w:shd w:val="clear" w:color="auto" w:fill="auto"/>
            <w:noWrap/>
            <w:tcMar>
              <w:left w:w="58" w:type="dxa"/>
              <w:right w:w="58" w:type="dxa"/>
            </w:tcMar>
            <w:vAlign w:val="center"/>
            <w:hideMark/>
          </w:tcPr>
          <w:p w14:paraId="3F17E0D2"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0.400</w:t>
            </w:r>
          </w:p>
        </w:tc>
        <w:tc>
          <w:tcPr>
            <w:tcW w:w="900" w:type="dxa"/>
            <w:tcBorders>
              <w:top w:val="single" w:sz="4" w:space="0" w:color="auto"/>
              <w:left w:val="nil"/>
              <w:bottom w:val="single" w:sz="4" w:space="0" w:color="auto"/>
              <w:right w:val="double" w:sz="6" w:space="0" w:color="auto"/>
            </w:tcBorders>
            <w:shd w:val="clear" w:color="auto" w:fill="auto"/>
            <w:noWrap/>
            <w:tcMar>
              <w:left w:w="58" w:type="dxa"/>
              <w:right w:w="58" w:type="dxa"/>
            </w:tcMar>
            <w:vAlign w:val="center"/>
            <w:hideMark/>
          </w:tcPr>
          <w:p w14:paraId="12189C7A"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70.965</w:t>
            </w:r>
          </w:p>
        </w:tc>
        <w:tc>
          <w:tcPr>
            <w:tcW w:w="810" w:type="dxa"/>
            <w:tcBorders>
              <w:top w:val="single" w:sz="4" w:space="0" w:color="auto"/>
              <w:left w:val="nil"/>
              <w:bottom w:val="single" w:sz="4" w:space="0" w:color="auto"/>
              <w:right w:val="nil"/>
            </w:tcBorders>
            <w:shd w:val="clear" w:color="auto" w:fill="auto"/>
            <w:noWrap/>
            <w:tcMar>
              <w:left w:w="58" w:type="dxa"/>
              <w:right w:w="58" w:type="dxa"/>
            </w:tcMar>
            <w:vAlign w:val="center"/>
            <w:hideMark/>
          </w:tcPr>
          <w:p w14:paraId="5537B309"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0.157</w:t>
            </w:r>
          </w:p>
        </w:tc>
        <w:tc>
          <w:tcPr>
            <w:tcW w:w="900" w:type="dxa"/>
            <w:tcBorders>
              <w:top w:val="single" w:sz="4" w:space="0" w:color="auto"/>
              <w:left w:val="nil"/>
              <w:bottom w:val="single" w:sz="4" w:space="0" w:color="auto"/>
              <w:right w:val="double" w:sz="6" w:space="0" w:color="auto"/>
            </w:tcBorders>
            <w:shd w:val="clear" w:color="auto" w:fill="auto"/>
            <w:noWrap/>
            <w:tcMar>
              <w:left w:w="58" w:type="dxa"/>
              <w:right w:w="58" w:type="dxa"/>
            </w:tcMar>
            <w:vAlign w:val="center"/>
            <w:hideMark/>
          </w:tcPr>
          <w:p w14:paraId="54DC3B62"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39.590</w:t>
            </w:r>
          </w:p>
        </w:tc>
        <w:tc>
          <w:tcPr>
            <w:tcW w:w="730" w:type="dxa"/>
            <w:tcBorders>
              <w:top w:val="single" w:sz="4" w:space="0" w:color="auto"/>
              <w:left w:val="nil"/>
              <w:bottom w:val="single" w:sz="4" w:space="0" w:color="auto"/>
              <w:right w:val="nil"/>
            </w:tcBorders>
            <w:shd w:val="clear" w:color="auto" w:fill="auto"/>
            <w:noWrap/>
            <w:tcMar>
              <w:left w:w="58" w:type="dxa"/>
              <w:right w:w="58" w:type="dxa"/>
            </w:tcMar>
            <w:vAlign w:val="center"/>
            <w:hideMark/>
          </w:tcPr>
          <w:p w14:paraId="1FDEF3A6"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0.083</w:t>
            </w:r>
          </w:p>
        </w:tc>
        <w:tc>
          <w:tcPr>
            <w:tcW w:w="900" w:type="dxa"/>
            <w:tcBorders>
              <w:top w:val="single" w:sz="4" w:space="0" w:color="auto"/>
              <w:left w:val="nil"/>
              <w:bottom w:val="single" w:sz="4" w:space="0" w:color="auto"/>
              <w:right w:val="double" w:sz="6" w:space="0" w:color="auto"/>
            </w:tcBorders>
            <w:shd w:val="clear" w:color="auto" w:fill="auto"/>
            <w:noWrap/>
            <w:tcMar>
              <w:left w:w="58" w:type="dxa"/>
              <w:right w:w="58" w:type="dxa"/>
            </w:tcMar>
            <w:vAlign w:val="center"/>
            <w:hideMark/>
          </w:tcPr>
          <w:p w14:paraId="4735E100"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43.702</w:t>
            </w:r>
          </w:p>
        </w:tc>
        <w:tc>
          <w:tcPr>
            <w:tcW w:w="730" w:type="dxa"/>
            <w:tcBorders>
              <w:top w:val="single" w:sz="4" w:space="0" w:color="auto"/>
              <w:left w:val="nil"/>
              <w:bottom w:val="single" w:sz="4" w:space="0" w:color="auto"/>
              <w:right w:val="nil"/>
            </w:tcBorders>
            <w:shd w:val="clear" w:color="auto" w:fill="auto"/>
            <w:noWrap/>
            <w:tcMar>
              <w:left w:w="58" w:type="dxa"/>
              <w:right w:w="58" w:type="dxa"/>
            </w:tcMar>
            <w:vAlign w:val="center"/>
            <w:hideMark/>
          </w:tcPr>
          <w:p w14:paraId="79059197"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0.627</w:t>
            </w:r>
          </w:p>
        </w:tc>
        <w:tc>
          <w:tcPr>
            <w:tcW w:w="857" w:type="dxa"/>
            <w:tcBorders>
              <w:top w:val="single" w:sz="4" w:space="0" w:color="auto"/>
              <w:left w:val="nil"/>
              <w:bottom w:val="single" w:sz="4" w:space="0" w:color="auto"/>
              <w:right w:val="double" w:sz="6" w:space="0" w:color="auto"/>
            </w:tcBorders>
            <w:shd w:val="clear" w:color="auto" w:fill="auto"/>
            <w:noWrap/>
            <w:tcMar>
              <w:left w:w="58" w:type="dxa"/>
              <w:right w:w="58" w:type="dxa"/>
            </w:tcMar>
            <w:vAlign w:val="center"/>
            <w:hideMark/>
          </w:tcPr>
          <w:p w14:paraId="65AF50D4"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76.643</w:t>
            </w:r>
          </w:p>
        </w:tc>
        <w:tc>
          <w:tcPr>
            <w:tcW w:w="730" w:type="dxa"/>
            <w:tcBorders>
              <w:top w:val="single" w:sz="4" w:space="0" w:color="auto"/>
              <w:left w:val="nil"/>
              <w:bottom w:val="single" w:sz="4" w:space="0" w:color="auto"/>
              <w:right w:val="nil"/>
            </w:tcBorders>
            <w:shd w:val="clear" w:color="auto" w:fill="auto"/>
            <w:noWrap/>
            <w:tcMar>
              <w:left w:w="58" w:type="dxa"/>
              <w:right w:w="58" w:type="dxa"/>
            </w:tcMar>
            <w:vAlign w:val="center"/>
            <w:hideMark/>
          </w:tcPr>
          <w:p w14:paraId="11BCC257"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0.877</w:t>
            </w:r>
          </w:p>
        </w:tc>
        <w:tc>
          <w:tcPr>
            <w:tcW w:w="800" w:type="dxa"/>
            <w:tcBorders>
              <w:top w:val="single" w:sz="4" w:space="0" w:color="auto"/>
              <w:left w:val="nil"/>
              <w:bottom w:val="single" w:sz="4" w:space="0" w:color="auto"/>
              <w:right w:val="double" w:sz="6" w:space="0" w:color="auto"/>
            </w:tcBorders>
            <w:shd w:val="clear" w:color="auto" w:fill="auto"/>
            <w:noWrap/>
            <w:tcMar>
              <w:left w:w="58" w:type="dxa"/>
              <w:right w:w="58" w:type="dxa"/>
            </w:tcMar>
            <w:vAlign w:val="center"/>
            <w:hideMark/>
          </w:tcPr>
          <w:p w14:paraId="1178379C"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90.811</w:t>
            </w:r>
          </w:p>
        </w:tc>
        <w:tc>
          <w:tcPr>
            <w:tcW w:w="730" w:type="dxa"/>
            <w:tcBorders>
              <w:top w:val="single" w:sz="4" w:space="0" w:color="auto"/>
              <w:left w:val="nil"/>
              <w:bottom w:val="single" w:sz="4" w:space="0" w:color="auto"/>
              <w:right w:val="nil"/>
            </w:tcBorders>
            <w:shd w:val="clear" w:color="auto" w:fill="auto"/>
            <w:noWrap/>
            <w:tcMar>
              <w:left w:w="58" w:type="dxa"/>
              <w:right w:w="58" w:type="dxa"/>
            </w:tcMar>
            <w:vAlign w:val="center"/>
            <w:hideMark/>
          </w:tcPr>
          <w:p w14:paraId="4BFA1165"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0.234</w:t>
            </w:r>
          </w:p>
        </w:tc>
        <w:tc>
          <w:tcPr>
            <w:tcW w:w="800" w:type="dxa"/>
            <w:tcBorders>
              <w:top w:val="single" w:sz="4" w:space="0" w:color="auto"/>
              <w:left w:val="nil"/>
              <w:bottom w:val="single" w:sz="4" w:space="0" w:color="auto"/>
              <w:right w:val="double" w:sz="6" w:space="0" w:color="auto"/>
            </w:tcBorders>
            <w:shd w:val="clear" w:color="auto" w:fill="auto"/>
            <w:noWrap/>
            <w:tcMar>
              <w:left w:w="58" w:type="dxa"/>
              <w:right w:w="58" w:type="dxa"/>
            </w:tcMar>
            <w:vAlign w:val="center"/>
            <w:hideMark/>
          </w:tcPr>
          <w:p w14:paraId="537A3299"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90.820</w:t>
            </w:r>
          </w:p>
        </w:tc>
      </w:tr>
      <w:tr w:rsidR="008D5DFE" w:rsidRPr="00FE55C4" w14:paraId="55FB0D3A" w14:textId="77777777" w:rsidTr="00A41CA1">
        <w:trPr>
          <w:trHeight w:val="576"/>
        </w:trPr>
        <w:tc>
          <w:tcPr>
            <w:tcW w:w="1530" w:type="dxa"/>
            <w:tcBorders>
              <w:top w:val="single" w:sz="4" w:space="0" w:color="auto"/>
              <w:left w:val="double" w:sz="6" w:space="0" w:color="auto"/>
              <w:bottom w:val="single" w:sz="4" w:space="0" w:color="auto"/>
              <w:right w:val="nil"/>
            </w:tcBorders>
            <w:shd w:val="clear" w:color="auto" w:fill="F2F2F2" w:themeFill="background1" w:themeFillShade="F2"/>
            <w:noWrap/>
            <w:vAlign w:val="center"/>
            <w:hideMark/>
          </w:tcPr>
          <w:p w14:paraId="55289D6D" w14:textId="77777777" w:rsidR="008D5DFE" w:rsidRPr="00FE55C4" w:rsidRDefault="008D5DFE" w:rsidP="00586232">
            <w:pPr>
              <w:jc w:val="left"/>
              <w:rPr>
                <w:rFonts w:eastAsia="Times New Roman"/>
                <w:color w:val="000000"/>
                <w:sz w:val="22"/>
                <w:szCs w:val="22"/>
              </w:rPr>
            </w:pPr>
            <w:r w:rsidRPr="00FE55C4">
              <w:rPr>
                <w:rFonts w:eastAsia="Times New Roman"/>
                <w:color w:val="000000"/>
                <w:sz w:val="22"/>
                <w:szCs w:val="22"/>
              </w:rPr>
              <w:t>Density</w:t>
            </w:r>
          </w:p>
        </w:tc>
        <w:tc>
          <w:tcPr>
            <w:tcW w:w="2543" w:type="dxa"/>
            <w:tcBorders>
              <w:top w:val="single" w:sz="4" w:space="0" w:color="auto"/>
              <w:left w:val="nil"/>
              <w:bottom w:val="single" w:sz="4" w:space="0" w:color="auto"/>
              <w:right w:val="double" w:sz="6" w:space="0" w:color="auto"/>
            </w:tcBorders>
            <w:shd w:val="clear" w:color="auto" w:fill="F2F2F2" w:themeFill="background1" w:themeFillShade="F2"/>
            <w:noWrap/>
            <w:vAlign w:val="center"/>
            <w:hideMark/>
          </w:tcPr>
          <w:p w14:paraId="122C33CB" w14:textId="77777777" w:rsidR="008D5DFE" w:rsidRPr="00FE55C4" w:rsidRDefault="008D5DFE" w:rsidP="00A41CA1">
            <w:pPr>
              <w:jc w:val="left"/>
              <w:rPr>
                <w:rFonts w:eastAsia="Times New Roman"/>
                <w:color w:val="000000"/>
                <w:sz w:val="22"/>
                <w:szCs w:val="22"/>
              </w:rPr>
            </w:pPr>
            <w:r w:rsidRPr="00FE55C4">
              <w:rPr>
                <w:rFonts w:eastAsia="Times New Roman"/>
                <w:color w:val="000000"/>
                <w:sz w:val="22"/>
                <w:szCs w:val="22"/>
              </w:rPr>
              <w:t xml:space="preserve">From "&lt;2,000 </w:t>
            </w:r>
            <w:proofErr w:type="spellStart"/>
            <w:r w:rsidRPr="00FE55C4">
              <w:rPr>
                <w:rFonts w:eastAsia="Times New Roman"/>
                <w:color w:val="000000"/>
                <w:sz w:val="22"/>
                <w:szCs w:val="22"/>
              </w:rPr>
              <w:t>hh</w:t>
            </w:r>
            <w:proofErr w:type="spellEnd"/>
            <w:r w:rsidRPr="00FE55C4">
              <w:rPr>
                <w:rFonts w:eastAsia="Times New Roman"/>
                <w:color w:val="000000"/>
                <w:sz w:val="22"/>
                <w:szCs w:val="22"/>
              </w:rPr>
              <w:t xml:space="preserve">/km2" to "&gt;4,000 </w:t>
            </w:r>
            <w:proofErr w:type="spellStart"/>
            <w:r w:rsidRPr="00FE55C4">
              <w:rPr>
                <w:rFonts w:eastAsia="Times New Roman"/>
                <w:color w:val="000000"/>
                <w:sz w:val="22"/>
                <w:szCs w:val="22"/>
              </w:rPr>
              <w:t>hh</w:t>
            </w:r>
            <w:proofErr w:type="spellEnd"/>
            <w:r w:rsidRPr="00FE55C4">
              <w:rPr>
                <w:rFonts w:eastAsia="Times New Roman"/>
                <w:color w:val="000000"/>
                <w:sz w:val="22"/>
                <w:szCs w:val="22"/>
              </w:rPr>
              <w:t>/km2"</w:t>
            </w:r>
            <w:r>
              <w:rPr>
                <w:rFonts w:eastAsia="Times New Roman"/>
                <w:color w:val="000000"/>
                <w:sz w:val="22"/>
                <w:szCs w:val="22"/>
              </w:rPr>
              <w:t xml:space="preserve"> </w:t>
            </w:r>
          </w:p>
        </w:tc>
        <w:tc>
          <w:tcPr>
            <w:tcW w:w="810" w:type="dxa"/>
            <w:tcBorders>
              <w:top w:val="single" w:sz="4" w:space="0" w:color="auto"/>
              <w:left w:val="nil"/>
              <w:bottom w:val="single" w:sz="4" w:space="0" w:color="auto"/>
              <w:right w:val="nil"/>
            </w:tcBorders>
            <w:shd w:val="clear" w:color="auto" w:fill="F2F2F2" w:themeFill="background1" w:themeFillShade="F2"/>
            <w:noWrap/>
            <w:tcMar>
              <w:left w:w="58" w:type="dxa"/>
              <w:right w:w="58" w:type="dxa"/>
            </w:tcMar>
            <w:vAlign w:val="center"/>
            <w:hideMark/>
          </w:tcPr>
          <w:p w14:paraId="44CBBA61"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0.198</w:t>
            </w:r>
          </w:p>
        </w:tc>
        <w:tc>
          <w:tcPr>
            <w:tcW w:w="900" w:type="dxa"/>
            <w:tcBorders>
              <w:top w:val="single" w:sz="4" w:space="0" w:color="auto"/>
              <w:left w:val="nil"/>
              <w:bottom w:val="single" w:sz="4" w:space="0" w:color="auto"/>
              <w:right w:val="double" w:sz="6" w:space="0" w:color="auto"/>
            </w:tcBorders>
            <w:shd w:val="clear" w:color="auto" w:fill="F2F2F2" w:themeFill="background1" w:themeFillShade="F2"/>
            <w:noWrap/>
            <w:tcMar>
              <w:left w:w="58" w:type="dxa"/>
              <w:right w:w="58" w:type="dxa"/>
            </w:tcMar>
            <w:vAlign w:val="center"/>
            <w:hideMark/>
          </w:tcPr>
          <w:p w14:paraId="56B9E797"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65.890</w:t>
            </w:r>
          </w:p>
        </w:tc>
        <w:tc>
          <w:tcPr>
            <w:tcW w:w="810" w:type="dxa"/>
            <w:tcBorders>
              <w:top w:val="single" w:sz="4" w:space="0" w:color="auto"/>
              <w:left w:val="nil"/>
              <w:bottom w:val="single" w:sz="4" w:space="0" w:color="auto"/>
              <w:right w:val="nil"/>
            </w:tcBorders>
            <w:shd w:val="clear" w:color="auto" w:fill="F2F2F2" w:themeFill="background1" w:themeFillShade="F2"/>
            <w:noWrap/>
            <w:tcMar>
              <w:left w:w="58" w:type="dxa"/>
              <w:right w:w="58" w:type="dxa"/>
            </w:tcMar>
            <w:vAlign w:val="center"/>
            <w:hideMark/>
          </w:tcPr>
          <w:p w14:paraId="34F66938"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0.115</w:t>
            </w:r>
          </w:p>
        </w:tc>
        <w:tc>
          <w:tcPr>
            <w:tcW w:w="900" w:type="dxa"/>
            <w:tcBorders>
              <w:top w:val="single" w:sz="4" w:space="0" w:color="auto"/>
              <w:left w:val="nil"/>
              <w:bottom w:val="single" w:sz="4" w:space="0" w:color="auto"/>
              <w:right w:val="double" w:sz="6" w:space="0" w:color="auto"/>
            </w:tcBorders>
            <w:shd w:val="clear" w:color="auto" w:fill="F2F2F2" w:themeFill="background1" w:themeFillShade="F2"/>
            <w:noWrap/>
            <w:tcMar>
              <w:left w:w="58" w:type="dxa"/>
              <w:right w:w="58" w:type="dxa"/>
            </w:tcMar>
            <w:vAlign w:val="center"/>
            <w:hideMark/>
          </w:tcPr>
          <w:p w14:paraId="6C2F4941"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32.324</w:t>
            </w:r>
          </w:p>
        </w:tc>
        <w:tc>
          <w:tcPr>
            <w:tcW w:w="730" w:type="dxa"/>
            <w:tcBorders>
              <w:top w:val="single" w:sz="4" w:space="0" w:color="auto"/>
              <w:left w:val="nil"/>
              <w:bottom w:val="single" w:sz="4" w:space="0" w:color="auto"/>
              <w:right w:val="nil"/>
            </w:tcBorders>
            <w:shd w:val="clear" w:color="auto" w:fill="F2F2F2" w:themeFill="background1" w:themeFillShade="F2"/>
            <w:noWrap/>
            <w:tcMar>
              <w:left w:w="58" w:type="dxa"/>
              <w:right w:w="58" w:type="dxa"/>
            </w:tcMar>
            <w:vAlign w:val="center"/>
            <w:hideMark/>
          </w:tcPr>
          <w:p w14:paraId="6D1A407E"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0.051</w:t>
            </w:r>
          </w:p>
        </w:tc>
        <w:tc>
          <w:tcPr>
            <w:tcW w:w="900" w:type="dxa"/>
            <w:tcBorders>
              <w:top w:val="single" w:sz="4" w:space="0" w:color="auto"/>
              <w:left w:val="nil"/>
              <w:bottom w:val="single" w:sz="4" w:space="0" w:color="auto"/>
              <w:right w:val="double" w:sz="6" w:space="0" w:color="auto"/>
            </w:tcBorders>
            <w:shd w:val="clear" w:color="auto" w:fill="F2F2F2" w:themeFill="background1" w:themeFillShade="F2"/>
            <w:noWrap/>
            <w:tcMar>
              <w:left w:w="58" w:type="dxa"/>
              <w:right w:w="58" w:type="dxa"/>
            </w:tcMar>
            <w:vAlign w:val="center"/>
            <w:hideMark/>
          </w:tcPr>
          <w:p w14:paraId="2329019C"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39.544</w:t>
            </w:r>
          </w:p>
        </w:tc>
        <w:tc>
          <w:tcPr>
            <w:tcW w:w="730" w:type="dxa"/>
            <w:tcBorders>
              <w:top w:val="single" w:sz="4" w:space="0" w:color="auto"/>
              <w:left w:val="nil"/>
              <w:bottom w:val="single" w:sz="4" w:space="0" w:color="auto"/>
              <w:right w:val="nil"/>
            </w:tcBorders>
            <w:shd w:val="clear" w:color="auto" w:fill="F2F2F2" w:themeFill="background1" w:themeFillShade="F2"/>
            <w:noWrap/>
            <w:tcMar>
              <w:left w:w="58" w:type="dxa"/>
              <w:right w:w="58" w:type="dxa"/>
            </w:tcMar>
            <w:vAlign w:val="center"/>
            <w:hideMark/>
          </w:tcPr>
          <w:p w14:paraId="772F7D6F" w14:textId="77777777" w:rsidR="008D5DFE" w:rsidRPr="00FE55C4" w:rsidRDefault="008D5DFE" w:rsidP="00586232">
            <w:pPr>
              <w:jc w:val="right"/>
              <w:rPr>
                <w:rFonts w:eastAsia="Times New Roman"/>
                <w:color w:val="000000"/>
                <w:sz w:val="22"/>
                <w:szCs w:val="22"/>
              </w:rPr>
            </w:pPr>
            <w:r>
              <w:rPr>
                <w:rFonts w:eastAsia="Times New Roman"/>
                <w:color w:val="000000"/>
                <w:sz w:val="22"/>
                <w:szCs w:val="22"/>
              </w:rPr>
              <w:t>-</w:t>
            </w:r>
            <w:r w:rsidRPr="00FE55C4">
              <w:rPr>
                <w:rFonts w:eastAsia="Times New Roman"/>
                <w:color w:val="000000"/>
                <w:sz w:val="22"/>
                <w:szCs w:val="22"/>
              </w:rPr>
              <w:t>0.145</w:t>
            </w:r>
          </w:p>
        </w:tc>
        <w:tc>
          <w:tcPr>
            <w:tcW w:w="857" w:type="dxa"/>
            <w:tcBorders>
              <w:top w:val="single" w:sz="4" w:space="0" w:color="auto"/>
              <w:left w:val="nil"/>
              <w:bottom w:val="single" w:sz="4" w:space="0" w:color="auto"/>
              <w:right w:val="double" w:sz="6" w:space="0" w:color="auto"/>
            </w:tcBorders>
            <w:shd w:val="clear" w:color="auto" w:fill="F2F2F2" w:themeFill="background1" w:themeFillShade="F2"/>
            <w:noWrap/>
            <w:tcMar>
              <w:left w:w="58" w:type="dxa"/>
              <w:right w:w="58" w:type="dxa"/>
            </w:tcMar>
            <w:vAlign w:val="center"/>
            <w:hideMark/>
          </w:tcPr>
          <w:p w14:paraId="73EBFB44" w14:textId="77777777" w:rsidR="008D5DFE" w:rsidRPr="00FE55C4" w:rsidRDefault="008D5DFE" w:rsidP="00586232">
            <w:pPr>
              <w:jc w:val="right"/>
              <w:rPr>
                <w:rFonts w:eastAsia="Times New Roman"/>
                <w:color w:val="000000"/>
                <w:sz w:val="22"/>
                <w:szCs w:val="22"/>
              </w:rPr>
            </w:pPr>
            <w:r>
              <w:rPr>
                <w:rFonts w:eastAsia="Times New Roman"/>
                <w:color w:val="000000"/>
                <w:sz w:val="22"/>
                <w:szCs w:val="22"/>
              </w:rPr>
              <w:t>-</w:t>
            </w:r>
            <w:r w:rsidRPr="00FE55C4">
              <w:rPr>
                <w:rFonts w:eastAsia="Times New Roman"/>
                <w:color w:val="000000"/>
                <w:sz w:val="22"/>
                <w:szCs w:val="22"/>
              </w:rPr>
              <w:t>74.114</w:t>
            </w:r>
          </w:p>
        </w:tc>
        <w:tc>
          <w:tcPr>
            <w:tcW w:w="730" w:type="dxa"/>
            <w:tcBorders>
              <w:top w:val="single" w:sz="4" w:space="0" w:color="auto"/>
              <w:left w:val="nil"/>
              <w:bottom w:val="single" w:sz="4" w:space="0" w:color="auto"/>
              <w:right w:val="nil"/>
            </w:tcBorders>
            <w:shd w:val="clear" w:color="auto" w:fill="F2F2F2" w:themeFill="background1" w:themeFillShade="F2"/>
            <w:noWrap/>
            <w:tcMar>
              <w:left w:w="58" w:type="dxa"/>
              <w:right w:w="58" w:type="dxa"/>
            </w:tcMar>
            <w:vAlign w:val="center"/>
            <w:hideMark/>
          </w:tcPr>
          <w:p w14:paraId="3F1347EE" w14:textId="77777777" w:rsidR="008D5DFE" w:rsidRPr="00FE55C4" w:rsidRDefault="008D5DFE" w:rsidP="00586232">
            <w:pPr>
              <w:jc w:val="right"/>
              <w:rPr>
                <w:rFonts w:eastAsia="Times New Roman"/>
                <w:color w:val="000000"/>
                <w:sz w:val="22"/>
                <w:szCs w:val="22"/>
              </w:rPr>
            </w:pPr>
            <w:r>
              <w:rPr>
                <w:rFonts w:eastAsia="Times New Roman"/>
                <w:color w:val="000000"/>
                <w:sz w:val="22"/>
                <w:szCs w:val="22"/>
              </w:rPr>
              <w:t>-</w:t>
            </w:r>
            <w:r w:rsidRPr="00FE55C4">
              <w:rPr>
                <w:rFonts w:eastAsia="Times New Roman"/>
                <w:color w:val="000000"/>
                <w:sz w:val="22"/>
                <w:szCs w:val="22"/>
              </w:rPr>
              <w:t>0.098</w:t>
            </w:r>
          </w:p>
        </w:tc>
        <w:tc>
          <w:tcPr>
            <w:tcW w:w="800" w:type="dxa"/>
            <w:tcBorders>
              <w:top w:val="single" w:sz="4" w:space="0" w:color="auto"/>
              <w:left w:val="nil"/>
              <w:bottom w:val="single" w:sz="4" w:space="0" w:color="auto"/>
              <w:right w:val="double" w:sz="6" w:space="0" w:color="auto"/>
            </w:tcBorders>
            <w:shd w:val="clear" w:color="auto" w:fill="F2F2F2" w:themeFill="background1" w:themeFillShade="F2"/>
            <w:noWrap/>
            <w:tcMar>
              <w:left w:w="58" w:type="dxa"/>
              <w:right w:w="58" w:type="dxa"/>
            </w:tcMar>
            <w:vAlign w:val="center"/>
            <w:hideMark/>
          </w:tcPr>
          <w:p w14:paraId="61BB4269" w14:textId="77777777" w:rsidR="008D5DFE" w:rsidRPr="00FE55C4" w:rsidRDefault="008D5DFE" w:rsidP="00586232">
            <w:pPr>
              <w:jc w:val="right"/>
              <w:rPr>
                <w:rFonts w:eastAsia="Times New Roman"/>
                <w:color w:val="000000"/>
                <w:sz w:val="22"/>
                <w:szCs w:val="22"/>
              </w:rPr>
            </w:pPr>
            <w:r>
              <w:rPr>
                <w:rFonts w:eastAsia="Times New Roman"/>
                <w:color w:val="000000"/>
                <w:sz w:val="22"/>
                <w:szCs w:val="22"/>
              </w:rPr>
              <w:t>-</w:t>
            </w:r>
            <w:r w:rsidRPr="00FE55C4">
              <w:rPr>
                <w:rFonts w:eastAsia="Times New Roman"/>
                <w:color w:val="000000"/>
                <w:sz w:val="22"/>
                <w:szCs w:val="22"/>
              </w:rPr>
              <w:t>82.517</w:t>
            </w:r>
          </w:p>
        </w:tc>
        <w:tc>
          <w:tcPr>
            <w:tcW w:w="730" w:type="dxa"/>
            <w:tcBorders>
              <w:top w:val="single" w:sz="4" w:space="0" w:color="auto"/>
              <w:left w:val="nil"/>
              <w:bottom w:val="single" w:sz="4" w:space="0" w:color="auto"/>
              <w:right w:val="nil"/>
            </w:tcBorders>
            <w:shd w:val="clear" w:color="auto" w:fill="F2F2F2" w:themeFill="background1" w:themeFillShade="F2"/>
            <w:noWrap/>
            <w:tcMar>
              <w:left w:w="58" w:type="dxa"/>
              <w:right w:w="58" w:type="dxa"/>
            </w:tcMar>
            <w:vAlign w:val="center"/>
            <w:hideMark/>
          </w:tcPr>
          <w:p w14:paraId="67EFA4E3"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0.145</w:t>
            </w:r>
          </w:p>
        </w:tc>
        <w:tc>
          <w:tcPr>
            <w:tcW w:w="800" w:type="dxa"/>
            <w:tcBorders>
              <w:top w:val="single" w:sz="4" w:space="0" w:color="auto"/>
              <w:left w:val="nil"/>
              <w:bottom w:val="single" w:sz="4" w:space="0" w:color="auto"/>
              <w:right w:val="double" w:sz="6" w:space="0" w:color="auto"/>
            </w:tcBorders>
            <w:shd w:val="clear" w:color="auto" w:fill="F2F2F2" w:themeFill="background1" w:themeFillShade="F2"/>
            <w:noWrap/>
            <w:tcMar>
              <w:left w:w="58" w:type="dxa"/>
              <w:right w:w="58" w:type="dxa"/>
            </w:tcMar>
            <w:vAlign w:val="center"/>
            <w:hideMark/>
          </w:tcPr>
          <w:p w14:paraId="6F958422"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88.697</w:t>
            </w:r>
          </w:p>
        </w:tc>
      </w:tr>
      <w:tr w:rsidR="008D5DFE" w:rsidRPr="00FE55C4" w14:paraId="3ACE19E8" w14:textId="77777777" w:rsidTr="00A41CA1">
        <w:trPr>
          <w:trHeight w:val="576"/>
        </w:trPr>
        <w:tc>
          <w:tcPr>
            <w:tcW w:w="1530" w:type="dxa"/>
            <w:tcBorders>
              <w:top w:val="single" w:sz="4" w:space="0" w:color="auto"/>
              <w:left w:val="double" w:sz="6" w:space="0" w:color="auto"/>
              <w:bottom w:val="single" w:sz="4" w:space="0" w:color="auto"/>
              <w:right w:val="nil"/>
            </w:tcBorders>
            <w:shd w:val="clear" w:color="auto" w:fill="auto"/>
            <w:noWrap/>
            <w:vAlign w:val="center"/>
            <w:hideMark/>
          </w:tcPr>
          <w:p w14:paraId="1B375419" w14:textId="77777777" w:rsidR="008D5DFE" w:rsidRPr="00FE55C4" w:rsidRDefault="008D5DFE" w:rsidP="00586232">
            <w:pPr>
              <w:jc w:val="left"/>
              <w:rPr>
                <w:rFonts w:eastAsia="Times New Roman"/>
                <w:color w:val="000000"/>
                <w:sz w:val="22"/>
                <w:szCs w:val="22"/>
              </w:rPr>
            </w:pPr>
            <w:r w:rsidRPr="00FE55C4">
              <w:rPr>
                <w:rFonts w:eastAsia="Times New Roman"/>
                <w:color w:val="000000"/>
                <w:sz w:val="22"/>
                <w:szCs w:val="22"/>
              </w:rPr>
              <w:t>Tenure</w:t>
            </w:r>
          </w:p>
        </w:tc>
        <w:tc>
          <w:tcPr>
            <w:tcW w:w="2543" w:type="dxa"/>
            <w:tcBorders>
              <w:top w:val="single" w:sz="4" w:space="0" w:color="auto"/>
              <w:left w:val="nil"/>
              <w:bottom w:val="single" w:sz="4" w:space="0" w:color="auto"/>
              <w:right w:val="double" w:sz="6" w:space="0" w:color="auto"/>
            </w:tcBorders>
            <w:shd w:val="clear" w:color="auto" w:fill="auto"/>
            <w:noWrap/>
            <w:vAlign w:val="center"/>
            <w:hideMark/>
          </w:tcPr>
          <w:p w14:paraId="34A1F762" w14:textId="77777777" w:rsidR="008D5DFE" w:rsidRPr="00FE55C4" w:rsidRDefault="008D5DFE" w:rsidP="00A41CA1">
            <w:pPr>
              <w:jc w:val="left"/>
              <w:rPr>
                <w:rFonts w:eastAsia="Times New Roman"/>
                <w:color w:val="000000"/>
                <w:sz w:val="22"/>
                <w:szCs w:val="22"/>
              </w:rPr>
            </w:pPr>
            <w:r w:rsidRPr="00FE55C4">
              <w:rPr>
                <w:rFonts w:eastAsia="Times New Roman"/>
                <w:color w:val="000000"/>
                <w:sz w:val="22"/>
                <w:szCs w:val="22"/>
              </w:rPr>
              <w:t xml:space="preserve">From "Rent or other" </w:t>
            </w:r>
            <w:r>
              <w:rPr>
                <w:rFonts w:eastAsia="Times New Roman"/>
                <w:color w:val="000000"/>
                <w:sz w:val="22"/>
                <w:szCs w:val="22"/>
              </w:rPr>
              <w:br/>
            </w:r>
            <w:r w:rsidRPr="00FE55C4">
              <w:rPr>
                <w:rFonts w:eastAsia="Times New Roman"/>
                <w:color w:val="000000"/>
                <w:sz w:val="22"/>
                <w:szCs w:val="22"/>
              </w:rPr>
              <w:t>to "Own"</w:t>
            </w:r>
          </w:p>
        </w:tc>
        <w:tc>
          <w:tcPr>
            <w:tcW w:w="810" w:type="dxa"/>
            <w:tcBorders>
              <w:top w:val="single" w:sz="4" w:space="0" w:color="auto"/>
              <w:left w:val="nil"/>
              <w:bottom w:val="single" w:sz="4" w:space="0" w:color="auto"/>
              <w:right w:val="nil"/>
            </w:tcBorders>
            <w:shd w:val="clear" w:color="auto" w:fill="auto"/>
            <w:noWrap/>
            <w:tcMar>
              <w:left w:w="58" w:type="dxa"/>
              <w:right w:w="58" w:type="dxa"/>
            </w:tcMar>
            <w:vAlign w:val="center"/>
            <w:hideMark/>
          </w:tcPr>
          <w:p w14:paraId="449C3C33"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-0.050</w:t>
            </w:r>
          </w:p>
        </w:tc>
        <w:tc>
          <w:tcPr>
            <w:tcW w:w="900" w:type="dxa"/>
            <w:tcBorders>
              <w:top w:val="single" w:sz="4" w:space="0" w:color="auto"/>
              <w:left w:val="nil"/>
              <w:bottom w:val="single" w:sz="4" w:space="0" w:color="auto"/>
              <w:right w:val="double" w:sz="6" w:space="0" w:color="auto"/>
            </w:tcBorders>
            <w:shd w:val="clear" w:color="auto" w:fill="auto"/>
            <w:noWrap/>
            <w:tcMar>
              <w:left w:w="58" w:type="dxa"/>
              <w:right w:w="58" w:type="dxa"/>
            </w:tcMar>
            <w:vAlign w:val="center"/>
            <w:hideMark/>
          </w:tcPr>
          <w:p w14:paraId="38BE42F3"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-68.152</w:t>
            </w:r>
          </w:p>
        </w:tc>
        <w:tc>
          <w:tcPr>
            <w:tcW w:w="810" w:type="dxa"/>
            <w:tcBorders>
              <w:top w:val="single" w:sz="4" w:space="0" w:color="auto"/>
              <w:left w:val="nil"/>
              <w:bottom w:val="single" w:sz="4" w:space="0" w:color="auto"/>
              <w:right w:val="nil"/>
            </w:tcBorders>
            <w:shd w:val="clear" w:color="auto" w:fill="auto"/>
            <w:noWrap/>
            <w:tcMar>
              <w:left w:w="58" w:type="dxa"/>
              <w:right w:w="58" w:type="dxa"/>
            </w:tcMar>
            <w:vAlign w:val="center"/>
            <w:hideMark/>
          </w:tcPr>
          <w:p w14:paraId="761B369F"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-0.049</w:t>
            </w:r>
          </w:p>
        </w:tc>
        <w:tc>
          <w:tcPr>
            <w:tcW w:w="900" w:type="dxa"/>
            <w:tcBorders>
              <w:top w:val="single" w:sz="4" w:space="0" w:color="auto"/>
              <w:left w:val="nil"/>
              <w:bottom w:val="single" w:sz="4" w:space="0" w:color="auto"/>
              <w:right w:val="double" w:sz="6" w:space="0" w:color="auto"/>
            </w:tcBorders>
            <w:shd w:val="clear" w:color="auto" w:fill="auto"/>
            <w:noWrap/>
            <w:tcMar>
              <w:left w:w="58" w:type="dxa"/>
              <w:right w:w="58" w:type="dxa"/>
            </w:tcMar>
            <w:vAlign w:val="center"/>
            <w:hideMark/>
          </w:tcPr>
          <w:p w14:paraId="0D0B6382"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-35.461</w:t>
            </w:r>
          </w:p>
        </w:tc>
        <w:tc>
          <w:tcPr>
            <w:tcW w:w="730" w:type="dxa"/>
            <w:tcBorders>
              <w:top w:val="single" w:sz="4" w:space="0" w:color="auto"/>
              <w:left w:val="nil"/>
              <w:bottom w:val="single" w:sz="4" w:space="0" w:color="auto"/>
              <w:right w:val="nil"/>
            </w:tcBorders>
            <w:shd w:val="clear" w:color="auto" w:fill="auto"/>
            <w:noWrap/>
            <w:tcMar>
              <w:left w:w="58" w:type="dxa"/>
              <w:right w:w="58" w:type="dxa"/>
            </w:tcMar>
            <w:vAlign w:val="center"/>
            <w:hideMark/>
          </w:tcPr>
          <w:p w14:paraId="08F51B84"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-0.043</w:t>
            </w:r>
          </w:p>
        </w:tc>
        <w:tc>
          <w:tcPr>
            <w:tcW w:w="900" w:type="dxa"/>
            <w:tcBorders>
              <w:top w:val="single" w:sz="4" w:space="0" w:color="auto"/>
              <w:left w:val="nil"/>
              <w:bottom w:val="single" w:sz="4" w:space="0" w:color="auto"/>
              <w:right w:val="double" w:sz="6" w:space="0" w:color="auto"/>
            </w:tcBorders>
            <w:shd w:val="clear" w:color="auto" w:fill="auto"/>
            <w:noWrap/>
            <w:tcMar>
              <w:left w:w="58" w:type="dxa"/>
              <w:right w:w="58" w:type="dxa"/>
            </w:tcMar>
            <w:vAlign w:val="center"/>
            <w:hideMark/>
          </w:tcPr>
          <w:p w14:paraId="3E2D4DA7"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-39.412</w:t>
            </w:r>
          </w:p>
        </w:tc>
        <w:tc>
          <w:tcPr>
            <w:tcW w:w="730" w:type="dxa"/>
            <w:tcBorders>
              <w:top w:val="single" w:sz="4" w:space="0" w:color="auto"/>
              <w:left w:val="nil"/>
              <w:bottom w:val="single" w:sz="4" w:space="0" w:color="auto"/>
              <w:right w:val="nil"/>
            </w:tcBorders>
            <w:shd w:val="clear" w:color="auto" w:fill="auto"/>
            <w:noWrap/>
            <w:tcMar>
              <w:left w:w="58" w:type="dxa"/>
              <w:right w:w="58" w:type="dxa"/>
            </w:tcMar>
            <w:vAlign w:val="center"/>
            <w:hideMark/>
          </w:tcPr>
          <w:p w14:paraId="6B08CA12"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0.089</w:t>
            </w:r>
          </w:p>
        </w:tc>
        <w:tc>
          <w:tcPr>
            <w:tcW w:w="857" w:type="dxa"/>
            <w:tcBorders>
              <w:top w:val="single" w:sz="4" w:space="0" w:color="auto"/>
              <w:left w:val="nil"/>
              <w:bottom w:val="single" w:sz="4" w:space="0" w:color="auto"/>
              <w:right w:val="double" w:sz="6" w:space="0" w:color="auto"/>
            </w:tcBorders>
            <w:shd w:val="clear" w:color="auto" w:fill="auto"/>
            <w:noWrap/>
            <w:tcMar>
              <w:left w:w="58" w:type="dxa"/>
              <w:right w:w="58" w:type="dxa"/>
            </w:tcMar>
            <w:vAlign w:val="center"/>
            <w:hideMark/>
          </w:tcPr>
          <w:p w14:paraId="4B3CFC8A"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73.313</w:t>
            </w:r>
          </w:p>
        </w:tc>
        <w:tc>
          <w:tcPr>
            <w:tcW w:w="730" w:type="dxa"/>
            <w:tcBorders>
              <w:top w:val="single" w:sz="4" w:space="0" w:color="auto"/>
              <w:left w:val="nil"/>
              <w:bottom w:val="single" w:sz="4" w:space="0" w:color="auto"/>
              <w:right w:val="nil"/>
            </w:tcBorders>
            <w:shd w:val="clear" w:color="auto" w:fill="auto"/>
            <w:noWrap/>
            <w:tcMar>
              <w:left w:w="58" w:type="dxa"/>
              <w:right w:w="58" w:type="dxa"/>
            </w:tcMar>
            <w:vAlign w:val="center"/>
            <w:hideMark/>
          </w:tcPr>
          <w:p w14:paraId="7DB11877"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 </w:t>
            </w:r>
          </w:p>
        </w:tc>
        <w:tc>
          <w:tcPr>
            <w:tcW w:w="800" w:type="dxa"/>
            <w:tcBorders>
              <w:top w:val="single" w:sz="4" w:space="0" w:color="auto"/>
              <w:left w:val="nil"/>
              <w:bottom w:val="single" w:sz="4" w:space="0" w:color="auto"/>
              <w:right w:val="double" w:sz="6" w:space="0" w:color="auto"/>
            </w:tcBorders>
            <w:shd w:val="clear" w:color="auto" w:fill="auto"/>
            <w:noWrap/>
            <w:tcMar>
              <w:left w:w="58" w:type="dxa"/>
              <w:right w:w="58" w:type="dxa"/>
            </w:tcMar>
            <w:vAlign w:val="center"/>
            <w:hideMark/>
          </w:tcPr>
          <w:p w14:paraId="0E04815F"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 </w:t>
            </w:r>
          </w:p>
        </w:tc>
        <w:tc>
          <w:tcPr>
            <w:tcW w:w="730" w:type="dxa"/>
            <w:tcBorders>
              <w:top w:val="single" w:sz="4" w:space="0" w:color="auto"/>
              <w:left w:val="nil"/>
              <w:bottom w:val="single" w:sz="4" w:space="0" w:color="auto"/>
              <w:right w:val="nil"/>
            </w:tcBorders>
            <w:shd w:val="clear" w:color="auto" w:fill="auto"/>
            <w:noWrap/>
            <w:tcMar>
              <w:left w:w="58" w:type="dxa"/>
              <w:right w:w="58" w:type="dxa"/>
            </w:tcMar>
            <w:vAlign w:val="center"/>
            <w:hideMark/>
          </w:tcPr>
          <w:p w14:paraId="5DE3E1F7"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-0.113</w:t>
            </w:r>
          </w:p>
        </w:tc>
        <w:tc>
          <w:tcPr>
            <w:tcW w:w="800" w:type="dxa"/>
            <w:tcBorders>
              <w:top w:val="single" w:sz="4" w:space="0" w:color="auto"/>
              <w:left w:val="nil"/>
              <w:bottom w:val="single" w:sz="4" w:space="0" w:color="auto"/>
              <w:right w:val="double" w:sz="6" w:space="0" w:color="auto"/>
            </w:tcBorders>
            <w:shd w:val="clear" w:color="auto" w:fill="auto"/>
            <w:noWrap/>
            <w:tcMar>
              <w:left w:w="58" w:type="dxa"/>
              <w:right w:w="58" w:type="dxa"/>
            </w:tcMar>
            <w:vAlign w:val="center"/>
            <w:hideMark/>
          </w:tcPr>
          <w:p w14:paraId="0A60B360"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-88.686</w:t>
            </w:r>
          </w:p>
        </w:tc>
      </w:tr>
      <w:tr w:rsidR="008D5DFE" w:rsidRPr="00FE55C4" w14:paraId="702AB146" w14:textId="77777777" w:rsidTr="00A41CA1">
        <w:trPr>
          <w:trHeight w:val="576"/>
        </w:trPr>
        <w:tc>
          <w:tcPr>
            <w:tcW w:w="1530" w:type="dxa"/>
            <w:tcBorders>
              <w:top w:val="single" w:sz="4" w:space="0" w:color="auto"/>
              <w:left w:val="double" w:sz="6" w:space="0" w:color="auto"/>
              <w:bottom w:val="single" w:sz="4" w:space="0" w:color="auto"/>
              <w:right w:val="nil"/>
            </w:tcBorders>
            <w:shd w:val="clear" w:color="auto" w:fill="F2F2F2" w:themeFill="background1" w:themeFillShade="F2"/>
            <w:noWrap/>
            <w:vAlign w:val="center"/>
            <w:hideMark/>
          </w:tcPr>
          <w:p w14:paraId="0FC49D52" w14:textId="77777777" w:rsidR="008D5DFE" w:rsidRPr="00FE55C4" w:rsidRDefault="008D5DFE" w:rsidP="00586232">
            <w:pPr>
              <w:jc w:val="left"/>
              <w:rPr>
                <w:rFonts w:eastAsia="Times New Roman"/>
                <w:color w:val="000000"/>
                <w:sz w:val="22"/>
                <w:szCs w:val="22"/>
              </w:rPr>
            </w:pPr>
            <w:r w:rsidRPr="00FE55C4">
              <w:rPr>
                <w:rFonts w:eastAsia="Times New Roman"/>
                <w:color w:val="000000"/>
                <w:sz w:val="22"/>
                <w:szCs w:val="22"/>
              </w:rPr>
              <w:t>Household Type</w:t>
            </w:r>
          </w:p>
        </w:tc>
        <w:tc>
          <w:tcPr>
            <w:tcW w:w="2543" w:type="dxa"/>
            <w:tcBorders>
              <w:top w:val="single" w:sz="4" w:space="0" w:color="auto"/>
              <w:left w:val="nil"/>
              <w:bottom w:val="single" w:sz="4" w:space="0" w:color="auto"/>
              <w:right w:val="double" w:sz="6" w:space="0" w:color="auto"/>
            </w:tcBorders>
            <w:shd w:val="clear" w:color="auto" w:fill="F2F2F2" w:themeFill="background1" w:themeFillShade="F2"/>
            <w:noWrap/>
            <w:vAlign w:val="center"/>
            <w:hideMark/>
          </w:tcPr>
          <w:p w14:paraId="04D40392" w14:textId="77777777" w:rsidR="008D5DFE" w:rsidRPr="00FE55C4" w:rsidRDefault="008D5DFE" w:rsidP="00A41CA1">
            <w:pPr>
              <w:jc w:val="left"/>
              <w:rPr>
                <w:rFonts w:eastAsia="Times New Roman"/>
                <w:color w:val="000000"/>
                <w:sz w:val="22"/>
                <w:szCs w:val="22"/>
              </w:rPr>
            </w:pPr>
            <w:r w:rsidRPr="00FE55C4">
              <w:rPr>
                <w:rFonts w:eastAsia="Times New Roman"/>
                <w:color w:val="000000"/>
                <w:sz w:val="22"/>
                <w:szCs w:val="22"/>
              </w:rPr>
              <w:t>From "Attached, detached or other" to "Building"</w:t>
            </w:r>
          </w:p>
        </w:tc>
        <w:tc>
          <w:tcPr>
            <w:tcW w:w="810" w:type="dxa"/>
            <w:tcBorders>
              <w:top w:val="single" w:sz="4" w:space="0" w:color="auto"/>
              <w:left w:val="nil"/>
              <w:bottom w:val="single" w:sz="4" w:space="0" w:color="auto"/>
              <w:right w:val="nil"/>
            </w:tcBorders>
            <w:shd w:val="clear" w:color="auto" w:fill="F2F2F2" w:themeFill="background1" w:themeFillShade="F2"/>
            <w:noWrap/>
            <w:tcMar>
              <w:left w:w="58" w:type="dxa"/>
              <w:right w:w="58" w:type="dxa"/>
            </w:tcMar>
            <w:vAlign w:val="center"/>
            <w:hideMark/>
          </w:tcPr>
          <w:p w14:paraId="5499B508"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-0.194</w:t>
            </w:r>
          </w:p>
        </w:tc>
        <w:tc>
          <w:tcPr>
            <w:tcW w:w="900" w:type="dxa"/>
            <w:tcBorders>
              <w:top w:val="single" w:sz="4" w:space="0" w:color="auto"/>
              <w:left w:val="nil"/>
              <w:bottom w:val="single" w:sz="4" w:space="0" w:color="auto"/>
              <w:right w:val="double" w:sz="6" w:space="0" w:color="auto"/>
            </w:tcBorders>
            <w:shd w:val="clear" w:color="auto" w:fill="F2F2F2" w:themeFill="background1" w:themeFillShade="F2"/>
            <w:noWrap/>
            <w:tcMar>
              <w:left w:w="58" w:type="dxa"/>
              <w:right w:w="58" w:type="dxa"/>
            </w:tcMar>
            <w:vAlign w:val="center"/>
            <w:hideMark/>
          </w:tcPr>
          <w:p w14:paraId="27C2C834"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-71.524</w:t>
            </w:r>
          </w:p>
        </w:tc>
        <w:tc>
          <w:tcPr>
            <w:tcW w:w="810" w:type="dxa"/>
            <w:tcBorders>
              <w:top w:val="single" w:sz="4" w:space="0" w:color="auto"/>
              <w:left w:val="nil"/>
              <w:bottom w:val="single" w:sz="4" w:space="0" w:color="auto"/>
              <w:right w:val="nil"/>
            </w:tcBorders>
            <w:shd w:val="clear" w:color="auto" w:fill="F2F2F2" w:themeFill="background1" w:themeFillShade="F2"/>
            <w:noWrap/>
            <w:tcMar>
              <w:left w:w="58" w:type="dxa"/>
              <w:right w:w="58" w:type="dxa"/>
            </w:tcMar>
            <w:vAlign w:val="center"/>
            <w:hideMark/>
          </w:tcPr>
          <w:p w14:paraId="768733A0"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-0.025</w:t>
            </w:r>
          </w:p>
        </w:tc>
        <w:tc>
          <w:tcPr>
            <w:tcW w:w="900" w:type="dxa"/>
            <w:tcBorders>
              <w:top w:val="single" w:sz="4" w:space="0" w:color="auto"/>
              <w:left w:val="nil"/>
              <w:bottom w:val="single" w:sz="4" w:space="0" w:color="auto"/>
              <w:right w:val="double" w:sz="6" w:space="0" w:color="auto"/>
            </w:tcBorders>
            <w:shd w:val="clear" w:color="auto" w:fill="F2F2F2" w:themeFill="background1" w:themeFillShade="F2"/>
            <w:noWrap/>
            <w:tcMar>
              <w:left w:w="58" w:type="dxa"/>
              <w:right w:w="58" w:type="dxa"/>
            </w:tcMar>
            <w:vAlign w:val="center"/>
            <w:hideMark/>
          </w:tcPr>
          <w:p w14:paraId="3BD47EEE"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-36.484</w:t>
            </w:r>
          </w:p>
        </w:tc>
        <w:tc>
          <w:tcPr>
            <w:tcW w:w="730" w:type="dxa"/>
            <w:tcBorders>
              <w:top w:val="single" w:sz="4" w:space="0" w:color="auto"/>
              <w:left w:val="nil"/>
              <w:bottom w:val="single" w:sz="4" w:space="0" w:color="auto"/>
              <w:right w:val="nil"/>
            </w:tcBorders>
            <w:shd w:val="clear" w:color="auto" w:fill="F2F2F2" w:themeFill="background1" w:themeFillShade="F2"/>
            <w:noWrap/>
            <w:tcMar>
              <w:left w:w="58" w:type="dxa"/>
              <w:right w:w="58" w:type="dxa"/>
            </w:tcMar>
            <w:vAlign w:val="center"/>
            <w:hideMark/>
          </w:tcPr>
          <w:p w14:paraId="62164966"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 </w:t>
            </w:r>
          </w:p>
        </w:tc>
        <w:tc>
          <w:tcPr>
            <w:tcW w:w="900" w:type="dxa"/>
            <w:tcBorders>
              <w:top w:val="single" w:sz="4" w:space="0" w:color="auto"/>
              <w:left w:val="nil"/>
              <w:bottom w:val="single" w:sz="4" w:space="0" w:color="auto"/>
              <w:right w:val="double" w:sz="6" w:space="0" w:color="auto"/>
            </w:tcBorders>
            <w:shd w:val="clear" w:color="auto" w:fill="F2F2F2" w:themeFill="background1" w:themeFillShade="F2"/>
            <w:noWrap/>
            <w:tcMar>
              <w:left w:w="58" w:type="dxa"/>
              <w:right w:w="58" w:type="dxa"/>
            </w:tcMar>
            <w:vAlign w:val="center"/>
            <w:hideMark/>
          </w:tcPr>
          <w:p w14:paraId="0C0ABF33"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 </w:t>
            </w:r>
          </w:p>
        </w:tc>
        <w:tc>
          <w:tcPr>
            <w:tcW w:w="730" w:type="dxa"/>
            <w:tcBorders>
              <w:top w:val="single" w:sz="4" w:space="0" w:color="auto"/>
              <w:left w:val="nil"/>
              <w:bottom w:val="single" w:sz="4" w:space="0" w:color="auto"/>
              <w:right w:val="nil"/>
            </w:tcBorders>
            <w:shd w:val="clear" w:color="auto" w:fill="F2F2F2" w:themeFill="background1" w:themeFillShade="F2"/>
            <w:noWrap/>
            <w:tcMar>
              <w:left w:w="58" w:type="dxa"/>
              <w:right w:w="58" w:type="dxa"/>
            </w:tcMar>
            <w:vAlign w:val="center"/>
            <w:hideMark/>
          </w:tcPr>
          <w:p w14:paraId="1355C5A5"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-0.067</w:t>
            </w:r>
          </w:p>
        </w:tc>
        <w:tc>
          <w:tcPr>
            <w:tcW w:w="857" w:type="dxa"/>
            <w:tcBorders>
              <w:top w:val="single" w:sz="4" w:space="0" w:color="auto"/>
              <w:left w:val="nil"/>
              <w:bottom w:val="single" w:sz="4" w:space="0" w:color="auto"/>
              <w:right w:val="double" w:sz="6" w:space="0" w:color="auto"/>
            </w:tcBorders>
            <w:shd w:val="clear" w:color="auto" w:fill="F2F2F2" w:themeFill="background1" w:themeFillShade="F2"/>
            <w:noWrap/>
            <w:tcMar>
              <w:left w:w="58" w:type="dxa"/>
              <w:right w:w="58" w:type="dxa"/>
            </w:tcMar>
            <w:vAlign w:val="center"/>
            <w:hideMark/>
          </w:tcPr>
          <w:p w14:paraId="5C8C14AB"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-73.348</w:t>
            </w:r>
          </w:p>
        </w:tc>
        <w:tc>
          <w:tcPr>
            <w:tcW w:w="730" w:type="dxa"/>
            <w:tcBorders>
              <w:top w:val="single" w:sz="4" w:space="0" w:color="auto"/>
              <w:left w:val="nil"/>
              <w:bottom w:val="single" w:sz="4" w:space="0" w:color="auto"/>
              <w:right w:val="nil"/>
            </w:tcBorders>
            <w:shd w:val="clear" w:color="auto" w:fill="F2F2F2" w:themeFill="background1" w:themeFillShade="F2"/>
            <w:noWrap/>
            <w:tcMar>
              <w:left w:w="58" w:type="dxa"/>
              <w:right w:w="58" w:type="dxa"/>
            </w:tcMar>
            <w:vAlign w:val="center"/>
            <w:hideMark/>
          </w:tcPr>
          <w:p w14:paraId="0501DA23"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0.058</w:t>
            </w:r>
          </w:p>
        </w:tc>
        <w:tc>
          <w:tcPr>
            <w:tcW w:w="800" w:type="dxa"/>
            <w:tcBorders>
              <w:top w:val="single" w:sz="4" w:space="0" w:color="auto"/>
              <w:left w:val="nil"/>
              <w:bottom w:val="single" w:sz="4" w:space="0" w:color="auto"/>
              <w:right w:val="double" w:sz="6" w:space="0" w:color="auto"/>
            </w:tcBorders>
            <w:shd w:val="clear" w:color="auto" w:fill="F2F2F2" w:themeFill="background1" w:themeFillShade="F2"/>
            <w:noWrap/>
            <w:tcMar>
              <w:left w:w="58" w:type="dxa"/>
              <w:right w:w="58" w:type="dxa"/>
            </w:tcMar>
            <w:vAlign w:val="center"/>
            <w:hideMark/>
          </w:tcPr>
          <w:p w14:paraId="331A276A"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81.790</w:t>
            </w:r>
          </w:p>
        </w:tc>
        <w:tc>
          <w:tcPr>
            <w:tcW w:w="730" w:type="dxa"/>
            <w:tcBorders>
              <w:top w:val="single" w:sz="4" w:space="0" w:color="auto"/>
              <w:left w:val="nil"/>
              <w:bottom w:val="single" w:sz="4" w:space="0" w:color="auto"/>
              <w:right w:val="nil"/>
            </w:tcBorders>
            <w:shd w:val="clear" w:color="auto" w:fill="F2F2F2" w:themeFill="background1" w:themeFillShade="F2"/>
            <w:noWrap/>
            <w:tcMar>
              <w:left w:w="58" w:type="dxa"/>
              <w:right w:w="58" w:type="dxa"/>
            </w:tcMar>
            <w:vAlign w:val="center"/>
            <w:hideMark/>
          </w:tcPr>
          <w:p w14:paraId="0D66D7EA"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0.189</w:t>
            </w:r>
          </w:p>
        </w:tc>
        <w:tc>
          <w:tcPr>
            <w:tcW w:w="800" w:type="dxa"/>
            <w:tcBorders>
              <w:top w:val="single" w:sz="4" w:space="0" w:color="auto"/>
              <w:left w:val="nil"/>
              <w:bottom w:val="single" w:sz="4" w:space="0" w:color="auto"/>
              <w:right w:val="double" w:sz="6" w:space="0" w:color="auto"/>
            </w:tcBorders>
            <w:shd w:val="clear" w:color="auto" w:fill="F2F2F2" w:themeFill="background1" w:themeFillShade="F2"/>
            <w:noWrap/>
            <w:tcMar>
              <w:left w:w="58" w:type="dxa"/>
              <w:right w:w="58" w:type="dxa"/>
            </w:tcMar>
            <w:vAlign w:val="center"/>
            <w:hideMark/>
          </w:tcPr>
          <w:p w14:paraId="3D75EDA5"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88.759</w:t>
            </w:r>
          </w:p>
        </w:tc>
      </w:tr>
      <w:tr w:rsidR="002501D1" w:rsidRPr="00FE55C4" w14:paraId="1AA04EC6" w14:textId="77777777" w:rsidTr="00A41CA1">
        <w:trPr>
          <w:trHeight w:val="576"/>
        </w:trPr>
        <w:tc>
          <w:tcPr>
            <w:tcW w:w="1530" w:type="dxa"/>
            <w:tcBorders>
              <w:top w:val="nil"/>
              <w:left w:val="double" w:sz="6" w:space="0" w:color="auto"/>
              <w:bottom w:val="double" w:sz="6" w:space="0" w:color="000000"/>
              <w:right w:val="nil"/>
            </w:tcBorders>
            <w:vAlign w:val="center"/>
            <w:hideMark/>
          </w:tcPr>
          <w:p w14:paraId="3D24B1BB" w14:textId="506B2687" w:rsidR="008D5DFE" w:rsidRDefault="002F52DF" w:rsidP="00586232">
            <w:pPr>
              <w:jc w:val="left"/>
              <w:rPr>
                <w:rFonts w:eastAsia="Times New Roman"/>
                <w:color w:val="000000"/>
                <w:sz w:val="22"/>
                <w:szCs w:val="22"/>
              </w:rPr>
            </w:pPr>
            <w:r>
              <w:rPr>
                <w:rFonts w:eastAsia="Times New Roman"/>
                <w:color w:val="000000"/>
                <w:sz w:val="22"/>
                <w:szCs w:val="22"/>
              </w:rPr>
              <w:t>Vehicle Avail</w:t>
            </w:r>
          </w:p>
          <w:p w14:paraId="6D6CFD89" w14:textId="0D33B84D" w:rsidR="002F52DF" w:rsidRPr="00FE55C4" w:rsidRDefault="002F52DF" w:rsidP="00586232">
            <w:pPr>
              <w:jc w:val="left"/>
              <w:rPr>
                <w:rFonts w:eastAsia="Times New Roman"/>
                <w:color w:val="000000"/>
                <w:sz w:val="22"/>
                <w:szCs w:val="22"/>
              </w:rPr>
            </w:pPr>
            <w:r>
              <w:rPr>
                <w:rFonts w:eastAsia="Times New Roman"/>
                <w:color w:val="000000"/>
                <w:sz w:val="22"/>
                <w:szCs w:val="22"/>
              </w:rPr>
              <w:t>(</w:t>
            </w:r>
            <w:proofErr w:type="spellStart"/>
            <w:r>
              <w:rPr>
                <w:rFonts w:eastAsia="Times New Roman"/>
                <w:color w:val="000000"/>
                <w:sz w:val="22"/>
                <w:szCs w:val="22"/>
              </w:rPr>
              <w:t>veh</w:t>
            </w:r>
            <w:proofErr w:type="spellEnd"/>
            <w:r>
              <w:rPr>
                <w:rFonts w:eastAsia="Times New Roman"/>
                <w:color w:val="000000"/>
                <w:sz w:val="22"/>
                <w:szCs w:val="22"/>
              </w:rPr>
              <w:t>/adult)</w:t>
            </w:r>
          </w:p>
        </w:tc>
        <w:tc>
          <w:tcPr>
            <w:tcW w:w="2543" w:type="dxa"/>
            <w:tcBorders>
              <w:top w:val="nil"/>
              <w:left w:val="nil"/>
              <w:bottom w:val="double" w:sz="6" w:space="0" w:color="auto"/>
              <w:right w:val="double" w:sz="6" w:space="0" w:color="auto"/>
            </w:tcBorders>
            <w:shd w:val="clear" w:color="auto" w:fill="auto"/>
            <w:noWrap/>
            <w:vAlign w:val="center"/>
            <w:hideMark/>
          </w:tcPr>
          <w:p w14:paraId="09475687" w14:textId="27325171" w:rsidR="008D5DFE" w:rsidRPr="00FE55C4" w:rsidRDefault="008D5DFE" w:rsidP="00A41CA1">
            <w:pPr>
              <w:jc w:val="left"/>
              <w:rPr>
                <w:rFonts w:eastAsia="Times New Roman"/>
                <w:color w:val="000000"/>
                <w:sz w:val="22"/>
                <w:szCs w:val="22"/>
              </w:rPr>
            </w:pPr>
            <w:r w:rsidRPr="00FE55C4">
              <w:rPr>
                <w:rFonts w:eastAsia="Times New Roman"/>
                <w:color w:val="000000"/>
                <w:sz w:val="22"/>
                <w:szCs w:val="22"/>
              </w:rPr>
              <w:t>From "</w:t>
            </w:r>
            <w:r w:rsidR="00081D4F" w:rsidRPr="00FE55C4">
              <w:rPr>
                <w:rFonts w:eastAsia="Times New Roman"/>
                <w:color w:val="000000"/>
                <w:sz w:val="22"/>
                <w:szCs w:val="22"/>
              </w:rPr>
              <w:t>≥</w:t>
            </w:r>
            <w:r w:rsidRPr="00FE55C4">
              <w:rPr>
                <w:rFonts w:eastAsia="Times New Roman"/>
                <w:color w:val="000000"/>
                <w:sz w:val="22"/>
                <w:szCs w:val="22"/>
              </w:rPr>
              <w:t>1" to "0"</w:t>
            </w:r>
          </w:p>
        </w:tc>
        <w:tc>
          <w:tcPr>
            <w:tcW w:w="810" w:type="dxa"/>
            <w:tcBorders>
              <w:top w:val="nil"/>
              <w:left w:val="nil"/>
              <w:bottom w:val="double" w:sz="6" w:space="0" w:color="auto"/>
              <w:right w:val="nil"/>
            </w:tcBorders>
            <w:shd w:val="clear" w:color="auto" w:fill="auto"/>
            <w:noWrap/>
            <w:tcMar>
              <w:left w:w="58" w:type="dxa"/>
              <w:right w:w="58" w:type="dxa"/>
            </w:tcMar>
            <w:vAlign w:val="center"/>
            <w:hideMark/>
          </w:tcPr>
          <w:p w14:paraId="10CF1FEF"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0.079</w:t>
            </w:r>
          </w:p>
        </w:tc>
        <w:tc>
          <w:tcPr>
            <w:tcW w:w="900" w:type="dxa"/>
            <w:tcBorders>
              <w:top w:val="nil"/>
              <w:left w:val="nil"/>
              <w:bottom w:val="double" w:sz="6" w:space="0" w:color="auto"/>
              <w:right w:val="double" w:sz="6" w:space="0" w:color="auto"/>
            </w:tcBorders>
            <w:shd w:val="clear" w:color="auto" w:fill="auto"/>
            <w:noWrap/>
            <w:tcMar>
              <w:left w:w="58" w:type="dxa"/>
              <w:right w:w="58" w:type="dxa"/>
            </w:tcMar>
            <w:vAlign w:val="center"/>
            <w:hideMark/>
          </w:tcPr>
          <w:p w14:paraId="7508D1B6"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69.038</w:t>
            </w:r>
          </w:p>
        </w:tc>
        <w:tc>
          <w:tcPr>
            <w:tcW w:w="810" w:type="dxa"/>
            <w:tcBorders>
              <w:top w:val="nil"/>
              <w:left w:val="nil"/>
              <w:bottom w:val="double" w:sz="6" w:space="0" w:color="auto"/>
              <w:right w:val="nil"/>
            </w:tcBorders>
            <w:shd w:val="clear" w:color="auto" w:fill="auto"/>
            <w:noWrap/>
            <w:tcMar>
              <w:left w:w="58" w:type="dxa"/>
              <w:right w:w="58" w:type="dxa"/>
            </w:tcMar>
            <w:vAlign w:val="center"/>
            <w:hideMark/>
          </w:tcPr>
          <w:p w14:paraId="6E6234AA"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-0.037</w:t>
            </w:r>
          </w:p>
        </w:tc>
        <w:tc>
          <w:tcPr>
            <w:tcW w:w="900" w:type="dxa"/>
            <w:tcBorders>
              <w:top w:val="nil"/>
              <w:left w:val="nil"/>
              <w:bottom w:val="double" w:sz="6" w:space="0" w:color="auto"/>
              <w:right w:val="double" w:sz="6" w:space="0" w:color="auto"/>
            </w:tcBorders>
            <w:shd w:val="clear" w:color="auto" w:fill="auto"/>
            <w:noWrap/>
            <w:tcMar>
              <w:left w:w="58" w:type="dxa"/>
              <w:right w:w="58" w:type="dxa"/>
            </w:tcMar>
            <w:vAlign w:val="center"/>
            <w:hideMark/>
          </w:tcPr>
          <w:p w14:paraId="488B6035"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-33.530</w:t>
            </w:r>
          </w:p>
        </w:tc>
        <w:tc>
          <w:tcPr>
            <w:tcW w:w="730" w:type="dxa"/>
            <w:tcBorders>
              <w:top w:val="nil"/>
              <w:left w:val="nil"/>
              <w:bottom w:val="double" w:sz="6" w:space="0" w:color="auto"/>
              <w:right w:val="nil"/>
            </w:tcBorders>
            <w:shd w:val="clear" w:color="auto" w:fill="auto"/>
            <w:noWrap/>
            <w:tcMar>
              <w:left w:w="58" w:type="dxa"/>
              <w:right w:w="58" w:type="dxa"/>
            </w:tcMar>
            <w:vAlign w:val="center"/>
            <w:hideMark/>
          </w:tcPr>
          <w:p w14:paraId="25F6B43C"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-0.018</w:t>
            </w:r>
          </w:p>
        </w:tc>
        <w:tc>
          <w:tcPr>
            <w:tcW w:w="900" w:type="dxa"/>
            <w:tcBorders>
              <w:top w:val="nil"/>
              <w:left w:val="nil"/>
              <w:bottom w:val="double" w:sz="6" w:space="0" w:color="auto"/>
              <w:right w:val="double" w:sz="6" w:space="0" w:color="auto"/>
            </w:tcBorders>
            <w:shd w:val="clear" w:color="auto" w:fill="auto"/>
            <w:noWrap/>
            <w:tcMar>
              <w:left w:w="58" w:type="dxa"/>
              <w:right w:w="58" w:type="dxa"/>
            </w:tcMar>
            <w:vAlign w:val="center"/>
            <w:hideMark/>
          </w:tcPr>
          <w:p w14:paraId="046D399E"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-38.785</w:t>
            </w:r>
          </w:p>
        </w:tc>
        <w:tc>
          <w:tcPr>
            <w:tcW w:w="730" w:type="dxa"/>
            <w:tcBorders>
              <w:top w:val="nil"/>
              <w:left w:val="nil"/>
              <w:bottom w:val="double" w:sz="6" w:space="0" w:color="auto"/>
              <w:right w:val="nil"/>
            </w:tcBorders>
            <w:shd w:val="clear" w:color="auto" w:fill="auto"/>
            <w:noWrap/>
            <w:tcMar>
              <w:left w:w="58" w:type="dxa"/>
              <w:right w:w="58" w:type="dxa"/>
            </w:tcMar>
            <w:vAlign w:val="center"/>
            <w:hideMark/>
          </w:tcPr>
          <w:p w14:paraId="6D481160"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-0.184</w:t>
            </w:r>
          </w:p>
        </w:tc>
        <w:tc>
          <w:tcPr>
            <w:tcW w:w="857" w:type="dxa"/>
            <w:tcBorders>
              <w:top w:val="nil"/>
              <w:left w:val="nil"/>
              <w:bottom w:val="double" w:sz="6" w:space="0" w:color="auto"/>
              <w:right w:val="double" w:sz="6" w:space="0" w:color="auto"/>
            </w:tcBorders>
            <w:shd w:val="clear" w:color="auto" w:fill="auto"/>
            <w:noWrap/>
            <w:tcMar>
              <w:left w:w="58" w:type="dxa"/>
              <w:right w:w="58" w:type="dxa"/>
            </w:tcMar>
            <w:vAlign w:val="center"/>
            <w:hideMark/>
          </w:tcPr>
          <w:p w14:paraId="00CF8BD0"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-73.765</w:t>
            </w:r>
          </w:p>
        </w:tc>
        <w:tc>
          <w:tcPr>
            <w:tcW w:w="730" w:type="dxa"/>
            <w:tcBorders>
              <w:top w:val="nil"/>
              <w:left w:val="nil"/>
              <w:bottom w:val="double" w:sz="6" w:space="0" w:color="auto"/>
              <w:right w:val="nil"/>
            </w:tcBorders>
            <w:shd w:val="clear" w:color="auto" w:fill="auto"/>
            <w:noWrap/>
            <w:tcMar>
              <w:left w:w="58" w:type="dxa"/>
              <w:right w:w="58" w:type="dxa"/>
            </w:tcMar>
            <w:vAlign w:val="center"/>
            <w:hideMark/>
          </w:tcPr>
          <w:p w14:paraId="35334876"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-0.257</w:t>
            </w:r>
          </w:p>
        </w:tc>
        <w:tc>
          <w:tcPr>
            <w:tcW w:w="800" w:type="dxa"/>
            <w:tcBorders>
              <w:top w:val="nil"/>
              <w:left w:val="nil"/>
              <w:bottom w:val="double" w:sz="6" w:space="0" w:color="auto"/>
              <w:right w:val="double" w:sz="6" w:space="0" w:color="auto"/>
            </w:tcBorders>
            <w:shd w:val="clear" w:color="auto" w:fill="auto"/>
            <w:noWrap/>
            <w:tcMar>
              <w:left w:w="58" w:type="dxa"/>
              <w:right w:w="58" w:type="dxa"/>
            </w:tcMar>
            <w:vAlign w:val="center"/>
            <w:hideMark/>
          </w:tcPr>
          <w:p w14:paraId="0B6F9C8E"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-81.890</w:t>
            </w:r>
          </w:p>
        </w:tc>
        <w:tc>
          <w:tcPr>
            <w:tcW w:w="730" w:type="dxa"/>
            <w:tcBorders>
              <w:top w:val="nil"/>
              <w:left w:val="nil"/>
              <w:bottom w:val="double" w:sz="6" w:space="0" w:color="auto"/>
              <w:right w:val="nil"/>
            </w:tcBorders>
            <w:shd w:val="clear" w:color="auto" w:fill="auto"/>
            <w:noWrap/>
            <w:tcMar>
              <w:left w:w="58" w:type="dxa"/>
              <w:right w:w="58" w:type="dxa"/>
            </w:tcMar>
            <w:vAlign w:val="center"/>
            <w:hideMark/>
          </w:tcPr>
          <w:p w14:paraId="53D5AFB7"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-0.168</w:t>
            </w:r>
          </w:p>
        </w:tc>
        <w:tc>
          <w:tcPr>
            <w:tcW w:w="800" w:type="dxa"/>
            <w:tcBorders>
              <w:top w:val="nil"/>
              <w:left w:val="nil"/>
              <w:bottom w:val="double" w:sz="6" w:space="0" w:color="auto"/>
              <w:right w:val="double" w:sz="6" w:space="0" w:color="auto"/>
            </w:tcBorders>
            <w:shd w:val="clear" w:color="auto" w:fill="auto"/>
            <w:noWrap/>
            <w:tcMar>
              <w:left w:w="58" w:type="dxa"/>
              <w:right w:w="58" w:type="dxa"/>
            </w:tcMar>
            <w:vAlign w:val="center"/>
            <w:hideMark/>
          </w:tcPr>
          <w:p w14:paraId="47C2E38C" w14:textId="77777777" w:rsidR="008D5DFE" w:rsidRPr="00FE55C4" w:rsidRDefault="008D5DFE" w:rsidP="00586232">
            <w:pPr>
              <w:jc w:val="right"/>
              <w:rPr>
                <w:rFonts w:eastAsia="Times New Roman"/>
                <w:color w:val="000000"/>
                <w:sz w:val="22"/>
                <w:szCs w:val="22"/>
              </w:rPr>
            </w:pPr>
            <w:r w:rsidRPr="00FE55C4">
              <w:rPr>
                <w:rFonts w:eastAsia="Times New Roman"/>
                <w:color w:val="000000"/>
                <w:sz w:val="22"/>
                <w:szCs w:val="22"/>
              </w:rPr>
              <w:t>-88.537</w:t>
            </w:r>
          </w:p>
        </w:tc>
      </w:tr>
    </w:tbl>
    <w:p w14:paraId="12FABE66" w14:textId="77777777" w:rsidR="008D5DFE" w:rsidRDefault="008D5DFE" w:rsidP="008D5DFE">
      <w:pPr>
        <w:ind w:left="360" w:hanging="360"/>
        <w:rPr>
          <w:shd w:val="clear" w:color="auto" w:fill="FFFFFF"/>
        </w:rPr>
      </w:pPr>
    </w:p>
    <w:p w14:paraId="386718EF" w14:textId="77777777" w:rsidR="008D5DFE" w:rsidRDefault="008D5DFE" w:rsidP="008D5DFE">
      <w:pPr>
        <w:ind w:left="360" w:hanging="360"/>
        <w:rPr>
          <w:shd w:val="clear" w:color="auto" w:fill="FFFFFF"/>
        </w:rPr>
      </w:pPr>
    </w:p>
    <w:p w14:paraId="44AC6209" w14:textId="43A27AE6" w:rsidR="008D5DFE" w:rsidRDefault="008D5DFE" w:rsidP="008D5DFE">
      <w:pPr>
        <w:rPr>
          <w:shd w:val="clear" w:color="auto" w:fill="FFFFFF"/>
          <w:lang w:val="pt-BR"/>
        </w:rPr>
      </w:pPr>
    </w:p>
    <w:p w14:paraId="4833E647" w14:textId="77777777" w:rsidR="008D5DFE" w:rsidRDefault="008D5DFE" w:rsidP="008D5DFE">
      <w:pPr>
        <w:rPr>
          <w:shd w:val="clear" w:color="auto" w:fill="FFFFFF"/>
          <w:lang w:val="pt-BR"/>
        </w:rPr>
        <w:sectPr w:rsidR="008D5DFE" w:rsidSect="00C67550">
          <w:headerReference w:type="default" r:id="rId87"/>
          <w:pgSz w:w="15840" w:h="12240" w:orient="landscape"/>
          <w:pgMar w:top="1440" w:right="1440" w:bottom="1440" w:left="1440" w:header="720" w:footer="720" w:gutter="0"/>
          <w:cols w:space="720"/>
          <w:docGrid w:linePitch="360"/>
        </w:sectPr>
      </w:pPr>
    </w:p>
    <w:p w14:paraId="03D8F522" w14:textId="6972449F" w:rsidR="00A41CA1" w:rsidRDefault="00A41CA1" w:rsidP="00A41CA1">
      <w:pPr>
        <w:ind w:firstLine="720"/>
        <w:rPr>
          <w:shd w:val="clear" w:color="auto" w:fill="FFFFFF"/>
        </w:rPr>
      </w:pPr>
      <w:r>
        <w:rPr>
          <w:shd w:val="clear" w:color="auto" w:fill="FFFFFF"/>
        </w:rPr>
        <w:lastRenderedPageBreak/>
        <w:t xml:space="preserve">The results in Table 5 are, of course, consistent with the earlier estimation results. However, unlike the estimation results, Table 5 provides a clear sense of the magnitude of effects of variables. For example, a random household that “moves” from the lowest to the highest income category is estimated to increase the number of days of in-person meal activity by approximately 0.372 days per week (the largest change associated with income) and a decrease in the amount of in-person grocery trips by approximately 0.054 days per week (see the last two columns of Table 5 in the first row). This income change also increases the number of days of online shopping by 0.161 days per week, the number of days of online grocery shopping by 0.034 days, and the number of days of online meals by 0.056 days per week. Other results may be similarly interpreted. </w:t>
      </w:r>
    </w:p>
    <w:p w14:paraId="3540CABB" w14:textId="77777777" w:rsidR="00A41CA1" w:rsidRDefault="00A41CA1" w:rsidP="00A41CA1">
      <w:pPr>
        <w:ind w:firstLine="720"/>
        <w:rPr>
          <w:shd w:val="clear" w:color="auto" w:fill="FFFFFF"/>
        </w:rPr>
      </w:pPr>
      <w:r>
        <w:rPr>
          <w:shd w:val="clear" w:color="auto" w:fill="FFFFFF"/>
        </w:rPr>
        <w:t xml:space="preserve">Among the many exogenous variables, household structure appears to be the most impactful variable. The results suggest that the trend away from the nuclear family (in the U.S. and many other western countries) and toward single adult families may actually result in fewer in-person episodes for shopping as well as in-person meals activity. Of course, this could also be viewed as a sign of inequity and social exclusion (especially for single mothers) arising from the design of land use and transportation systems. At the same time, single adult families also undertake more online shopping and meal activities, which may itself lead to more delivery trips to homes. While the effects in Table 5 suggest that there would be a significant reduction in trips overall even assuming that a delivery vehicle would simply replace a sojourn from home of the individual (note that the magnitudes of the ATEs are higher for the in-person categories than for the online categories), there are additional complications and efficiencies brought about by delivery chaining (for delivery trips) and activity chaining (for in-person participations). The net result of the combination is unknown at this time and calls for more investigations into not only activity generation (as in this paper), but also scheduling considerations. </w:t>
      </w:r>
    </w:p>
    <w:p w14:paraId="11AE3650" w14:textId="77777777" w:rsidR="00A41CA1" w:rsidRDefault="00A41CA1" w:rsidP="00A41CA1">
      <w:pPr>
        <w:ind w:firstLine="720"/>
        <w:rPr>
          <w:shd w:val="clear" w:color="auto" w:fill="FFFFFF"/>
        </w:rPr>
      </w:pPr>
      <w:r>
        <w:rPr>
          <w:shd w:val="clear" w:color="auto" w:fill="FFFFFF"/>
        </w:rPr>
        <w:t xml:space="preserve">The results in Table 5 also indicate that densification of neighborhoods as well as policies that reduce household vehicle holdings have a clear and strong negative effect on in-person activity episodes, highlighting the potential benefits (in terms of traffic congestion alleviation) of neo-urbanist designs in urban areas.   </w:t>
      </w:r>
    </w:p>
    <w:p w14:paraId="63664E63" w14:textId="77777777" w:rsidR="00A41CA1" w:rsidRDefault="00A41CA1" w:rsidP="00A41CA1">
      <w:pPr>
        <w:rPr>
          <w:shd w:val="clear" w:color="auto" w:fill="FFFFFF"/>
        </w:rPr>
      </w:pPr>
    </w:p>
    <w:p w14:paraId="66DA1610" w14:textId="77777777" w:rsidR="00A41CA1" w:rsidRPr="00C67550" w:rsidRDefault="00A41CA1" w:rsidP="00A41CA1">
      <w:pPr>
        <w:pStyle w:val="Heading1"/>
        <w:spacing w:before="0"/>
        <w:rPr>
          <w:caps/>
          <w:smallCaps w:val="0"/>
          <w:sz w:val="24"/>
        </w:rPr>
      </w:pPr>
      <w:r w:rsidRPr="00C67550">
        <w:rPr>
          <w:caps/>
          <w:smallCaps w:val="0"/>
          <w:sz w:val="24"/>
        </w:rPr>
        <w:t>Discussion and conclusions</w:t>
      </w:r>
    </w:p>
    <w:p w14:paraId="760A4A80" w14:textId="5FBF7CF3" w:rsidR="00A41CA1" w:rsidRDefault="00A41CA1" w:rsidP="00E645B4">
      <w:r>
        <w:t xml:space="preserve">Technology is increasingly becoming an integral part of people’s lives. Technology and connectivity, enabled by the internet of things (IoT), are leading to very different ways in which various activities are undertaken; the effects can be seen in work, education, shopping, social-recreation, eating meals, and transportation. Services that take advantage of technology and the crowd-based delivery and sharing economy are providing people access to goods and services like never before. Technology, connectivity, and crowd-based services are undoubtedly impacting activity-travel behavior, and yet travel forecasting models are woefully inadequate in reflecting the effects of these phenomena on activity-travel patterns and choices. As a consequence, transportation planning professionals are grappling with high degrees of uncertainty in their planning processes – unable to fully account for the transformative changes that technology and connectivity are bringing to their ecosystem. </w:t>
      </w:r>
    </w:p>
    <w:p w14:paraId="66B3D48B" w14:textId="6ECAD2EA" w:rsidR="00897B54" w:rsidRDefault="00897B54" w:rsidP="00A41CA1">
      <w:pPr>
        <w:ind w:firstLine="720"/>
      </w:pPr>
      <w:r>
        <w:t xml:space="preserve">To answer this </w:t>
      </w:r>
      <w:r w:rsidR="00081D4F">
        <w:t>knowledge gap</w:t>
      </w:r>
      <w:r>
        <w:t>, this study utilizes data from the 2017 Puget Sound Regional Household Travel Survey in which a subsample of 705 households reported activities and travel for a one-week pe</w:t>
      </w:r>
      <w:r w:rsidR="00DB11DA">
        <w:t xml:space="preserve">riod through a smartphone app. </w:t>
      </w:r>
      <w:r>
        <w:t xml:space="preserve">They also reported the number of home deliveries of goods, groceries, and prepared meals for the same one-week period. This data allowed an examination of the relationships between the frequency (in terms of number of days in the week) of online activity and in-person activity engagement. A multivariate ordered </w:t>
      </w:r>
      <w:proofErr w:type="spellStart"/>
      <w:r>
        <w:t>probit</w:t>
      </w:r>
      <w:proofErr w:type="spellEnd"/>
      <w:r>
        <w:t xml:space="preserve"> model of </w:t>
      </w:r>
      <w:r>
        <w:lastRenderedPageBreak/>
        <w:t xml:space="preserve">frequency of online and in-person activity engagement was estimated. The model included six endogenous variables corresponding to </w:t>
      </w:r>
      <w:r w:rsidR="00081D4F">
        <w:t xml:space="preserve">number of </w:t>
      </w:r>
      <w:r>
        <w:t>days in the week that in-person or online activities were pursued for shopping (non-grocery), shopping (grocery), or meals.</w:t>
      </w:r>
    </w:p>
    <w:p w14:paraId="309D3891" w14:textId="036B1DCE" w:rsidR="00294C9F" w:rsidRDefault="00897B54" w:rsidP="00E645B4">
      <w:r>
        <w:tab/>
        <w:t xml:space="preserve">Model estimation results showed that a number of exogenous variables such as income, household structure, residential density, household tenure and housing unit type, and vehicle ownership affect frequency of online and in-person activity engagement. The results were largely intuitive with higher income households engaging in more online and in-person activities, presumably due to higher consumption levels. Households in urban areas (higher density) were more frequent participants in online activities rather than in-person activities; however, they ate out (in person) more than their lower-density residential counterparts, presumably because the denser environments had more opportunities to do so.  </w:t>
      </w:r>
    </w:p>
    <w:p w14:paraId="3846D6E7" w14:textId="73B28433" w:rsidR="00F40CD5" w:rsidRDefault="00897B54" w:rsidP="00E645B4">
      <w:r>
        <w:tab/>
        <w:t xml:space="preserve">The endogenous variable effects </w:t>
      </w:r>
      <w:r w:rsidR="00504417">
        <w:t xml:space="preserve">are of key interest in this study. The final model structure that provided the best and most intuitive results showed that there are both complementary and substitution effects at play. More in-person shopping (non-grocery) is associated with more online shopping (non-grocery), suggesting that there is a complementary effect between </w:t>
      </w:r>
      <w:r w:rsidR="005B1040">
        <w:t xml:space="preserve">in-person </w:t>
      </w:r>
      <w:r w:rsidR="00504417">
        <w:t xml:space="preserve">and </w:t>
      </w:r>
      <w:r w:rsidR="005B1040">
        <w:t xml:space="preserve">online </w:t>
      </w:r>
      <w:r w:rsidR="00504417">
        <w:t xml:space="preserve">activity engagement for non-grocery shopping. But a substitution effect is seen between </w:t>
      </w:r>
      <w:r w:rsidR="005B1040">
        <w:t xml:space="preserve">in-person </w:t>
      </w:r>
      <w:r w:rsidR="00504417">
        <w:t xml:space="preserve">and </w:t>
      </w:r>
      <w:r w:rsidR="005B1040">
        <w:t xml:space="preserve">online </w:t>
      </w:r>
      <w:r w:rsidR="00504417">
        <w:rPr>
          <w:i/>
          <w:iCs/>
        </w:rPr>
        <w:t>grocery</w:t>
      </w:r>
      <w:r w:rsidR="00504417">
        <w:t xml:space="preserve"> shopping</w:t>
      </w:r>
      <w:r w:rsidR="00DB11DA">
        <w:t xml:space="preserve">. </w:t>
      </w:r>
      <w:r w:rsidR="00F40CD5">
        <w:t>These findings suggest that it is important to draw an explicit distinction between different types of shopping activities in travel demand forecasting models and planning processes. Higher frequency of online shopping (non-grocery) is associated with higher levels of in-person grocery and in-person meal consumption; higher levels of in-person eat-meal activity is associated with a higher level of online grocery shopping.</w:t>
      </w:r>
      <w:r w:rsidR="00A629EF">
        <w:t xml:space="preserve"> </w:t>
      </w:r>
      <w:r w:rsidR="00F40CD5">
        <w:t xml:space="preserve">All of these effects are reflective of trade-offs in activity engagement and adoption of a lifestyle package on the part of households. </w:t>
      </w:r>
    </w:p>
    <w:p w14:paraId="6555B963" w14:textId="68C38586" w:rsidR="007F272F" w:rsidRDefault="00F40CD5" w:rsidP="00E645B4">
      <w:r>
        <w:tab/>
        <w:t xml:space="preserve">A number of implications may be drawn from study findings. Results of exogenous variable effects, for example, show that households in urban (dense) areas are engaging in higher levels of </w:t>
      </w:r>
      <w:r w:rsidR="005B1040">
        <w:t xml:space="preserve">online </w:t>
      </w:r>
      <w:r>
        <w:t xml:space="preserve">shopping activities than their observationally equivalent counterparts </w:t>
      </w:r>
      <w:r w:rsidR="00DB11DA">
        <w:t xml:space="preserve">in lower density environments. </w:t>
      </w:r>
      <w:r>
        <w:t xml:space="preserve">In other words, congested urban cores may see further increases in congestion with a growth in delivery vehicles; policies need to be formulated to help manage the growth in delivery vehicle traffic to avoid unintended consequences of worsening safety, traffic congestion, and air pollution. Equity considerations also arise in the context of income. Lower income households are found to engage in less online shopping, grocery, and meal </w:t>
      </w:r>
      <w:r w:rsidR="007F272F">
        <w:t xml:space="preserve">activities, presumably because of the digital divide and inability to pay the premium that often comes with the convenience of online commerce. As brick-and-mortar stores go increasingly out of business, households in lower income segments may experience greater inconvenience in accessing goods and services of various kinds. Policies that enhance digital access for lower income households need to be developed; many public assistance policies in place today (e.g., food stamps, paratransit services) have not evolved with the changing technological and service-based landscape. It is time for these policies to be updated so that lower income groups do not experience diminished access due to digital poverty (besides income poverty). </w:t>
      </w:r>
    </w:p>
    <w:p w14:paraId="0256314E" w14:textId="1E785D85" w:rsidR="00C50491" w:rsidRDefault="007F272F" w:rsidP="002501D1">
      <w:r>
        <w:tab/>
        <w:t xml:space="preserve">Travel demand forecasting models need to be enhanced to better reflect the relationships </w:t>
      </w:r>
      <w:r w:rsidR="00CA4B89">
        <w:t>between</w:t>
      </w:r>
      <w:r>
        <w:t xml:space="preserve"> online and in-person activity engagement. </w:t>
      </w:r>
      <w:r w:rsidR="00464318">
        <w:t>Despite decades of evidence (through the series of National Household Travel Surveys in the United States) that in-person shopping trip rates are dropping over time (presumably due, at least in part, to the rise of e-commerce), four-step travel demand forecasting models continue to assume constant shopping trip rates (in the trip generation step) over the forecast horizon period.</w:t>
      </w:r>
      <w:r>
        <w:t xml:space="preserve"> </w:t>
      </w:r>
      <w:r w:rsidR="00464318">
        <w:t>No d</w:t>
      </w:r>
      <w:r>
        <w:t xml:space="preserve">istinction </w:t>
      </w:r>
      <w:r w:rsidR="00464318">
        <w:t xml:space="preserve">is </w:t>
      </w:r>
      <w:r>
        <w:t xml:space="preserve">made between non-grocery and grocery shopping episodes </w:t>
      </w:r>
      <w:r w:rsidR="00464318">
        <w:t>despite the</w:t>
      </w:r>
      <w:r>
        <w:t xml:space="preserve"> very different nature of these shopping activities. </w:t>
      </w:r>
      <w:r w:rsidR="00464318">
        <w:t>Also, i</w:t>
      </w:r>
      <w:r>
        <w:t xml:space="preserve">t cannot be </w:t>
      </w:r>
      <w:r>
        <w:lastRenderedPageBreak/>
        <w:t xml:space="preserve">assumed that online activity engagement </w:t>
      </w:r>
      <w:r w:rsidR="00464318">
        <w:t xml:space="preserve">strictly </w:t>
      </w:r>
      <w:r>
        <w:t xml:space="preserve">affects in-person activity engagement or vice-versa.  The nature of the relationships is more complex; in this study, </w:t>
      </w:r>
      <w:r w:rsidR="00C50491">
        <w:t xml:space="preserve">there was clear indication and strong support for the notion that online and in-person activities of multiple purposes are </w:t>
      </w:r>
      <w:r w:rsidR="00CA4B89">
        <w:t>pursued as a lifestyle package</w:t>
      </w:r>
      <w:r w:rsidR="00C50491">
        <w:t xml:space="preserve"> and need to be considered as such. </w:t>
      </w:r>
      <w:r w:rsidR="008E636E">
        <w:t>In addition</w:t>
      </w:r>
      <w:r w:rsidR="00C50491">
        <w:t xml:space="preserve">, the direction of recursive effects (while considering jointness across all the endogenous variables) suggests complex interplays between </w:t>
      </w:r>
      <w:r>
        <w:t xml:space="preserve">in-person </w:t>
      </w:r>
      <w:r w:rsidR="00C50491">
        <w:t xml:space="preserve">and online </w:t>
      </w:r>
      <w:r w:rsidR="00E766B7">
        <w:t xml:space="preserve">pursuits </w:t>
      </w:r>
      <w:r w:rsidR="00C50491">
        <w:t xml:space="preserve">of different activity purposes. </w:t>
      </w:r>
      <w:r w:rsidR="00480E42">
        <w:t xml:space="preserve">Given that </w:t>
      </w:r>
      <w:r w:rsidR="00464318">
        <w:t xml:space="preserve">more recent </w:t>
      </w:r>
      <w:r w:rsidR="00480E42">
        <w:t xml:space="preserve">microsimulation models of activity-travel behavior can effectively simulate choices at the level of the individual agent, it would be of value to develop and integrate modeling components that explicitly simulate online activity engagement and the relationships between </w:t>
      </w:r>
      <w:r w:rsidR="005B1040">
        <w:t xml:space="preserve">online </w:t>
      </w:r>
      <w:r w:rsidR="00480E42">
        <w:t xml:space="preserve">and </w:t>
      </w:r>
      <w:r w:rsidR="005B1040">
        <w:t xml:space="preserve">in-person </w:t>
      </w:r>
      <w:r w:rsidR="00480E42">
        <w:t xml:space="preserve">activity frequencies. </w:t>
      </w:r>
      <w:r w:rsidR="00C61A6C">
        <w:t xml:space="preserve">Data is needed to enable such model development. Activity-travel surveys should include detailed questions about home-based deliveries of various types of goods and services, frequency of online activity for different activities and purposes, and use of technology for fulfilling </w:t>
      </w:r>
      <w:r w:rsidR="00BF4C5F">
        <w:t xml:space="preserve">activities on the </w:t>
      </w:r>
      <w:r w:rsidR="00C61A6C">
        <w:t xml:space="preserve">daily </w:t>
      </w:r>
      <w:r w:rsidR="00BF4C5F">
        <w:t>household agenda</w:t>
      </w:r>
      <w:r w:rsidR="00CA4B89">
        <w:t xml:space="preserve"> virtually</w:t>
      </w:r>
      <w:r w:rsidR="00BF4C5F">
        <w:t xml:space="preserve">. </w:t>
      </w:r>
      <w:r w:rsidR="00C36214">
        <w:t xml:space="preserve">Models that span the digital and physical worlds will help reduce the uncertainty that transportation professionals have to deal with and provide a basis for more robust policy formulation that will improve accessibility to goods and services for all.  </w:t>
      </w:r>
    </w:p>
    <w:p w14:paraId="7795EC7B" w14:textId="0D126A88" w:rsidR="00257D27" w:rsidRDefault="00E04EEF" w:rsidP="00B563F0">
      <w:pPr>
        <w:ind w:firstLine="720"/>
      </w:pPr>
      <w:r>
        <w:t>Another</w:t>
      </w:r>
      <w:r w:rsidR="00C50491">
        <w:t xml:space="preserve"> critical issue that this paper underscores is the need to</w:t>
      </w:r>
      <w:r w:rsidR="00B92A56">
        <w:t xml:space="preserve"> bring passenger</w:t>
      </w:r>
      <w:r w:rsidR="00C50491">
        <w:t xml:space="preserve"> and freight demand modeling, at least within urban contexts, into a</w:t>
      </w:r>
      <w:r w:rsidR="00B92A56">
        <w:t xml:space="preserve"> single integrated structure</w:t>
      </w:r>
      <w:r w:rsidR="00C50491">
        <w:t xml:space="preserve">. Decisions regarding online and in-person activity engagements are made as an integrated </w:t>
      </w:r>
      <w:r w:rsidR="00CA4B89">
        <w:t>lifestyle package</w:t>
      </w:r>
      <w:r w:rsidR="00C50491">
        <w:t>, and it is</w:t>
      </w:r>
      <w:r w:rsidR="00904475">
        <w:t xml:space="preserve"> absolutely imperative that</w:t>
      </w:r>
      <w:r w:rsidR="00C50491">
        <w:t xml:space="preserve"> travel demand model</w:t>
      </w:r>
      <w:r w:rsidR="00904475">
        <w:t>s</w:t>
      </w:r>
      <w:r w:rsidR="00C50491">
        <w:t xml:space="preserve"> recognize </w:t>
      </w:r>
      <w:r w:rsidR="00904475">
        <w:t xml:space="preserve">the intertwined and inter-dependent nature of urban freight and passenger movements. As the distinction between freight </w:t>
      </w:r>
      <w:r w:rsidR="00904475" w:rsidRPr="00C67550">
        <w:t>and passenger movements becomes increasingly fuzzy, the</w:t>
      </w:r>
      <w:r w:rsidR="00B92A56" w:rsidRPr="00C67550">
        <w:t xml:space="preserve"> days of compartmentalizing freight and passenger demand </w:t>
      </w:r>
      <w:r w:rsidR="00904475" w:rsidRPr="00C67550">
        <w:t xml:space="preserve">in modeling frameworks </w:t>
      </w:r>
      <w:r w:rsidR="00B92A56" w:rsidRPr="00C67550">
        <w:t>need to be</w:t>
      </w:r>
      <w:r w:rsidR="00C34025" w:rsidRPr="00C67550">
        <w:t xml:space="preserve"> </w:t>
      </w:r>
      <w:r w:rsidR="00B92A56" w:rsidRPr="00C67550">
        <w:t xml:space="preserve">behind us. </w:t>
      </w:r>
    </w:p>
    <w:p w14:paraId="4FD1989C" w14:textId="26A4A548" w:rsidR="001B2457" w:rsidRPr="00C67550" w:rsidRDefault="00933A1B" w:rsidP="00B563F0">
      <w:pPr>
        <w:ind w:firstLine="720"/>
      </w:pPr>
      <w:r>
        <w:t>In closing</w:t>
      </w:r>
      <w:r w:rsidR="001B2457">
        <w:t>, as with any rese</w:t>
      </w:r>
      <w:r w:rsidR="00F10CB1">
        <w:t xml:space="preserve">arch effort, </w:t>
      </w:r>
      <w:r w:rsidR="001B2457">
        <w:t xml:space="preserve">many extensions </w:t>
      </w:r>
      <w:r w:rsidR="00F10CB1">
        <w:t xml:space="preserve">of this research </w:t>
      </w:r>
      <w:r w:rsidR="001B2457">
        <w:t xml:space="preserve">warrant attention. </w:t>
      </w:r>
      <w:r w:rsidR="001F193F">
        <w:t xml:space="preserve">This research, and pretty much all </w:t>
      </w:r>
      <w:r w:rsidR="001B2457">
        <w:t>other earlier efforts examining online and in-person activity interactions</w:t>
      </w:r>
      <w:r w:rsidR="00067146">
        <w:t xml:space="preserve"> (including the empirical studies identified earlier in the paper)</w:t>
      </w:r>
      <w:r w:rsidR="001B2457">
        <w:t xml:space="preserve">, have used relatively small data samples (of the order of 700-900 observations) from specific cities </w:t>
      </w:r>
      <w:r w:rsidR="001F193F">
        <w:t xml:space="preserve">or specific regions </w:t>
      </w:r>
      <w:r w:rsidR="001B2457">
        <w:t>(mostly from China, but also from the U</w:t>
      </w:r>
      <w:r w:rsidR="00C20013">
        <w:t>.</w:t>
      </w:r>
      <w:r w:rsidR="001B2457">
        <w:t>S</w:t>
      </w:r>
      <w:r w:rsidR="00C20013">
        <w:t>.</w:t>
      </w:r>
      <w:r w:rsidR="001B2457">
        <w:t xml:space="preserve"> and Europe). Part of the reason is that obtaining in-person activities as well as online activities substantially increases the respondent burden,</w:t>
      </w:r>
      <w:r>
        <w:t xml:space="preserve"> and so such details are</w:t>
      </w:r>
      <w:r w:rsidR="001B2457">
        <w:t xml:space="preserve"> typically sought only for a small sample </w:t>
      </w:r>
      <w:r w:rsidR="00C23102">
        <w:t xml:space="preserve">of respondents </w:t>
      </w:r>
      <w:r w:rsidR="001B2457">
        <w:t>from a larger mainstream activity-travel survey data collect</w:t>
      </w:r>
      <w:r w:rsidR="001F193F">
        <w:t>ion pool</w:t>
      </w:r>
      <w:r w:rsidR="001B2457">
        <w:t xml:space="preserve"> or </w:t>
      </w:r>
      <w:r>
        <w:t xml:space="preserve">obtained </w:t>
      </w:r>
      <w:r w:rsidR="00C23102">
        <w:t xml:space="preserve">through a dedicated specialized </w:t>
      </w:r>
      <w:r w:rsidR="00F10CB1">
        <w:t>small-</w:t>
      </w:r>
      <w:r w:rsidR="00C23102">
        <w:t>scale survey. Efforts to promote the large</w:t>
      </w:r>
      <w:r w:rsidR="00C20013">
        <w:t>-</w:t>
      </w:r>
      <w:r w:rsidR="00C23102">
        <w:t>scale data collection of online activity and home deliveries, along with in-person activity-travel, is much needed and requires the development of new innovative data collection technique</w:t>
      </w:r>
      <w:r w:rsidR="001F193F">
        <w:t xml:space="preserve">s. </w:t>
      </w:r>
      <w:r>
        <w:t xml:space="preserve">In doing so, it would be particularly helpful to obtain more fundamental “process” data that can be used to better </w:t>
      </w:r>
      <w:r w:rsidR="00F10CB1">
        <w:t xml:space="preserve">trace the underlying behavioral </w:t>
      </w:r>
      <w:r>
        <w:t xml:space="preserve">interplay </w:t>
      </w:r>
      <w:r w:rsidR="00F10CB1">
        <w:t xml:space="preserve">and motivations driving </w:t>
      </w:r>
      <w:r>
        <w:t>online activities and in-person activities.</w:t>
      </w:r>
      <w:r w:rsidR="00C20013">
        <w:t xml:space="preserve"> </w:t>
      </w:r>
      <w:r>
        <w:t xml:space="preserve">With current large scale data collection efforts, only outcome data is collected, and while such outcome data dominate (and have been the mainstay of) activity-travel modeling efforts and </w:t>
      </w:r>
      <w:r w:rsidR="0056260D">
        <w:t xml:space="preserve">have </w:t>
      </w:r>
      <w:r>
        <w:t>form</w:t>
      </w:r>
      <w:r w:rsidR="0056260D">
        <w:t>ed</w:t>
      </w:r>
      <w:r>
        <w:t xml:space="preserve"> the basis for imputing underlying behavioral processes, the collection of process data can provide substantially more behavioral insights. </w:t>
      </w:r>
      <w:r w:rsidR="001F193F">
        <w:t>Further, the growth of e-retail and e-commerce has been rapid and is evolving. Though the data used in this research is from the latest available dataset from the Puget Sound Regional Council in the U</w:t>
      </w:r>
      <w:r w:rsidR="00A629EF">
        <w:t>.</w:t>
      </w:r>
      <w:r w:rsidR="001F193F">
        <w:t>S</w:t>
      </w:r>
      <w:r w:rsidR="00A629EF">
        <w:t>.</w:t>
      </w:r>
      <w:r w:rsidR="001F193F">
        <w:t xml:space="preserve"> that co</w:t>
      </w:r>
      <w:r w:rsidR="0056260D">
        <w:t xml:space="preserve">llected </w:t>
      </w:r>
      <w:r w:rsidR="001F193F">
        <w:t xml:space="preserve">online activity </w:t>
      </w:r>
      <w:r w:rsidR="0056260D">
        <w:t xml:space="preserve">details </w:t>
      </w:r>
      <w:r w:rsidR="001F193F">
        <w:t>(to the authors’ knowledge, no other metropolitan region in the U</w:t>
      </w:r>
      <w:r w:rsidR="00A629EF">
        <w:t>.</w:t>
      </w:r>
      <w:r w:rsidR="001F193F">
        <w:t>S</w:t>
      </w:r>
      <w:r w:rsidR="00A629EF">
        <w:t>.</w:t>
      </w:r>
      <w:r w:rsidR="001F193F">
        <w:t xml:space="preserve"> collects </w:t>
      </w:r>
      <w:r>
        <w:t>such detail presently as part of their regional travel surveys)</w:t>
      </w:r>
      <w:r w:rsidR="001F193F">
        <w:t xml:space="preserve">, </w:t>
      </w:r>
      <w:r>
        <w:t>it is imperative that investigations of the inter-relationships between online and in-person</w:t>
      </w:r>
      <w:r w:rsidR="00F10CB1">
        <w:t xml:space="preserve"> activity participation be continually undertaken</w:t>
      </w:r>
      <w:r>
        <w:t xml:space="preserve"> with the most recent data available. </w:t>
      </w:r>
    </w:p>
    <w:p w14:paraId="4FF4EC38" w14:textId="77777777" w:rsidR="00D476C2" w:rsidRPr="00C67550" w:rsidRDefault="00D476C2" w:rsidP="00D476C2"/>
    <w:p w14:paraId="0CA17AED" w14:textId="44518FC4" w:rsidR="00252BAB" w:rsidRPr="00C67550" w:rsidRDefault="00F500D7" w:rsidP="00C36214">
      <w:pPr>
        <w:pStyle w:val="Heading1"/>
        <w:numPr>
          <w:ilvl w:val="0"/>
          <w:numId w:val="0"/>
        </w:numPr>
        <w:spacing w:before="0"/>
        <w:rPr>
          <w:caps/>
          <w:smallCaps w:val="0"/>
          <w:sz w:val="24"/>
        </w:rPr>
      </w:pPr>
      <w:r w:rsidRPr="00C67550">
        <w:rPr>
          <w:caps/>
          <w:smallCaps w:val="0"/>
          <w:sz w:val="24"/>
        </w:rPr>
        <w:lastRenderedPageBreak/>
        <w:t>Acknowledgement</w:t>
      </w:r>
    </w:p>
    <w:p w14:paraId="46A8C48D" w14:textId="0DA4AB4A" w:rsidR="00D449CD" w:rsidRPr="0069522E" w:rsidRDefault="008102B8" w:rsidP="00D449CD">
      <w:r w:rsidRPr="0069522E">
        <w:t xml:space="preserve">This research was partially supported by the Center for Teaching Old Models New Tricks (TOMNET) (Grant No. 69A3551747116) as well as the Data-Supported Transportation Operations and Planning (D-STOP) Center (Grant No. DTRT13GUTC58), both of which are Tier 1 University Transportation Centers sponsored by the U.S. Department of Transportation. </w:t>
      </w:r>
      <w:r w:rsidR="002E3C17" w:rsidRPr="0069522E">
        <w:t>The second author acknowledges funding support from</w:t>
      </w:r>
      <w:r w:rsidR="00101769" w:rsidRPr="0069522E">
        <w:t xml:space="preserve"> the Brazilian Funding Agency </w:t>
      </w:r>
      <w:r w:rsidR="002E3C17" w:rsidRPr="0069522E">
        <w:t>CAPES</w:t>
      </w:r>
      <w:r w:rsidR="00101769" w:rsidRPr="0069522E">
        <w:t>.</w:t>
      </w:r>
      <w:r w:rsidR="002E3C17" w:rsidRPr="0069522E">
        <w:t xml:space="preserve"> </w:t>
      </w:r>
      <w:r w:rsidR="00E12C6F" w:rsidRPr="0069522E">
        <w:t>This work was also funded by the Ministry of Human Resource Development (MHRD) of the Government of India through its Scheme for Promotion of Academic and Research Collaboration (SPARC) program.</w:t>
      </w:r>
      <w:r w:rsidR="00FA73D2" w:rsidRPr="0069522E">
        <w:t xml:space="preserve"> </w:t>
      </w:r>
      <w:r w:rsidR="0069522E">
        <w:t>The authors are grateful to Lisa Macias for her help in formatting this document. Three anonymous reviewers provided</w:t>
      </w:r>
      <w:r w:rsidR="0069522E" w:rsidRPr="001573BA">
        <w:rPr>
          <w:color w:val="000000"/>
        </w:rPr>
        <w:t xml:space="preserve"> </w:t>
      </w:r>
      <w:r w:rsidR="0069522E">
        <w:rPr>
          <w:color w:val="000000"/>
        </w:rPr>
        <w:t>useful comments on an earlier version of this paper.</w:t>
      </w:r>
    </w:p>
    <w:p w14:paraId="467CF860" w14:textId="77777777" w:rsidR="00D449CD" w:rsidRPr="008102B8" w:rsidRDefault="00D449CD" w:rsidP="00E30BD0"/>
    <w:p w14:paraId="4CCB1124" w14:textId="654323B8" w:rsidR="00252BAB" w:rsidRPr="00C67550" w:rsidRDefault="00F500D7" w:rsidP="0069522E">
      <w:pPr>
        <w:pStyle w:val="Heading1"/>
        <w:numPr>
          <w:ilvl w:val="0"/>
          <w:numId w:val="0"/>
        </w:numPr>
        <w:spacing w:before="0"/>
        <w:rPr>
          <w:caps/>
          <w:smallCaps w:val="0"/>
          <w:sz w:val="24"/>
        </w:rPr>
      </w:pPr>
      <w:bookmarkStart w:id="10" w:name="_Hlk32830996"/>
      <w:r w:rsidRPr="00C67550">
        <w:rPr>
          <w:caps/>
          <w:smallCaps w:val="0"/>
          <w:sz w:val="24"/>
        </w:rPr>
        <w:t>References</w:t>
      </w:r>
    </w:p>
    <w:p w14:paraId="2BE06D23" w14:textId="77777777" w:rsidR="00E33E6F" w:rsidRPr="008102B8" w:rsidRDefault="00E33E6F" w:rsidP="00E33E6F">
      <w:pPr>
        <w:ind w:left="360" w:hanging="360"/>
        <w:rPr>
          <w:shd w:val="clear" w:color="auto" w:fill="FFFFFF"/>
        </w:rPr>
      </w:pPr>
      <w:proofErr w:type="spellStart"/>
      <w:r w:rsidRPr="008102B8">
        <w:rPr>
          <w:shd w:val="clear" w:color="auto" w:fill="FFFFFF"/>
        </w:rPr>
        <w:t>Aguiléra</w:t>
      </w:r>
      <w:proofErr w:type="spellEnd"/>
      <w:r w:rsidRPr="008102B8">
        <w:rPr>
          <w:shd w:val="clear" w:color="auto" w:fill="FFFFFF"/>
        </w:rPr>
        <w:t xml:space="preserve">, A., Guillot, C. and </w:t>
      </w:r>
      <w:proofErr w:type="spellStart"/>
      <w:r w:rsidRPr="008102B8">
        <w:rPr>
          <w:shd w:val="clear" w:color="auto" w:fill="FFFFFF"/>
        </w:rPr>
        <w:t>Rallet</w:t>
      </w:r>
      <w:proofErr w:type="spellEnd"/>
      <w:r w:rsidRPr="008102B8">
        <w:rPr>
          <w:shd w:val="clear" w:color="auto" w:fill="FFFFFF"/>
        </w:rPr>
        <w:t xml:space="preserve">, A., 2012. Mobile ICTs and physical mobility: Review and research agenda. </w:t>
      </w:r>
      <w:r w:rsidRPr="008102B8">
        <w:rPr>
          <w:i/>
          <w:shd w:val="clear" w:color="auto" w:fill="FFFFFF"/>
        </w:rPr>
        <w:t>Transportation Research Part A</w:t>
      </w:r>
      <w:r w:rsidRPr="008102B8">
        <w:rPr>
          <w:shd w:val="clear" w:color="auto" w:fill="FFFFFF"/>
        </w:rPr>
        <w:t>, 46(4), 664-672.</w:t>
      </w:r>
    </w:p>
    <w:p w14:paraId="255D755C" w14:textId="77777777" w:rsidR="001412CA" w:rsidRPr="008102B8" w:rsidRDefault="001412CA" w:rsidP="00607E84">
      <w:pPr>
        <w:ind w:left="360" w:hanging="360"/>
        <w:rPr>
          <w:shd w:val="clear" w:color="auto" w:fill="FFFFFF"/>
        </w:rPr>
      </w:pPr>
      <w:r w:rsidRPr="008102B8">
        <w:rPr>
          <w:shd w:val="clear" w:color="auto" w:fill="FFFFFF"/>
        </w:rPr>
        <w:t xml:space="preserve">Andreev, P., Salomon, I. and </w:t>
      </w:r>
      <w:proofErr w:type="spellStart"/>
      <w:r w:rsidRPr="008102B8">
        <w:rPr>
          <w:shd w:val="clear" w:color="auto" w:fill="FFFFFF"/>
        </w:rPr>
        <w:t>Pliskin</w:t>
      </w:r>
      <w:proofErr w:type="spellEnd"/>
      <w:r w:rsidRPr="008102B8">
        <w:rPr>
          <w:shd w:val="clear" w:color="auto" w:fill="FFFFFF"/>
        </w:rPr>
        <w:t xml:space="preserve">, N., 2010. Review: State of </w:t>
      </w:r>
      <w:proofErr w:type="spellStart"/>
      <w:r w:rsidRPr="008102B8">
        <w:rPr>
          <w:shd w:val="clear" w:color="auto" w:fill="FFFFFF"/>
        </w:rPr>
        <w:t>teleactivities</w:t>
      </w:r>
      <w:proofErr w:type="spellEnd"/>
      <w:r w:rsidRPr="008102B8">
        <w:rPr>
          <w:shd w:val="clear" w:color="auto" w:fill="FFFFFF"/>
        </w:rPr>
        <w:t>.</w:t>
      </w:r>
      <w:r w:rsidRPr="008102B8">
        <w:rPr>
          <w:rStyle w:val="apple-converted-space"/>
          <w:shd w:val="clear" w:color="auto" w:fill="FFFFFF"/>
        </w:rPr>
        <w:t> </w:t>
      </w:r>
      <w:r w:rsidRPr="008102B8">
        <w:rPr>
          <w:i/>
          <w:iCs/>
          <w:shd w:val="clear" w:color="auto" w:fill="FFFFFF"/>
        </w:rPr>
        <w:t>Transportation Research Part C</w:t>
      </w:r>
      <w:r w:rsidRPr="008102B8">
        <w:rPr>
          <w:shd w:val="clear" w:color="auto" w:fill="FFFFFF"/>
        </w:rPr>
        <w:t>,</w:t>
      </w:r>
      <w:r w:rsidRPr="008102B8">
        <w:rPr>
          <w:rStyle w:val="apple-converted-space"/>
          <w:shd w:val="clear" w:color="auto" w:fill="FFFFFF"/>
        </w:rPr>
        <w:t> </w:t>
      </w:r>
      <w:r w:rsidRPr="008102B8">
        <w:rPr>
          <w:iCs/>
          <w:shd w:val="clear" w:color="auto" w:fill="FFFFFF"/>
        </w:rPr>
        <w:t>18</w:t>
      </w:r>
      <w:r w:rsidRPr="008102B8">
        <w:rPr>
          <w:shd w:val="clear" w:color="auto" w:fill="FFFFFF"/>
        </w:rPr>
        <w:t>(1), 3-20.</w:t>
      </w:r>
    </w:p>
    <w:p w14:paraId="4B558BBF" w14:textId="0E00DEA6" w:rsidR="00C57022" w:rsidRPr="008102B8" w:rsidRDefault="00C57022" w:rsidP="00607E84">
      <w:pPr>
        <w:ind w:left="360" w:hanging="360"/>
        <w:rPr>
          <w:shd w:val="clear" w:color="auto" w:fill="FFFFFF"/>
        </w:rPr>
      </w:pPr>
      <w:r w:rsidRPr="008102B8">
        <w:rPr>
          <w:shd w:val="clear" w:color="auto" w:fill="FFFFFF"/>
        </w:rPr>
        <w:t>Astroza, S., Garikapati, V.M., Bhat, C.R., Pendyala, R.M., Lavieri, P.S. and Dias, F.F., 2017. Analysis of the impact of technology use on multimodality and activity travel characteristics. </w:t>
      </w:r>
      <w:r w:rsidRPr="008102B8">
        <w:rPr>
          <w:i/>
          <w:iCs/>
          <w:shd w:val="clear" w:color="auto" w:fill="FFFFFF"/>
        </w:rPr>
        <w:t>Transportation Research Record</w:t>
      </w:r>
      <w:r w:rsidR="00057B23" w:rsidRPr="008102B8">
        <w:rPr>
          <w:i/>
          <w:shd w:val="clear" w:color="auto" w:fill="FFFFFF"/>
        </w:rPr>
        <w:t xml:space="preserve">: </w:t>
      </w:r>
      <w:r w:rsidR="00D476C2" w:rsidRPr="008102B8">
        <w:rPr>
          <w:i/>
          <w:iCs/>
          <w:shd w:val="clear" w:color="auto" w:fill="FFFFFF"/>
        </w:rPr>
        <w:t>Journal of the Transportation Research Board</w:t>
      </w:r>
      <w:r w:rsidR="00D476C2" w:rsidRPr="008102B8">
        <w:rPr>
          <w:iCs/>
          <w:shd w:val="clear" w:color="auto" w:fill="FFFFFF"/>
        </w:rPr>
        <w:t>,</w:t>
      </w:r>
      <w:r w:rsidR="00D476C2" w:rsidRPr="008102B8">
        <w:rPr>
          <w:i/>
          <w:iCs/>
          <w:shd w:val="clear" w:color="auto" w:fill="FFFFFF"/>
        </w:rPr>
        <w:t xml:space="preserve"> </w:t>
      </w:r>
      <w:r w:rsidRPr="008102B8">
        <w:rPr>
          <w:shd w:val="clear" w:color="auto" w:fill="FFFFFF"/>
        </w:rPr>
        <w:t xml:space="preserve">2666(1), </w:t>
      </w:r>
      <w:r w:rsidR="00D476C2" w:rsidRPr="008102B8">
        <w:rPr>
          <w:shd w:val="clear" w:color="auto" w:fill="FFFFFF"/>
        </w:rPr>
        <w:t>1</w:t>
      </w:r>
      <w:r w:rsidRPr="008102B8">
        <w:rPr>
          <w:shd w:val="clear" w:color="auto" w:fill="FFFFFF"/>
        </w:rPr>
        <w:t>9-28.</w:t>
      </w:r>
    </w:p>
    <w:p w14:paraId="26F9932B" w14:textId="42890864" w:rsidR="00BC418A" w:rsidRPr="008102B8" w:rsidRDefault="00BC418A" w:rsidP="00607E84">
      <w:pPr>
        <w:ind w:left="360" w:hanging="360"/>
        <w:rPr>
          <w:shd w:val="clear" w:color="auto" w:fill="FFFFFF"/>
        </w:rPr>
      </w:pPr>
      <w:r w:rsidRPr="008102B8">
        <w:rPr>
          <w:shd w:val="clear" w:color="auto" w:fill="FFFFFF"/>
        </w:rPr>
        <w:t xml:space="preserve">Ben-Elia, E., Alexander, B., </w:t>
      </w:r>
      <w:proofErr w:type="spellStart"/>
      <w:r w:rsidRPr="008102B8">
        <w:rPr>
          <w:shd w:val="clear" w:color="auto" w:fill="FFFFFF"/>
        </w:rPr>
        <w:t>Hubers</w:t>
      </w:r>
      <w:proofErr w:type="spellEnd"/>
      <w:r w:rsidRPr="008102B8">
        <w:rPr>
          <w:shd w:val="clear" w:color="auto" w:fill="FFFFFF"/>
        </w:rPr>
        <w:t xml:space="preserve">, C. and </w:t>
      </w:r>
      <w:proofErr w:type="spellStart"/>
      <w:r w:rsidRPr="008102B8">
        <w:rPr>
          <w:shd w:val="clear" w:color="auto" w:fill="FFFFFF"/>
        </w:rPr>
        <w:t>Ettema</w:t>
      </w:r>
      <w:proofErr w:type="spellEnd"/>
      <w:r w:rsidRPr="008102B8">
        <w:rPr>
          <w:shd w:val="clear" w:color="auto" w:fill="FFFFFF"/>
        </w:rPr>
        <w:t xml:space="preserve">, D., 2014. Activity fragmentation, ICT and travel: An exploratory </w:t>
      </w:r>
      <w:r w:rsidR="00D476C2" w:rsidRPr="008102B8">
        <w:rPr>
          <w:shd w:val="clear" w:color="auto" w:fill="FFFFFF"/>
        </w:rPr>
        <w:t>p</w:t>
      </w:r>
      <w:r w:rsidRPr="008102B8">
        <w:rPr>
          <w:shd w:val="clear" w:color="auto" w:fill="FFFFFF"/>
        </w:rPr>
        <w:t xml:space="preserve">ath </w:t>
      </w:r>
      <w:r w:rsidR="00D476C2" w:rsidRPr="008102B8">
        <w:rPr>
          <w:shd w:val="clear" w:color="auto" w:fill="FFFFFF"/>
        </w:rPr>
        <w:t>a</w:t>
      </w:r>
      <w:r w:rsidRPr="008102B8">
        <w:rPr>
          <w:shd w:val="clear" w:color="auto" w:fill="FFFFFF"/>
        </w:rPr>
        <w:t>nalysis of spatiotemporal interrelationships. </w:t>
      </w:r>
      <w:r w:rsidRPr="008102B8">
        <w:rPr>
          <w:i/>
          <w:iCs/>
          <w:shd w:val="clear" w:color="auto" w:fill="FFFFFF"/>
        </w:rPr>
        <w:t>Transportation Research Part A</w:t>
      </w:r>
      <w:r w:rsidR="00D476C2" w:rsidRPr="008102B8">
        <w:rPr>
          <w:shd w:val="clear" w:color="auto" w:fill="FFFFFF"/>
        </w:rPr>
        <w:t>,</w:t>
      </w:r>
      <w:r w:rsidRPr="008102B8">
        <w:rPr>
          <w:shd w:val="clear" w:color="auto" w:fill="FFFFFF"/>
        </w:rPr>
        <w:t> 68, 56-74.</w:t>
      </w:r>
    </w:p>
    <w:p w14:paraId="3D6835A1" w14:textId="77777777" w:rsidR="00F01246" w:rsidRPr="008102B8" w:rsidRDefault="00F01246" w:rsidP="00607E84">
      <w:pPr>
        <w:ind w:left="360" w:hanging="360"/>
      </w:pPr>
      <w:r w:rsidRPr="008102B8">
        <w:rPr>
          <w:shd w:val="clear" w:color="auto" w:fill="FFFFFF"/>
        </w:rPr>
        <w:t xml:space="preserve">Bhat, C.R., 2015. </w:t>
      </w:r>
      <w:r w:rsidRPr="008102B8">
        <w:rPr>
          <w:bCs/>
        </w:rPr>
        <w:t>A new generalized heterogeneous data model (GHDM) to jointly model mixed types of dependent variables</w:t>
      </w:r>
      <w:r w:rsidRPr="008102B8">
        <w:t xml:space="preserve">. </w:t>
      </w:r>
      <w:r w:rsidRPr="008102B8">
        <w:rPr>
          <w:i/>
          <w:iCs/>
        </w:rPr>
        <w:t>Transportation Research Part B</w:t>
      </w:r>
      <w:r w:rsidRPr="008102B8">
        <w:t>, 79, 50-77.</w:t>
      </w:r>
    </w:p>
    <w:p w14:paraId="06D7E59D" w14:textId="061DFA48" w:rsidR="001412CA" w:rsidRPr="008102B8" w:rsidRDefault="001412CA" w:rsidP="00607E84">
      <w:pPr>
        <w:ind w:left="360" w:hanging="360"/>
        <w:rPr>
          <w:shd w:val="clear" w:color="auto" w:fill="FFFFFF"/>
        </w:rPr>
      </w:pPr>
      <w:r w:rsidRPr="008102B8">
        <w:rPr>
          <w:shd w:val="clear" w:color="auto" w:fill="FFFFFF"/>
        </w:rPr>
        <w:t xml:space="preserve">Cao, X.J., Xu, Z. and </w:t>
      </w:r>
      <w:proofErr w:type="spellStart"/>
      <w:r w:rsidRPr="008102B8">
        <w:rPr>
          <w:shd w:val="clear" w:color="auto" w:fill="FFFFFF"/>
        </w:rPr>
        <w:t>Douma</w:t>
      </w:r>
      <w:proofErr w:type="spellEnd"/>
      <w:r w:rsidRPr="008102B8">
        <w:rPr>
          <w:shd w:val="clear" w:color="auto" w:fill="FFFFFF"/>
        </w:rPr>
        <w:t xml:space="preserve">, F., 2012. The interactions between e-shopping and traditional in-store shopping: </w:t>
      </w:r>
      <w:r w:rsidR="00057B23" w:rsidRPr="008102B8">
        <w:rPr>
          <w:shd w:val="clear" w:color="auto" w:fill="FFFFFF"/>
        </w:rPr>
        <w:t>A</w:t>
      </w:r>
      <w:r w:rsidRPr="008102B8">
        <w:rPr>
          <w:shd w:val="clear" w:color="auto" w:fill="FFFFFF"/>
        </w:rPr>
        <w:t>n application of structural equations model. </w:t>
      </w:r>
      <w:r w:rsidRPr="008102B8">
        <w:rPr>
          <w:i/>
          <w:iCs/>
          <w:shd w:val="clear" w:color="auto" w:fill="FFFFFF"/>
        </w:rPr>
        <w:t>Transportation</w:t>
      </w:r>
      <w:r w:rsidRPr="008102B8">
        <w:rPr>
          <w:shd w:val="clear" w:color="auto" w:fill="FFFFFF"/>
        </w:rPr>
        <w:t>, 39(5), 957-974.</w:t>
      </w:r>
    </w:p>
    <w:p w14:paraId="239068BE" w14:textId="20D2FE73" w:rsidR="00BA5558" w:rsidRPr="008102B8" w:rsidRDefault="00BA5558" w:rsidP="00607E84">
      <w:pPr>
        <w:ind w:left="360" w:hanging="360"/>
        <w:rPr>
          <w:shd w:val="clear" w:color="auto" w:fill="FFFFFF"/>
        </w:rPr>
      </w:pPr>
      <w:r w:rsidRPr="008102B8">
        <w:rPr>
          <w:shd w:val="clear" w:color="auto" w:fill="FFFFFF"/>
        </w:rPr>
        <w:t xml:space="preserve">Daniels, S., Glorieux, I., </w:t>
      </w:r>
      <w:proofErr w:type="spellStart"/>
      <w:r w:rsidRPr="008102B8">
        <w:rPr>
          <w:shd w:val="clear" w:color="auto" w:fill="FFFFFF"/>
        </w:rPr>
        <w:t>Minnen</w:t>
      </w:r>
      <w:proofErr w:type="spellEnd"/>
      <w:r w:rsidRPr="008102B8">
        <w:rPr>
          <w:shd w:val="clear" w:color="auto" w:fill="FFFFFF"/>
        </w:rPr>
        <w:t xml:space="preserve">, J. and van </w:t>
      </w:r>
      <w:proofErr w:type="spellStart"/>
      <w:r w:rsidRPr="008102B8">
        <w:rPr>
          <w:shd w:val="clear" w:color="auto" w:fill="FFFFFF"/>
        </w:rPr>
        <w:t>Tienoven</w:t>
      </w:r>
      <w:proofErr w:type="spellEnd"/>
      <w:r w:rsidRPr="008102B8">
        <w:rPr>
          <w:shd w:val="clear" w:color="auto" w:fill="FFFFFF"/>
        </w:rPr>
        <w:t>, T.P., 2012. More than preparing a meal? Concerning the meanings of home cooking. </w:t>
      </w:r>
      <w:r w:rsidRPr="008102B8">
        <w:rPr>
          <w:i/>
          <w:iCs/>
          <w:shd w:val="clear" w:color="auto" w:fill="FFFFFF"/>
        </w:rPr>
        <w:t>Appetite</w:t>
      </w:r>
      <w:r w:rsidRPr="008102B8">
        <w:rPr>
          <w:shd w:val="clear" w:color="auto" w:fill="FFFFFF"/>
        </w:rPr>
        <w:t>, </w:t>
      </w:r>
      <w:r w:rsidRPr="008102B8">
        <w:rPr>
          <w:iCs/>
          <w:shd w:val="clear" w:color="auto" w:fill="FFFFFF"/>
        </w:rPr>
        <w:t>58</w:t>
      </w:r>
      <w:r w:rsidRPr="008102B8">
        <w:rPr>
          <w:shd w:val="clear" w:color="auto" w:fill="FFFFFF"/>
        </w:rPr>
        <w:t>(3), 1050-1056.</w:t>
      </w:r>
    </w:p>
    <w:p w14:paraId="760EF70B" w14:textId="634B778D" w:rsidR="001412CA" w:rsidRPr="008102B8" w:rsidRDefault="001412CA" w:rsidP="00607E84">
      <w:pPr>
        <w:ind w:left="360" w:hanging="360"/>
        <w:rPr>
          <w:shd w:val="clear" w:color="auto" w:fill="FFFFFF"/>
        </w:rPr>
      </w:pPr>
      <w:r w:rsidRPr="008102B8">
        <w:rPr>
          <w:shd w:val="clear" w:color="auto" w:fill="FFFFFF"/>
        </w:rPr>
        <w:t xml:space="preserve">Ding, Y. and Lu, H., 2017. The interactions between online shopping and personal activity travel behavior: </w:t>
      </w:r>
      <w:r w:rsidR="00057B23" w:rsidRPr="008102B8">
        <w:rPr>
          <w:shd w:val="clear" w:color="auto" w:fill="FFFFFF"/>
        </w:rPr>
        <w:t>A</w:t>
      </w:r>
      <w:r w:rsidRPr="008102B8">
        <w:rPr>
          <w:shd w:val="clear" w:color="auto" w:fill="FFFFFF"/>
        </w:rPr>
        <w:t>n analysis with a GPS-based activity travel diary. </w:t>
      </w:r>
      <w:r w:rsidRPr="008102B8">
        <w:rPr>
          <w:i/>
          <w:iCs/>
          <w:shd w:val="clear" w:color="auto" w:fill="FFFFFF"/>
        </w:rPr>
        <w:t>Transportation</w:t>
      </w:r>
      <w:r w:rsidRPr="008102B8">
        <w:rPr>
          <w:shd w:val="clear" w:color="auto" w:fill="FFFFFF"/>
        </w:rPr>
        <w:t>, </w:t>
      </w:r>
      <w:r w:rsidRPr="008102B8">
        <w:rPr>
          <w:iCs/>
          <w:shd w:val="clear" w:color="auto" w:fill="FFFFFF"/>
        </w:rPr>
        <w:t>44</w:t>
      </w:r>
      <w:r w:rsidRPr="008102B8">
        <w:rPr>
          <w:shd w:val="clear" w:color="auto" w:fill="FFFFFF"/>
        </w:rPr>
        <w:t>(2), 311-324.</w:t>
      </w:r>
    </w:p>
    <w:p w14:paraId="2293E3BE" w14:textId="0CEC0E67" w:rsidR="006C5B5A" w:rsidRPr="008102B8" w:rsidRDefault="006C5B5A" w:rsidP="00607E84">
      <w:pPr>
        <w:ind w:left="360" w:hanging="360"/>
      </w:pPr>
      <w:proofErr w:type="spellStart"/>
      <w:r w:rsidRPr="008102B8">
        <w:rPr>
          <w:shd w:val="clear" w:color="auto" w:fill="FFFFFF"/>
        </w:rPr>
        <w:t>Ettema</w:t>
      </w:r>
      <w:proofErr w:type="spellEnd"/>
      <w:r w:rsidRPr="008102B8">
        <w:rPr>
          <w:shd w:val="clear" w:color="auto" w:fill="FFFFFF"/>
        </w:rPr>
        <w:t xml:space="preserve">, D., 2018. Apps, activities and travel: </w:t>
      </w:r>
      <w:r w:rsidR="00057B23" w:rsidRPr="008102B8">
        <w:rPr>
          <w:shd w:val="clear" w:color="auto" w:fill="FFFFFF"/>
        </w:rPr>
        <w:t>A</w:t>
      </w:r>
      <w:r w:rsidRPr="008102B8">
        <w:rPr>
          <w:shd w:val="clear" w:color="auto" w:fill="FFFFFF"/>
        </w:rPr>
        <w:t xml:space="preserve"> conceptual exploration based on activity theory. </w:t>
      </w:r>
      <w:r w:rsidRPr="008102B8">
        <w:rPr>
          <w:i/>
          <w:iCs/>
          <w:shd w:val="clear" w:color="auto" w:fill="FFFFFF"/>
        </w:rPr>
        <w:t>Transportation</w:t>
      </w:r>
      <w:r w:rsidRPr="008102B8">
        <w:rPr>
          <w:shd w:val="clear" w:color="auto" w:fill="FFFFFF"/>
        </w:rPr>
        <w:t>, 45(2), 273-290.</w:t>
      </w:r>
    </w:p>
    <w:p w14:paraId="37285FC7" w14:textId="2F8D805D" w:rsidR="001412CA" w:rsidRPr="008102B8" w:rsidRDefault="001412CA" w:rsidP="00607E84">
      <w:pPr>
        <w:ind w:left="360" w:hanging="360"/>
      </w:pPr>
      <w:r w:rsidRPr="008102B8">
        <w:t xml:space="preserve">Ferdous, N., </w:t>
      </w:r>
      <w:proofErr w:type="spellStart"/>
      <w:r w:rsidRPr="008102B8">
        <w:t>Eluru</w:t>
      </w:r>
      <w:proofErr w:type="spellEnd"/>
      <w:r w:rsidRPr="008102B8">
        <w:t xml:space="preserve">, N., Bhat, C.R., </w:t>
      </w:r>
      <w:r w:rsidR="008C2E18" w:rsidRPr="008102B8">
        <w:t xml:space="preserve">and </w:t>
      </w:r>
      <w:proofErr w:type="spellStart"/>
      <w:r w:rsidRPr="008102B8">
        <w:t>Meloni</w:t>
      </w:r>
      <w:proofErr w:type="spellEnd"/>
      <w:r w:rsidRPr="008102B8">
        <w:t xml:space="preserve"> I., 2010. A </w:t>
      </w:r>
      <w:r w:rsidR="008C2E18" w:rsidRPr="008102B8">
        <w:t>m</w:t>
      </w:r>
      <w:r w:rsidRPr="008102B8">
        <w:t xml:space="preserve">ultivariate </w:t>
      </w:r>
      <w:r w:rsidR="008C2E18" w:rsidRPr="008102B8">
        <w:t>o</w:t>
      </w:r>
      <w:r w:rsidRPr="008102B8">
        <w:t xml:space="preserve">rdered </w:t>
      </w:r>
      <w:r w:rsidR="008C2E18" w:rsidRPr="008102B8">
        <w:t>r</w:t>
      </w:r>
      <w:r w:rsidRPr="008102B8">
        <w:t xml:space="preserve">esponse </w:t>
      </w:r>
      <w:r w:rsidR="008C2E18" w:rsidRPr="008102B8">
        <w:t>m</w:t>
      </w:r>
      <w:r w:rsidRPr="008102B8">
        <w:t xml:space="preserve">odel </w:t>
      </w:r>
      <w:r w:rsidR="008C2E18" w:rsidRPr="008102B8">
        <w:t>s</w:t>
      </w:r>
      <w:r w:rsidRPr="008102B8">
        <w:t xml:space="preserve">ystem for </w:t>
      </w:r>
      <w:r w:rsidR="008C2E18" w:rsidRPr="008102B8">
        <w:t>a</w:t>
      </w:r>
      <w:r w:rsidRPr="008102B8">
        <w:t xml:space="preserve">dults' </w:t>
      </w:r>
      <w:r w:rsidR="008C2E18" w:rsidRPr="008102B8">
        <w:t>w</w:t>
      </w:r>
      <w:r w:rsidRPr="008102B8">
        <w:t xml:space="preserve">eekday </w:t>
      </w:r>
      <w:r w:rsidR="008C2E18" w:rsidRPr="008102B8">
        <w:t>a</w:t>
      </w:r>
      <w:r w:rsidRPr="008102B8">
        <w:t xml:space="preserve">ctivity </w:t>
      </w:r>
      <w:r w:rsidR="008C2E18" w:rsidRPr="008102B8">
        <w:t>e</w:t>
      </w:r>
      <w:r w:rsidRPr="008102B8">
        <w:t xml:space="preserve">pisode </w:t>
      </w:r>
      <w:r w:rsidR="008C2E18" w:rsidRPr="008102B8">
        <w:t>g</w:t>
      </w:r>
      <w:r w:rsidRPr="008102B8">
        <w:t xml:space="preserve">eneration by </w:t>
      </w:r>
      <w:r w:rsidR="008C2E18" w:rsidRPr="008102B8">
        <w:t>a</w:t>
      </w:r>
      <w:r w:rsidRPr="008102B8">
        <w:t xml:space="preserve">ctivity </w:t>
      </w:r>
      <w:r w:rsidR="008C2E18" w:rsidRPr="008102B8">
        <w:t>p</w:t>
      </w:r>
      <w:r w:rsidRPr="008102B8">
        <w:t xml:space="preserve">urpose and </w:t>
      </w:r>
      <w:r w:rsidR="008C2E18" w:rsidRPr="008102B8">
        <w:t>s</w:t>
      </w:r>
      <w:r w:rsidRPr="008102B8">
        <w:t xml:space="preserve">ocial </w:t>
      </w:r>
      <w:r w:rsidR="008C2E18" w:rsidRPr="008102B8">
        <w:t>c</w:t>
      </w:r>
      <w:r w:rsidRPr="008102B8">
        <w:t xml:space="preserve">ontext. </w:t>
      </w:r>
      <w:r w:rsidRPr="008102B8">
        <w:rPr>
          <w:i/>
        </w:rPr>
        <w:t>Transportation Research Part B</w:t>
      </w:r>
      <w:r w:rsidR="008C2E18" w:rsidRPr="008102B8">
        <w:t xml:space="preserve">, </w:t>
      </w:r>
      <w:r w:rsidRPr="008102B8">
        <w:t>44</w:t>
      </w:r>
      <w:r w:rsidR="008C2E18" w:rsidRPr="008102B8">
        <w:t>(</w:t>
      </w:r>
      <w:r w:rsidRPr="008102B8">
        <w:t>8-9</w:t>
      </w:r>
      <w:r w:rsidR="008C2E18" w:rsidRPr="008102B8">
        <w:t>)</w:t>
      </w:r>
      <w:r w:rsidRPr="008102B8">
        <w:t>, 922-943.</w:t>
      </w:r>
    </w:p>
    <w:p w14:paraId="62822B34" w14:textId="77A536E7" w:rsidR="00DE0594" w:rsidRPr="008102B8" w:rsidRDefault="00DE0594" w:rsidP="00607E84">
      <w:pPr>
        <w:ind w:left="360" w:hanging="360"/>
      </w:pPr>
      <w:proofErr w:type="spellStart"/>
      <w:r w:rsidRPr="008102B8">
        <w:rPr>
          <w:shd w:val="clear" w:color="auto" w:fill="FFFFFF"/>
        </w:rPr>
        <w:t>Golob</w:t>
      </w:r>
      <w:proofErr w:type="spellEnd"/>
      <w:r w:rsidRPr="008102B8">
        <w:rPr>
          <w:shd w:val="clear" w:color="auto" w:fill="FFFFFF"/>
        </w:rPr>
        <w:t xml:space="preserve">, T.F. and Regan, A.C., 2001. Impacts of information technology on personal travel and commercial vehicle operations: </w:t>
      </w:r>
      <w:r w:rsidR="00057B23" w:rsidRPr="008102B8">
        <w:rPr>
          <w:shd w:val="clear" w:color="auto" w:fill="FFFFFF"/>
        </w:rPr>
        <w:t>R</w:t>
      </w:r>
      <w:r w:rsidRPr="008102B8">
        <w:rPr>
          <w:shd w:val="clear" w:color="auto" w:fill="FFFFFF"/>
        </w:rPr>
        <w:t>esearch challenges and opportunities. </w:t>
      </w:r>
      <w:r w:rsidRPr="008102B8">
        <w:rPr>
          <w:i/>
          <w:iCs/>
          <w:shd w:val="clear" w:color="auto" w:fill="FFFFFF"/>
        </w:rPr>
        <w:t>Transportation Research Part C</w:t>
      </w:r>
      <w:r w:rsidRPr="008102B8">
        <w:rPr>
          <w:shd w:val="clear" w:color="auto" w:fill="FFFFFF"/>
        </w:rPr>
        <w:t>, </w:t>
      </w:r>
      <w:r w:rsidRPr="008102B8">
        <w:rPr>
          <w:iCs/>
          <w:shd w:val="clear" w:color="auto" w:fill="FFFFFF"/>
        </w:rPr>
        <w:t>9</w:t>
      </w:r>
      <w:r w:rsidRPr="008102B8">
        <w:rPr>
          <w:shd w:val="clear" w:color="auto" w:fill="FFFFFF"/>
        </w:rPr>
        <w:t>(2), 87-121.</w:t>
      </w:r>
    </w:p>
    <w:p w14:paraId="54E37F90" w14:textId="04FE23F9" w:rsidR="0080186F" w:rsidRPr="008102B8" w:rsidRDefault="0080186F" w:rsidP="00607E84">
      <w:pPr>
        <w:ind w:left="360" w:hanging="360"/>
        <w:rPr>
          <w:shd w:val="clear" w:color="auto" w:fill="FFFFFF"/>
        </w:rPr>
      </w:pPr>
      <w:proofErr w:type="spellStart"/>
      <w:r w:rsidRPr="008102B8">
        <w:rPr>
          <w:shd w:val="clear" w:color="auto" w:fill="FFFFFF"/>
        </w:rPr>
        <w:t>Gössling</w:t>
      </w:r>
      <w:proofErr w:type="spellEnd"/>
      <w:r w:rsidRPr="008102B8">
        <w:rPr>
          <w:shd w:val="clear" w:color="auto" w:fill="FFFFFF"/>
        </w:rPr>
        <w:t>, S., 2018. ICT and transport behavior: A conceptual review. </w:t>
      </w:r>
      <w:r w:rsidRPr="008102B8">
        <w:rPr>
          <w:i/>
          <w:iCs/>
          <w:shd w:val="clear" w:color="auto" w:fill="FFFFFF"/>
        </w:rPr>
        <w:t xml:space="preserve">International </w:t>
      </w:r>
      <w:r w:rsidR="008C2E18" w:rsidRPr="008102B8">
        <w:rPr>
          <w:i/>
          <w:iCs/>
          <w:shd w:val="clear" w:color="auto" w:fill="FFFFFF"/>
        </w:rPr>
        <w:t>J</w:t>
      </w:r>
      <w:r w:rsidRPr="008102B8">
        <w:rPr>
          <w:i/>
          <w:iCs/>
          <w:shd w:val="clear" w:color="auto" w:fill="FFFFFF"/>
        </w:rPr>
        <w:t xml:space="preserve">ournal of </w:t>
      </w:r>
      <w:r w:rsidR="008C2E18" w:rsidRPr="008102B8">
        <w:rPr>
          <w:i/>
          <w:iCs/>
          <w:shd w:val="clear" w:color="auto" w:fill="FFFFFF"/>
        </w:rPr>
        <w:t>S</w:t>
      </w:r>
      <w:r w:rsidRPr="008102B8">
        <w:rPr>
          <w:i/>
          <w:iCs/>
          <w:shd w:val="clear" w:color="auto" w:fill="FFFFFF"/>
        </w:rPr>
        <w:t xml:space="preserve">ustainable </w:t>
      </w:r>
      <w:r w:rsidR="008C2E18" w:rsidRPr="008102B8">
        <w:rPr>
          <w:i/>
          <w:iCs/>
          <w:shd w:val="clear" w:color="auto" w:fill="FFFFFF"/>
        </w:rPr>
        <w:t>T</w:t>
      </w:r>
      <w:r w:rsidRPr="008102B8">
        <w:rPr>
          <w:i/>
          <w:iCs/>
          <w:shd w:val="clear" w:color="auto" w:fill="FFFFFF"/>
        </w:rPr>
        <w:t>ransportation</w:t>
      </w:r>
      <w:r w:rsidRPr="008102B8">
        <w:rPr>
          <w:shd w:val="clear" w:color="auto" w:fill="FFFFFF"/>
        </w:rPr>
        <w:t xml:space="preserve">, 12(3), </w:t>
      </w:r>
      <w:r w:rsidR="008C2E18" w:rsidRPr="008102B8">
        <w:rPr>
          <w:shd w:val="clear" w:color="auto" w:fill="FFFFFF"/>
        </w:rPr>
        <w:t>1</w:t>
      </w:r>
      <w:r w:rsidRPr="008102B8">
        <w:rPr>
          <w:shd w:val="clear" w:color="auto" w:fill="FFFFFF"/>
        </w:rPr>
        <w:t>53-164.</w:t>
      </w:r>
    </w:p>
    <w:p w14:paraId="24B6BC5C" w14:textId="622716EA" w:rsidR="00B71FE3" w:rsidRPr="008102B8" w:rsidRDefault="00B71FE3" w:rsidP="00607E84">
      <w:pPr>
        <w:ind w:left="360" w:hanging="360"/>
        <w:rPr>
          <w:shd w:val="clear" w:color="auto" w:fill="FFFFFF"/>
        </w:rPr>
      </w:pPr>
      <w:r w:rsidRPr="008102B8">
        <w:rPr>
          <w:shd w:val="clear" w:color="auto" w:fill="FFFFFF"/>
        </w:rPr>
        <w:t>Kenyon, S., 2010. The impacts of Internet use upon activity participation and travel: Results from a longitudinal diary-based panel study. </w:t>
      </w:r>
      <w:r w:rsidRPr="008102B8">
        <w:rPr>
          <w:i/>
          <w:iCs/>
          <w:shd w:val="clear" w:color="auto" w:fill="FFFFFF"/>
        </w:rPr>
        <w:t>Transportation Research Part C</w:t>
      </w:r>
      <w:r w:rsidRPr="008102B8">
        <w:rPr>
          <w:iCs/>
          <w:shd w:val="clear" w:color="auto" w:fill="FFFFFF"/>
        </w:rPr>
        <w:t>,</w:t>
      </w:r>
      <w:r w:rsidRPr="008102B8">
        <w:rPr>
          <w:shd w:val="clear" w:color="auto" w:fill="FFFFFF"/>
        </w:rPr>
        <w:t> </w:t>
      </w:r>
      <w:r w:rsidRPr="008102B8">
        <w:rPr>
          <w:iCs/>
          <w:shd w:val="clear" w:color="auto" w:fill="FFFFFF"/>
        </w:rPr>
        <w:t>18</w:t>
      </w:r>
      <w:r w:rsidRPr="008102B8">
        <w:rPr>
          <w:shd w:val="clear" w:color="auto" w:fill="FFFFFF"/>
        </w:rPr>
        <w:t>(1), 21-35.</w:t>
      </w:r>
    </w:p>
    <w:p w14:paraId="3A9DE967" w14:textId="7608C316" w:rsidR="006113D3" w:rsidRPr="008102B8" w:rsidRDefault="006113D3" w:rsidP="00607E84">
      <w:pPr>
        <w:ind w:left="360" w:hanging="360"/>
        <w:rPr>
          <w:shd w:val="clear" w:color="auto" w:fill="FFFFFF"/>
        </w:rPr>
      </w:pPr>
      <w:r w:rsidRPr="008102B8">
        <w:rPr>
          <w:shd w:val="clear" w:color="auto" w:fill="FFFFFF"/>
        </w:rPr>
        <w:t xml:space="preserve">Kwan, M.P., </w:t>
      </w:r>
      <w:proofErr w:type="spellStart"/>
      <w:r w:rsidRPr="008102B8">
        <w:rPr>
          <w:shd w:val="clear" w:color="auto" w:fill="FFFFFF"/>
        </w:rPr>
        <w:t>Dijst</w:t>
      </w:r>
      <w:proofErr w:type="spellEnd"/>
      <w:r w:rsidRPr="008102B8">
        <w:rPr>
          <w:shd w:val="clear" w:color="auto" w:fill="FFFFFF"/>
        </w:rPr>
        <w:t xml:space="preserve">, M.J. and </w:t>
      </w:r>
      <w:proofErr w:type="spellStart"/>
      <w:r w:rsidRPr="008102B8">
        <w:rPr>
          <w:shd w:val="clear" w:color="auto" w:fill="FFFFFF"/>
        </w:rPr>
        <w:t>Schwanen</w:t>
      </w:r>
      <w:proofErr w:type="spellEnd"/>
      <w:r w:rsidRPr="008102B8">
        <w:rPr>
          <w:shd w:val="clear" w:color="auto" w:fill="FFFFFF"/>
        </w:rPr>
        <w:t>, T., 2007. The interaction between ICT and human activity-travel behavior. </w:t>
      </w:r>
      <w:r w:rsidRPr="008102B8">
        <w:rPr>
          <w:i/>
          <w:iCs/>
          <w:shd w:val="clear" w:color="auto" w:fill="FFFFFF"/>
        </w:rPr>
        <w:t xml:space="preserve">Transportation </w:t>
      </w:r>
      <w:r w:rsidR="008C2E18" w:rsidRPr="008102B8">
        <w:rPr>
          <w:i/>
          <w:iCs/>
          <w:shd w:val="clear" w:color="auto" w:fill="FFFFFF"/>
        </w:rPr>
        <w:t>R</w:t>
      </w:r>
      <w:r w:rsidRPr="008102B8">
        <w:rPr>
          <w:i/>
          <w:iCs/>
          <w:shd w:val="clear" w:color="auto" w:fill="FFFFFF"/>
        </w:rPr>
        <w:t>esearch Part A</w:t>
      </w:r>
      <w:r w:rsidRPr="008102B8">
        <w:rPr>
          <w:iCs/>
          <w:shd w:val="clear" w:color="auto" w:fill="FFFFFF"/>
        </w:rPr>
        <w:t>,</w:t>
      </w:r>
      <w:r w:rsidRPr="008102B8">
        <w:rPr>
          <w:i/>
          <w:iCs/>
          <w:shd w:val="clear" w:color="auto" w:fill="FFFFFF"/>
        </w:rPr>
        <w:t xml:space="preserve"> </w:t>
      </w:r>
      <w:r w:rsidRPr="008102B8">
        <w:rPr>
          <w:shd w:val="clear" w:color="auto" w:fill="FFFFFF"/>
        </w:rPr>
        <w:t>41(2), 121-124.</w:t>
      </w:r>
    </w:p>
    <w:p w14:paraId="753DC152" w14:textId="62569956" w:rsidR="000F0C35" w:rsidRPr="008102B8" w:rsidRDefault="000F0C35" w:rsidP="00607E84">
      <w:pPr>
        <w:ind w:left="360" w:hanging="360"/>
        <w:rPr>
          <w:shd w:val="clear" w:color="auto" w:fill="FFFFFF"/>
        </w:rPr>
      </w:pPr>
      <w:proofErr w:type="spellStart"/>
      <w:r w:rsidRPr="008102B8">
        <w:rPr>
          <w:shd w:val="clear" w:color="auto" w:fill="FFFFFF"/>
        </w:rPr>
        <w:lastRenderedPageBreak/>
        <w:t>Lallukka</w:t>
      </w:r>
      <w:proofErr w:type="spellEnd"/>
      <w:r w:rsidRPr="008102B8">
        <w:rPr>
          <w:shd w:val="clear" w:color="auto" w:fill="FFFFFF"/>
        </w:rPr>
        <w:t xml:space="preserve">, T., Laaksonen, M., </w:t>
      </w:r>
      <w:proofErr w:type="spellStart"/>
      <w:r w:rsidRPr="008102B8">
        <w:rPr>
          <w:shd w:val="clear" w:color="auto" w:fill="FFFFFF"/>
        </w:rPr>
        <w:t>Rahkonen</w:t>
      </w:r>
      <w:proofErr w:type="spellEnd"/>
      <w:r w:rsidRPr="008102B8">
        <w:rPr>
          <w:shd w:val="clear" w:color="auto" w:fill="FFFFFF"/>
        </w:rPr>
        <w:t xml:space="preserve">, O., </w:t>
      </w:r>
      <w:proofErr w:type="spellStart"/>
      <w:r w:rsidRPr="008102B8">
        <w:rPr>
          <w:shd w:val="clear" w:color="auto" w:fill="FFFFFF"/>
        </w:rPr>
        <w:t>Roos</w:t>
      </w:r>
      <w:proofErr w:type="spellEnd"/>
      <w:r w:rsidRPr="008102B8">
        <w:rPr>
          <w:shd w:val="clear" w:color="auto" w:fill="FFFFFF"/>
        </w:rPr>
        <w:t xml:space="preserve">, E. and </w:t>
      </w:r>
      <w:proofErr w:type="spellStart"/>
      <w:r w:rsidRPr="008102B8">
        <w:rPr>
          <w:shd w:val="clear" w:color="auto" w:fill="FFFFFF"/>
        </w:rPr>
        <w:t>Lahelma</w:t>
      </w:r>
      <w:proofErr w:type="spellEnd"/>
      <w:r w:rsidRPr="008102B8">
        <w:rPr>
          <w:shd w:val="clear" w:color="auto" w:fill="FFFFFF"/>
        </w:rPr>
        <w:t xml:space="preserve">, E., 2007. Multiple socio-economic circumstances and healthy food habits. </w:t>
      </w:r>
      <w:r w:rsidRPr="008102B8">
        <w:rPr>
          <w:i/>
          <w:shd w:val="clear" w:color="auto" w:fill="FFFFFF"/>
        </w:rPr>
        <w:t xml:space="preserve">European </w:t>
      </w:r>
      <w:r w:rsidR="008C2E18" w:rsidRPr="008102B8">
        <w:rPr>
          <w:i/>
          <w:shd w:val="clear" w:color="auto" w:fill="FFFFFF"/>
        </w:rPr>
        <w:t>J</w:t>
      </w:r>
      <w:r w:rsidRPr="008102B8">
        <w:rPr>
          <w:i/>
          <w:shd w:val="clear" w:color="auto" w:fill="FFFFFF"/>
        </w:rPr>
        <w:t xml:space="preserve">ournal of </w:t>
      </w:r>
      <w:r w:rsidR="008C2E18" w:rsidRPr="008102B8">
        <w:rPr>
          <w:i/>
          <w:shd w:val="clear" w:color="auto" w:fill="FFFFFF"/>
        </w:rPr>
        <w:t>C</w:t>
      </w:r>
      <w:r w:rsidRPr="008102B8">
        <w:rPr>
          <w:i/>
          <w:shd w:val="clear" w:color="auto" w:fill="FFFFFF"/>
        </w:rPr>
        <w:t xml:space="preserve">linical </w:t>
      </w:r>
      <w:r w:rsidR="008C2E18" w:rsidRPr="008102B8">
        <w:rPr>
          <w:i/>
          <w:shd w:val="clear" w:color="auto" w:fill="FFFFFF"/>
        </w:rPr>
        <w:t>N</w:t>
      </w:r>
      <w:r w:rsidRPr="008102B8">
        <w:rPr>
          <w:i/>
          <w:shd w:val="clear" w:color="auto" w:fill="FFFFFF"/>
        </w:rPr>
        <w:t>utrition</w:t>
      </w:r>
      <w:r w:rsidRPr="008102B8">
        <w:rPr>
          <w:shd w:val="clear" w:color="auto" w:fill="FFFFFF"/>
        </w:rPr>
        <w:t>, 61(6), 701</w:t>
      </w:r>
      <w:r w:rsidR="008C2E18" w:rsidRPr="008102B8">
        <w:rPr>
          <w:shd w:val="clear" w:color="auto" w:fill="FFFFFF"/>
        </w:rPr>
        <w:t>-710</w:t>
      </w:r>
      <w:r w:rsidRPr="008102B8">
        <w:rPr>
          <w:shd w:val="clear" w:color="auto" w:fill="FFFFFF"/>
        </w:rPr>
        <w:t>.</w:t>
      </w:r>
    </w:p>
    <w:p w14:paraId="13FAC5FE" w14:textId="503A42F0" w:rsidR="005E4789" w:rsidRPr="008102B8" w:rsidRDefault="001F2B00" w:rsidP="00607E84">
      <w:pPr>
        <w:ind w:left="360" w:hanging="360"/>
        <w:rPr>
          <w:shd w:val="clear" w:color="auto" w:fill="FFFFFF"/>
        </w:rPr>
      </w:pPr>
      <w:r w:rsidRPr="008102B8">
        <w:rPr>
          <w:shd w:val="clear" w:color="auto" w:fill="FFFFFF"/>
        </w:rPr>
        <w:t>Lavieri, P.S., Dai, Q. and Bhat, C.R., 2018. Using virtual accessibility and physical accessibility as joint predictors of activity-travel behavior. </w:t>
      </w:r>
      <w:r w:rsidRPr="008102B8">
        <w:rPr>
          <w:i/>
          <w:iCs/>
          <w:shd w:val="clear" w:color="auto" w:fill="FFFFFF"/>
        </w:rPr>
        <w:t>Transportation Research Part A</w:t>
      </w:r>
      <w:r w:rsidR="008C2E18" w:rsidRPr="008102B8">
        <w:rPr>
          <w:shd w:val="clear" w:color="auto" w:fill="FFFFFF"/>
        </w:rPr>
        <w:t xml:space="preserve">, </w:t>
      </w:r>
      <w:r w:rsidRPr="008102B8">
        <w:rPr>
          <w:shd w:val="clear" w:color="auto" w:fill="FFFFFF"/>
        </w:rPr>
        <w:t>118, 527-544.</w:t>
      </w:r>
      <w:r w:rsidRPr="008102B8" w:rsidDel="001F2B00">
        <w:rPr>
          <w:shd w:val="clear" w:color="auto" w:fill="FFFFFF"/>
        </w:rPr>
        <w:t xml:space="preserve"> </w:t>
      </w:r>
    </w:p>
    <w:p w14:paraId="52397D35" w14:textId="377FE675" w:rsidR="00142937" w:rsidRPr="00142937" w:rsidRDefault="00142937" w:rsidP="00607E84">
      <w:pPr>
        <w:ind w:left="360" w:hanging="360"/>
        <w:rPr>
          <w:color w:val="222222"/>
          <w:shd w:val="clear" w:color="auto" w:fill="FFFFFF"/>
        </w:rPr>
      </w:pPr>
      <w:r w:rsidRPr="002501D1">
        <w:rPr>
          <w:color w:val="222222"/>
          <w:shd w:val="clear" w:color="auto" w:fill="FFFFFF"/>
        </w:rPr>
        <w:t>Lavieri, P.S., Garikapati, V.M., Bhat, C.R. and Pendyala, R.M., 2017. Investigation of heterogeneity in vehicle ownership and usage for the millennial generation. </w:t>
      </w:r>
      <w:r w:rsidRPr="00057B23">
        <w:rPr>
          <w:i/>
          <w:iCs/>
          <w:color w:val="222222"/>
          <w:shd w:val="clear" w:color="auto" w:fill="FFFFFF"/>
        </w:rPr>
        <w:t>Transportation Research Record</w:t>
      </w:r>
      <w:r w:rsidR="00057B23" w:rsidRPr="00057B23">
        <w:rPr>
          <w:i/>
          <w:color w:val="222222"/>
          <w:shd w:val="clear" w:color="auto" w:fill="FFFFFF"/>
        </w:rPr>
        <w:t xml:space="preserve">: </w:t>
      </w:r>
      <w:r w:rsidR="008C2E18" w:rsidRPr="00057B23">
        <w:rPr>
          <w:i/>
          <w:iCs/>
          <w:color w:val="222222"/>
          <w:shd w:val="clear" w:color="auto" w:fill="FFFFFF"/>
        </w:rPr>
        <w:t>Journal of the Transportation Research Board</w:t>
      </w:r>
      <w:r w:rsidR="008C2E18">
        <w:rPr>
          <w:color w:val="222222"/>
          <w:shd w:val="clear" w:color="auto" w:fill="FFFFFF"/>
        </w:rPr>
        <w:t>,</w:t>
      </w:r>
      <w:r w:rsidR="008C2E18">
        <w:rPr>
          <w:i/>
          <w:iCs/>
          <w:color w:val="222222"/>
          <w:shd w:val="clear" w:color="auto" w:fill="FFFFFF"/>
        </w:rPr>
        <w:t xml:space="preserve"> </w:t>
      </w:r>
      <w:r w:rsidRPr="008C2E18">
        <w:rPr>
          <w:color w:val="222222"/>
          <w:shd w:val="clear" w:color="auto" w:fill="FFFFFF"/>
        </w:rPr>
        <w:t>2664</w:t>
      </w:r>
      <w:r w:rsidRPr="002501D1">
        <w:rPr>
          <w:color w:val="222222"/>
          <w:shd w:val="clear" w:color="auto" w:fill="FFFFFF"/>
        </w:rPr>
        <w:t>(1), 91-99.</w:t>
      </w:r>
    </w:p>
    <w:p w14:paraId="491EA8FE" w14:textId="21D1A5EF" w:rsidR="00BA5558" w:rsidRPr="000B194B" w:rsidRDefault="00BA5558" w:rsidP="00607E84">
      <w:pPr>
        <w:ind w:left="360" w:hanging="360"/>
        <w:rPr>
          <w:color w:val="000000" w:themeColor="text1"/>
          <w:shd w:val="clear" w:color="auto" w:fill="FFFFFF"/>
        </w:rPr>
      </w:pPr>
      <w:r w:rsidRPr="001C2873">
        <w:rPr>
          <w:color w:val="222222"/>
          <w:shd w:val="clear" w:color="auto" w:fill="FFFFFF"/>
        </w:rPr>
        <w:t xml:space="preserve">Lee, R.J., Sener, I.N. and Handy, S.L., 2015. Picture of </w:t>
      </w:r>
      <w:r w:rsidR="00DD0B78">
        <w:rPr>
          <w:color w:val="222222"/>
          <w:shd w:val="clear" w:color="auto" w:fill="FFFFFF"/>
        </w:rPr>
        <w:t>o</w:t>
      </w:r>
      <w:r w:rsidRPr="001C2873">
        <w:rPr>
          <w:color w:val="222222"/>
          <w:shd w:val="clear" w:color="auto" w:fill="FFFFFF"/>
        </w:rPr>
        <w:t xml:space="preserve">nline </w:t>
      </w:r>
      <w:r w:rsidR="00DD0B78">
        <w:rPr>
          <w:color w:val="222222"/>
          <w:shd w:val="clear" w:color="auto" w:fill="FFFFFF"/>
        </w:rPr>
        <w:t>s</w:t>
      </w:r>
      <w:r w:rsidRPr="001C2873">
        <w:rPr>
          <w:color w:val="222222"/>
          <w:shd w:val="clear" w:color="auto" w:fill="FFFFFF"/>
        </w:rPr>
        <w:t xml:space="preserve">hoppers: </w:t>
      </w:r>
      <w:r w:rsidR="00057B23">
        <w:rPr>
          <w:color w:val="222222"/>
          <w:shd w:val="clear" w:color="auto" w:fill="FFFFFF"/>
        </w:rPr>
        <w:t>S</w:t>
      </w:r>
      <w:r w:rsidRPr="001C2873">
        <w:rPr>
          <w:color w:val="222222"/>
          <w:shd w:val="clear" w:color="auto" w:fill="FFFFFF"/>
        </w:rPr>
        <w:t xml:space="preserve">pecific </w:t>
      </w:r>
      <w:r w:rsidR="00DD0B78">
        <w:rPr>
          <w:color w:val="222222"/>
          <w:shd w:val="clear" w:color="auto" w:fill="FFFFFF"/>
        </w:rPr>
        <w:t>f</w:t>
      </w:r>
      <w:r w:rsidRPr="001C2873">
        <w:rPr>
          <w:color w:val="222222"/>
          <w:shd w:val="clear" w:color="auto" w:fill="FFFFFF"/>
        </w:rPr>
        <w:t>ocus on Davis, California. </w:t>
      </w:r>
      <w:r w:rsidRPr="00057B23">
        <w:rPr>
          <w:i/>
          <w:iCs/>
          <w:color w:val="222222"/>
          <w:shd w:val="clear" w:color="auto" w:fill="FFFFFF"/>
        </w:rPr>
        <w:t>Transportation Research Record: Journal of the Transportation Research Board</w:t>
      </w:r>
      <w:r w:rsidRPr="001C2873">
        <w:rPr>
          <w:color w:val="222222"/>
          <w:shd w:val="clear" w:color="auto" w:fill="FFFFFF"/>
        </w:rPr>
        <w:t>,</w:t>
      </w:r>
      <w:r w:rsidR="00DD0B78">
        <w:rPr>
          <w:color w:val="222222"/>
          <w:shd w:val="clear" w:color="auto" w:fill="FFFFFF"/>
        </w:rPr>
        <w:t xml:space="preserve"> </w:t>
      </w:r>
      <w:r w:rsidRPr="001C2873">
        <w:rPr>
          <w:color w:val="222222"/>
          <w:shd w:val="clear" w:color="auto" w:fill="FFFFFF"/>
        </w:rPr>
        <w:t>2496, 55-63.</w:t>
      </w:r>
    </w:p>
    <w:p w14:paraId="384605BF" w14:textId="77777777" w:rsidR="001412CA" w:rsidRPr="00F060C5" w:rsidRDefault="001412CA" w:rsidP="00607E84">
      <w:pPr>
        <w:ind w:left="360" w:hanging="360"/>
        <w:rPr>
          <w:color w:val="000000" w:themeColor="text1"/>
          <w:shd w:val="clear" w:color="auto" w:fill="FFFFFF"/>
        </w:rPr>
      </w:pPr>
      <w:r w:rsidRPr="00F060C5">
        <w:rPr>
          <w:color w:val="000000" w:themeColor="text1"/>
          <w:shd w:val="clear" w:color="auto" w:fill="FFFFFF"/>
        </w:rPr>
        <w:t>Lee, R.J., Sener, I.N., Mokhtarian, P.L. and Handy, S.L., 2017. Relationships between the online and in-store shopping frequency of Davis, California residents. </w:t>
      </w:r>
      <w:r w:rsidRPr="00F060C5">
        <w:rPr>
          <w:i/>
          <w:iCs/>
          <w:color w:val="000000" w:themeColor="text1"/>
          <w:shd w:val="clear" w:color="auto" w:fill="FFFFFF"/>
        </w:rPr>
        <w:t>Transportation Research Part A</w:t>
      </w:r>
      <w:r w:rsidRPr="00F060C5">
        <w:rPr>
          <w:color w:val="000000" w:themeColor="text1"/>
          <w:shd w:val="clear" w:color="auto" w:fill="FFFFFF"/>
        </w:rPr>
        <w:t>, </w:t>
      </w:r>
      <w:r w:rsidRPr="00F060C5">
        <w:rPr>
          <w:iCs/>
          <w:color w:val="000000" w:themeColor="text1"/>
          <w:shd w:val="clear" w:color="auto" w:fill="FFFFFF"/>
        </w:rPr>
        <w:t>100</w:t>
      </w:r>
      <w:r w:rsidRPr="00F060C5">
        <w:rPr>
          <w:color w:val="000000" w:themeColor="text1"/>
          <w:shd w:val="clear" w:color="auto" w:fill="FFFFFF"/>
        </w:rPr>
        <w:t>, 40-52.</w:t>
      </w:r>
    </w:p>
    <w:p w14:paraId="19B59FA5" w14:textId="77777777" w:rsidR="00E766B7" w:rsidRPr="00DD4E8B" w:rsidRDefault="00E766B7" w:rsidP="00607E84">
      <w:pPr>
        <w:ind w:left="360" w:hanging="360"/>
        <w:rPr>
          <w:color w:val="000000" w:themeColor="text1"/>
          <w:shd w:val="clear" w:color="auto" w:fill="FFFFFF"/>
        </w:rPr>
      </w:pPr>
      <w:r w:rsidRPr="00DD4E8B">
        <w:rPr>
          <w:color w:val="000000" w:themeColor="text1"/>
          <w:shd w:val="clear" w:color="auto" w:fill="FFFFFF"/>
        </w:rPr>
        <w:t xml:space="preserve">Lila, P.C. and Anjaneyulu, M.V.L.R., 2016. Modeling the impact of ICT on the activity and travel </w:t>
      </w:r>
      <w:proofErr w:type="spellStart"/>
      <w:r w:rsidRPr="00DD4E8B">
        <w:rPr>
          <w:color w:val="000000" w:themeColor="text1"/>
          <w:shd w:val="clear" w:color="auto" w:fill="FFFFFF"/>
        </w:rPr>
        <w:t>behaviour</w:t>
      </w:r>
      <w:proofErr w:type="spellEnd"/>
      <w:r w:rsidRPr="00DD4E8B">
        <w:rPr>
          <w:color w:val="000000" w:themeColor="text1"/>
          <w:shd w:val="clear" w:color="auto" w:fill="FFFFFF"/>
        </w:rPr>
        <w:t xml:space="preserve"> of urban dwellers in Indian context. </w:t>
      </w:r>
      <w:r w:rsidRPr="00DD4E8B">
        <w:rPr>
          <w:i/>
          <w:iCs/>
          <w:color w:val="000000" w:themeColor="text1"/>
          <w:shd w:val="clear" w:color="auto" w:fill="FFFFFF"/>
        </w:rPr>
        <w:t>Transportation Research Procedia</w:t>
      </w:r>
      <w:r w:rsidRPr="00DD4E8B">
        <w:rPr>
          <w:color w:val="000000" w:themeColor="text1"/>
          <w:shd w:val="clear" w:color="auto" w:fill="FFFFFF"/>
        </w:rPr>
        <w:t>, </w:t>
      </w:r>
      <w:r w:rsidRPr="00DD4E8B">
        <w:rPr>
          <w:iCs/>
          <w:color w:val="000000" w:themeColor="text1"/>
          <w:shd w:val="clear" w:color="auto" w:fill="FFFFFF"/>
        </w:rPr>
        <w:t>17</w:t>
      </w:r>
      <w:r w:rsidRPr="00DD4E8B">
        <w:rPr>
          <w:color w:val="000000" w:themeColor="text1"/>
          <w:shd w:val="clear" w:color="auto" w:fill="FFFFFF"/>
        </w:rPr>
        <w:t>, 418-427.</w:t>
      </w:r>
    </w:p>
    <w:p w14:paraId="71573252" w14:textId="467A3108" w:rsidR="001412CA" w:rsidRDefault="001412CA" w:rsidP="00607E84">
      <w:pPr>
        <w:ind w:left="360" w:hanging="360"/>
        <w:rPr>
          <w:shd w:val="clear" w:color="auto" w:fill="FFFFFF"/>
        </w:rPr>
      </w:pPr>
      <w:r w:rsidRPr="001879F2">
        <w:rPr>
          <w:shd w:val="clear" w:color="auto" w:fill="FFFFFF"/>
        </w:rPr>
        <w:t xml:space="preserve">McKelvey, R.D. and </w:t>
      </w:r>
      <w:proofErr w:type="spellStart"/>
      <w:r w:rsidRPr="001879F2">
        <w:rPr>
          <w:shd w:val="clear" w:color="auto" w:fill="FFFFFF"/>
        </w:rPr>
        <w:t>Zavoina</w:t>
      </w:r>
      <w:proofErr w:type="spellEnd"/>
      <w:r w:rsidRPr="001879F2">
        <w:rPr>
          <w:shd w:val="clear" w:color="auto" w:fill="FFFFFF"/>
        </w:rPr>
        <w:t xml:space="preserve">, W., 1975. A statistical model for the analysis of ordinal level dependent variables. </w:t>
      </w:r>
      <w:r w:rsidRPr="004A3ED5">
        <w:rPr>
          <w:i/>
          <w:shd w:val="clear" w:color="auto" w:fill="FFFFFF"/>
        </w:rPr>
        <w:t xml:space="preserve">Journal of </w:t>
      </w:r>
      <w:r w:rsidR="00DD0B78">
        <w:rPr>
          <w:i/>
          <w:shd w:val="clear" w:color="auto" w:fill="FFFFFF"/>
        </w:rPr>
        <w:t>M</w:t>
      </w:r>
      <w:r w:rsidRPr="004A3ED5">
        <w:rPr>
          <w:i/>
          <w:shd w:val="clear" w:color="auto" w:fill="FFFFFF"/>
        </w:rPr>
        <w:t xml:space="preserve">athematical </w:t>
      </w:r>
      <w:r w:rsidR="00DD0B78">
        <w:rPr>
          <w:i/>
          <w:shd w:val="clear" w:color="auto" w:fill="FFFFFF"/>
        </w:rPr>
        <w:t>S</w:t>
      </w:r>
      <w:r w:rsidRPr="004A3ED5">
        <w:rPr>
          <w:i/>
          <w:shd w:val="clear" w:color="auto" w:fill="FFFFFF"/>
        </w:rPr>
        <w:t>ociology</w:t>
      </w:r>
      <w:r w:rsidRPr="001879F2">
        <w:rPr>
          <w:shd w:val="clear" w:color="auto" w:fill="FFFFFF"/>
        </w:rPr>
        <w:t xml:space="preserve">, 4(1), </w:t>
      </w:r>
      <w:r w:rsidR="00DD0B78">
        <w:rPr>
          <w:shd w:val="clear" w:color="auto" w:fill="FFFFFF"/>
        </w:rPr>
        <w:t>1</w:t>
      </w:r>
      <w:r w:rsidRPr="001879F2">
        <w:rPr>
          <w:shd w:val="clear" w:color="auto" w:fill="FFFFFF"/>
        </w:rPr>
        <w:t>03-120.</w:t>
      </w:r>
    </w:p>
    <w:p w14:paraId="4F3C30F2" w14:textId="5259A6C1" w:rsidR="009B38A4" w:rsidRPr="009B38A4" w:rsidRDefault="009B38A4" w:rsidP="00607E84">
      <w:pPr>
        <w:ind w:left="360" w:hanging="360"/>
        <w:rPr>
          <w:color w:val="222222"/>
          <w:shd w:val="clear" w:color="auto" w:fill="FFFFFF"/>
        </w:rPr>
      </w:pPr>
      <w:r w:rsidRPr="002501D1">
        <w:rPr>
          <w:color w:val="222222"/>
          <w:shd w:val="clear" w:color="auto" w:fill="FFFFFF"/>
        </w:rPr>
        <w:t xml:space="preserve">Mokhtarian, P.L. and Tal, G., 2013. Impacts of ICT on travel behavior: </w:t>
      </w:r>
      <w:r w:rsidR="00057B23">
        <w:rPr>
          <w:color w:val="222222"/>
          <w:shd w:val="clear" w:color="auto" w:fill="FFFFFF"/>
        </w:rPr>
        <w:t>A</w:t>
      </w:r>
      <w:r w:rsidRPr="002501D1">
        <w:rPr>
          <w:color w:val="222222"/>
          <w:shd w:val="clear" w:color="auto" w:fill="FFFFFF"/>
        </w:rPr>
        <w:t xml:space="preserve"> tapestry of relationships. </w:t>
      </w:r>
      <w:r w:rsidR="00DD0B78">
        <w:rPr>
          <w:color w:val="222222"/>
          <w:shd w:val="clear" w:color="auto" w:fill="FFFFFF"/>
        </w:rPr>
        <w:t xml:space="preserve">In </w:t>
      </w:r>
      <w:proofErr w:type="spellStart"/>
      <w:r w:rsidR="00DD0B78">
        <w:rPr>
          <w:color w:val="222222"/>
          <w:shd w:val="clear" w:color="auto" w:fill="FFFFFF"/>
        </w:rPr>
        <w:t>Rodrigue</w:t>
      </w:r>
      <w:proofErr w:type="spellEnd"/>
      <w:r w:rsidR="00DD0B78">
        <w:rPr>
          <w:color w:val="222222"/>
          <w:shd w:val="clear" w:color="auto" w:fill="FFFFFF"/>
        </w:rPr>
        <w:t xml:space="preserve">, J.-P., </w:t>
      </w:r>
      <w:proofErr w:type="spellStart"/>
      <w:r w:rsidR="00DD0B78">
        <w:rPr>
          <w:color w:val="222222"/>
          <w:shd w:val="clear" w:color="auto" w:fill="FFFFFF"/>
        </w:rPr>
        <w:t>Notteboom</w:t>
      </w:r>
      <w:proofErr w:type="spellEnd"/>
      <w:r w:rsidR="00DD0B78">
        <w:rPr>
          <w:color w:val="222222"/>
          <w:shd w:val="clear" w:color="auto" w:fill="FFFFFF"/>
        </w:rPr>
        <w:t xml:space="preserve">, T., and Shaw, J. (eds) </w:t>
      </w:r>
      <w:r w:rsidRPr="002501D1">
        <w:rPr>
          <w:i/>
          <w:iCs/>
          <w:color w:val="222222"/>
          <w:shd w:val="clear" w:color="auto" w:fill="FFFFFF"/>
        </w:rPr>
        <w:t xml:space="preserve">The Sage </w:t>
      </w:r>
      <w:r w:rsidR="00DD0B78">
        <w:rPr>
          <w:i/>
          <w:iCs/>
          <w:color w:val="222222"/>
          <w:shd w:val="clear" w:color="auto" w:fill="FFFFFF"/>
        </w:rPr>
        <w:t>H</w:t>
      </w:r>
      <w:r w:rsidRPr="002501D1">
        <w:rPr>
          <w:i/>
          <w:iCs/>
          <w:color w:val="222222"/>
          <w:shd w:val="clear" w:color="auto" w:fill="FFFFFF"/>
        </w:rPr>
        <w:t xml:space="preserve">andbook of </w:t>
      </w:r>
      <w:r w:rsidR="00DD0B78">
        <w:rPr>
          <w:i/>
          <w:iCs/>
          <w:color w:val="222222"/>
          <w:shd w:val="clear" w:color="auto" w:fill="FFFFFF"/>
        </w:rPr>
        <w:t>T</w:t>
      </w:r>
      <w:r w:rsidRPr="002501D1">
        <w:rPr>
          <w:i/>
          <w:iCs/>
          <w:color w:val="222222"/>
          <w:shd w:val="clear" w:color="auto" w:fill="FFFFFF"/>
        </w:rPr>
        <w:t xml:space="preserve">ransport </w:t>
      </w:r>
      <w:r w:rsidR="00DD0B78">
        <w:rPr>
          <w:i/>
          <w:iCs/>
          <w:color w:val="222222"/>
          <w:shd w:val="clear" w:color="auto" w:fill="FFFFFF"/>
        </w:rPr>
        <w:t>S</w:t>
      </w:r>
      <w:r w:rsidRPr="002501D1">
        <w:rPr>
          <w:i/>
          <w:iCs/>
          <w:color w:val="222222"/>
          <w:shd w:val="clear" w:color="auto" w:fill="FFFFFF"/>
        </w:rPr>
        <w:t>tudies</w:t>
      </w:r>
      <w:r w:rsidRPr="002501D1">
        <w:rPr>
          <w:color w:val="222222"/>
          <w:shd w:val="clear" w:color="auto" w:fill="FFFFFF"/>
        </w:rPr>
        <w:t xml:space="preserve">, </w:t>
      </w:r>
      <w:r w:rsidR="00DD0B78">
        <w:rPr>
          <w:color w:val="222222"/>
          <w:shd w:val="clear" w:color="auto" w:fill="FFFFFF"/>
        </w:rPr>
        <w:t xml:space="preserve">Sage Publishing, </w:t>
      </w:r>
      <w:r w:rsidRPr="002501D1">
        <w:rPr>
          <w:color w:val="222222"/>
          <w:shd w:val="clear" w:color="auto" w:fill="FFFFFF"/>
        </w:rPr>
        <w:t>241-260.</w:t>
      </w:r>
    </w:p>
    <w:p w14:paraId="69FCF776" w14:textId="61E02308" w:rsidR="00B870BD" w:rsidRPr="00B870BD" w:rsidRDefault="00B870BD" w:rsidP="00607E84">
      <w:pPr>
        <w:ind w:left="360" w:hanging="360"/>
        <w:rPr>
          <w:color w:val="222222"/>
          <w:shd w:val="clear" w:color="auto" w:fill="FFFFFF"/>
        </w:rPr>
      </w:pPr>
      <w:r w:rsidRPr="002501D1">
        <w:rPr>
          <w:color w:val="222222"/>
          <w:shd w:val="clear" w:color="auto" w:fill="FFFFFF"/>
        </w:rPr>
        <w:t xml:space="preserve">Pawlak, J., </w:t>
      </w:r>
      <w:proofErr w:type="spellStart"/>
      <w:r w:rsidRPr="002501D1">
        <w:rPr>
          <w:color w:val="222222"/>
          <w:shd w:val="clear" w:color="auto" w:fill="FFFFFF"/>
        </w:rPr>
        <w:t>Polak</w:t>
      </w:r>
      <w:proofErr w:type="spellEnd"/>
      <w:r w:rsidRPr="002501D1">
        <w:rPr>
          <w:color w:val="222222"/>
          <w:shd w:val="clear" w:color="auto" w:fill="FFFFFF"/>
        </w:rPr>
        <w:t>, J.W. and Sivakumar, A., 2015. Towards a microeconomic framework for modelli</w:t>
      </w:r>
      <w:r w:rsidR="00057B23">
        <w:rPr>
          <w:color w:val="222222"/>
          <w:shd w:val="clear" w:color="auto" w:fill="FFFFFF"/>
        </w:rPr>
        <w:t>ng the joint choice of activity-</w:t>
      </w:r>
      <w:r w:rsidRPr="002501D1">
        <w:rPr>
          <w:color w:val="222222"/>
          <w:shd w:val="clear" w:color="auto" w:fill="FFFFFF"/>
        </w:rPr>
        <w:t xml:space="preserve">travel </w:t>
      </w:r>
      <w:proofErr w:type="spellStart"/>
      <w:r w:rsidRPr="002501D1">
        <w:rPr>
          <w:color w:val="222222"/>
          <w:shd w:val="clear" w:color="auto" w:fill="FFFFFF"/>
        </w:rPr>
        <w:t>behaviour</w:t>
      </w:r>
      <w:proofErr w:type="spellEnd"/>
      <w:r w:rsidRPr="002501D1">
        <w:rPr>
          <w:color w:val="222222"/>
          <w:shd w:val="clear" w:color="auto" w:fill="FFFFFF"/>
        </w:rPr>
        <w:t xml:space="preserve"> and ICT use. </w:t>
      </w:r>
      <w:r w:rsidRPr="002501D1">
        <w:rPr>
          <w:i/>
          <w:iCs/>
          <w:color w:val="222222"/>
          <w:shd w:val="clear" w:color="auto" w:fill="FFFFFF"/>
        </w:rPr>
        <w:t>Transportation Research Part A</w:t>
      </w:r>
      <w:r w:rsidRPr="002501D1">
        <w:rPr>
          <w:color w:val="222222"/>
          <w:shd w:val="clear" w:color="auto" w:fill="FFFFFF"/>
        </w:rPr>
        <w:t>, </w:t>
      </w:r>
      <w:r w:rsidRPr="00DD0B78">
        <w:rPr>
          <w:color w:val="222222"/>
          <w:shd w:val="clear" w:color="auto" w:fill="FFFFFF"/>
        </w:rPr>
        <w:t>76</w:t>
      </w:r>
      <w:r w:rsidRPr="002501D1">
        <w:rPr>
          <w:color w:val="222222"/>
          <w:shd w:val="clear" w:color="auto" w:fill="FFFFFF"/>
        </w:rPr>
        <w:t>, 92-112.</w:t>
      </w:r>
    </w:p>
    <w:p w14:paraId="39326DFF" w14:textId="5CC46A46" w:rsidR="00BA5558" w:rsidRPr="00EC6242" w:rsidRDefault="00BA5558" w:rsidP="00607E84">
      <w:pPr>
        <w:ind w:left="360" w:hanging="360"/>
        <w:rPr>
          <w:shd w:val="clear" w:color="auto" w:fill="FFFFFF"/>
        </w:rPr>
      </w:pPr>
      <w:r w:rsidRPr="001C2873">
        <w:rPr>
          <w:color w:val="222222"/>
          <w:shd w:val="clear" w:color="auto" w:fill="FFFFFF"/>
        </w:rPr>
        <w:t xml:space="preserve">Pearce, K.E. and Rice, R.E., 2013. Digital divides from access to activities: Comparing mobile and personal computer </w:t>
      </w:r>
      <w:r w:rsidR="00DD0B78">
        <w:rPr>
          <w:color w:val="222222"/>
          <w:shd w:val="clear" w:color="auto" w:fill="FFFFFF"/>
        </w:rPr>
        <w:t>i</w:t>
      </w:r>
      <w:r w:rsidRPr="001C2873">
        <w:rPr>
          <w:color w:val="222222"/>
          <w:shd w:val="clear" w:color="auto" w:fill="FFFFFF"/>
        </w:rPr>
        <w:t>nternet users. </w:t>
      </w:r>
      <w:r w:rsidRPr="001C2873">
        <w:rPr>
          <w:i/>
          <w:iCs/>
          <w:color w:val="222222"/>
          <w:shd w:val="clear" w:color="auto" w:fill="FFFFFF"/>
        </w:rPr>
        <w:t>Journal of Communication</w:t>
      </w:r>
      <w:r w:rsidRPr="001C2873">
        <w:rPr>
          <w:color w:val="222222"/>
          <w:shd w:val="clear" w:color="auto" w:fill="FFFFFF"/>
        </w:rPr>
        <w:t>, </w:t>
      </w:r>
      <w:r w:rsidRPr="00DD0B78">
        <w:rPr>
          <w:color w:val="222222"/>
          <w:shd w:val="clear" w:color="auto" w:fill="FFFFFF"/>
        </w:rPr>
        <w:t>63</w:t>
      </w:r>
      <w:r w:rsidRPr="001C2873">
        <w:rPr>
          <w:color w:val="222222"/>
          <w:shd w:val="clear" w:color="auto" w:fill="FFFFFF"/>
        </w:rPr>
        <w:t>(4), 721-744.</w:t>
      </w:r>
    </w:p>
    <w:p w14:paraId="7614DF61" w14:textId="19153475" w:rsidR="00B71FE3" w:rsidRDefault="009873EB" w:rsidP="00607E84">
      <w:pPr>
        <w:ind w:left="360" w:hanging="360"/>
        <w:rPr>
          <w:color w:val="222222"/>
          <w:shd w:val="clear" w:color="auto" w:fill="FFFFFF"/>
        </w:rPr>
      </w:pPr>
      <w:r>
        <w:rPr>
          <w:color w:val="222222"/>
          <w:shd w:val="clear" w:color="auto" w:fill="FFFFFF"/>
        </w:rPr>
        <w:t xml:space="preserve">PSRC, 2018. </w:t>
      </w:r>
      <w:r w:rsidRPr="00F951F5">
        <w:rPr>
          <w:color w:val="222222"/>
          <w:shd w:val="clear" w:color="auto" w:fill="FFFFFF"/>
        </w:rPr>
        <w:t xml:space="preserve">2017 </w:t>
      </w:r>
      <w:r>
        <w:rPr>
          <w:color w:val="222222"/>
          <w:shd w:val="clear" w:color="auto" w:fill="FFFFFF"/>
        </w:rPr>
        <w:t>P</w:t>
      </w:r>
      <w:r w:rsidRPr="00F951F5">
        <w:rPr>
          <w:color w:val="222222"/>
          <w:shd w:val="clear" w:color="auto" w:fill="FFFFFF"/>
        </w:rPr>
        <w:t xml:space="preserve">uget </w:t>
      </w:r>
      <w:r>
        <w:rPr>
          <w:color w:val="222222"/>
          <w:shd w:val="clear" w:color="auto" w:fill="FFFFFF"/>
        </w:rPr>
        <w:t>S</w:t>
      </w:r>
      <w:r w:rsidRPr="00F951F5">
        <w:rPr>
          <w:color w:val="222222"/>
          <w:shd w:val="clear" w:color="auto" w:fill="FFFFFF"/>
        </w:rPr>
        <w:t xml:space="preserve">ound </w:t>
      </w:r>
      <w:r>
        <w:rPr>
          <w:color w:val="222222"/>
          <w:shd w:val="clear" w:color="auto" w:fill="FFFFFF"/>
        </w:rPr>
        <w:t>R</w:t>
      </w:r>
      <w:r w:rsidRPr="00F951F5">
        <w:rPr>
          <w:color w:val="222222"/>
          <w:shd w:val="clear" w:color="auto" w:fill="FFFFFF"/>
        </w:rPr>
        <w:t>egional</w:t>
      </w:r>
      <w:r>
        <w:rPr>
          <w:color w:val="222222"/>
          <w:shd w:val="clear" w:color="auto" w:fill="FFFFFF"/>
        </w:rPr>
        <w:t xml:space="preserve"> T</w:t>
      </w:r>
      <w:r w:rsidRPr="00F951F5">
        <w:rPr>
          <w:color w:val="222222"/>
          <w:shd w:val="clear" w:color="auto" w:fill="FFFFFF"/>
        </w:rPr>
        <w:t xml:space="preserve">ravel </w:t>
      </w:r>
      <w:r>
        <w:rPr>
          <w:color w:val="222222"/>
          <w:shd w:val="clear" w:color="auto" w:fill="FFFFFF"/>
        </w:rPr>
        <w:t>S</w:t>
      </w:r>
      <w:r w:rsidRPr="00F951F5">
        <w:rPr>
          <w:color w:val="222222"/>
          <w:shd w:val="clear" w:color="auto" w:fill="FFFFFF"/>
        </w:rPr>
        <w:t>tudy</w:t>
      </w:r>
      <w:r>
        <w:rPr>
          <w:color w:val="222222"/>
          <w:shd w:val="clear" w:color="auto" w:fill="FFFFFF"/>
        </w:rPr>
        <w:t xml:space="preserve">. Available at: </w:t>
      </w:r>
      <w:hyperlink r:id="rId88" w:history="1">
        <w:r w:rsidRPr="009A1EB3">
          <w:rPr>
            <w:rStyle w:val="Hyperlink"/>
            <w:shd w:val="clear" w:color="auto" w:fill="FFFFFF"/>
          </w:rPr>
          <w:t>https://www.psrc.org/sites/default/files/psrc2017-final-report.pdf</w:t>
        </w:r>
      </w:hyperlink>
      <w:r>
        <w:rPr>
          <w:color w:val="222222"/>
          <w:shd w:val="clear" w:color="auto" w:fill="FFFFFF"/>
        </w:rPr>
        <w:t xml:space="preserve">. </w:t>
      </w:r>
      <w:r w:rsidRPr="00914171">
        <w:rPr>
          <w:color w:val="222222"/>
          <w:shd w:val="clear" w:color="auto" w:fill="FFFFFF"/>
        </w:rPr>
        <w:t xml:space="preserve">[Accessed: 07/17/2019].  </w:t>
      </w:r>
    </w:p>
    <w:p w14:paraId="5D8A3602" w14:textId="5DA5C69B" w:rsidR="00725B07" w:rsidRPr="00725B07" w:rsidRDefault="00725B07" w:rsidP="00607E84">
      <w:pPr>
        <w:ind w:left="360" w:hanging="360"/>
        <w:rPr>
          <w:color w:val="222222"/>
          <w:shd w:val="clear" w:color="auto" w:fill="FFFFFF"/>
        </w:rPr>
      </w:pPr>
      <w:r w:rsidRPr="00E30BD0">
        <w:rPr>
          <w:color w:val="222222"/>
          <w:shd w:val="clear" w:color="auto" w:fill="FFFFFF"/>
        </w:rPr>
        <w:t xml:space="preserve">Rashidi, T.H., Abbasi, A., Maghrebi, M., Hasan, S. and Waller, T.S., 2017. Exploring the capacity of social media data for modelling travel </w:t>
      </w:r>
      <w:proofErr w:type="spellStart"/>
      <w:r w:rsidRPr="00E30BD0">
        <w:rPr>
          <w:color w:val="222222"/>
          <w:shd w:val="clear" w:color="auto" w:fill="FFFFFF"/>
        </w:rPr>
        <w:t>behaviour</w:t>
      </w:r>
      <w:proofErr w:type="spellEnd"/>
      <w:r w:rsidRPr="00E30BD0">
        <w:rPr>
          <w:color w:val="222222"/>
          <w:shd w:val="clear" w:color="auto" w:fill="FFFFFF"/>
        </w:rPr>
        <w:t>: Opportunities and challenges. </w:t>
      </w:r>
      <w:r>
        <w:rPr>
          <w:i/>
          <w:iCs/>
          <w:color w:val="222222"/>
          <w:shd w:val="clear" w:color="auto" w:fill="FFFFFF"/>
        </w:rPr>
        <w:t>Transportation Research Part C</w:t>
      </w:r>
      <w:r w:rsidRPr="00E30BD0">
        <w:rPr>
          <w:color w:val="222222"/>
          <w:shd w:val="clear" w:color="auto" w:fill="FFFFFF"/>
        </w:rPr>
        <w:t>, </w:t>
      </w:r>
      <w:r w:rsidRPr="00E30BD0">
        <w:rPr>
          <w:iCs/>
          <w:color w:val="222222"/>
          <w:shd w:val="clear" w:color="auto" w:fill="FFFFFF"/>
        </w:rPr>
        <w:t>75</w:t>
      </w:r>
      <w:r w:rsidRPr="00E30BD0">
        <w:rPr>
          <w:color w:val="222222"/>
          <w:shd w:val="clear" w:color="auto" w:fill="FFFFFF"/>
        </w:rPr>
        <w:t>,</w:t>
      </w:r>
      <w:r>
        <w:rPr>
          <w:color w:val="222222"/>
          <w:shd w:val="clear" w:color="auto" w:fill="FFFFFF"/>
        </w:rPr>
        <w:t xml:space="preserve"> </w:t>
      </w:r>
      <w:r w:rsidRPr="00E30BD0">
        <w:rPr>
          <w:color w:val="222222"/>
          <w:shd w:val="clear" w:color="auto" w:fill="FFFFFF"/>
        </w:rPr>
        <w:t>197-211.</w:t>
      </w:r>
    </w:p>
    <w:p w14:paraId="5A32600E" w14:textId="04937273" w:rsidR="00C11F7A" w:rsidRDefault="00C11F7A" w:rsidP="00607E84">
      <w:pPr>
        <w:ind w:left="360" w:hanging="360"/>
        <w:rPr>
          <w:color w:val="222222"/>
          <w:shd w:val="clear" w:color="auto" w:fill="FFFFFF"/>
        </w:rPr>
      </w:pPr>
      <w:r>
        <w:rPr>
          <w:color w:val="000000"/>
          <w:shd w:val="clear" w:color="auto" w:fill="FFFFFF"/>
        </w:rPr>
        <w:t xml:space="preserve">Salomon, I., 1986. Telecommunications and travel relations: A review. </w:t>
      </w:r>
      <w:r>
        <w:rPr>
          <w:i/>
          <w:iCs/>
          <w:color w:val="000000"/>
          <w:shd w:val="clear" w:color="auto" w:fill="FFFFFF"/>
        </w:rPr>
        <w:t>Transportation Research Part A</w:t>
      </w:r>
      <w:r>
        <w:rPr>
          <w:color w:val="000000"/>
          <w:shd w:val="clear" w:color="auto" w:fill="FFFFFF"/>
        </w:rPr>
        <w:t>, 20(3), 223-238.</w:t>
      </w:r>
    </w:p>
    <w:p w14:paraId="0B39C2DA" w14:textId="776E369F" w:rsidR="009873EB" w:rsidRPr="00B71FE3" w:rsidRDefault="00B71FE3" w:rsidP="00607E84">
      <w:pPr>
        <w:ind w:left="360" w:hanging="360"/>
        <w:rPr>
          <w:color w:val="222222"/>
          <w:shd w:val="clear" w:color="auto" w:fill="FFFFFF"/>
        </w:rPr>
      </w:pPr>
      <w:r w:rsidRPr="00E30BD0">
        <w:rPr>
          <w:color w:val="222222"/>
          <w:shd w:val="clear" w:color="auto" w:fill="FFFFFF"/>
        </w:rPr>
        <w:t>Sasaki, K. and Nishii, K., 2010. Measurement of intention to travel: Considering the effect of telecommunications on trips. </w:t>
      </w:r>
      <w:r w:rsidRPr="00E30BD0">
        <w:rPr>
          <w:i/>
          <w:iCs/>
          <w:color w:val="222222"/>
          <w:shd w:val="clear" w:color="auto" w:fill="FFFFFF"/>
        </w:rPr>
        <w:t>Transportation Research Part C</w:t>
      </w:r>
      <w:r w:rsidRPr="00057B23">
        <w:rPr>
          <w:iCs/>
          <w:color w:val="222222"/>
          <w:shd w:val="clear" w:color="auto" w:fill="FFFFFF"/>
        </w:rPr>
        <w:t xml:space="preserve">, </w:t>
      </w:r>
      <w:r w:rsidRPr="00E30BD0">
        <w:rPr>
          <w:iCs/>
          <w:color w:val="222222"/>
          <w:shd w:val="clear" w:color="auto" w:fill="FFFFFF"/>
        </w:rPr>
        <w:t>18</w:t>
      </w:r>
      <w:r w:rsidRPr="00E30BD0">
        <w:rPr>
          <w:color w:val="222222"/>
          <w:shd w:val="clear" w:color="auto" w:fill="FFFFFF"/>
        </w:rPr>
        <w:t>(1),</w:t>
      </w:r>
      <w:r w:rsidRPr="00B71FE3">
        <w:rPr>
          <w:color w:val="222222"/>
          <w:shd w:val="clear" w:color="auto" w:fill="FFFFFF"/>
        </w:rPr>
        <w:t xml:space="preserve"> </w:t>
      </w:r>
      <w:r w:rsidRPr="00E30BD0">
        <w:rPr>
          <w:color w:val="222222"/>
          <w:shd w:val="clear" w:color="auto" w:fill="FFFFFF"/>
        </w:rPr>
        <w:t>36-44.</w:t>
      </w:r>
      <w:r w:rsidR="009873EB" w:rsidRPr="00B71FE3">
        <w:rPr>
          <w:color w:val="222222"/>
          <w:shd w:val="clear" w:color="auto" w:fill="FFFFFF"/>
        </w:rPr>
        <w:t xml:space="preserve"> </w:t>
      </w:r>
    </w:p>
    <w:p w14:paraId="06513D10" w14:textId="6C48728E" w:rsidR="00C93045" w:rsidRPr="00C93045" w:rsidRDefault="00C93045" w:rsidP="00607E84">
      <w:pPr>
        <w:ind w:left="360" w:hanging="360"/>
        <w:rPr>
          <w:color w:val="000000" w:themeColor="text1"/>
          <w:shd w:val="clear" w:color="auto" w:fill="FFFFFF"/>
        </w:rPr>
      </w:pPr>
      <w:proofErr w:type="spellStart"/>
      <w:r w:rsidRPr="002501D1">
        <w:rPr>
          <w:color w:val="222222"/>
          <w:shd w:val="clear" w:color="auto" w:fill="FFFFFF"/>
        </w:rPr>
        <w:t>Schwanen</w:t>
      </w:r>
      <w:proofErr w:type="spellEnd"/>
      <w:r w:rsidRPr="002501D1">
        <w:rPr>
          <w:color w:val="222222"/>
          <w:shd w:val="clear" w:color="auto" w:fill="FFFFFF"/>
        </w:rPr>
        <w:t xml:space="preserve">, T. and Kwan, M.P., 2008. The </w:t>
      </w:r>
      <w:r w:rsidR="00DD0B78">
        <w:rPr>
          <w:color w:val="222222"/>
          <w:shd w:val="clear" w:color="auto" w:fill="FFFFFF"/>
        </w:rPr>
        <w:t>i</w:t>
      </w:r>
      <w:r w:rsidRPr="002501D1">
        <w:rPr>
          <w:color w:val="222222"/>
          <w:shd w:val="clear" w:color="auto" w:fill="FFFFFF"/>
        </w:rPr>
        <w:t>nternet, mobile phone and space-time constraints. </w:t>
      </w:r>
      <w:proofErr w:type="spellStart"/>
      <w:r w:rsidRPr="002501D1">
        <w:rPr>
          <w:i/>
          <w:iCs/>
          <w:color w:val="222222"/>
          <w:shd w:val="clear" w:color="auto" w:fill="FFFFFF"/>
        </w:rPr>
        <w:t>Geoforum</w:t>
      </w:r>
      <w:proofErr w:type="spellEnd"/>
      <w:r w:rsidRPr="002501D1">
        <w:rPr>
          <w:color w:val="222222"/>
          <w:shd w:val="clear" w:color="auto" w:fill="FFFFFF"/>
        </w:rPr>
        <w:t>, </w:t>
      </w:r>
      <w:r w:rsidRPr="00DD0B78">
        <w:rPr>
          <w:color w:val="222222"/>
          <w:shd w:val="clear" w:color="auto" w:fill="FFFFFF"/>
        </w:rPr>
        <w:t>39</w:t>
      </w:r>
      <w:r w:rsidRPr="002501D1">
        <w:rPr>
          <w:color w:val="222222"/>
          <w:shd w:val="clear" w:color="auto" w:fill="FFFFFF"/>
        </w:rPr>
        <w:t>(3),</w:t>
      </w:r>
      <w:r w:rsidR="00DD0B78">
        <w:rPr>
          <w:color w:val="222222"/>
          <w:shd w:val="clear" w:color="auto" w:fill="FFFFFF"/>
        </w:rPr>
        <w:t xml:space="preserve"> </w:t>
      </w:r>
      <w:r w:rsidRPr="002501D1">
        <w:rPr>
          <w:color w:val="222222"/>
          <w:shd w:val="clear" w:color="auto" w:fill="FFFFFF"/>
        </w:rPr>
        <w:t>1362-1377.</w:t>
      </w:r>
    </w:p>
    <w:p w14:paraId="7690B432" w14:textId="02F88C7E" w:rsidR="00475D03" w:rsidRDefault="00475D03">
      <w:pPr>
        <w:ind w:left="360" w:hanging="360"/>
      </w:pPr>
      <w:r>
        <w:t>Shi, K., De Vos, J., Yang, Y</w:t>
      </w:r>
      <w:r w:rsidR="00285C12">
        <w:t>.</w:t>
      </w:r>
      <w:r>
        <w:t xml:space="preserve">, and </w:t>
      </w:r>
      <w:proofErr w:type="spellStart"/>
      <w:r>
        <w:t>Witlox</w:t>
      </w:r>
      <w:proofErr w:type="spellEnd"/>
      <w:r>
        <w:t>, F.</w:t>
      </w:r>
      <w:r w:rsidR="00285C12">
        <w:t xml:space="preserve">, </w:t>
      </w:r>
      <w:r>
        <w:t>2019</w:t>
      </w:r>
      <w:r w:rsidR="00285C12">
        <w:t>.</w:t>
      </w:r>
      <w:r>
        <w:t xml:space="preserve"> Does e-shopping replace shopping trips? Empirical evidence from Chengdu, China</w:t>
      </w:r>
      <w:r w:rsidR="00285C12">
        <w:t>.</w:t>
      </w:r>
      <w:r>
        <w:t xml:space="preserve"> </w:t>
      </w:r>
      <w:r w:rsidRPr="00285C12">
        <w:rPr>
          <w:i/>
        </w:rPr>
        <w:t>Transportation Research Part A</w:t>
      </w:r>
      <w:r>
        <w:t>, 122, 21-33.</w:t>
      </w:r>
    </w:p>
    <w:p w14:paraId="478F493B" w14:textId="47E9FCB6" w:rsidR="001412CA" w:rsidRPr="00F060C5" w:rsidRDefault="001412CA" w:rsidP="00607E84">
      <w:pPr>
        <w:ind w:left="360" w:hanging="360"/>
        <w:rPr>
          <w:color w:val="000000" w:themeColor="text1"/>
          <w:shd w:val="clear" w:color="auto" w:fill="FFFFFF"/>
        </w:rPr>
      </w:pPr>
      <w:r w:rsidRPr="00F060C5">
        <w:rPr>
          <w:color w:val="000000" w:themeColor="text1"/>
          <w:shd w:val="clear" w:color="auto" w:fill="FFFFFF"/>
        </w:rPr>
        <w:t xml:space="preserve">Statista, 2018. Smartphone penetration rate as share of the population in the United States from 2010 to 2021. Available at: </w:t>
      </w:r>
      <w:hyperlink r:id="rId89" w:history="1">
        <w:r w:rsidRPr="00F060C5">
          <w:rPr>
            <w:rStyle w:val="Hyperlink"/>
            <w:shd w:val="clear" w:color="auto" w:fill="FFFFFF"/>
          </w:rPr>
          <w:t>https://www.statista.com/statistics/201183/forecast-of-smartphone-penetration-in-the-us/</w:t>
        </w:r>
      </w:hyperlink>
      <w:r w:rsidRPr="00F060C5">
        <w:rPr>
          <w:color w:val="000000" w:themeColor="text1"/>
          <w:shd w:val="clear" w:color="auto" w:fill="FFFFFF"/>
        </w:rPr>
        <w:t xml:space="preserve"> [Accessed: 07/29/2018].</w:t>
      </w:r>
    </w:p>
    <w:p w14:paraId="5EF935BF" w14:textId="75F7FB62" w:rsidR="001412CA" w:rsidRPr="00285C12" w:rsidRDefault="001412CA" w:rsidP="00C11F7A">
      <w:pPr>
        <w:keepLines/>
        <w:ind w:left="360" w:hanging="360"/>
        <w:rPr>
          <w:shd w:val="clear" w:color="auto" w:fill="FFFFFF"/>
        </w:rPr>
      </w:pPr>
      <w:proofErr w:type="spellStart"/>
      <w:r w:rsidRPr="00F060C5">
        <w:rPr>
          <w:color w:val="222222"/>
          <w:shd w:val="clear" w:color="auto" w:fill="FFFFFF"/>
        </w:rPr>
        <w:lastRenderedPageBreak/>
        <w:t>Suel</w:t>
      </w:r>
      <w:proofErr w:type="spellEnd"/>
      <w:r w:rsidRPr="00F060C5">
        <w:rPr>
          <w:color w:val="222222"/>
          <w:shd w:val="clear" w:color="auto" w:fill="FFFFFF"/>
        </w:rPr>
        <w:t xml:space="preserve">, E., Le Vine, S. and </w:t>
      </w:r>
      <w:proofErr w:type="spellStart"/>
      <w:r w:rsidRPr="00F060C5">
        <w:rPr>
          <w:color w:val="222222"/>
          <w:shd w:val="clear" w:color="auto" w:fill="FFFFFF"/>
        </w:rPr>
        <w:t>Polak</w:t>
      </w:r>
      <w:proofErr w:type="spellEnd"/>
      <w:r w:rsidRPr="00F060C5">
        <w:rPr>
          <w:color w:val="222222"/>
          <w:shd w:val="clear" w:color="auto" w:fill="FFFFFF"/>
        </w:rPr>
        <w:t xml:space="preserve">, J., 2015. </w:t>
      </w:r>
      <w:r w:rsidRPr="00285C12">
        <w:rPr>
          <w:shd w:val="clear" w:color="auto" w:fill="FFFFFF"/>
        </w:rPr>
        <w:t xml:space="preserve">Empirical application of expenditure diary instrument to quantify relationships between in-store and online grocery shopping: </w:t>
      </w:r>
      <w:r w:rsidR="00057B23" w:rsidRPr="00285C12">
        <w:rPr>
          <w:shd w:val="clear" w:color="auto" w:fill="FFFFFF"/>
        </w:rPr>
        <w:t>C</w:t>
      </w:r>
      <w:r w:rsidRPr="00285C12">
        <w:rPr>
          <w:shd w:val="clear" w:color="auto" w:fill="FFFFFF"/>
        </w:rPr>
        <w:t>ase study of Greater London. </w:t>
      </w:r>
      <w:r w:rsidRPr="00285C12">
        <w:rPr>
          <w:i/>
          <w:iCs/>
          <w:shd w:val="clear" w:color="auto" w:fill="FFFFFF"/>
        </w:rPr>
        <w:t>Transportation Research Record:</w:t>
      </w:r>
      <w:r w:rsidR="00DD0B78" w:rsidRPr="00285C12">
        <w:rPr>
          <w:i/>
          <w:iCs/>
          <w:shd w:val="clear" w:color="auto" w:fill="FFFFFF"/>
        </w:rPr>
        <w:t xml:space="preserve"> </w:t>
      </w:r>
      <w:r w:rsidRPr="00285C12">
        <w:rPr>
          <w:i/>
          <w:iCs/>
          <w:shd w:val="clear" w:color="auto" w:fill="FFFFFF"/>
        </w:rPr>
        <w:t>Journal of the Transportation Research Board</w:t>
      </w:r>
      <w:r w:rsidRPr="00285C12">
        <w:rPr>
          <w:shd w:val="clear" w:color="auto" w:fill="FFFFFF"/>
        </w:rPr>
        <w:t>, 2496, 45-54.</w:t>
      </w:r>
    </w:p>
    <w:p w14:paraId="198FCE02" w14:textId="6D463402" w:rsidR="001412CA" w:rsidRDefault="001412CA" w:rsidP="00607E84">
      <w:pPr>
        <w:ind w:left="360" w:hanging="360"/>
        <w:rPr>
          <w:color w:val="222222"/>
          <w:shd w:val="clear" w:color="auto" w:fill="FFFFFF"/>
        </w:rPr>
      </w:pPr>
      <w:proofErr w:type="spellStart"/>
      <w:r w:rsidRPr="00F060C5">
        <w:rPr>
          <w:color w:val="222222"/>
          <w:shd w:val="clear" w:color="auto" w:fill="FFFFFF"/>
        </w:rPr>
        <w:t>Suel</w:t>
      </w:r>
      <w:proofErr w:type="spellEnd"/>
      <w:r w:rsidRPr="00F060C5">
        <w:rPr>
          <w:color w:val="222222"/>
          <w:shd w:val="clear" w:color="auto" w:fill="FFFFFF"/>
        </w:rPr>
        <w:t xml:space="preserve">, E., </w:t>
      </w:r>
      <w:proofErr w:type="spellStart"/>
      <w:r w:rsidRPr="00F060C5">
        <w:rPr>
          <w:color w:val="222222"/>
          <w:shd w:val="clear" w:color="auto" w:fill="FFFFFF"/>
        </w:rPr>
        <w:t>Daina</w:t>
      </w:r>
      <w:proofErr w:type="spellEnd"/>
      <w:r w:rsidRPr="00F060C5">
        <w:rPr>
          <w:color w:val="222222"/>
          <w:shd w:val="clear" w:color="auto" w:fill="FFFFFF"/>
        </w:rPr>
        <w:t xml:space="preserve">, N. and </w:t>
      </w:r>
      <w:proofErr w:type="spellStart"/>
      <w:r w:rsidRPr="00F060C5">
        <w:rPr>
          <w:color w:val="222222"/>
          <w:shd w:val="clear" w:color="auto" w:fill="FFFFFF"/>
        </w:rPr>
        <w:t>Polak</w:t>
      </w:r>
      <w:proofErr w:type="spellEnd"/>
      <w:r w:rsidRPr="00F060C5">
        <w:rPr>
          <w:color w:val="222222"/>
          <w:shd w:val="clear" w:color="auto" w:fill="FFFFFF"/>
        </w:rPr>
        <w:t xml:space="preserve">, J.W., 2018. A hazard-based approach to modelling the effects of online shopping on </w:t>
      </w:r>
      <w:proofErr w:type="spellStart"/>
      <w:r w:rsidRPr="00F060C5">
        <w:rPr>
          <w:color w:val="222222"/>
          <w:shd w:val="clear" w:color="auto" w:fill="FFFFFF"/>
        </w:rPr>
        <w:t>intershopping</w:t>
      </w:r>
      <w:proofErr w:type="spellEnd"/>
      <w:r w:rsidRPr="00F060C5">
        <w:rPr>
          <w:color w:val="222222"/>
          <w:shd w:val="clear" w:color="auto" w:fill="FFFFFF"/>
        </w:rPr>
        <w:t xml:space="preserve"> duration. </w:t>
      </w:r>
      <w:r w:rsidRPr="00F060C5">
        <w:rPr>
          <w:i/>
          <w:iCs/>
          <w:color w:val="222222"/>
          <w:shd w:val="clear" w:color="auto" w:fill="FFFFFF"/>
        </w:rPr>
        <w:t>Transportation</w:t>
      </w:r>
      <w:r w:rsidRPr="00F060C5">
        <w:rPr>
          <w:color w:val="222222"/>
          <w:shd w:val="clear" w:color="auto" w:fill="FFFFFF"/>
        </w:rPr>
        <w:t>, </w:t>
      </w:r>
      <w:r w:rsidRPr="00E811C9">
        <w:rPr>
          <w:color w:val="222222"/>
          <w:shd w:val="clear" w:color="auto" w:fill="FFFFFF"/>
        </w:rPr>
        <w:t>45</w:t>
      </w:r>
      <w:r w:rsidRPr="00F060C5">
        <w:rPr>
          <w:color w:val="222222"/>
          <w:shd w:val="clear" w:color="auto" w:fill="FFFFFF"/>
        </w:rPr>
        <w:t>(2),</w:t>
      </w:r>
      <w:r w:rsidR="00E811C9" w:rsidRPr="00F060C5">
        <w:rPr>
          <w:color w:val="222222"/>
          <w:shd w:val="clear" w:color="auto" w:fill="FFFFFF"/>
        </w:rPr>
        <w:t xml:space="preserve"> </w:t>
      </w:r>
      <w:r w:rsidRPr="00F060C5">
        <w:rPr>
          <w:color w:val="222222"/>
          <w:shd w:val="clear" w:color="auto" w:fill="FFFFFF"/>
        </w:rPr>
        <w:t>415-428.</w:t>
      </w:r>
    </w:p>
    <w:p w14:paraId="7E38C0E1" w14:textId="6F146054" w:rsidR="00522BF5" w:rsidRDefault="00F136FF" w:rsidP="00607E84">
      <w:pPr>
        <w:ind w:left="360" w:hanging="360"/>
        <w:rPr>
          <w:color w:val="222222"/>
          <w:shd w:val="clear" w:color="auto" w:fill="FFFFFF"/>
        </w:rPr>
      </w:pPr>
      <w:r>
        <w:rPr>
          <w:color w:val="222222"/>
          <w:shd w:val="clear" w:color="auto" w:fill="FFFFFF"/>
        </w:rPr>
        <w:t>V</w:t>
      </w:r>
      <w:r w:rsidR="00522BF5" w:rsidRPr="002501D1">
        <w:rPr>
          <w:color w:val="222222"/>
          <w:shd w:val="clear" w:color="auto" w:fill="FFFFFF"/>
        </w:rPr>
        <w:t xml:space="preserve">an den Berg, P., </w:t>
      </w:r>
      <w:proofErr w:type="spellStart"/>
      <w:r w:rsidR="00522BF5" w:rsidRPr="002501D1">
        <w:rPr>
          <w:color w:val="222222"/>
          <w:shd w:val="clear" w:color="auto" w:fill="FFFFFF"/>
        </w:rPr>
        <w:t>Arentze</w:t>
      </w:r>
      <w:proofErr w:type="spellEnd"/>
      <w:r w:rsidR="00522BF5" w:rsidRPr="002501D1">
        <w:rPr>
          <w:color w:val="222222"/>
          <w:shd w:val="clear" w:color="auto" w:fill="FFFFFF"/>
        </w:rPr>
        <w:t>, T. and Timmermans, H., 2013. A path analysis of social networks, telecommunication and social activity–travel patterns. </w:t>
      </w:r>
      <w:r w:rsidR="00522BF5" w:rsidRPr="002501D1">
        <w:rPr>
          <w:i/>
          <w:iCs/>
          <w:color w:val="222222"/>
          <w:shd w:val="clear" w:color="auto" w:fill="FFFFFF"/>
        </w:rPr>
        <w:t>Transportation Research Part C</w:t>
      </w:r>
      <w:r w:rsidR="00522BF5" w:rsidRPr="002501D1">
        <w:rPr>
          <w:color w:val="222222"/>
          <w:shd w:val="clear" w:color="auto" w:fill="FFFFFF"/>
        </w:rPr>
        <w:t>, </w:t>
      </w:r>
      <w:r w:rsidR="00522BF5" w:rsidRPr="00E811C9">
        <w:rPr>
          <w:color w:val="222222"/>
          <w:shd w:val="clear" w:color="auto" w:fill="FFFFFF"/>
        </w:rPr>
        <w:t>26</w:t>
      </w:r>
      <w:r w:rsidR="00522BF5" w:rsidRPr="002501D1">
        <w:rPr>
          <w:color w:val="222222"/>
          <w:shd w:val="clear" w:color="auto" w:fill="FFFFFF"/>
        </w:rPr>
        <w:t>, 256-268.</w:t>
      </w:r>
    </w:p>
    <w:p w14:paraId="199A5B8F" w14:textId="797BA82E" w:rsidR="008670E7" w:rsidRPr="008670E7" w:rsidRDefault="00752C39" w:rsidP="00607E84">
      <w:pPr>
        <w:ind w:left="360" w:hanging="360"/>
      </w:pPr>
      <w:r w:rsidRPr="008670E7">
        <w:rPr>
          <w:color w:val="222222"/>
          <w:shd w:val="clear" w:color="auto" w:fill="FFFFFF"/>
        </w:rPr>
        <w:t xml:space="preserve">Xi, G., </w:t>
      </w:r>
      <w:r w:rsidR="00541318" w:rsidRPr="008670E7">
        <w:rPr>
          <w:color w:val="222222"/>
          <w:shd w:val="clear" w:color="auto" w:fill="FFFFFF"/>
        </w:rPr>
        <w:t xml:space="preserve">Zhen, F., </w:t>
      </w:r>
      <w:r w:rsidR="008670E7" w:rsidRPr="008670E7">
        <w:rPr>
          <w:color w:val="222222"/>
          <w:shd w:val="clear" w:color="auto" w:fill="FFFFFF"/>
        </w:rPr>
        <w:t xml:space="preserve">Cao, X., and </w:t>
      </w:r>
      <w:r w:rsidR="00541318" w:rsidRPr="008670E7">
        <w:rPr>
          <w:color w:val="222222"/>
          <w:shd w:val="clear" w:color="auto" w:fill="FFFFFF"/>
        </w:rPr>
        <w:t>Xu, F., 2018. The interaction between e-shopping and store shopping: Empirical evidence from Nanjing, China</w:t>
      </w:r>
      <w:r w:rsidR="008670E7">
        <w:rPr>
          <w:color w:val="222222"/>
          <w:shd w:val="clear" w:color="auto" w:fill="FFFFFF"/>
        </w:rPr>
        <w:t>.</w:t>
      </w:r>
      <w:r w:rsidR="00541318" w:rsidRPr="008670E7">
        <w:rPr>
          <w:color w:val="222222"/>
          <w:shd w:val="clear" w:color="auto" w:fill="FFFFFF"/>
        </w:rPr>
        <w:t xml:space="preserve"> </w:t>
      </w:r>
      <w:r w:rsidR="00541318" w:rsidRPr="008670E7">
        <w:rPr>
          <w:i/>
          <w:iCs/>
          <w:color w:val="222222"/>
          <w:shd w:val="clear" w:color="auto" w:fill="FFFFFF"/>
        </w:rPr>
        <w:t>Transportation Letters</w:t>
      </w:r>
      <w:r w:rsidR="00541318" w:rsidRPr="008670E7">
        <w:rPr>
          <w:color w:val="222222"/>
          <w:shd w:val="clear" w:color="auto" w:fill="FFFFFF"/>
        </w:rPr>
        <w:t xml:space="preserve">, </w:t>
      </w:r>
      <w:r w:rsidR="008670E7" w:rsidRPr="008670E7">
        <w:rPr>
          <w:color w:val="333333"/>
          <w:shd w:val="clear" w:color="auto" w:fill="FFFFFF"/>
        </w:rPr>
        <w:t>DOI: </w:t>
      </w:r>
      <w:r w:rsidR="008670E7" w:rsidRPr="008670E7">
        <w:rPr>
          <w:shd w:val="clear" w:color="auto" w:fill="FFFFFF"/>
        </w:rPr>
        <w:t>10.1080/19427867.2018.1546797</w:t>
      </w:r>
      <w:r w:rsidR="008670E7" w:rsidRPr="008670E7">
        <w:t>.</w:t>
      </w:r>
      <w:r w:rsidR="008670E7">
        <w:t xml:space="preserve">  </w:t>
      </w:r>
    </w:p>
    <w:p w14:paraId="04A038A7" w14:textId="633594CD" w:rsidR="00CD7F80" w:rsidRDefault="00CD7F80" w:rsidP="00607E84">
      <w:pPr>
        <w:ind w:left="360" w:hanging="360"/>
        <w:rPr>
          <w:color w:val="222222"/>
          <w:shd w:val="clear" w:color="auto" w:fill="FFFFFF"/>
        </w:rPr>
      </w:pPr>
      <w:proofErr w:type="spellStart"/>
      <w:r>
        <w:rPr>
          <w:color w:val="222222"/>
          <w:shd w:val="clear" w:color="auto" w:fill="FFFFFF"/>
        </w:rPr>
        <w:t>Yousefi</w:t>
      </w:r>
      <w:proofErr w:type="spellEnd"/>
      <w:r>
        <w:rPr>
          <w:color w:val="222222"/>
          <w:shd w:val="clear" w:color="auto" w:fill="FFFFFF"/>
        </w:rPr>
        <w:t xml:space="preserve">, Z. and </w:t>
      </w:r>
      <w:proofErr w:type="spellStart"/>
      <w:r>
        <w:rPr>
          <w:color w:val="222222"/>
          <w:shd w:val="clear" w:color="auto" w:fill="FFFFFF"/>
        </w:rPr>
        <w:t>Dadashpoor</w:t>
      </w:r>
      <w:proofErr w:type="spellEnd"/>
      <w:r>
        <w:rPr>
          <w:color w:val="222222"/>
          <w:shd w:val="clear" w:color="auto" w:fill="FFFFFF"/>
        </w:rPr>
        <w:t>, H.</w:t>
      </w:r>
      <w:r w:rsidR="00285C12">
        <w:rPr>
          <w:color w:val="222222"/>
          <w:shd w:val="clear" w:color="auto" w:fill="FFFFFF"/>
        </w:rPr>
        <w:t xml:space="preserve">, </w:t>
      </w:r>
      <w:r>
        <w:rPr>
          <w:color w:val="222222"/>
          <w:shd w:val="clear" w:color="auto" w:fill="FFFFFF"/>
        </w:rPr>
        <w:t>2020. How do ICTs affect urban spatial structure? A systematic literature review</w:t>
      </w:r>
      <w:r w:rsidR="00285C12">
        <w:rPr>
          <w:color w:val="222222"/>
          <w:shd w:val="clear" w:color="auto" w:fill="FFFFFF"/>
        </w:rPr>
        <w:t>.</w:t>
      </w:r>
      <w:r>
        <w:rPr>
          <w:color w:val="222222"/>
          <w:shd w:val="clear" w:color="auto" w:fill="FFFFFF"/>
        </w:rPr>
        <w:t xml:space="preserve"> </w:t>
      </w:r>
      <w:r w:rsidRPr="00285C12">
        <w:rPr>
          <w:i/>
          <w:color w:val="222222"/>
          <w:shd w:val="clear" w:color="auto" w:fill="FFFFFF"/>
        </w:rPr>
        <w:t>Journal of Urban Technology</w:t>
      </w:r>
      <w:r>
        <w:rPr>
          <w:color w:val="222222"/>
          <w:shd w:val="clear" w:color="auto" w:fill="FFFFFF"/>
        </w:rPr>
        <w:t xml:space="preserve">, 27, 47-65.  </w:t>
      </w:r>
    </w:p>
    <w:p w14:paraId="5DD53B8F" w14:textId="54EE8C51" w:rsidR="00D40015" w:rsidRPr="00285C12" w:rsidRDefault="001412CA" w:rsidP="00285C12">
      <w:pPr>
        <w:ind w:left="360" w:hanging="360"/>
        <w:rPr>
          <w:color w:val="000000" w:themeColor="text1"/>
          <w:shd w:val="clear" w:color="auto" w:fill="FFFFFF"/>
        </w:rPr>
      </w:pPr>
      <w:proofErr w:type="spellStart"/>
      <w:r w:rsidRPr="00F060C5">
        <w:rPr>
          <w:color w:val="000000" w:themeColor="text1"/>
          <w:shd w:val="clear" w:color="auto" w:fill="FFFFFF"/>
        </w:rPr>
        <w:t>Zhai</w:t>
      </w:r>
      <w:proofErr w:type="spellEnd"/>
      <w:r w:rsidRPr="00F060C5">
        <w:rPr>
          <w:color w:val="000000" w:themeColor="text1"/>
          <w:shd w:val="clear" w:color="auto" w:fill="FFFFFF"/>
        </w:rPr>
        <w:t>, Q., Cao, X., Mokhtarian, P.L. and Zhen, F., 2017. The interactions between e-shopping and store shopping in the shopping process for search goods and experience goods. </w:t>
      </w:r>
      <w:r w:rsidRPr="002501D1">
        <w:rPr>
          <w:i/>
          <w:color w:val="000000" w:themeColor="text1"/>
          <w:shd w:val="clear" w:color="auto" w:fill="FFFFFF"/>
        </w:rPr>
        <w:t>Transportation</w:t>
      </w:r>
      <w:r w:rsidRPr="00F060C5">
        <w:rPr>
          <w:color w:val="000000" w:themeColor="text1"/>
          <w:shd w:val="clear" w:color="auto" w:fill="FFFFFF"/>
        </w:rPr>
        <w:t>, 44(5), 885-904.</w:t>
      </w:r>
    </w:p>
    <w:p w14:paraId="1520E9C9" w14:textId="560E7FFB" w:rsidR="00D40015" w:rsidRPr="00285C12" w:rsidRDefault="00D40015" w:rsidP="00285C12">
      <w:pPr>
        <w:pStyle w:val="Heading3"/>
        <w:numPr>
          <w:ilvl w:val="0"/>
          <w:numId w:val="0"/>
        </w:numPr>
        <w:spacing w:before="0"/>
        <w:ind w:left="360" w:hanging="360"/>
        <w:rPr>
          <w:shd w:val="clear" w:color="auto" w:fill="FFFFFF"/>
        </w:rPr>
      </w:pPr>
      <w:r w:rsidRPr="00C11F7A">
        <w:rPr>
          <w:rFonts w:cs="Times New Roman"/>
          <w:bCs/>
          <w:i w:val="0"/>
        </w:rPr>
        <w:t>Zhen</w:t>
      </w:r>
      <w:r w:rsidRPr="00285C12">
        <w:rPr>
          <w:rStyle w:val="commaafterauthortoc"/>
          <w:rFonts w:cs="Times New Roman"/>
          <w:i w:val="0"/>
        </w:rPr>
        <w:t xml:space="preserve">, F., </w:t>
      </w:r>
      <w:r w:rsidRPr="00C11F7A">
        <w:rPr>
          <w:rFonts w:cs="Times New Roman"/>
          <w:bCs/>
          <w:i w:val="0"/>
        </w:rPr>
        <w:t>Cao</w:t>
      </w:r>
      <w:r w:rsidRPr="00285C12">
        <w:rPr>
          <w:rStyle w:val="commaafterauthortoc"/>
          <w:rFonts w:cs="Times New Roman"/>
          <w:i w:val="0"/>
        </w:rPr>
        <w:t xml:space="preserve">, X., </w:t>
      </w:r>
      <w:r w:rsidRPr="00C11F7A">
        <w:rPr>
          <w:rFonts w:cs="Times New Roman"/>
          <w:bCs/>
          <w:i w:val="0"/>
        </w:rPr>
        <w:t>Mokhtarian</w:t>
      </w:r>
      <w:r w:rsidRPr="00285C12">
        <w:rPr>
          <w:rStyle w:val="commaafterauthortoc"/>
          <w:rFonts w:cs="Times New Roman"/>
          <w:i w:val="0"/>
        </w:rPr>
        <w:t>, P.L., and</w:t>
      </w:r>
      <w:r w:rsidRPr="00285C12">
        <w:rPr>
          <w:rStyle w:val="contribdegrees"/>
          <w:rFonts w:cs="Times New Roman"/>
          <w:i w:val="0"/>
        </w:rPr>
        <w:t xml:space="preserve"> Xi, G., 2016. </w:t>
      </w:r>
      <w:r w:rsidRPr="00285C12">
        <w:rPr>
          <w:rStyle w:val="contribdegrees"/>
          <w:rFonts w:eastAsiaTheme="minorHAnsi" w:cs="Times New Roman"/>
          <w:i w:val="0"/>
        </w:rPr>
        <w:t xml:space="preserve">Associations </w:t>
      </w:r>
      <w:r w:rsidR="00285C12" w:rsidRPr="00285C12">
        <w:rPr>
          <w:rStyle w:val="contribdegrees"/>
          <w:rFonts w:eastAsiaTheme="minorHAnsi" w:cs="Times New Roman"/>
          <w:i w:val="0"/>
        </w:rPr>
        <w:t>b</w:t>
      </w:r>
      <w:r w:rsidRPr="00285C12">
        <w:rPr>
          <w:rStyle w:val="contribdegrees"/>
          <w:rFonts w:eastAsiaTheme="minorHAnsi" w:cs="Times New Roman"/>
          <w:i w:val="0"/>
        </w:rPr>
        <w:t xml:space="preserve">etween </w:t>
      </w:r>
      <w:r w:rsidR="00285C12" w:rsidRPr="00285C12">
        <w:rPr>
          <w:rStyle w:val="contribdegrees"/>
          <w:rFonts w:eastAsiaTheme="minorHAnsi" w:cs="Times New Roman"/>
          <w:i w:val="0"/>
        </w:rPr>
        <w:t>o</w:t>
      </w:r>
      <w:r w:rsidRPr="00285C12">
        <w:rPr>
          <w:rStyle w:val="contribdegrees"/>
          <w:rFonts w:eastAsiaTheme="minorHAnsi" w:cs="Times New Roman"/>
          <w:i w:val="0"/>
        </w:rPr>
        <w:t xml:space="preserve">nline </w:t>
      </w:r>
      <w:r w:rsidR="00285C12" w:rsidRPr="00285C12">
        <w:rPr>
          <w:rStyle w:val="contribdegrees"/>
          <w:rFonts w:eastAsiaTheme="minorHAnsi" w:cs="Times New Roman"/>
          <w:i w:val="0"/>
        </w:rPr>
        <w:t>p</w:t>
      </w:r>
      <w:r w:rsidRPr="00285C12">
        <w:rPr>
          <w:rStyle w:val="contribdegrees"/>
          <w:rFonts w:eastAsiaTheme="minorHAnsi" w:cs="Times New Roman"/>
          <w:i w:val="0"/>
        </w:rPr>
        <w:t xml:space="preserve">urchasing and </w:t>
      </w:r>
      <w:r w:rsidR="00285C12" w:rsidRPr="00285C12">
        <w:rPr>
          <w:rStyle w:val="contribdegrees"/>
          <w:rFonts w:eastAsiaTheme="minorHAnsi" w:cs="Times New Roman"/>
          <w:i w:val="0"/>
        </w:rPr>
        <w:t>s</w:t>
      </w:r>
      <w:r w:rsidRPr="00285C12">
        <w:rPr>
          <w:rStyle w:val="contribdegrees"/>
          <w:rFonts w:eastAsiaTheme="minorHAnsi" w:cs="Times New Roman"/>
          <w:i w:val="0"/>
        </w:rPr>
        <w:t xml:space="preserve">tore </w:t>
      </w:r>
      <w:r w:rsidR="00285C12" w:rsidRPr="00285C12">
        <w:rPr>
          <w:rStyle w:val="contribdegrees"/>
          <w:rFonts w:eastAsiaTheme="minorHAnsi" w:cs="Times New Roman"/>
          <w:i w:val="0"/>
        </w:rPr>
        <w:t>p</w:t>
      </w:r>
      <w:r w:rsidRPr="00285C12">
        <w:rPr>
          <w:rStyle w:val="contribdegrees"/>
          <w:rFonts w:eastAsiaTheme="minorHAnsi" w:cs="Times New Roman"/>
          <w:i w:val="0"/>
        </w:rPr>
        <w:t xml:space="preserve">urchasing for </w:t>
      </w:r>
      <w:r w:rsidR="00285C12" w:rsidRPr="00285C12">
        <w:rPr>
          <w:rStyle w:val="contribdegrees"/>
          <w:rFonts w:eastAsiaTheme="minorHAnsi" w:cs="Times New Roman"/>
          <w:i w:val="0"/>
        </w:rPr>
        <w:t>f</w:t>
      </w:r>
      <w:r w:rsidRPr="00285C12">
        <w:rPr>
          <w:rStyle w:val="contribdegrees"/>
          <w:rFonts w:eastAsiaTheme="minorHAnsi" w:cs="Times New Roman"/>
          <w:i w:val="0"/>
        </w:rPr>
        <w:t xml:space="preserve">our </w:t>
      </w:r>
      <w:r w:rsidR="00285C12" w:rsidRPr="00285C12">
        <w:rPr>
          <w:rStyle w:val="contribdegrees"/>
          <w:rFonts w:eastAsiaTheme="minorHAnsi" w:cs="Times New Roman"/>
          <w:i w:val="0"/>
        </w:rPr>
        <w:t>t</w:t>
      </w:r>
      <w:r w:rsidRPr="00285C12">
        <w:rPr>
          <w:rStyle w:val="contribdegrees"/>
          <w:rFonts w:eastAsiaTheme="minorHAnsi" w:cs="Times New Roman"/>
          <w:i w:val="0"/>
        </w:rPr>
        <w:t xml:space="preserve">ypes of </w:t>
      </w:r>
      <w:r w:rsidR="00285C12" w:rsidRPr="00285C12">
        <w:rPr>
          <w:rStyle w:val="contribdegrees"/>
          <w:rFonts w:eastAsiaTheme="minorHAnsi" w:cs="Times New Roman"/>
          <w:i w:val="0"/>
        </w:rPr>
        <w:t>p</w:t>
      </w:r>
      <w:r w:rsidRPr="00285C12">
        <w:rPr>
          <w:rStyle w:val="contribdegrees"/>
          <w:rFonts w:eastAsiaTheme="minorHAnsi" w:cs="Times New Roman"/>
          <w:i w:val="0"/>
        </w:rPr>
        <w:t>roducts in Nanjing, China</w:t>
      </w:r>
      <w:r w:rsidR="00285C12" w:rsidRPr="00285C12">
        <w:rPr>
          <w:rStyle w:val="contribdegrees"/>
          <w:rFonts w:eastAsiaTheme="minorHAnsi" w:cs="Times New Roman"/>
          <w:i w:val="0"/>
        </w:rPr>
        <w:t>.</w:t>
      </w:r>
      <w:r w:rsidRPr="00285C12">
        <w:rPr>
          <w:rStyle w:val="contribdegrees"/>
          <w:rFonts w:eastAsiaTheme="minorHAnsi" w:cs="Times New Roman"/>
          <w:i w:val="0"/>
        </w:rPr>
        <w:t xml:space="preserve"> </w:t>
      </w:r>
      <w:r w:rsidRPr="00285C12">
        <w:rPr>
          <w:rStyle w:val="contribdegrees"/>
          <w:rFonts w:eastAsiaTheme="minorHAnsi" w:cs="Times New Roman"/>
          <w:iCs/>
        </w:rPr>
        <w:t>Transportation Research Record: Journal of the Transportation Research Board</w:t>
      </w:r>
      <w:r w:rsidRPr="00285C12">
        <w:rPr>
          <w:rStyle w:val="contribdegrees"/>
          <w:rFonts w:eastAsiaTheme="minorHAnsi" w:cs="Times New Roman"/>
          <w:i w:val="0"/>
        </w:rPr>
        <w:t xml:space="preserve">, 2566, </w:t>
      </w:r>
      <w:r w:rsidRPr="00285C12">
        <w:rPr>
          <w:rStyle w:val="articlepagerange"/>
          <w:rFonts w:cs="Times New Roman"/>
          <w:i w:val="0"/>
        </w:rPr>
        <w:t>93</w:t>
      </w:r>
      <w:r w:rsidR="00285C12" w:rsidRPr="00285C12">
        <w:rPr>
          <w:rStyle w:val="articlepagerange"/>
          <w:rFonts w:cs="Times New Roman"/>
          <w:i w:val="0"/>
        </w:rPr>
        <w:t>-</w:t>
      </w:r>
      <w:r w:rsidRPr="00285C12">
        <w:rPr>
          <w:rStyle w:val="articlepagerange"/>
          <w:rFonts w:cs="Times New Roman"/>
          <w:i w:val="0"/>
        </w:rPr>
        <w:t>101</w:t>
      </w:r>
      <w:r w:rsidR="00285C12" w:rsidRPr="00285C12">
        <w:rPr>
          <w:rStyle w:val="articlepagerange"/>
          <w:rFonts w:cs="Times New Roman"/>
          <w:i w:val="0"/>
        </w:rPr>
        <w:t>.</w:t>
      </w:r>
    </w:p>
    <w:p w14:paraId="2543E8C7" w14:textId="79A6CD4D" w:rsidR="005C3210" w:rsidRDefault="001412CA" w:rsidP="00607E84">
      <w:pPr>
        <w:ind w:left="360" w:hanging="360"/>
        <w:rPr>
          <w:color w:val="000000" w:themeColor="text1"/>
          <w:shd w:val="clear" w:color="auto" w:fill="FFFFFF"/>
        </w:rPr>
      </w:pPr>
      <w:r w:rsidRPr="00F060C5">
        <w:rPr>
          <w:color w:val="000000" w:themeColor="text1"/>
          <w:shd w:val="clear" w:color="auto" w:fill="FFFFFF"/>
        </w:rPr>
        <w:t xml:space="preserve">Zhou, Y. and Wang, X.C., 2014. Explore the relationship between online shopping and shopping trips: </w:t>
      </w:r>
      <w:r w:rsidR="00057B23">
        <w:rPr>
          <w:color w:val="000000" w:themeColor="text1"/>
          <w:shd w:val="clear" w:color="auto" w:fill="FFFFFF"/>
        </w:rPr>
        <w:t>A</w:t>
      </w:r>
      <w:r w:rsidRPr="00F060C5">
        <w:rPr>
          <w:color w:val="000000" w:themeColor="text1"/>
          <w:shd w:val="clear" w:color="auto" w:fill="FFFFFF"/>
        </w:rPr>
        <w:t>n analysis with the 2009 NHTS data. </w:t>
      </w:r>
      <w:r w:rsidRPr="002501D1">
        <w:rPr>
          <w:i/>
          <w:color w:val="000000" w:themeColor="text1"/>
          <w:shd w:val="clear" w:color="auto" w:fill="FFFFFF"/>
        </w:rPr>
        <w:t>Transportation Research Part A</w:t>
      </w:r>
      <w:r w:rsidRPr="00F060C5">
        <w:rPr>
          <w:color w:val="000000" w:themeColor="text1"/>
          <w:shd w:val="clear" w:color="auto" w:fill="FFFFFF"/>
        </w:rPr>
        <w:t>, 70, 1-9.</w:t>
      </w:r>
    </w:p>
    <w:bookmarkEnd w:id="10"/>
    <w:p w14:paraId="433CA60C" w14:textId="71D7FA78" w:rsidR="008D5DFE" w:rsidRDefault="008D5DFE" w:rsidP="00607E84">
      <w:pPr>
        <w:ind w:left="360" w:hanging="360"/>
        <w:rPr>
          <w:shd w:val="clear" w:color="auto" w:fill="FFFFFF"/>
        </w:rPr>
      </w:pPr>
    </w:p>
    <w:sectPr w:rsidR="008D5DFE" w:rsidSect="00C67550">
      <w:headerReference w:type="default" r:id="rId90"/>
      <w:footerReference w:type="default" r:id="rId9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E3F73" w14:textId="77777777" w:rsidR="00670969" w:rsidRDefault="00670969" w:rsidP="002C31FB">
      <w:r>
        <w:separator/>
      </w:r>
    </w:p>
    <w:p w14:paraId="4764ED9A" w14:textId="77777777" w:rsidR="00670969" w:rsidRDefault="00670969" w:rsidP="002C31FB"/>
  </w:endnote>
  <w:endnote w:type="continuationSeparator" w:id="0">
    <w:p w14:paraId="311B9901" w14:textId="77777777" w:rsidR="00670969" w:rsidRDefault="00670969" w:rsidP="002C31FB">
      <w:r>
        <w:continuationSeparator/>
      </w:r>
    </w:p>
    <w:p w14:paraId="0AC978E2" w14:textId="77777777" w:rsidR="00670969" w:rsidRDefault="00670969" w:rsidP="002C3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9C792" w14:textId="77777777" w:rsidR="00C335DA" w:rsidRDefault="00C335DA" w:rsidP="002C31FB">
    <w:pPr>
      <w:pStyle w:val="Footer"/>
    </w:pPr>
  </w:p>
  <w:p w14:paraId="1E4A1EE8" w14:textId="77777777" w:rsidR="00C335DA" w:rsidRDefault="00C335DA" w:rsidP="002C3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99FC9" w14:textId="77777777" w:rsidR="00C335DA" w:rsidRDefault="00C335DA" w:rsidP="002C3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865198"/>
      <w:docPartObj>
        <w:docPartGallery w:val="Page Numbers (Bottom of Page)"/>
        <w:docPartUnique/>
      </w:docPartObj>
    </w:sdtPr>
    <w:sdtEndPr>
      <w:rPr>
        <w:noProof/>
      </w:rPr>
    </w:sdtEndPr>
    <w:sdtContent>
      <w:p w14:paraId="44BA2A63" w14:textId="2C83ED9D" w:rsidR="00C335DA" w:rsidRDefault="00C335DA" w:rsidP="00251434">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2516170"/>
      <w:docPartObj>
        <w:docPartGallery w:val="Page Numbers (Bottom of Page)"/>
        <w:docPartUnique/>
      </w:docPartObj>
    </w:sdtPr>
    <w:sdtEndPr>
      <w:rPr>
        <w:noProof/>
      </w:rPr>
    </w:sdtEndPr>
    <w:sdtContent>
      <w:p w14:paraId="66E706B1" w14:textId="6F31BD49" w:rsidR="00C335DA" w:rsidRDefault="00C335DA" w:rsidP="00C6755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35A86" w14:textId="77777777" w:rsidR="00670969" w:rsidRDefault="00670969" w:rsidP="002C31FB">
      <w:r>
        <w:separator/>
      </w:r>
    </w:p>
    <w:p w14:paraId="1F04950F" w14:textId="77777777" w:rsidR="00670969" w:rsidRDefault="00670969" w:rsidP="002C31FB"/>
  </w:footnote>
  <w:footnote w:type="continuationSeparator" w:id="0">
    <w:p w14:paraId="0F1E7D08" w14:textId="77777777" w:rsidR="00670969" w:rsidRDefault="00670969" w:rsidP="002C31FB">
      <w:r>
        <w:continuationSeparator/>
      </w:r>
    </w:p>
    <w:p w14:paraId="1FAF572D" w14:textId="77777777" w:rsidR="00670969" w:rsidRDefault="00670969" w:rsidP="002C31FB"/>
  </w:footnote>
  <w:footnote w:id="1">
    <w:p w14:paraId="47EE122F" w14:textId="451AB919" w:rsidR="00C335DA" w:rsidRDefault="00C335DA" w:rsidP="004D2B97">
      <w:pPr>
        <w:pStyle w:val="FootnoteText"/>
      </w:pPr>
      <w:r>
        <w:rPr>
          <w:rStyle w:val="FootnoteReference"/>
        </w:rPr>
        <w:footnoteRef/>
      </w:r>
      <w:r>
        <w:t xml:space="preserve"> Of course, earlier studies have also focused on non-shop online activities, such as work, personal errands (e.g., banking), and social-recreation (online gaming, streaming movies, and social media), and their effects on in-person activity-travel behavior </w:t>
      </w:r>
      <w:r w:rsidRPr="009E7845">
        <w:t xml:space="preserve">(for example, see Kwan et al., 2007; Schwanen and Kwan, 2008; </w:t>
      </w:r>
      <w:r>
        <w:t xml:space="preserve">Sasaki and Nishii, 2010; </w:t>
      </w:r>
      <w:r w:rsidRPr="009E7845">
        <w:t>Mokhtarian and Tal, 2013; van den Berg et al., 2013; Ben-Elia et al., 2014;</w:t>
      </w:r>
      <w:r>
        <w:t xml:space="preserve"> Rashidi et al., 2017;</w:t>
      </w:r>
      <w:r w:rsidRPr="009E7845">
        <w:t xml:space="preserve"> Ettema, 2018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76F03" w14:textId="6B265CDD" w:rsidR="00C335DA" w:rsidRPr="002501D1" w:rsidRDefault="00C335DA" w:rsidP="002C31FB">
    <w:pPr>
      <w:pStyle w:val="Header"/>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5BE7B" w14:textId="77777777" w:rsidR="00C335DA" w:rsidRPr="002501D1" w:rsidRDefault="00C335DA" w:rsidP="002C31FB">
    <w:pPr>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352F" w14:textId="77777777" w:rsidR="00C335DA" w:rsidRPr="003347E4" w:rsidRDefault="00C335DA" w:rsidP="003347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523F0" w14:textId="77777777" w:rsidR="00C335DA" w:rsidRPr="002501D1" w:rsidRDefault="00C335DA" w:rsidP="002C31FB">
    <w:pPr>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9D95" w14:textId="77777777" w:rsidR="00C335DA" w:rsidRPr="002501D1" w:rsidRDefault="00C335DA" w:rsidP="002C31FB">
    <w:pPr>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0238" w14:textId="77777777" w:rsidR="00C335DA" w:rsidRPr="002501D1" w:rsidRDefault="00C335DA" w:rsidP="002C31FB">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315"/>
    <w:multiLevelType w:val="hybridMultilevel"/>
    <w:tmpl w:val="46827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048C8"/>
    <w:multiLevelType w:val="hybridMultilevel"/>
    <w:tmpl w:val="B8A41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E5275"/>
    <w:multiLevelType w:val="hybridMultilevel"/>
    <w:tmpl w:val="139EF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35359"/>
    <w:multiLevelType w:val="hybridMultilevel"/>
    <w:tmpl w:val="908A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82361"/>
    <w:multiLevelType w:val="hybridMultilevel"/>
    <w:tmpl w:val="DF5A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D00C4"/>
    <w:multiLevelType w:val="hybridMultilevel"/>
    <w:tmpl w:val="FBF82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60B98"/>
    <w:multiLevelType w:val="hybridMultilevel"/>
    <w:tmpl w:val="D934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A726A"/>
    <w:multiLevelType w:val="multilevel"/>
    <w:tmpl w:val="7B8ABD3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F455A0A"/>
    <w:multiLevelType w:val="hybridMultilevel"/>
    <w:tmpl w:val="D3BA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8BC"/>
    <w:multiLevelType w:val="hybridMultilevel"/>
    <w:tmpl w:val="1884E1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BE435C"/>
    <w:multiLevelType w:val="hybridMultilevel"/>
    <w:tmpl w:val="B3F0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35D72"/>
    <w:multiLevelType w:val="hybridMultilevel"/>
    <w:tmpl w:val="70CA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216A8"/>
    <w:multiLevelType w:val="hybridMultilevel"/>
    <w:tmpl w:val="B6380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D41EA"/>
    <w:multiLevelType w:val="multilevel"/>
    <w:tmpl w:val="2B3C053C"/>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62C6BAF"/>
    <w:multiLevelType w:val="hybridMultilevel"/>
    <w:tmpl w:val="FFA4E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94952"/>
    <w:multiLevelType w:val="multilevel"/>
    <w:tmpl w:val="2B3C053C"/>
    <w:numStyleLink w:val="Style1"/>
  </w:abstractNum>
  <w:abstractNum w:abstractNumId="16" w15:restartNumberingAfterBreak="0">
    <w:nsid w:val="40FD6D0D"/>
    <w:multiLevelType w:val="hybridMultilevel"/>
    <w:tmpl w:val="DA6A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2008B"/>
    <w:multiLevelType w:val="hybridMultilevel"/>
    <w:tmpl w:val="F642E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2B16"/>
    <w:multiLevelType w:val="hybridMultilevel"/>
    <w:tmpl w:val="46F4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E0858"/>
    <w:multiLevelType w:val="hybridMultilevel"/>
    <w:tmpl w:val="A0EC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A4429"/>
    <w:multiLevelType w:val="hybridMultilevel"/>
    <w:tmpl w:val="4E2A229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9E6DC3"/>
    <w:multiLevelType w:val="hybridMultilevel"/>
    <w:tmpl w:val="241CCE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600F27"/>
    <w:multiLevelType w:val="hybridMultilevel"/>
    <w:tmpl w:val="10840CD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592661DE"/>
    <w:multiLevelType w:val="hybridMultilevel"/>
    <w:tmpl w:val="6C80D86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4448CE"/>
    <w:multiLevelType w:val="hybridMultilevel"/>
    <w:tmpl w:val="783C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12660"/>
    <w:multiLevelType w:val="multilevel"/>
    <w:tmpl w:val="CA9671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256444"/>
    <w:multiLevelType w:val="multilevel"/>
    <w:tmpl w:val="BC7697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B841CC8"/>
    <w:multiLevelType w:val="hybridMultilevel"/>
    <w:tmpl w:val="771C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C1A2F"/>
    <w:multiLevelType w:val="hybridMultilevel"/>
    <w:tmpl w:val="5082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7E7D51"/>
    <w:multiLevelType w:val="hybridMultilevel"/>
    <w:tmpl w:val="CE8A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DD7CB2"/>
    <w:multiLevelType w:val="multilevel"/>
    <w:tmpl w:val="5310EAD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9844435"/>
    <w:multiLevelType w:val="hybridMultilevel"/>
    <w:tmpl w:val="CEC62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1154E"/>
    <w:multiLevelType w:val="hybridMultilevel"/>
    <w:tmpl w:val="1CECC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C3765"/>
    <w:multiLevelType w:val="hybridMultilevel"/>
    <w:tmpl w:val="B69C1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4"/>
  </w:num>
  <w:num w:numId="4">
    <w:abstractNumId w:val="0"/>
  </w:num>
  <w:num w:numId="5">
    <w:abstractNumId w:val="5"/>
  </w:num>
  <w:num w:numId="6">
    <w:abstractNumId w:val="26"/>
  </w:num>
  <w:num w:numId="7">
    <w:abstractNumId w:val="30"/>
  </w:num>
  <w:num w:numId="8">
    <w:abstractNumId w:val="13"/>
  </w:num>
  <w:num w:numId="9">
    <w:abstractNumId w:val="15"/>
  </w:num>
  <w:num w:numId="10">
    <w:abstractNumId w:val="33"/>
  </w:num>
  <w:num w:numId="11">
    <w:abstractNumId w:val="6"/>
  </w:num>
  <w:num w:numId="12">
    <w:abstractNumId w:val="16"/>
  </w:num>
  <w:num w:numId="13">
    <w:abstractNumId w:val="28"/>
  </w:num>
  <w:num w:numId="14">
    <w:abstractNumId w:val="20"/>
  </w:num>
  <w:num w:numId="15">
    <w:abstractNumId w:val="21"/>
  </w:num>
  <w:num w:numId="16">
    <w:abstractNumId w:val="23"/>
  </w:num>
  <w:num w:numId="17">
    <w:abstractNumId w:val="25"/>
  </w:num>
  <w:num w:numId="18">
    <w:abstractNumId w:val="19"/>
  </w:num>
  <w:num w:numId="19">
    <w:abstractNumId w:val="12"/>
  </w:num>
  <w:num w:numId="20">
    <w:abstractNumId w:val="1"/>
  </w:num>
  <w:num w:numId="21">
    <w:abstractNumId w:val="18"/>
  </w:num>
  <w:num w:numId="22">
    <w:abstractNumId w:val="29"/>
  </w:num>
  <w:num w:numId="23">
    <w:abstractNumId w:val="3"/>
  </w:num>
  <w:num w:numId="24">
    <w:abstractNumId w:val="17"/>
  </w:num>
  <w:num w:numId="25">
    <w:abstractNumId w:val="11"/>
  </w:num>
  <w:num w:numId="26">
    <w:abstractNumId w:val="31"/>
  </w:num>
  <w:num w:numId="27">
    <w:abstractNumId w:val="27"/>
  </w:num>
  <w:num w:numId="28">
    <w:abstractNumId w:val="4"/>
  </w:num>
  <w:num w:numId="29">
    <w:abstractNumId w:val="24"/>
  </w:num>
  <w:num w:numId="30">
    <w:abstractNumId w:val="8"/>
  </w:num>
  <w:num w:numId="31">
    <w:abstractNumId w:val="10"/>
  </w:num>
  <w:num w:numId="32">
    <w:abstractNumId w:val="32"/>
  </w:num>
  <w:num w:numId="33">
    <w:abstractNumId w:val="22"/>
  </w:num>
  <w:num w:numId="34">
    <w:abstractNumId w:val="7"/>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693"/>
    <w:rsid w:val="00001048"/>
    <w:rsid w:val="0000346F"/>
    <w:rsid w:val="00004D00"/>
    <w:rsid w:val="00007AAA"/>
    <w:rsid w:val="000120E7"/>
    <w:rsid w:val="00012113"/>
    <w:rsid w:val="00016CE7"/>
    <w:rsid w:val="00017F69"/>
    <w:rsid w:val="00020020"/>
    <w:rsid w:val="00022F83"/>
    <w:rsid w:val="00025055"/>
    <w:rsid w:val="00026264"/>
    <w:rsid w:val="00034A55"/>
    <w:rsid w:val="000357AA"/>
    <w:rsid w:val="000369BF"/>
    <w:rsid w:val="00036DE3"/>
    <w:rsid w:val="0003785C"/>
    <w:rsid w:val="00043F95"/>
    <w:rsid w:val="00045ABC"/>
    <w:rsid w:val="000464D8"/>
    <w:rsid w:val="000477A4"/>
    <w:rsid w:val="000521BD"/>
    <w:rsid w:val="00052A10"/>
    <w:rsid w:val="0005379D"/>
    <w:rsid w:val="00054546"/>
    <w:rsid w:val="00055C7A"/>
    <w:rsid w:val="00056EEA"/>
    <w:rsid w:val="00057B23"/>
    <w:rsid w:val="00067146"/>
    <w:rsid w:val="00067D7C"/>
    <w:rsid w:val="00074EF6"/>
    <w:rsid w:val="00076AEF"/>
    <w:rsid w:val="00081A1D"/>
    <w:rsid w:val="00081D3D"/>
    <w:rsid w:val="00081D4F"/>
    <w:rsid w:val="000842A6"/>
    <w:rsid w:val="00087020"/>
    <w:rsid w:val="0008710F"/>
    <w:rsid w:val="000871E5"/>
    <w:rsid w:val="0009458D"/>
    <w:rsid w:val="00096F59"/>
    <w:rsid w:val="00097D0E"/>
    <w:rsid w:val="000A04D0"/>
    <w:rsid w:val="000A3471"/>
    <w:rsid w:val="000A48E4"/>
    <w:rsid w:val="000A50B4"/>
    <w:rsid w:val="000A7436"/>
    <w:rsid w:val="000B1DA6"/>
    <w:rsid w:val="000B4A88"/>
    <w:rsid w:val="000B4CE6"/>
    <w:rsid w:val="000B7FA1"/>
    <w:rsid w:val="000C09B9"/>
    <w:rsid w:val="000C25BC"/>
    <w:rsid w:val="000C27CB"/>
    <w:rsid w:val="000C69B3"/>
    <w:rsid w:val="000C788B"/>
    <w:rsid w:val="000C7925"/>
    <w:rsid w:val="000D10BF"/>
    <w:rsid w:val="000D30FB"/>
    <w:rsid w:val="000D5BC3"/>
    <w:rsid w:val="000E1BC9"/>
    <w:rsid w:val="000E27D2"/>
    <w:rsid w:val="000E333D"/>
    <w:rsid w:val="000E6E3E"/>
    <w:rsid w:val="000F0C35"/>
    <w:rsid w:val="000F1A51"/>
    <w:rsid w:val="000F6613"/>
    <w:rsid w:val="000F6B04"/>
    <w:rsid w:val="000F72EC"/>
    <w:rsid w:val="000F77DE"/>
    <w:rsid w:val="000F78F2"/>
    <w:rsid w:val="00101769"/>
    <w:rsid w:val="0011202B"/>
    <w:rsid w:val="0011418F"/>
    <w:rsid w:val="00115314"/>
    <w:rsid w:val="001165AF"/>
    <w:rsid w:val="001170D5"/>
    <w:rsid w:val="00117833"/>
    <w:rsid w:val="00124B0F"/>
    <w:rsid w:val="00125949"/>
    <w:rsid w:val="00127711"/>
    <w:rsid w:val="00135D51"/>
    <w:rsid w:val="00136C81"/>
    <w:rsid w:val="001412CA"/>
    <w:rsid w:val="00142937"/>
    <w:rsid w:val="00143D7E"/>
    <w:rsid w:val="00144074"/>
    <w:rsid w:val="00144135"/>
    <w:rsid w:val="0014443E"/>
    <w:rsid w:val="0015207B"/>
    <w:rsid w:val="0015369F"/>
    <w:rsid w:val="00153E69"/>
    <w:rsid w:val="00155F04"/>
    <w:rsid w:val="00157F86"/>
    <w:rsid w:val="00164E22"/>
    <w:rsid w:val="00166BDA"/>
    <w:rsid w:val="001672AC"/>
    <w:rsid w:val="0017095D"/>
    <w:rsid w:val="00170CAB"/>
    <w:rsid w:val="00172B9C"/>
    <w:rsid w:val="00172BA8"/>
    <w:rsid w:val="00173EBC"/>
    <w:rsid w:val="001752E3"/>
    <w:rsid w:val="001762C5"/>
    <w:rsid w:val="00177115"/>
    <w:rsid w:val="00183813"/>
    <w:rsid w:val="001872C3"/>
    <w:rsid w:val="001879F2"/>
    <w:rsid w:val="0019531C"/>
    <w:rsid w:val="001979C2"/>
    <w:rsid w:val="001A009B"/>
    <w:rsid w:val="001A1D7B"/>
    <w:rsid w:val="001A2090"/>
    <w:rsid w:val="001A5C9E"/>
    <w:rsid w:val="001A5CDA"/>
    <w:rsid w:val="001B16EB"/>
    <w:rsid w:val="001B1EE8"/>
    <w:rsid w:val="001B2457"/>
    <w:rsid w:val="001B29CE"/>
    <w:rsid w:val="001B3A9E"/>
    <w:rsid w:val="001B3BD6"/>
    <w:rsid w:val="001B3ED4"/>
    <w:rsid w:val="001B6DAC"/>
    <w:rsid w:val="001C279C"/>
    <w:rsid w:val="001C3353"/>
    <w:rsid w:val="001C4B9E"/>
    <w:rsid w:val="001C4C13"/>
    <w:rsid w:val="001C5760"/>
    <w:rsid w:val="001C5EF0"/>
    <w:rsid w:val="001C6E2A"/>
    <w:rsid w:val="001D04C4"/>
    <w:rsid w:val="001D0C18"/>
    <w:rsid w:val="001D58A7"/>
    <w:rsid w:val="001D7F8C"/>
    <w:rsid w:val="001E3731"/>
    <w:rsid w:val="001F193F"/>
    <w:rsid w:val="001F1E5E"/>
    <w:rsid w:val="001F1EDA"/>
    <w:rsid w:val="001F21E1"/>
    <w:rsid w:val="001F2B00"/>
    <w:rsid w:val="00200BB9"/>
    <w:rsid w:val="00200E76"/>
    <w:rsid w:val="00204AD1"/>
    <w:rsid w:val="00204DBE"/>
    <w:rsid w:val="0020660F"/>
    <w:rsid w:val="0020701A"/>
    <w:rsid w:val="002129B8"/>
    <w:rsid w:val="002149C6"/>
    <w:rsid w:val="0021509B"/>
    <w:rsid w:val="00215C3B"/>
    <w:rsid w:val="0021793E"/>
    <w:rsid w:val="00217D4C"/>
    <w:rsid w:val="002202DB"/>
    <w:rsid w:val="002230F1"/>
    <w:rsid w:val="00226A26"/>
    <w:rsid w:val="002273FE"/>
    <w:rsid w:val="00241154"/>
    <w:rsid w:val="00242191"/>
    <w:rsid w:val="00243420"/>
    <w:rsid w:val="00245E0F"/>
    <w:rsid w:val="002501D1"/>
    <w:rsid w:val="00250712"/>
    <w:rsid w:val="00250748"/>
    <w:rsid w:val="002513AC"/>
    <w:rsid w:val="00251434"/>
    <w:rsid w:val="00251B2F"/>
    <w:rsid w:val="00252570"/>
    <w:rsid w:val="00252BAB"/>
    <w:rsid w:val="002549AE"/>
    <w:rsid w:val="00257D27"/>
    <w:rsid w:val="0026087A"/>
    <w:rsid w:val="00262DC2"/>
    <w:rsid w:val="00262DCC"/>
    <w:rsid w:val="002635C0"/>
    <w:rsid w:val="00265072"/>
    <w:rsid w:val="00266E05"/>
    <w:rsid w:val="0027014E"/>
    <w:rsid w:val="002718A2"/>
    <w:rsid w:val="00274382"/>
    <w:rsid w:val="00277E81"/>
    <w:rsid w:val="00280943"/>
    <w:rsid w:val="00283574"/>
    <w:rsid w:val="00283AE6"/>
    <w:rsid w:val="00284068"/>
    <w:rsid w:val="00285C12"/>
    <w:rsid w:val="0029070B"/>
    <w:rsid w:val="00290B2A"/>
    <w:rsid w:val="002936A0"/>
    <w:rsid w:val="00294357"/>
    <w:rsid w:val="00294C9F"/>
    <w:rsid w:val="002963EA"/>
    <w:rsid w:val="00297F1B"/>
    <w:rsid w:val="002A1577"/>
    <w:rsid w:val="002A3664"/>
    <w:rsid w:val="002A528C"/>
    <w:rsid w:val="002B073E"/>
    <w:rsid w:val="002B1DC3"/>
    <w:rsid w:val="002B3BFE"/>
    <w:rsid w:val="002B4467"/>
    <w:rsid w:val="002B54E4"/>
    <w:rsid w:val="002B696C"/>
    <w:rsid w:val="002C229F"/>
    <w:rsid w:val="002C31FB"/>
    <w:rsid w:val="002C5F18"/>
    <w:rsid w:val="002C63D7"/>
    <w:rsid w:val="002C714D"/>
    <w:rsid w:val="002D0BAC"/>
    <w:rsid w:val="002D3000"/>
    <w:rsid w:val="002D6B22"/>
    <w:rsid w:val="002D6FF7"/>
    <w:rsid w:val="002E3C17"/>
    <w:rsid w:val="002F52DF"/>
    <w:rsid w:val="002F5D00"/>
    <w:rsid w:val="002F7025"/>
    <w:rsid w:val="002F7077"/>
    <w:rsid w:val="003012E0"/>
    <w:rsid w:val="003052C2"/>
    <w:rsid w:val="0030590F"/>
    <w:rsid w:val="0030702E"/>
    <w:rsid w:val="00311A0F"/>
    <w:rsid w:val="00311A55"/>
    <w:rsid w:val="003123B9"/>
    <w:rsid w:val="00315161"/>
    <w:rsid w:val="00323FF6"/>
    <w:rsid w:val="003264F2"/>
    <w:rsid w:val="00331CD6"/>
    <w:rsid w:val="003320EB"/>
    <w:rsid w:val="00333EA8"/>
    <w:rsid w:val="003342A4"/>
    <w:rsid w:val="003347E4"/>
    <w:rsid w:val="00340503"/>
    <w:rsid w:val="00340CFB"/>
    <w:rsid w:val="0034195E"/>
    <w:rsid w:val="00341A8E"/>
    <w:rsid w:val="003424BD"/>
    <w:rsid w:val="00342DC9"/>
    <w:rsid w:val="00344EC1"/>
    <w:rsid w:val="003459B9"/>
    <w:rsid w:val="003511D7"/>
    <w:rsid w:val="00356C19"/>
    <w:rsid w:val="00357771"/>
    <w:rsid w:val="00361BDF"/>
    <w:rsid w:val="00362814"/>
    <w:rsid w:val="0036388F"/>
    <w:rsid w:val="00364316"/>
    <w:rsid w:val="00367F9D"/>
    <w:rsid w:val="00371A8F"/>
    <w:rsid w:val="00374C92"/>
    <w:rsid w:val="0037631B"/>
    <w:rsid w:val="00383558"/>
    <w:rsid w:val="0038379D"/>
    <w:rsid w:val="00391C72"/>
    <w:rsid w:val="00391CCA"/>
    <w:rsid w:val="00392565"/>
    <w:rsid w:val="003977B0"/>
    <w:rsid w:val="003A212E"/>
    <w:rsid w:val="003A3DD1"/>
    <w:rsid w:val="003A504F"/>
    <w:rsid w:val="003A54B1"/>
    <w:rsid w:val="003A62AD"/>
    <w:rsid w:val="003B100D"/>
    <w:rsid w:val="003B2ECF"/>
    <w:rsid w:val="003B546B"/>
    <w:rsid w:val="003B70A2"/>
    <w:rsid w:val="003B72B9"/>
    <w:rsid w:val="003C2F48"/>
    <w:rsid w:val="003C3D5A"/>
    <w:rsid w:val="003D0C95"/>
    <w:rsid w:val="003D1FB9"/>
    <w:rsid w:val="003D217E"/>
    <w:rsid w:val="003E0041"/>
    <w:rsid w:val="003E046D"/>
    <w:rsid w:val="003E0B85"/>
    <w:rsid w:val="003E456E"/>
    <w:rsid w:val="003E485B"/>
    <w:rsid w:val="003E5812"/>
    <w:rsid w:val="003F5D66"/>
    <w:rsid w:val="00400D4D"/>
    <w:rsid w:val="004019E1"/>
    <w:rsid w:val="00401C0D"/>
    <w:rsid w:val="0040649D"/>
    <w:rsid w:val="0041202D"/>
    <w:rsid w:val="0041336D"/>
    <w:rsid w:val="0041787B"/>
    <w:rsid w:val="00421191"/>
    <w:rsid w:val="00424939"/>
    <w:rsid w:val="004315C4"/>
    <w:rsid w:val="004355A2"/>
    <w:rsid w:val="00436EE0"/>
    <w:rsid w:val="00442C6C"/>
    <w:rsid w:val="0044319D"/>
    <w:rsid w:val="00444F57"/>
    <w:rsid w:val="004511E6"/>
    <w:rsid w:val="00455082"/>
    <w:rsid w:val="004564C6"/>
    <w:rsid w:val="0045792A"/>
    <w:rsid w:val="00460FF5"/>
    <w:rsid w:val="00461286"/>
    <w:rsid w:val="004640FF"/>
    <w:rsid w:val="00464318"/>
    <w:rsid w:val="00464659"/>
    <w:rsid w:val="004649DC"/>
    <w:rsid w:val="00465A59"/>
    <w:rsid w:val="004669FB"/>
    <w:rsid w:val="00467E93"/>
    <w:rsid w:val="004713F9"/>
    <w:rsid w:val="00472BE0"/>
    <w:rsid w:val="00473082"/>
    <w:rsid w:val="004746ED"/>
    <w:rsid w:val="00475D03"/>
    <w:rsid w:val="00476793"/>
    <w:rsid w:val="00476AC6"/>
    <w:rsid w:val="00477265"/>
    <w:rsid w:val="00480E42"/>
    <w:rsid w:val="00482043"/>
    <w:rsid w:val="004838FC"/>
    <w:rsid w:val="004858B6"/>
    <w:rsid w:val="00486005"/>
    <w:rsid w:val="00486253"/>
    <w:rsid w:val="0048667D"/>
    <w:rsid w:val="00486773"/>
    <w:rsid w:val="00486FCE"/>
    <w:rsid w:val="00491788"/>
    <w:rsid w:val="004918C2"/>
    <w:rsid w:val="00491EF4"/>
    <w:rsid w:val="00492A17"/>
    <w:rsid w:val="00492EBE"/>
    <w:rsid w:val="00493E2E"/>
    <w:rsid w:val="00497C04"/>
    <w:rsid w:val="004A0F15"/>
    <w:rsid w:val="004A16DD"/>
    <w:rsid w:val="004A3ED5"/>
    <w:rsid w:val="004A417B"/>
    <w:rsid w:val="004A4A3B"/>
    <w:rsid w:val="004B1CC2"/>
    <w:rsid w:val="004B29B6"/>
    <w:rsid w:val="004C1884"/>
    <w:rsid w:val="004C2455"/>
    <w:rsid w:val="004C68CD"/>
    <w:rsid w:val="004D24D4"/>
    <w:rsid w:val="004D2662"/>
    <w:rsid w:val="004D2684"/>
    <w:rsid w:val="004D2B97"/>
    <w:rsid w:val="004D3857"/>
    <w:rsid w:val="004D3978"/>
    <w:rsid w:val="004D4722"/>
    <w:rsid w:val="004E1287"/>
    <w:rsid w:val="004E1B62"/>
    <w:rsid w:val="004E5225"/>
    <w:rsid w:val="004E5442"/>
    <w:rsid w:val="004F1FA7"/>
    <w:rsid w:val="00501951"/>
    <w:rsid w:val="00504417"/>
    <w:rsid w:val="00505ACB"/>
    <w:rsid w:val="00505D0E"/>
    <w:rsid w:val="0050788A"/>
    <w:rsid w:val="00510E67"/>
    <w:rsid w:val="005140A7"/>
    <w:rsid w:val="0052213F"/>
    <w:rsid w:val="0052226C"/>
    <w:rsid w:val="00522358"/>
    <w:rsid w:val="00522A55"/>
    <w:rsid w:val="00522BF5"/>
    <w:rsid w:val="0052396E"/>
    <w:rsid w:val="0052440D"/>
    <w:rsid w:val="00524897"/>
    <w:rsid w:val="00524C81"/>
    <w:rsid w:val="005274E5"/>
    <w:rsid w:val="00531923"/>
    <w:rsid w:val="00531E2B"/>
    <w:rsid w:val="005347C2"/>
    <w:rsid w:val="00537C6A"/>
    <w:rsid w:val="00541318"/>
    <w:rsid w:val="005413D9"/>
    <w:rsid w:val="0054188F"/>
    <w:rsid w:val="00542FD7"/>
    <w:rsid w:val="00546867"/>
    <w:rsid w:val="00551E71"/>
    <w:rsid w:val="005527DE"/>
    <w:rsid w:val="0055569B"/>
    <w:rsid w:val="005572B0"/>
    <w:rsid w:val="00561722"/>
    <w:rsid w:val="00561CCD"/>
    <w:rsid w:val="0056260D"/>
    <w:rsid w:val="00564359"/>
    <w:rsid w:val="005659E9"/>
    <w:rsid w:val="00571C88"/>
    <w:rsid w:val="0057208D"/>
    <w:rsid w:val="00572A15"/>
    <w:rsid w:val="00572AB5"/>
    <w:rsid w:val="00572CC8"/>
    <w:rsid w:val="00572DFC"/>
    <w:rsid w:val="00576FCA"/>
    <w:rsid w:val="00581B37"/>
    <w:rsid w:val="00582393"/>
    <w:rsid w:val="00583B2F"/>
    <w:rsid w:val="00585D54"/>
    <w:rsid w:val="00586232"/>
    <w:rsid w:val="005955B5"/>
    <w:rsid w:val="005A04A5"/>
    <w:rsid w:val="005A0C44"/>
    <w:rsid w:val="005A2CA6"/>
    <w:rsid w:val="005B1040"/>
    <w:rsid w:val="005B4191"/>
    <w:rsid w:val="005B7EE4"/>
    <w:rsid w:val="005C3210"/>
    <w:rsid w:val="005C47FE"/>
    <w:rsid w:val="005C4BD4"/>
    <w:rsid w:val="005C62A6"/>
    <w:rsid w:val="005D0545"/>
    <w:rsid w:val="005D0577"/>
    <w:rsid w:val="005D2F50"/>
    <w:rsid w:val="005D3E08"/>
    <w:rsid w:val="005D55BA"/>
    <w:rsid w:val="005E2E06"/>
    <w:rsid w:val="005E39CD"/>
    <w:rsid w:val="005E4789"/>
    <w:rsid w:val="005E6915"/>
    <w:rsid w:val="005F017A"/>
    <w:rsid w:val="005F7D8E"/>
    <w:rsid w:val="00600413"/>
    <w:rsid w:val="0060481D"/>
    <w:rsid w:val="00607E84"/>
    <w:rsid w:val="006113D3"/>
    <w:rsid w:val="00612482"/>
    <w:rsid w:val="00613224"/>
    <w:rsid w:val="00615B9C"/>
    <w:rsid w:val="00616D2E"/>
    <w:rsid w:val="006203AD"/>
    <w:rsid w:val="00622310"/>
    <w:rsid w:val="006231F9"/>
    <w:rsid w:val="00623419"/>
    <w:rsid w:val="006262B3"/>
    <w:rsid w:val="006322AB"/>
    <w:rsid w:val="006339B1"/>
    <w:rsid w:val="0063401E"/>
    <w:rsid w:val="00636EBF"/>
    <w:rsid w:val="006372D0"/>
    <w:rsid w:val="00637AEB"/>
    <w:rsid w:val="00640745"/>
    <w:rsid w:val="00640982"/>
    <w:rsid w:val="00640F2A"/>
    <w:rsid w:val="0064179D"/>
    <w:rsid w:val="00646613"/>
    <w:rsid w:val="006472B0"/>
    <w:rsid w:val="0065122C"/>
    <w:rsid w:val="00651A3C"/>
    <w:rsid w:val="00654440"/>
    <w:rsid w:val="0065524C"/>
    <w:rsid w:val="0065681D"/>
    <w:rsid w:val="006601F4"/>
    <w:rsid w:val="00660D11"/>
    <w:rsid w:val="00661837"/>
    <w:rsid w:val="00665476"/>
    <w:rsid w:val="00667EEE"/>
    <w:rsid w:val="00667F6B"/>
    <w:rsid w:val="00670969"/>
    <w:rsid w:val="00672717"/>
    <w:rsid w:val="006754F5"/>
    <w:rsid w:val="00677CEF"/>
    <w:rsid w:val="00677DA9"/>
    <w:rsid w:val="00681C5F"/>
    <w:rsid w:val="00681FC8"/>
    <w:rsid w:val="00687D24"/>
    <w:rsid w:val="006915F4"/>
    <w:rsid w:val="00693D64"/>
    <w:rsid w:val="0069522E"/>
    <w:rsid w:val="00695458"/>
    <w:rsid w:val="00697751"/>
    <w:rsid w:val="006A0157"/>
    <w:rsid w:val="006A26DC"/>
    <w:rsid w:val="006A2D0B"/>
    <w:rsid w:val="006A4B68"/>
    <w:rsid w:val="006B18CE"/>
    <w:rsid w:val="006B44CE"/>
    <w:rsid w:val="006C1363"/>
    <w:rsid w:val="006C3505"/>
    <w:rsid w:val="006C56D3"/>
    <w:rsid w:val="006C5B5A"/>
    <w:rsid w:val="006D4A6B"/>
    <w:rsid w:val="006D4FCC"/>
    <w:rsid w:val="006D7DAC"/>
    <w:rsid w:val="006E07AF"/>
    <w:rsid w:val="006E0B1A"/>
    <w:rsid w:val="006E1A90"/>
    <w:rsid w:val="006E5929"/>
    <w:rsid w:val="006E6224"/>
    <w:rsid w:val="006F4BDC"/>
    <w:rsid w:val="006F4DD9"/>
    <w:rsid w:val="00702B8E"/>
    <w:rsid w:val="0070631E"/>
    <w:rsid w:val="007078D5"/>
    <w:rsid w:val="007110F2"/>
    <w:rsid w:val="00711A34"/>
    <w:rsid w:val="00712238"/>
    <w:rsid w:val="00713781"/>
    <w:rsid w:val="00715B24"/>
    <w:rsid w:val="00715C66"/>
    <w:rsid w:val="007218A4"/>
    <w:rsid w:val="0072533F"/>
    <w:rsid w:val="00725B07"/>
    <w:rsid w:val="00726DCC"/>
    <w:rsid w:val="00731845"/>
    <w:rsid w:val="00731DAB"/>
    <w:rsid w:val="007330CD"/>
    <w:rsid w:val="007333FE"/>
    <w:rsid w:val="0073725A"/>
    <w:rsid w:val="007376A9"/>
    <w:rsid w:val="00741EB2"/>
    <w:rsid w:val="00746D18"/>
    <w:rsid w:val="00752500"/>
    <w:rsid w:val="00752C39"/>
    <w:rsid w:val="00753AE4"/>
    <w:rsid w:val="007543B8"/>
    <w:rsid w:val="00755941"/>
    <w:rsid w:val="00757F53"/>
    <w:rsid w:val="007602A1"/>
    <w:rsid w:val="00760F7C"/>
    <w:rsid w:val="00761320"/>
    <w:rsid w:val="007622ED"/>
    <w:rsid w:val="007648E3"/>
    <w:rsid w:val="007657F0"/>
    <w:rsid w:val="00766115"/>
    <w:rsid w:val="00770614"/>
    <w:rsid w:val="00772789"/>
    <w:rsid w:val="00773AB2"/>
    <w:rsid w:val="0077577E"/>
    <w:rsid w:val="007769DD"/>
    <w:rsid w:val="00777388"/>
    <w:rsid w:val="00777AFC"/>
    <w:rsid w:val="00777D8B"/>
    <w:rsid w:val="00783DF8"/>
    <w:rsid w:val="007854AA"/>
    <w:rsid w:val="00786530"/>
    <w:rsid w:val="007933EE"/>
    <w:rsid w:val="00793509"/>
    <w:rsid w:val="0079460F"/>
    <w:rsid w:val="00794A9B"/>
    <w:rsid w:val="00795004"/>
    <w:rsid w:val="00795A94"/>
    <w:rsid w:val="00796F16"/>
    <w:rsid w:val="007A38DF"/>
    <w:rsid w:val="007A4CCB"/>
    <w:rsid w:val="007B07C8"/>
    <w:rsid w:val="007B1532"/>
    <w:rsid w:val="007B2590"/>
    <w:rsid w:val="007B59C6"/>
    <w:rsid w:val="007B5B4D"/>
    <w:rsid w:val="007B5CA1"/>
    <w:rsid w:val="007B634F"/>
    <w:rsid w:val="007C002C"/>
    <w:rsid w:val="007C1D06"/>
    <w:rsid w:val="007C2C17"/>
    <w:rsid w:val="007C5ED3"/>
    <w:rsid w:val="007D0548"/>
    <w:rsid w:val="007D1B6E"/>
    <w:rsid w:val="007D2384"/>
    <w:rsid w:val="007D3648"/>
    <w:rsid w:val="007D5DE9"/>
    <w:rsid w:val="007D6B42"/>
    <w:rsid w:val="007D6C15"/>
    <w:rsid w:val="007E088D"/>
    <w:rsid w:val="007E2D47"/>
    <w:rsid w:val="007E5347"/>
    <w:rsid w:val="007E6CEB"/>
    <w:rsid w:val="007E6DE3"/>
    <w:rsid w:val="007F272F"/>
    <w:rsid w:val="007F30F3"/>
    <w:rsid w:val="007F6D63"/>
    <w:rsid w:val="007F7E75"/>
    <w:rsid w:val="0080186F"/>
    <w:rsid w:val="00803AF4"/>
    <w:rsid w:val="008063DE"/>
    <w:rsid w:val="008102B8"/>
    <w:rsid w:val="00813E89"/>
    <w:rsid w:val="008149DE"/>
    <w:rsid w:val="008152EF"/>
    <w:rsid w:val="008169AF"/>
    <w:rsid w:val="00817F80"/>
    <w:rsid w:val="00820705"/>
    <w:rsid w:val="00824D77"/>
    <w:rsid w:val="00824E93"/>
    <w:rsid w:val="00825949"/>
    <w:rsid w:val="0083212B"/>
    <w:rsid w:val="008331CE"/>
    <w:rsid w:val="00834714"/>
    <w:rsid w:val="0083531D"/>
    <w:rsid w:val="00841266"/>
    <w:rsid w:val="0084144E"/>
    <w:rsid w:val="00846958"/>
    <w:rsid w:val="00847CD1"/>
    <w:rsid w:val="00854A1A"/>
    <w:rsid w:val="00855558"/>
    <w:rsid w:val="008611EA"/>
    <w:rsid w:val="00861B20"/>
    <w:rsid w:val="0086362F"/>
    <w:rsid w:val="008659E4"/>
    <w:rsid w:val="008670B0"/>
    <w:rsid w:val="008670E7"/>
    <w:rsid w:val="00867DCF"/>
    <w:rsid w:val="00874CB8"/>
    <w:rsid w:val="0087620F"/>
    <w:rsid w:val="0087652A"/>
    <w:rsid w:val="00876E2F"/>
    <w:rsid w:val="00881EF1"/>
    <w:rsid w:val="00884CAC"/>
    <w:rsid w:val="00885D21"/>
    <w:rsid w:val="00887C8C"/>
    <w:rsid w:val="00892C1B"/>
    <w:rsid w:val="00892CCF"/>
    <w:rsid w:val="00895091"/>
    <w:rsid w:val="008959A1"/>
    <w:rsid w:val="00897B54"/>
    <w:rsid w:val="00897F2E"/>
    <w:rsid w:val="008A1FA1"/>
    <w:rsid w:val="008A24DC"/>
    <w:rsid w:val="008A4B11"/>
    <w:rsid w:val="008A7F01"/>
    <w:rsid w:val="008B1574"/>
    <w:rsid w:val="008B3C5E"/>
    <w:rsid w:val="008B6809"/>
    <w:rsid w:val="008B6941"/>
    <w:rsid w:val="008B768B"/>
    <w:rsid w:val="008C0121"/>
    <w:rsid w:val="008C0820"/>
    <w:rsid w:val="008C0A98"/>
    <w:rsid w:val="008C2E18"/>
    <w:rsid w:val="008C3453"/>
    <w:rsid w:val="008C56E1"/>
    <w:rsid w:val="008C6DA9"/>
    <w:rsid w:val="008C7B6E"/>
    <w:rsid w:val="008D27FD"/>
    <w:rsid w:val="008D2AB5"/>
    <w:rsid w:val="008D5DFE"/>
    <w:rsid w:val="008D6768"/>
    <w:rsid w:val="008D777E"/>
    <w:rsid w:val="008D7F3F"/>
    <w:rsid w:val="008E2297"/>
    <w:rsid w:val="008E24F6"/>
    <w:rsid w:val="008E39C5"/>
    <w:rsid w:val="008E5493"/>
    <w:rsid w:val="008E6125"/>
    <w:rsid w:val="008E636E"/>
    <w:rsid w:val="008F0F50"/>
    <w:rsid w:val="008F2990"/>
    <w:rsid w:val="008F4CFD"/>
    <w:rsid w:val="008F5905"/>
    <w:rsid w:val="008F602C"/>
    <w:rsid w:val="009001D3"/>
    <w:rsid w:val="0090136C"/>
    <w:rsid w:val="00902C21"/>
    <w:rsid w:val="00902C61"/>
    <w:rsid w:val="0090406B"/>
    <w:rsid w:val="00904475"/>
    <w:rsid w:val="00906AB9"/>
    <w:rsid w:val="00907C7B"/>
    <w:rsid w:val="00907CCF"/>
    <w:rsid w:val="00913FE0"/>
    <w:rsid w:val="00914693"/>
    <w:rsid w:val="00915A4E"/>
    <w:rsid w:val="0091622D"/>
    <w:rsid w:val="00920471"/>
    <w:rsid w:val="00920C70"/>
    <w:rsid w:val="00921035"/>
    <w:rsid w:val="0092206C"/>
    <w:rsid w:val="009236EE"/>
    <w:rsid w:val="0093056C"/>
    <w:rsid w:val="00932E5B"/>
    <w:rsid w:val="00933A1B"/>
    <w:rsid w:val="00941AA4"/>
    <w:rsid w:val="00943E63"/>
    <w:rsid w:val="00944378"/>
    <w:rsid w:val="009532DE"/>
    <w:rsid w:val="00954927"/>
    <w:rsid w:val="009563E4"/>
    <w:rsid w:val="00957679"/>
    <w:rsid w:val="00963066"/>
    <w:rsid w:val="0096572A"/>
    <w:rsid w:val="00966945"/>
    <w:rsid w:val="00967510"/>
    <w:rsid w:val="00973A17"/>
    <w:rsid w:val="00974DED"/>
    <w:rsid w:val="00974EC1"/>
    <w:rsid w:val="00975717"/>
    <w:rsid w:val="009761B3"/>
    <w:rsid w:val="0098020C"/>
    <w:rsid w:val="009810FB"/>
    <w:rsid w:val="0098577F"/>
    <w:rsid w:val="009873EB"/>
    <w:rsid w:val="00995BEA"/>
    <w:rsid w:val="0099744D"/>
    <w:rsid w:val="009A11BF"/>
    <w:rsid w:val="009A2742"/>
    <w:rsid w:val="009A35A6"/>
    <w:rsid w:val="009A3A12"/>
    <w:rsid w:val="009A4C85"/>
    <w:rsid w:val="009B141E"/>
    <w:rsid w:val="009B38A4"/>
    <w:rsid w:val="009B5E78"/>
    <w:rsid w:val="009B6A0E"/>
    <w:rsid w:val="009C4294"/>
    <w:rsid w:val="009C651E"/>
    <w:rsid w:val="009C7735"/>
    <w:rsid w:val="009D0382"/>
    <w:rsid w:val="009D0F72"/>
    <w:rsid w:val="009D2F44"/>
    <w:rsid w:val="009D3D05"/>
    <w:rsid w:val="009D404E"/>
    <w:rsid w:val="009D4DD7"/>
    <w:rsid w:val="009D5BF6"/>
    <w:rsid w:val="009E1662"/>
    <w:rsid w:val="009E19A9"/>
    <w:rsid w:val="009E3B61"/>
    <w:rsid w:val="009E47F6"/>
    <w:rsid w:val="009E7515"/>
    <w:rsid w:val="009E77CB"/>
    <w:rsid w:val="009F0362"/>
    <w:rsid w:val="009F14FB"/>
    <w:rsid w:val="009F40C7"/>
    <w:rsid w:val="009F416F"/>
    <w:rsid w:val="009F5A29"/>
    <w:rsid w:val="009F7ECD"/>
    <w:rsid w:val="00A03586"/>
    <w:rsid w:val="00A03F8A"/>
    <w:rsid w:val="00A0497A"/>
    <w:rsid w:val="00A07261"/>
    <w:rsid w:val="00A105A6"/>
    <w:rsid w:val="00A10992"/>
    <w:rsid w:val="00A15622"/>
    <w:rsid w:val="00A17A4C"/>
    <w:rsid w:val="00A24857"/>
    <w:rsid w:val="00A25102"/>
    <w:rsid w:val="00A2592E"/>
    <w:rsid w:val="00A319D5"/>
    <w:rsid w:val="00A331E0"/>
    <w:rsid w:val="00A34B61"/>
    <w:rsid w:val="00A3534E"/>
    <w:rsid w:val="00A35806"/>
    <w:rsid w:val="00A40D5A"/>
    <w:rsid w:val="00A41B60"/>
    <w:rsid w:val="00A41CA1"/>
    <w:rsid w:val="00A42A01"/>
    <w:rsid w:val="00A45281"/>
    <w:rsid w:val="00A45B0B"/>
    <w:rsid w:val="00A51ADE"/>
    <w:rsid w:val="00A51BAD"/>
    <w:rsid w:val="00A51F38"/>
    <w:rsid w:val="00A57273"/>
    <w:rsid w:val="00A6201F"/>
    <w:rsid w:val="00A629EF"/>
    <w:rsid w:val="00A6308A"/>
    <w:rsid w:val="00A63B3B"/>
    <w:rsid w:val="00A64E1C"/>
    <w:rsid w:val="00A673C3"/>
    <w:rsid w:val="00A70827"/>
    <w:rsid w:val="00A74432"/>
    <w:rsid w:val="00A80B93"/>
    <w:rsid w:val="00A81796"/>
    <w:rsid w:val="00A8181B"/>
    <w:rsid w:val="00A8503A"/>
    <w:rsid w:val="00A86B7A"/>
    <w:rsid w:val="00A8778D"/>
    <w:rsid w:val="00AA4B90"/>
    <w:rsid w:val="00AA56EE"/>
    <w:rsid w:val="00AA5AA8"/>
    <w:rsid w:val="00AA73CF"/>
    <w:rsid w:val="00AC1C70"/>
    <w:rsid w:val="00AC5DE4"/>
    <w:rsid w:val="00AD0A4F"/>
    <w:rsid w:val="00AD0BAA"/>
    <w:rsid w:val="00AD451B"/>
    <w:rsid w:val="00AD59D8"/>
    <w:rsid w:val="00AD5ECE"/>
    <w:rsid w:val="00AE1CFA"/>
    <w:rsid w:val="00AE2F1F"/>
    <w:rsid w:val="00AE35E8"/>
    <w:rsid w:val="00AE4529"/>
    <w:rsid w:val="00AE5870"/>
    <w:rsid w:val="00AE5C23"/>
    <w:rsid w:val="00AE72BA"/>
    <w:rsid w:val="00AF05CF"/>
    <w:rsid w:val="00AF0F54"/>
    <w:rsid w:val="00AF25C3"/>
    <w:rsid w:val="00AF5B35"/>
    <w:rsid w:val="00AF6DEA"/>
    <w:rsid w:val="00AF74E5"/>
    <w:rsid w:val="00AF763E"/>
    <w:rsid w:val="00AF76A9"/>
    <w:rsid w:val="00B02ED3"/>
    <w:rsid w:val="00B031AF"/>
    <w:rsid w:val="00B032AD"/>
    <w:rsid w:val="00B04ADE"/>
    <w:rsid w:val="00B06C99"/>
    <w:rsid w:val="00B07C86"/>
    <w:rsid w:val="00B07CAA"/>
    <w:rsid w:val="00B10E2D"/>
    <w:rsid w:val="00B12558"/>
    <w:rsid w:val="00B129A2"/>
    <w:rsid w:val="00B13017"/>
    <w:rsid w:val="00B14AE0"/>
    <w:rsid w:val="00B154E8"/>
    <w:rsid w:val="00B15C84"/>
    <w:rsid w:val="00B16641"/>
    <w:rsid w:val="00B257E4"/>
    <w:rsid w:val="00B27B09"/>
    <w:rsid w:val="00B32337"/>
    <w:rsid w:val="00B33C95"/>
    <w:rsid w:val="00B42923"/>
    <w:rsid w:val="00B434BC"/>
    <w:rsid w:val="00B50571"/>
    <w:rsid w:val="00B52838"/>
    <w:rsid w:val="00B563F0"/>
    <w:rsid w:val="00B622F2"/>
    <w:rsid w:val="00B64CAB"/>
    <w:rsid w:val="00B666B9"/>
    <w:rsid w:val="00B71FE3"/>
    <w:rsid w:val="00B73493"/>
    <w:rsid w:val="00B777A3"/>
    <w:rsid w:val="00B777EA"/>
    <w:rsid w:val="00B8612B"/>
    <w:rsid w:val="00B870BD"/>
    <w:rsid w:val="00B90624"/>
    <w:rsid w:val="00B91F1B"/>
    <w:rsid w:val="00B921F5"/>
    <w:rsid w:val="00B925B8"/>
    <w:rsid w:val="00B92A56"/>
    <w:rsid w:val="00B95A06"/>
    <w:rsid w:val="00B97C8F"/>
    <w:rsid w:val="00BA00C6"/>
    <w:rsid w:val="00BA3692"/>
    <w:rsid w:val="00BA44AC"/>
    <w:rsid w:val="00BA5558"/>
    <w:rsid w:val="00BA5F29"/>
    <w:rsid w:val="00BA6FBF"/>
    <w:rsid w:val="00BA7B88"/>
    <w:rsid w:val="00BB130D"/>
    <w:rsid w:val="00BB39F6"/>
    <w:rsid w:val="00BB415D"/>
    <w:rsid w:val="00BB5C58"/>
    <w:rsid w:val="00BB6414"/>
    <w:rsid w:val="00BB7F39"/>
    <w:rsid w:val="00BC072A"/>
    <w:rsid w:val="00BC1DFE"/>
    <w:rsid w:val="00BC231E"/>
    <w:rsid w:val="00BC418A"/>
    <w:rsid w:val="00BC49EC"/>
    <w:rsid w:val="00BC617E"/>
    <w:rsid w:val="00BC7802"/>
    <w:rsid w:val="00BD23C5"/>
    <w:rsid w:val="00BD4088"/>
    <w:rsid w:val="00BD450F"/>
    <w:rsid w:val="00BD4A7D"/>
    <w:rsid w:val="00BD6364"/>
    <w:rsid w:val="00BE4305"/>
    <w:rsid w:val="00BE4692"/>
    <w:rsid w:val="00BF0C3B"/>
    <w:rsid w:val="00BF0FC1"/>
    <w:rsid w:val="00BF103A"/>
    <w:rsid w:val="00BF1C67"/>
    <w:rsid w:val="00BF4C5F"/>
    <w:rsid w:val="00BF7E4C"/>
    <w:rsid w:val="00BF7ED4"/>
    <w:rsid w:val="00C00F73"/>
    <w:rsid w:val="00C025C4"/>
    <w:rsid w:val="00C02A9C"/>
    <w:rsid w:val="00C02C22"/>
    <w:rsid w:val="00C044D1"/>
    <w:rsid w:val="00C07C97"/>
    <w:rsid w:val="00C10DD8"/>
    <w:rsid w:val="00C11F7A"/>
    <w:rsid w:val="00C15818"/>
    <w:rsid w:val="00C15EE2"/>
    <w:rsid w:val="00C17450"/>
    <w:rsid w:val="00C17A53"/>
    <w:rsid w:val="00C17D53"/>
    <w:rsid w:val="00C20013"/>
    <w:rsid w:val="00C22352"/>
    <w:rsid w:val="00C22E88"/>
    <w:rsid w:val="00C22FAB"/>
    <w:rsid w:val="00C23102"/>
    <w:rsid w:val="00C23533"/>
    <w:rsid w:val="00C2481C"/>
    <w:rsid w:val="00C25078"/>
    <w:rsid w:val="00C250E0"/>
    <w:rsid w:val="00C32FED"/>
    <w:rsid w:val="00C335DA"/>
    <w:rsid w:val="00C34025"/>
    <w:rsid w:val="00C34A5F"/>
    <w:rsid w:val="00C353E1"/>
    <w:rsid w:val="00C36214"/>
    <w:rsid w:val="00C37919"/>
    <w:rsid w:val="00C425F9"/>
    <w:rsid w:val="00C45515"/>
    <w:rsid w:val="00C459C2"/>
    <w:rsid w:val="00C46832"/>
    <w:rsid w:val="00C47C34"/>
    <w:rsid w:val="00C503D4"/>
    <w:rsid w:val="00C50491"/>
    <w:rsid w:val="00C5226A"/>
    <w:rsid w:val="00C57022"/>
    <w:rsid w:val="00C61A6C"/>
    <w:rsid w:val="00C62846"/>
    <w:rsid w:val="00C64086"/>
    <w:rsid w:val="00C645D0"/>
    <w:rsid w:val="00C67550"/>
    <w:rsid w:val="00C72873"/>
    <w:rsid w:val="00C74619"/>
    <w:rsid w:val="00C748C0"/>
    <w:rsid w:val="00C755DA"/>
    <w:rsid w:val="00C806D5"/>
    <w:rsid w:val="00C806E1"/>
    <w:rsid w:val="00C81B9C"/>
    <w:rsid w:val="00C8316F"/>
    <w:rsid w:val="00C836D0"/>
    <w:rsid w:val="00C85CEB"/>
    <w:rsid w:val="00C869A4"/>
    <w:rsid w:val="00C875D4"/>
    <w:rsid w:val="00C93045"/>
    <w:rsid w:val="00C93845"/>
    <w:rsid w:val="00CA01DA"/>
    <w:rsid w:val="00CA0640"/>
    <w:rsid w:val="00CA4B89"/>
    <w:rsid w:val="00CA5330"/>
    <w:rsid w:val="00CA7777"/>
    <w:rsid w:val="00CB1F54"/>
    <w:rsid w:val="00CB2249"/>
    <w:rsid w:val="00CB49E6"/>
    <w:rsid w:val="00CB55AD"/>
    <w:rsid w:val="00CC176D"/>
    <w:rsid w:val="00CC294B"/>
    <w:rsid w:val="00CC373F"/>
    <w:rsid w:val="00CC5540"/>
    <w:rsid w:val="00CD365D"/>
    <w:rsid w:val="00CD54A7"/>
    <w:rsid w:val="00CD55D1"/>
    <w:rsid w:val="00CD7F80"/>
    <w:rsid w:val="00CE77BB"/>
    <w:rsid w:val="00CF26A0"/>
    <w:rsid w:val="00CF3ED1"/>
    <w:rsid w:val="00CF3F4C"/>
    <w:rsid w:val="00CF4263"/>
    <w:rsid w:val="00CF4FA0"/>
    <w:rsid w:val="00CF7FAB"/>
    <w:rsid w:val="00D00627"/>
    <w:rsid w:val="00D049A1"/>
    <w:rsid w:val="00D052F1"/>
    <w:rsid w:val="00D15B90"/>
    <w:rsid w:val="00D15DF4"/>
    <w:rsid w:val="00D20BD1"/>
    <w:rsid w:val="00D22F3D"/>
    <w:rsid w:val="00D234BD"/>
    <w:rsid w:val="00D26520"/>
    <w:rsid w:val="00D279C7"/>
    <w:rsid w:val="00D3023B"/>
    <w:rsid w:val="00D32472"/>
    <w:rsid w:val="00D326BD"/>
    <w:rsid w:val="00D40015"/>
    <w:rsid w:val="00D4342C"/>
    <w:rsid w:val="00D4360F"/>
    <w:rsid w:val="00D446EA"/>
    <w:rsid w:val="00D449CD"/>
    <w:rsid w:val="00D44DF3"/>
    <w:rsid w:val="00D452C1"/>
    <w:rsid w:val="00D474A7"/>
    <w:rsid w:val="00D476C2"/>
    <w:rsid w:val="00D47F56"/>
    <w:rsid w:val="00D54B41"/>
    <w:rsid w:val="00D54E08"/>
    <w:rsid w:val="00D54F52"/>
    <w:rsid w:val="00D55DA7"/>
    <w:rsid w:val="00D56445"/>
    <w:rsid w:val="00D573D1"/>
    <w:rsid w:val="00D57E32"/>
    <w:rsid w:val="00D63117"/>
    <w:rsid w:val="00D70730"/>
    <w:rsid w:val="00D72C43"/>
    <w:rsid w:val="00D737BE"/>
    <w:rsid w:val="00D75A59"/>
    <w:rsid w:val="00D812D9"/>
    <w:rsid w:val="00D825F4"/>
    <w:rsid w:val="00D82A5D"/>
    <w:rsid w:val="00D84AF8"/>
    <w:rsid w:val="00D85B0B"/>
    <w:rsid w:val="00D85F4B"/>
    <w:rsid w:val="00D90977"/>
    <w:rsid w:val="00D91A11"/>
    <w:rsid w:val="00D94FD6"/>
    <w:rsid w:val="00D952CF"/>
    <w:rsid w:val="00D96383"/>
    <w:rsid w:val="00DA0B7D"/>
    <w:rsid w:val="00DA4DD0"/>
    <w:rsid w:val="00DA615D"/>
    <w:rsid w:val="00DB0D3C"/>
    <w:rsid w:val="00DB11DA"/>
    <w:rsid w:val="00DB151E"/>
    <w:rsid w:val="00DB1AE0"/>
    <w:rsid w:val="00DB3058"/>
    <w:rsid w:val="00DB74EE"/>
    <w:rsid w:val="00DB7D24"/>
    <w:rsid w:val="00DC0EC7"/>
    <w:rsid w:val="00DC5982"/>
    <w:rsid w:val="00DC6E6A"/>
    <w:rsid w:val="00DD0941"/>
    <w:rsid w:val="00DD0B78"/>
    <w:rsid w:val="00DD64D7"/>
    <w:rsid w:val="00DE02FF"/>
    <w:rsid w:val="00DE0594"/>
    <w:rsid w:val="00DE28DC"/>
    <w:rsid w:val="00DE3696"/>
    <w:rsid w:val="00DE51F7"/>
    <w:rsid w:val="00DE6402"/>
    <w:rsid w:val="00DF1963"/>
    <w:rsid w:val="00E00CC7"/>
    <w:rsid w:val="00E01668"/>
    <w:rsid w:val="00E0180E"/>
    <w:rsid w:val="00E0261C"/>
    <w:rsid w:val="00E03BEC"/>
    <w:rsid w:val="00E03D20"/>
    <w:rsid w:val="00E04EEF"/>
    <w:rsid w:val="00E05F64"/>
    <w:rsid w:val="00E10180"/>
    <w:rsid w:val="00E1120C"/>
    <w:rsid w:val="00E12684"/>
    <w:rsid w:val="00E12C6F"/>
    <w:rsid w:val="00E204AB"/>
    <w:rsid w:val="00E21DDE"/>
    <w:rsid w:val="00E21E20"/>
    <w:rsid w:val="00E300F1"/>
    <w:rsid w:val="00E30BD0"/>
    <w:rsid w:val="00E323E5"/>
    <w:rsid w:val="00E33E6F"/>
    <w:rsid w:val="00E35BCF"/>
    <w:rsid w:val="00E4641B"/>
    <w:rsid w:val="00E4655C"/>
    <w:rsid w:val="00E47D8F"/>
    <w:rsid w:val="00E50940"/>
    <w:rsid w:val="00E52350"/>
    <w:rsid w:val="00E55DAD"/>
    <w:rsid w:val="00E607F6"/>
    <w:rsid w:val="00E645B4"/>
    <w:rsid w:val="00E6592C"/>
    <w:rsid w:val="00E65F89"/>
    <w:rsid w:val="00E7479C"/>
    <w:rsid w:val="00E766B7"/>
    <w:rsid w:val="00E80DF2"/>
    <w:rsid w:val="00E811C9"/>
    <w:rsid w:val="00E82457"/>
    <w:rsid w:val="00E84068"/>
    <w:rsid w:val="00E846A5"/>
    <w:rsid w:val="00E86CC5"/>
    <w:rsid w:val="00E91F8A"/>
    <w:rsid w:val="00E92BA4"/>
    <w:rsid w:val="00E95AE8"/>
    <w:rsid w:val="00E9725A"/>
    <w:rsid w:val="00EA0A80"/>
    <w:rsid w:val="00EA1D10"/>
    <w:rsid w:val="00EA31D3"/>
    <w:rsid w:val="00EA32EC"/>
    <w:rsid w:val="00EB296E"/>
    <w:rsid w:val="00EB4FE3"/>
    <w:rsid w:val="00EB70EB"/>
    <w:rsid w:val="00EB75B5"/>
    <w:rsid w:val="00EC17A3"/>
    <w:rsid w:val="00EC1B37"/>
    <w:rsid w:val="00EC33B8"/>
    <w:rsid w:val="00EC3770"/>
    <w:rsid w:val="00EC564E"/>
    <w:rsid w:val="00EC5BA7"/>
    <w:rsid w:val="00ED13BF"/>
    <w:rsid w:val="00ED1C5D"/>
    <w:rsid w:val="00ED30B8"/>
    <w:rsid w:val="00ED3739"/>
    <w:rsid w:val="00ED52CD"/>
    <w:rsid w:val="00ED573F"/>
    <w:rsid w:val="00EE0103"/>
    <w:rsid w:val="00EE1F42"/>
    <w:rsid w:val="00EE7871"/>
    <w:rsid w:val="00EF21A8"/>
    <w:rsid w:val="00EF306C"/>
    <w:rsid w:val="00EF47A6"/>
    <w:rsid w:val="00EF56B8"/>
    <w:rsid w:val="00F001CE"/>
    <w:rsid w:val="00F01246"/>
    <w:rsid w:val="00F02A81"/>
    <w:rsid w:val="00F10CB1"/>
    <w:rsid w:val="00F10E86"/>
    <w:rsid w:val="00F1198E"/>
    <w:rsid w:val="00F1272B"/>
    <w:rsid w:val="00F12D4E"/>
    <w:rsid w:val="00F13326"/>
    <w:rsid w:val="00F136FF"/>
    <w:rsid w:val="00F13C90"/>
    <w:rsid w:val="00F15248"/>
    <w:rsid w:val="00F157AA"/>
    <w:rsid w:val="00F1610C"/>
    <w:rsid w:val="00F1670D"/>
    <w:rsid w:val="00F20825"/>
    <w:rsid w:val="00F236D5"/>
    <w:rsid w:val="00F263A9"/>
    <w:rsid w:val="00F27717"/>
    <w:rsid w:val="00F34BDB"/>
    <w:rsid w:val="00F35F51"/>
    <w:rsid w:val="00F40CD5"/>
    <w:rsid w:val="00F44F01"/>
    <w:rsid w:val="00F451C7"/>
    <w:rsid w:val="00F500D7"/>
    <w:rsid w:val="00F56E0B"/>
    <w:rsid w:val="00F60579"/>
    <w:rsid w:val="00F67D0E"/>
    <w:rsid w:val="00F70CD0"/>
    <w:rsid w:val="00F71304"/>
    <w:rsid w:val="00F71A90"/>
    <w:rsid w:val="00F76F43"/>
    <w:rsid w:val="00F77D00"/>
    <w:rsid w:val="00F82E48"/>
    <w:rsid w:val="00F8406E"/>
    <w:rsid w:val="00F8451A"/>
    <w:rsid w:val="00F8705C"/>
    <w:rsid w:val="00F93645"/>
    <w:rsid w:val="00F96E8D"/>
    <w:rsid w:val="00F97164"/>
    <w:rsid w:val="00FA0519"/>
    <w:rsid w:val="00FA1DBD"/>
    <w:rsid w:val="00FA2D98"/>
    <w:rsid w:val="00FA3BE3"/>
    <w:rsid w:val="00FA5C1C"/>
    <w:rsid w:val="00FA73D2"/>
    <w:rsid w:val="00FB2150"/>
    <w:rsid w:val="00FB7B36"/>
    <w:rsid w:val="00FC049B"/>
    <w:rsid w:val="00FC0A10"/>
    <w:rsid w:val="00FC2836"/>
    <w:rsid w:val="00FC4BC8"/>
    <w:rsid w:val="00FC7890"/>
    <w:rsid w:val="00FD04AF"/>
    <w:rsid w:val="00FD3975"/>
    <w:rsid w:val="00FD489C"/>
    <w:rsid w:val="00FD54FD"/>
    <w:rsid w:val="00FD6995"/>
    <w:rsid w:val="00FE05B9"/>
    <w:rsid w:val="00FE3012"/>
    <w:rsid w:val="00FE391D"/>
    <w:rsid w:val="00FE55C4"/>
    <w:rsid w:val="00FE58F1"/>
    <w:rsid w:val="00FE7BB9"/>
    <w:rsid w:val="00FF0663"/>
    <w:rsid w:val="00FF1CFE"/>
    <w:rsid w:val="00FF357E"/>
    <w:rsid w:val="00FF524D"/>
    <w:rsid w:val="00FF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5A3FF"/>
  <w15:docId w15:val="{07B0A9FC-A02C-4669-9A8D-426E0D70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1FB"/>
    <w:pPr>
      <w:spacing w:after="0" w:line="24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9C7735"/>
    <w:pPr>
      <w:keepNext/>
      <w:keepLines/>
      <w:numPr>
        <w:numId w:val="7"/>
      </w:numPr>
      <w:spacing w:before="240"/>
      <w:outlineLvl w:val="0"/>
    </w:pPr>
    <w:rPr>
      <w:b/>
      <w:smallCaps/>
      <w:sz w:val="26"/>
    </w:rPr>
  </w:style>
  <w:style w:type="paragraph" w:styleId="Heading2">
    <w:name w:val="heading 2"/>
    <w:basedOn w:val="Normal"/>
    <w:next w:val="Normal"/>
    <w:link w:val="Heading2Char"/>
    <w:uiPriority w:val="9"/>
    <w:unhideWhenUsed/>
    <w:qFormat/>
    <w:rsid w:val="00E4641B"/>
    <w:pPr>
      <w:keepNext/>
      <w:keepLines/>
      <w:numPr>
        <w:ilvl w:val="1"/>
        <w:numId w:val="7"/>
      </w:numPr>
      <w:spacing w:before="40"/>
      <w:outlineLvl w:val="1"/>
    </w:pPr>
    <w:rPr>
      <w:rFonts w:eastAsiaTheme="majorEastAsia" w:cstheme="majorBidi"/>
      <w:b/>
      <w:smallCaps/>
      <w:szCs w:val="26"/>
    </w:rPr>
  </w:style>
  <w:style w:type="paragraph" w:styleId="Heading3">
    <w:name w:val="heading 3"/>
    <w:basedOn w:val="Normal"/>
    <w:next w:val="Normal"/>
    <w:link w:val="Heading3Char"/>
    <w:uiPriority w:val="9"/>
    <w:unhideWhenUsed/>
    <w:qFormat/>
    <w:rsid w:val="0038379D"/>
    <w:pPr>
      <w:keepNext/>
      <w:keepLines/>
      <w:numPr>
        <w:ilvl w:val="2"/>
        <w:numId w:val="7"/>
      </w:numPr>
      <w:spacing w:before="40"/>
      <w:outlineLvl w:val="2"/>
    </w:pPr>
    <w:rPr>
      <w:rFonts w:eastAsiaTheme="majorEastAsia" w:cstheme="majorBidi"/>
      <w:i/>
    </w:rPr>
  </w:style>
  <w:style w:type="paragraph" w:styleId="Heading4">
    <w:name w:val="heading 4"/>
    <w:basedOn w:val="Normal"/>
    <w:next w:val="Normal"/>
    <w:link w:val="Heading4Char"/>
    <w:uiPriority w:val="9"/>
    <w:semiHidden/>
    <w:unhideWhenUsed/>
    <w:qFormat/>
    <w:rsid w:val="00153E69"/>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53E69"/>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3E69"/>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3E69"/>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3E69"/>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3E69"/>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01D1"/>
    <w:pPr>
      <w:contextualSpacing/>
    </w:pPr>
    <w:rPr>
      <w:rFonts w:eastAsiaTheme="majorEastAsia" w:cstheme="majorBidi"/>
      <w:b/>
      <w:spacing w:val="-10"/>
      <w:kern w:val="28"/>
      <w:sz w:val="26"/>
      <w:szCs w:val="56"/>
    </w:rPr>
  </w:style>
  <w:style w:type="character" w:customStyle="1" w:styleId="TitleChar">
    <w:name w:val="Title Char"/>
    <w:basedOn w:val="DefaultParagraphFont"/>
    <w:link w:val="Title"/>
    <w:uiPriority w:val="10"/>
    <w:rsid w:val="002501D1"/>
    <w:rPr>
      <w:rFonts w:ascii="Times New Roman" w:eastAsiaTheme="majorEastAsia" w:hAnsi="Times New Roman" w:cstheme="majorBidi"/>
      <w:b/>
      <w:spacing w:val="-10"/>
      <w:kern w:val="28"/>
      <w:sz w:val="26"/>
      <w:szCs w:val="56"/>
    </w:rPr>
  </w:style>
  <w:style w:type="character" w:styleId="Hyperlink">
    <w:name w:val="Hyperlink"/>
    <w:basedOn w:val="DefaultParagraphFont"/>
    <w:uiPriority w:val="99"/>
    <w:unhideWhenUsed/>
    <w:rsid w:val="00914693"/>
    <w:rPr>
      <w:color w:val="0563C1" w:themeColor="hyperlink"/>
      <w:u w:val="single"/>
    </w:rPr>
  </w:style>
  <w:style w:type="character" w:styleId="LineNumber">
    <w:name w:val="line number"/>
    <w:basedOn w:val="DefaultParagraphFont"/>
    <w:uiPriority w:val="99"/>
    <w:semiHidden/>
    <w:unhideWhenUsed/>
    <w:rsid w:val="00914693"/>
  </w:style>
  <w:style w:type="paragraph" w:styleId="ListParagraph">
    <w:name w:val="List Paragraph"/>
    <w:basedOn w:val="Normal"/>
    <w:uiPriority w:val="34"/>
    <w:qFormat/>
    <w:rsid w:val="009B6A0E"/>
    <w:pPr>
      <w:ind w:left="720"/>
      <w:contextualSpacing/>
    </w:pPr>
  </w:style>
  <w:style w:type="paragraph" w:styleId="Header">
    <w:name w:val="header"/>
    <w:basedOn w:val="Normal"/>
    <w:link w:val="HeaderChar"/>
    <w:uiPriority w:val="99"/>
    <w:unhideWhenUsed/>
    <w:rsid w:val="00FC4BC8"/>
    <w:pPr>
      <w:tabs>
        <w:tab w:val="center" w:pos="4680"/>
        <w:tab w:val="right" w:pos="9360"/>
      </w:tabs>
    </w:pPr>
  </w:style>
  <w:style w:type="character" w:customStyle="1" w:styleId="HeaderChar">
    <w:name w:val="Header Char"/>
    <w:basedOn w:val="DefaultParagraphFont"/>
    <w:link w:val="Header"/>
    <w:uiPriority w:val="99"/>
    <w:rsid w:val="00FC4BC8"/>
  </w:style>
  <w:style w:type="paragraph" w:styleId="Footer">
    <w:name w:val="footer"/>
    <w:basedOn w:val="Normal"/>
    <w:link w:val="FooterChar"/>
    <w:uiPriority w:val="99"/>
    <w:unhideWhenUsed/>
    <w:rsid w:val="00FC4BC8"/>
    <w:pPr>
      <w:tabs>
        <w:tab w:val="center" w:pos="4680"/>
        <w:tab w:val="right" w:pos="9360"/>
      </w:tabs>
    </w:pPr>
  </w:style>
  <w:style w:type="character" w:customStyle="1" w:styleId="FooterChar">
    <w:name w:val="Footer Char"/>
    <w:basedOn w:val="DefaultParagraphFont"/>
    <w:link w:val="Footer"/>
    <w:uiPriority w:val="99"/>
    <w:rsid w:val="00FC4BC8"/>
  </w:style>
  <w:style w:type="paragraph" w:styleId="Caption">
    <w:name w:val="caption"/>
    <w:basedOn w:val="Normal"/>
    <w:next w:val="Normal"/>
    <w:uiPriority w:val="35"/>
    <w:unhideWhenUsed/>
    <w:qFormat/>
    <w:rsid w:val="00D91A11"/>
    <w:pPr>
      <w:spacing w:after="120"/>
      <w:jc w:val="center"/>
    </w:pPr>
    <w:rPr>
      <w:b/>
      <w:iCs/>
      <w:szCs w:val="18"/>
    </w:rPr>
  </w:style>
  <w:style w:type="character" w:customStyle="1" w:styleId="prefix">
    <w:name w:val="prefix"/>
    <w:basedOn w:val="DefaultParagraphFont"/>
    <w:rsid w:val="00311A0F"/>
  </w:style>
  <w:style w:type="paragraph" w:styleId="FootnoteText">
    <w:name w:val="footnote text"/>
    <w:basedOn w:val="Normal"/>
    <w:link w:val="FootnoteTextChar"/>
    <w:uiPriority w:val="99"/>
    <w:unhideWhenUsed/>
    <w:rsid w:val="009D0382"/>
    <w:rPr>
      <w:sz w:val="20"/>
      <w:szCs w:val="20"/>
    </w:rPr>
  </w:style>
  <w:style w:type="character" w:customStyle="1" w:styleId="FootnoteTextChar">
    <w:name w:val="Footnote Text Char"/>
    <w:basedOn w:val="DefaultParagraphFont"/>
    <w:link w:val="FootnoteText"/>
    <w:uiPriority w:val="99"/>
    <w:rsid w:val="009D0382"/>
    <w:rPr>
      <w:sz w:val="20"/>
      <w:szCs w:val="20"/>
    </w:rPr>
  </w:style>
  <w:style w:type="character" w:styleId="FootnoteReference">
    <w:name w:val="footnote reference"/>
    <w:basedOn w:val="DefaultParagraphFont"/>
    <w:uiPriority w:val="99"/>
    <w:unhideWhenUsed/>
    <w:rsid w:val="009D0382"/>
    <w:rPr>
      <w:vertAlign w:val="superscript"/>
    </w:rPr>
  </w:style>
  <w:style w:type="character" w:customStyle="1" w:styleId="Heading1Char">
    <w:name w:val="Heading 1 Char"/>
    <w:basedOn w:val="DefaultParagraphFont"/>
    <w:link w:val="Heading1"/>
    <w:uiPriority w:val="9"/>
    <w:rsid w:val="009C7735"/>
    <w:rPr>
      <w:rFonts w:ascii="Times New Roman" w:hAnsi="Times New Roman" w:cs="Times New Roman"/>
      <w:b/>
      <w:smallCaps/>
      <w:sz w:val="26"/>
      <w:szCs w:val="24"/>
    </w:rPr>
  </w:style>
  <w:style w:type="character" w:customStyle="1" w:styleId="Heading2Char">
    <w:name w:val="Heading 2 Char"/>
    <w:basedOn w:val="DefaultParagraphFont"/>
    <w:link w:val="Heading2"/>
    <w:uiPriority w:val="9"/>
    <w:rsid w:val="00E4641B"/>
    <w:rPr>
      <w:rFonts w:ascii="Times New Roman" w:eastAsiaTheme="majorEastAsia" w:hAnsi="Times New Roman" w:cstheme="majorBidi"/>
      <w:b/>
      <w:smallCaps/>
      <w:sz w:val="24"/>
      <w:szCs w:val="26"/>
    </w:rPr>
  </w:style>
  <w:style w:type="character" w:customStyle="1" w:styleId="Heading3Char">
    <w:name w:val="Heading 3 Char"/>
    <w:basedOn w:val="DefaultParagraphFont"/>
    <w:link w:val="Heading3"/>
    <w:uiPriority w:val="9"/>
    <w:rsid w:val="0038379D"/>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semiHidden/>
    <w:rsid w:val="00153E6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53E6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53E6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53E6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53E6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3E69"/>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153E69"/>
    <w:pPr>
      <w:numPr>
        <w:numId w:val="8"/>
      </w:numPr>
    </w:pPr>
  </w:style>
  <w:style w:type="paragraph" w:customStyle="1" w:styleId="text">
    <w:name w:val="text"/>
    <w:aliases w:val="t"/>
    <w:basedOn w:val="Normal"/>
    <w:uiPriority w:val="99"/>
    <w:rsid w:val="004D24D4"/>
    <w:pPr>
      <w:overflowPunct w:val="0"/>
      <w:autoSpaceDE w:val="0"/>
      <w:autoSpaceDN w:val="0"/>
      <w:adjustRightInd w:val="0"/>
      <w:spacing w:line="480" w:lineRule="atLeast"/>
      <w:ind w:firstLine="720"/>
      <w:textAlignment w:val="baseline"/>
    </w:pPr>
    <w:rPr>
      <w:rFonts w:ascii="Times" w:eastAsia="Calibri" w:hAnsi="Times"/>
      <w:szCs w:val="20"/>
    </w:rPr>
  </w:style>
  <w:style w:type="paragraph" w:styleId="BodyText2">
    <w:name w:val="Body Text 2"/>
    <w:basedOn w:val="Normal"/>
    <w:link w:val="BodyText2Char"/>
    <w:uiPriority w:val="99"/>
    <w:rsid w:val="004D24D4"/>
    <w:pPr>
      <w:spacing w:after="120" w:line="360" w:lineRule="auto"/>
      <w:ind w:firstLine="720"/>
      <w:jc w:val="left"/>
    </w:pPr>
    <w:rPr>
      <w:rFonts w:eastAsia="Calibri"/>
    </w:rPr>
  </w:style>
  <w:style w:type="character" w:customStyle="1" w:styleId="BodyText2Char">
    <w:name w:val="Body Text 2 Char"/>
    <w:basedOn w:val="DefaultParagraphFont"/>
    <w:link w:val="BodyText2"/>
    <w:uiPriority w:val="99"/>
    <w:rsid w:val="004D24D4"/>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F8705C"/>
    <w:rPr>
      <w:color w:val="954F72" w:themeColor="followedHyperlink"/>
      <w:u w:val="single"/>
    </w:rPr>
  </w:style>
  <w:style w:type="paragraph" w:styleId="BalloonText">
    <w:name w:val="Balloon Text"/>
    <w:basedOn w:val="Normal"/>
    <w:link w:val="BalloonTextChar"/>
    <w:uiPriority w:val="99"/>
    <w:semiHidden/>
    <w:unhideWhenUsed/>
    <w:rsid w:val="00461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86"/>
    <w:rPr>
      <w:rFonts w:ascii="Segoe UI" w:hAnsi="Segoe UI" w:cs="Segoe UI"/>
      <w:sz w:val="18"/>
      <w:szCs w:val="18"/>
    </w:rPr>
  </w:style>
  <w:style w:type="character" w:customStyle="1" w:styleId="apple-converted-space">
    <w:name w:val="apple-converted-space"/>
    <w:basedOn w:val="DefaultParagraphFont"/>
    <w:rsid w:val="001412CA"/>
  </w:style>
  <w:style w:type="character" w:styleId="CommentReference">
    <w:name w:val="annotation reference"/>
    <w:basedOn w:val="DefaultParagraphFont"/>
    <w:uiPriority w:val="99"/>
    <w:semiHidden/>
    <w:unhideWhenUsed/>
    <w:rsid w:val="00BC072A"/>
    <w:rPr>
      <w:sz w:val="16"/>
      <w:szCs w:val="16"/>
    </w:rPr>
  </w:style>
  <w:style w:type="paragraph" w:styleId="CommentText">
    <w:name w:val="annotation text"/>
    <w:basedOn w:val="Normal"/>
    <w:link w:val="CommentTextChar"/>
    <w:uiPriority w:val="99"/>
    <w:semiHidden/>
    <w:unhideWhenUsed/>
    <w:rsid w:val="00BC072A"/>
    <w:rPr>
      <w:sz w:val="20"/>
      <w:szCs w:val="20"/>
    </w:rPr>
  </w:style>
  <w:style w:type="character" w:customStyle="1" w:styleId="CommentTextChar">
    <w:name w:val="Comment Text Char"/>
    <w:basedOn w:val="DefaultParagraphFont"/>
    <w:link w:val="CommentText"/>
    <w:uiPriority w:val="99"/>
    <w:semiHidden/>
    <w:rsid w:val="00BC072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072A"/>
    <w:rPr>
      <w:b/>
      <w:bCs/>
    </w:rPr>
  </w:style>
  <w:style w:type="character" w:customStyle="1" w:styleId="CommentSubjectChar">
    <w:name w:val="Comment Subject Char"/>
    <w:basedOn w:val="CommentTextChar"/>
    <w:link w:val="CommentSubject"/>
    <w:uiPriority w:val="99"/>
    <w:semiHidden/>
    <w:rsid w:val="00BC072A"/>
    <w:rPr>
      <w:rFonts w:ascii="Times New Roman" w:hAnsi="Times New Roman" w:cs="Times New Roman"/>
      <w:b/>
      <w:bCs/>
      <w:sz w:val="20"/>
      <w:szCs w:val="20"/>
    </w:rPr>
  </w:style>
  <w:style w:type="paragraph" w:customStyle="1" w:styleId="Names">
    <w:name w:val="Names"/>
    <w:basedOn w:val="Normal"/>
    <w:link w:val="NamesChar"/>
    <w:qFormat/>
    <w:rsid w:val="00242191"/>
    <w:pPr>
      <w:spacing w:after="120" w:line="276" w:lineRule="auto"/>
    </w:pPr>
    <w:rPr>
      <w:szCs w:val="22"/>
    </w:rPr>
  </w:style>
  <w:style w:type="character" w:customStyle="1" w:styleId="NamesChar">
    <w:name w:val="Names Char"/>
    <w:basedOn w:val="DefaultParagraphFont"/>
    <w:link w:val="Names"/>
    <w:rsid w:val="00242191"/>
    <w:rPr>
      <w:rFonts w:ascii="Times New Roman" w:hAnsi="Times New Roman" w:cs="Times New Roman"/>
      <w:sz w:val="24"/>
    </w:rPr>
  </w:style>
  <w:style w:type="character" w:customStyle="1" w:styleId="hlfld-title">
    <w:name w:val="hlfld-title"/>
    <w:basedOn w:val="DefaultParagraphFont"/>
    <w:rsid w:val="00D40015"/>
  </w:style>
  <w:style w:type="character" w:customStyle="1" w:styleId="contribdegrees">
    <w:name w:val="contribdegrees"/>
    <w:basedOn w:val="DefaultParagraphFont"/>
    <w:rsid w:val="00D40015"/>
  </w:style>
  <w:style w:type="character" w:customStyle="1" w:styleId="commaafterauthortoc">
    <w:name w:val="commaafterauthor_toc"/>
    <w:basedOn w:val="DefaultParagraphFont"/>
    <w:rsid w:val="00D40015"/>
  </w:style>
  <w:style w:type="character" w:customStyle="1" w:styleId="maintextleft">
    <w:name w:val="maintextleft"/>
    <w:basedOn w:val="DefaultParagraphFont"/>
    <w:rsid w:val="00D40015"/>
  </w:style>
  <w:style w:type="character" w:customStyle="1" w:styleId="epubdatelabel">
    <w:name w:val="epubdatelabel"/>
    <w:basedOn w:val="DefaultParagraphFont"/>
    <w:rsid w:val="00D40015"/>
  </w:style>
  <w:style w:type="character" w:customStyle="1" w:styleId="articlepagerange">
    <w:name w:val="articlepagerange"/>
    <w:basedOn w:val="DefaultParagraphFont"/>
    <w:rsid w:val="00D40015"/>
  </w:style>
  <w:style w:type="character" w:customStyle="1" w:styleId="nlmarticle-title">
    <w:name w:val="nlm_article-title"/>
    <w:basedOn w:val="DefaultParagraphFont"/>
    <w:rsid w:val="005527DE"/>
  </w:style>
  <w:style w:type="character" w:customStyle="1" w:styleId="orcid-icon">
    <w:name w:val="orcid-icon"/>
    <w:basedOn w:val="DefaultParagraphFont"/>
    <w:rsid w:val="00552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9659">
      <w:bodyDiv w:val="1"/>
      <w:marLeft w:val="0"/>
      <w:marRight w:val="0"/>
      <w:marTop w:val="0"/>
      <w:marBottom w:val="0"/>
      <w:divBdr>
        <w:top w:val="none" w:sz="0" w:space="0" w:color="auto"/>
        <w:left w:val="none" w:sz="0" w:space="0" w:color="auto"/>
        <w:bottom w:val="none" w:sz="0" w:space="0" w:color="auto"/>
        <w:right w:val="none" w:sz="0" w:space="0" w:color="auto"/>
      </w:divBdr>
    </w:div>
    <w:div w:id="39986908">
      <w:bodyDiv w:val="1"/>
      <w:marLeft w:val="0"/>
      <w:marRight w:val="0"/>
      <w:marTop w:val="0"/>
      <w:marBottom w:val="0"/>
      <w:divBdr>
        <w:top w:val="none" w:sz="0" w:space="0" w:color="auto"/>
        <w:left w:val="none" w:sz="0" w:space="0" w:color="auto"/>
        <w:bottom w:val="none" w:sz="0" w:space="0" w:color="auto"/>
        <w:right w:val="none" w:sz="0" w:space="0" w:color="auto"/>
      </w:divBdr>
    </w:div>
    <w:div w:id="52389823">
      <w:bodyDiv w:val="1"/>
      <w:marLeft w:val="0"/>
      <w:marRight w:val="0"/>
      <w:marTop w:val="0"/>
      <w:marBottom w:val="0"/>
      <w:divBdr>
        <w:top w:val="none" w:sz="0" w:space="0" w:color="auto"/>
        <w:left w:val="none" w:sz="0" w:space="0" w:color="auto"/>
        <w:bottom w:val="none" w:sz="0" w:space="0" w:color="auto"/>
        <w:right w:val="none" w:sz="0" w:space="0" w:color="auto"/>
      </w:divBdr>
    </w:div>
    <w:div w:id="131220655">
      <w:bodyDiv w:val="1"/>
      <w:marLeft w:val="0"/>
      <w:marRight w:val="0"/>
      <w:marTop w:val="0"/>
      <w:marBottom w:val="0"/>
      <w:divBdr>
        <w:top w:val="none" w:sz="0" w:space="0" w:color="auto"/>
        <w:left w:val="none" w:sz="0" w:space="0" w:color="auto"/>
        <w:bottom w:val="none" w:sz="0" w:space="0" w:color="auto"/>
        <w:right w:val="none" w:sz="0" w:space="0" w:color="auto"/>
      </w:divBdr>
    </w:div>
    <w:div w:id="207030072">
      <w:bodyDiv w:val="1"/>
      <w:marLeft w:val="0"/>
      <w:marRight w:val="0"/>
      <w:marTop w:val="0"/>
      <w:marBottom w:val="0"/>
      <w:divBdr>
        <w:top w:val="none" w:sz="0" w:space="0" w:color="auto"/>
        <w:left w:val="none" w:sz="0" w:space="0" w:color="auto"/>
        <w:bottom w:val="none" w:sz="0" w:space="0" w:color="auto"/>
        <w:right w:val="none" w:sz="0" w:space="0" w:color="auto"/>
      </w:divBdr>
    </w:div>
    <w:div w:id="228998041">
      <w:bodyDiv w:val="1"/>
      <w:marLeft w:val="0"/>
      <w:marRight w:val="0"/>
      <w:marTop w:val="0"/>
      <w:marBottom w:val="0"/>
      <w:divBdr>
        <w:top w:val="none" w:sz="0" w:space="0" w:color="auto"/>
        <w:left w:val="none" w:sz="0" w:space="0" w:color="auto"/>
        <w:bottom w:val="none" w:sz="0" w:space="0" w:color="auto"/>
        <w:right w:val="none" w:sz="0" w:space="0" w:color="auto"/>
      </w:divBdr>
    </w:div>
    <w:div w:id="259292024">
      <w:bodyDiv w:val="1"/>
      <w:marLeft w:val="0"/>
      <w:marRight w:val="0"/>
      <w:marTop w:val="0"/>
      <w:marBottom w:val="0"/>
      <w:divBdr>
        <w:top w:val="none" w:sz="0" w:space="0" w:color="auto"/>
        <w:left w:val="none" w:sz="0" w:space="0" w:color="auto"/>
        <w:bottom w:val="none" w:sz="0" w:space="0" w:color="auto"/>
        <w:right w:val="none" w:sz="0" w:space="0" w:color="auto"/>
      </w:divBdr>
    </w:div>
    <w:div w:id="267468783">
      <w:bodyDiv w:val="1"/>
      <w:marLeft w:val="0"/>
      <w:marRight w:val="0"/>
      <w:marTop w:val="0"/>
      <w:marBottom w:val="0"/>
      <w:divBdr>
        <w:top w:val="none" w:sz="0" w:space="0" w:color="auto"/>
        <w:left w:val="none" w:sz="0" w:space="0" w:color="auto"/>
        <w:bottom w:val="none" w:sz="0" w:space="0" w:color="auto"/>
        <w:right w:val="none" w:sz="0" w:space="0" w:color="auto"/>
      </w:divBdr>
    </w:div>
    <w:div w:id="398407052">
      <w:bodyDiv w:val="1"/>
      <w:marLeft w:val="0"/>
      <w:marRight w:val="0"/>
      <w:marTop w:val="0"/>
      <w:marBottom w:val="0"/>
      <w:divBdr>
        <w:top w:val="none" w:sz="0" w:space="0" w:color="auto"/>
        <w:left w:val="none" w:sz="0" w:space="0" w:color="auto"/>
        <w:bottom w:val="none" w:sz="0" w:space="0" w:color="auto"/>
        <w:right w:val="none" w:sz="0" w:space="0" w:color="auto"/>
      </w:divBdr>
    </w:div>
    <w:div w:id="425351198">
      <w:bodyDiv w:val="1"/>
      <w:marLeft w:val="0"/>
      <w:marRight w:val="0"/>
      <w:marTop w:val="0"/>
      <w:marBottom w:val="0"/>
      <w:divBdr>
        <w:top w:val="none" w:sz="0" w:space="0" w:color="auto"/>
        <w:left w:val="none" w:sz="0" w:space="0" w:color="auto"/>
        <w:bottom w:val="none" w:sz="0" w:space="0" w:color="auto"/>
        <w:right w:val="none" w:sz="0" w:space="0" w:color="auto"/>
      </w:divBdr>
    </w:div>
    <w:div w:id="518470503">
      <w:bodyDiv w:val="1"/>
      <w:marLeft w:val="0"/>
      <w:marRight w:val="0"/>
      <w:marTop w:val="0"/>
      <w:marBottom w:val="0"/>
      <w:divBdr>
        <w:top w:val="none" w:sz="0" w:space="0" w:color="auto"/>
        <w:left w:val="none" w:sz="0" w:space="0" w:color="auto"/>
        <w:bottom w:val="none" w:sz="0" w:space="0" w:color="auto"/>
        <w:right w:val="none" w:sz="0" w:space="0" w:color="auto"/>
      </w:divBdr>
    </w:div>
    <w:div w:id="520238417">
      <w:bodyDiv w:val="1"/>
      <w:marLeft w:val="0"/>
      <w:marRight w:val="0"/>
      <w:marTop w:val="0"/>
      <w:marBottom w:val="0"/>
      <w:divBdr>
        <w:top w:val="none" w:sz="0" w:space="0" w:color="auto"/>
        <w:left w:val="none" w:sz="0" w:space="0" w:color="auto"/>
        <w:bottom w:val="none" w:sz="0" w:space="0" w:color="auto"/>
        <w:right w:val="none" w:sz="0" w:space="0" w:color="auto"/>
      </w:divBdr>
    </w:div>
    <w:div w:id="548305745">
      <w:bodyDiv w:val="1"/>
      <w:marLeft w:val="0"/>
      <w:marRight w:val="0"/>
      <w:marTop w:val="0"/>
      <w:marBottom w:val="0"/>
      <w:divBdr>
        <w:top w:val="none" w:sz="0" w:space="0" w:color="auto"/>
        <w:left w:val="none" w:sz="0" w:space="0" w:color="auto"/>
        <w:bottom w:val="none" w:sz="0" w:space="0" w:color="auto"/>
        <w:right w:val="none" w:sz="0" w:space="0" w:color="auto"/>
      </w:divBdr>
    </w:div>
    <w:div w:id="587273218">
      <w:bodyDiv w:val="1"/>
      <w:marLeft w:val="0"/>
      <w:marRight w:val="0"/>
      <w:marTop w:val="0"/>
      <w:marBottom w:val="0"/>
      <w:divBdr>
        <w:top w:val="none" w:sz="0" w:space="0" w:color="auto"/>
        <w:left w:val="none" w:sz="0" w:space="0" w:color="auto"/>
        <w:bottom w:val="none" w:sz="0" w:space="0" w:color="auto"/>
        <w:right w:val="none" w:sz="0" w:space="0" w:color="auto"/>
      </w:divBdr>
    </w:div>
    <w:div w:id="618804433">
      <w:bodyDiv w:val="1"/>
      <w:marLeft w:val="0"/>
      <w:marRight w:val="0"/>
      <w:marTop w:val="0"/>
      <w:marBottom w:val="0"/>
      <w:divBdr>
        <w:top w:val="none" w:sz="0" w:space="0" w:color="auto"/>
        <w:left w:val="none" w:sz="0" w:space="0" w:color="auto"/>
        <w:bottom w:val="none" w:sz="0" w:space="0" w:color="auto"/>
        <w:right w:val="none" w:sz="0" w:space="0" w:color="auto"/>
      </w:divBdr>
    </w:div>
    <w:div w:id="622462207">
      <w:bodyDiv w:val="1"/>
      <w:marLeft w:val="0"/>
      <w:marRight w:val="0"/>
      <w:marTop w:val="0"/>
      <w:marBottom w:val="0"/>
      <w:divBdr>
        <w:top w:val="none" w:sz="0" w:space="0" w:color="auto"/>
        <w:left w:val="none" w:sz="0" w:space="0" w:color="auto"/>
        <w:bottom w:val="none" w:sz="0" w:space="0" w:color="auto"/>
        <w:right w:val="none" w:sz="0" w:space="0" w:color="auto"/>
      </w:divBdr>
      <w:divsChild>
        <w:div w:id="695884783">
          <w:marLeft w:val="0"/>
          <w:marRight w:val="0"/>
          <w:marTop w:val="0"/>
          <w:marBottom w:val="0"/>
          <w:divBdr>
            <w:top w:val="none" w:sz="0" w:space="0" w:color="auto"/>
            <w:left w:val="none" w:sz="0" w:space="0" w:color="auto"/>
            <w:bottom w:val="none" w:sz="0" w:space="0" w:color="auto"/>
            <w:right w:val="none" w:sz="0" w:space="0" w:color="auto"/>
          </w:divBdr>
          <w:divsChild>
            <w:div w:id="563881310">
              <w:marLeft w:val="0"/>
              <w:marRight w:val="0"/>
              <w:marTop w:val="0"/>
              <w:marBottom w:val="0"/>
              <w:divBdr>
                <w:top w:val="none" w:sz="0" w:space="0" w:color="auto"/>
                <w:left w:val="none" w:sz="0" w:space="0" w:color="auto"/>
                <w:bottom w:val="none" w:sz="0" w:space="0" w:color="auto"/>
                <w:right w:val="none" w:sz="0" w:space="0" w:color="auto"/>
              </w:divBdr>
              <w:divsChild>
                <w:div w:id="2006398030">
                  <w:marLeft w:val="0"/>
                  <w:marRight w:val="0"/>
                  <w:marTop w:val="0"/>
                  <w:marBottom w:val="0"/>
                  <w:divBdr>
                    <w:top w:val="none" w:sz="0" w:space="0" w:color="auto"/>
                    <w:left w:val="none" w:sz="0" w:space="0" w:color="auto"/>
                    <w:bottom w:val="none" w:sz="0" w:space="0" w:color="auto"/>
                    <w:right w:val="none" w:sz="0" w:space="0" w:color="auto"/>
                  </w:divBdr>
                  <w:divsChild>
                    <w:div w:id="7718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5999">
          <w:marLeft w:val="0"/>
          <w:marRight w:val="0"/>
          <w:marTop w:val="0"/>
          <w:marBottom w:val="0"/>
          <w:divBdr>
            <w:top w:val="none" w:sz="0" w:space="0" w:color="auto"/>
            <w:left w:val="none" w:sz="0" w:space="0" w:color="auto"/>
            <w:bottom w:val="none" w:sz="0" w:space="0" w:color="auto"/>
            <w:right w:val="none" w:sz="0" w:space="0" w:color="auto"/>
          </w:divBdr>
          <w:divsChild>
            <w:div w:id="1409885253">
              <w:marLeft w:val="0"/>
              <w:marRight w:val="0"/>
              <w:marTop w:val="0"/>
              <w:marBottom w:val="0"/>
              <w:divBdr>
                <w:top w:val="none" w:sz="0" w:space="0" w:color="auto"/>
                <w:left w:val="none" w:sz="0" w:space="0" w:color="auto"/>
                <w:bottom w:val="none" w:sz="0" w:space="0" w:color="auto"/>
                <w:right w:val="none" w:sz="0" w:space="0" w:color="auto"/>
              </w:divBdr>
              <w:divsChild>
                <w:div w:id="20314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34808">
      <w:bodyDiv w:val="1"/>
      <w:marLeft w:val="0"/>
      <w:marRight w:val="0"/>
      <w:marTop w:val="0"/>
      <w:marBottom w:val="0"/>
      <w:divBdr>
        <w:top w:val="none" w:sz="0" w:space="0" w:color="auto"/>
        <w:left w:val="none" w:sz="0" w:space="0" w:color="auto"/>
        <w:bottom w:val="none" w:sz="0" w:space="0" w:color="auto"/>
        <w:right w:val="none" w:sz="0" w:space="0" w:color="auto"/>
      </w:divBdr>
    </w:div>
    <w:div w:id="706027763">
      <w:bodyDiv w:val="1"/>
      <w:marLeft w:val="0"/>
      <w:marRight w:val="0"/>
      <w:marTop w:val="0"/>
      <w:marBottom w:val="0"/>
      <w:divBdr>
        <w:top w:val="none" w:sz="0" w:space="0" w:color="auto"/>
        <w:left w:val="none" w:sz="0" w:space="0" w:color="auto"/>
        <w:bottom w:val="none" w:sz="0" w:space="0" w:color="auto"/>
        <w:right w:val="none" w:sz="0" w:space="0" w:color="auto"/>
      </w:divBdr>
    </w:div>
    <w:div w:id="746806908">
      <w:bodyDiv w:val="1"/>
      <w:marLeft w:val="0"/>
      <w:marRight w:val="0"/>
      <w:marTop w:val="0"/>
      <w:marBottom w:val="0"/>
      <w:divBdr>
        <w:top w:val="none" w:sz="0" w:space="0" w:color="auto"/>
        <w:left w:val="none" w:sz="0" w:space="0" w:color="auto"/>
        <w:bottom w:val="none" w:sz="0" w:space="0" w:color="auto"/>
        <w:right w:val="none" w:sz="0" w:space="0" w:color="auto"/>
      </w:divBdr>
    </w:div>
    <w:div w:id="773016493">
      <w:bodyDiv w:val="1"/>
      <w:marLeft w:val="0"/>
      <w:marRight w:val="0"/>
      <w:marTop w:val="0"/>
      <w:marBottom w:val="0"/>
      <w:divBdr>
        <w:top w:val="none" w:sz="0" w:space="0" w:color="auto"/>
        <w:left w:val="none" w:sz="0" w:space="0" w:color="auto"/>
        <w:bottom w:val="none" w:sz="0" w:space="0" w:color="auto"/>
        <w:right w:val="none" w:sz="0" w:space="0" w:color="auto"/>
      </w:divBdr>
    </w:div>
    <w:div w:id="783696887">
      <w:bodyDiv w:val="1"/>
      <w:marLeft w:val="0"/>
      <w:marRight w:val="0"/>
      <w:marTop w:val="0"/>
      <w:marBottom w:val="0"/>
      <w:divBdr>
        <w:top w:val="none" w:sz="0" w:space="0" w:color="auto"/>
        <w:left w:val="none" w:sz="0" w:space="0" w:color="auto"/>
        <w:bottom w:val="none" w:sz="0" w:space="0" w:color="auto"/>
        <w:right w:val="none" w:sz="0" w:space="0" w:color="auto"/>
      </w:divBdr>
    </w:div>
    <w:div w:id="788358221">
      <w:bodyDiv w:val="1"/>
      <w:marLeft w:val="0"/>
      <w:marRight w:val="0"/>
      <w:marTop w:val="0"/>
      <w:marBottom w:val="0"/>
      <w:divBdr>
        <w:top w:val="none" w:sz="0" w:space="0" w:color="auto"/>
        <w:left w:val="none" w:sz="0" w:space="0" w:color="auto"/>
        <w:bottom w:val="none" w:sz="0" w:space="0" w:color="auto"/>
        <w:right w:val="none" w:sz="0" w:space="0" w:color="auto"/>
      </w:divBdr>
    </w:div>
    <w:div w:id="923101040">
      <w:bodyDiv w:val="1"/>
      <w:marLeft w:val="0"/>
      <w:marRight w:val="0"/>
      <w:marTop w:val="0"/>
      <w:marBottom w:val="0"/>
      <w:divBdr>
        <w:top w:val="none" w:sz="0" w:space="0" w:color="auto"/>
        <w:left w:val="none" w:sz="0" w:space="0" w:color="auto"/>
        <w:bottom w:val="none" w:sz="0" w:space="0" w:color="auto"/>
        <w:right w:val="none" w:sz="0" w:space="0" w:color="auto"/>
      </w:divBdr>
    </w:div>
    <w:div w:id="1045720154">
      <w:bodyDiv w:val="1"/>
      <w:marLeft w:val="0"/>
      <w:marRight w:val="0"/>
      <w:marTop w:val="0"/>
      <w:marBottom w:val="0"/>
      <w:divBdr>
        <w:top w:val="none" w:sz="0" w:space="0" w:color="auto"/>
        <w:left w:val="none" w:sz="0" w:space="0" w:color="auto"/>
        <w:bottom w:val="none" w:sz="0" w:space="0" w:color="auto"/>
        <w:right w:val="none" w:sz="0" w:space="0" w:color="auto"/>
      </w:divBdr>
    </w:div>
    <w:div w:id="1059087296">
      <w:bodyDiv w:val="1"/>
      <w:marLeft w:val="0"/>
      <w:marRight w:val="0"/>
      <w:marTop w:val="0"/>
      <w:marBottom w:val="0"/>
      <w:divBdr>
        <w:top w:val="none" w:sz="0" w:space="0" w:color="auto"/>
        <w:left w:val="none" w:sz="0" w:space="0" w:color="auto"/>
        <w:bottom w:val="none" w:sz="0" w:space="0" w:color="auto"/>
        <w:right w:val="none" w:sz="0" w:space="0" w:color="auto"/>
      </w:divBdr>
      <w:divsChild>
        <w:div w:id="332034000">
          <w:marLeft w:val="0"/>
          <w:marRight w:val="0"/>
          <w:marTop w:val="300"/>
          <w:marBottom w:val="0"/>
          <w:divBdr>
            <w:top w:val="none" w:sz="0" w:space="0" w:color="auto"/>
            <w:left w:val="none" w:sz="0" w:space="0" w:color="auto"/>
            <w:bottom w:val="none" w:sz="0" w:space="0" w:color="auto"/>
            <w:right w:val="none" w:sz="0" w:space="0" w:color="auto"/>
          </w:divBdr>
        </w:div>
        <w:div w:id="1380930750">
          <w:marLeft w:val="0"/>
          <w:marRight w:val="0"/>
          <w:marTop w:val="225"/>
          <w:marBottom w:val="225"/>
          <w:divBdr>
            <w:top w:val="none" w:sz="0" w:space="0" w:color="auto"/>
            <w:left w:val="none" w:sz="0" w:space="0" w:color="auto"/>
            <w:bottom w:val="none" w:sz="0" w:space="0" w:color="auto"/>
            <w:right w:val="none" w:sz="0" w:space="0" w:color="auto"/>
          </w:divBdr>
          <w:divsChild>
            <w:div w:id="85750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23625">
      <w:bodyDiv w:val="1"/>
      <w:marLeft w:val="0"/>
      <w:marRight w:val="0"/>
      <w:marTop w:val="0"/>
      <w:marBottom w:val="0"/>
      <w:divBdr>
        <w:top w:val="none" w:sz="0" w:space="0" w:color="auto"/>
        <w:left w:val="none" w:sz="0" w:space="0" w:color="auto"/>
        <w:bottom w:val="none" w:sz="0" w:space="0" w:color="auto"/>
        <w:right w:val="none" w:sz="0" w:space="0" w:color="auto"/>
      </w:divBdr>
    </w:div>
    <w:div w:id="1152982892">
      <w:bodyDiv w:val="1"/>
      <w:marLeft w:val="0"/>
      <w:marRight w:val="0"/>
      <w:marTop w:val="0"/>
      <w:marBottom w:val="0"/>
      <w:divBdr>
        <w:top w:val="none" w:sz="0" w:space="0" w:color="auto"/>
        <w:left w:val="none" w:sz="0" w:space="0" w:color="auto"/>
        <w:bottom w:val="none" w:sz="0" w:space="0" w:color="auto"/>
        <w:right w:val="none" w:sz="0" w:space="0" w:color="auto"/>
      </w:divBdr>
    </w:div>
    <w:div w:id="1181092117">
      <w:bodyDiv w:val="1"/>
      <w:marLeft w:val="0"/>
      <w:marRight w:val="0"/>
      <w:marTop w:val="0"/>
      <w:marBottom w:val="0"/>
      <w:divBdr>
        <w:top w:val="none" w:sz="0" w:space="0" w:color="auto"/>
        <w:left w:val="none" w:sz="0" w:space="0" w:color="auto"/>
        <w:bottom w:val="none" w:sz="0" w:space="0" w:color="auto"/>
        <w:right w:val="none" w:sz="0" w:space="0" w:color="auto"/>
      </w:divBdr>
    </w:div>
    <w:div w:id="1277175163">
      <w:bodyDiv w:val="1"/>
      <w:marLeft w:val="0"/>
      <w:marRight w:val="0"/>
      <w:marTop w:val="0"/>
      <w:marBottom w:val="0"/>
      <w:divBdr>
        <w:top w:val="none" w:sz="0" w:space="0" w:color="auto"/>
        <w:left w:val="none" w:sz="0" w:space="0" w:color="auto"/>
        <w:bottom w:val="none" w:sz="0" w:space="0" w:color="auto"/>
        <w:right w:val="none" w:sz="0" w:space="0" w:color="auto"/>
      </w:divBdr>
    </w:div>
    <w:div w:id="1278610042">
      <w:bodyDiv w:val="1"/>
      <w:marLeft w:val="0"/>
      <w:marRight w:val="0"/>
      <w:marTop w:val="0"/>
      <w:marBottom w:val="0"/>
      <w:divBdr>
        <w:top w:val="none" w:sz="0" w:space="0" w:color="auto"/>
        <w:left w:val="none" w:sz="0" w:space="0" w:color="auto"/>
        <w:bottom w:val="none" w:sz="0" w:space="0" w:color="auto"/>
        <w:right w:val="none" w:sz="0" w:space="0" w:color="auto"/>
      </w:divBdr>
    </w:div>
    <w:div w:id="1388720362">
      <w:bodyDiv w:val="1"/>
      <w:marLeft w:val="0"/>
      <w:marRight w:val="0"/>
      <w:marTop w:val="0"/>
      <w:marBottom w:val="0"/>
      <w:divBdr>
        <w:top w:val="none" w:sz="0" w:space="0" w:color="auto"/>
        <w:left w:val="none" w:sz="0" w:space="0" w:color="auto"/>
        <w:bottom w:val="none" w:sz="0" w:space="0" w:color="auto"/>
        <w:right w:val="none" w:sz="0" w:space="0" w:color="auto"/>
      </w:divBdr>
    </w:div>
    <w:div w:id="1390298455">
      <w:bodyDiv w:val="1"/>
      <w:marLeft w:val="0"/>
      <w:marRight w:val="0"/>
      <w:marTop w:val="0"/>
      <w:marBottom w:val="0"/>
      <w:divBdr>
        <w:top w:val="none" w:sz="0" w:space="0" w:color="auto"/>
        <w:left w:val="none" w:sz="0" w:space="0" w:color="auto"/>
        <w:bottom w:val="none" w:sz="0" w:space="0" w:color="auto"/>
        <w:right w:val="none" w:sz="0" w:space="0" w:color="auto"/>
      </w:divBdr>
    </w:div>
    <w:div w:id="1394815851">
      <w:bodyDiv w:val="1"/>
      <w:marLeft w:val="0"/>
      <w:marRight w:val="0"/>
      <w:marTop w:val="0"/>
      <w:marBottom w:val="0"/>
      <w:divBdr>
        <w:top w:val="none" w:sz="0" w:space="0" w:color="auto"/>
        <w:left w:val="none" w:sz="0" w:space="0" w:color="auto"/>
        <w:bottom w:val="none" w:sz="0" w:space="0" w:color="auto"/>
        <w:right w:val="none" w:sz="0" w:space="0" w:color="auto"/>
      </w:divBdr>
    </w:div>
    <w:div w:id="1480657047">
      <w:bodyDiv w:val="1"/>
      <w:marLeft w:val="0"/>
      <w:marRight w:val="0"/>
      <w:marTop w:val="0"/>
      <w:marBottom w:val="0"/>
      <w:divBdr>
        <w:top w:val="none" w:sz="0" w:space="0" w:color="auto"/>
        <w:left w:val="none" w:sz="0" w:space="0" w:color="auto"/>
        <w:bottom w:val="none" w:sz="0" w:space="0" w:color="auto"/>
        <w:right w:val="none" w:sz="0" w:space="0" w:color="auto"/>
      </w:divBdr>
    </w:div>
    <w:div w:id="1504010905">
      <w:bodyDiv w:val="1"/>
      <w:marLeft w:val="0"/>
      <w:marRight w:val="0"/>
      <w:marTop w:val="0"/>
      <w:marBottom w:val="0"/>
      <w:divBdr>
        <w:top w:val="none" w:sz="0" w:space="0" w:color="auto"/>
        <w:left w:val="none" w:sz="0" w:space="0" w:color="auto"/>
        <w:bottom w:val="none" w:sz="0" w:space="0" w:color="auto"/>
        <w:right w:val="none" w:sz="0" w:space="0" w:color="auto"/>
      </w:divBdr>
    </w:div>
    <w:div w:id="1529105053">
      <w:bodyDiv w:val="1"/>
      <w:marLeft w:val="0"/>
      <w:marRight w:val="0"/>
      <w:marTop w:val="0"/>
      <w:marBottom w:val="0"/>
      <w:divBdr>
        <w:top w:val="none" w:sz="0" w:space="0" w:color="auto"/>
        <w:left w:val="none" w:sz="0" w:space="0" w:color="auto"/>
        <w:bottom w:val="none" w:sz="0" w:space="0" w:color="auto"/>
        <w:right w:val="none" w:sz="0" w:space="0" w:color="auto"/>
      </w:divBdr>
    </w:div>
    <w:div w:id="1557813382">
      <w:bodyDiv w:val="1"/>
      <w:marLeft w:val="0"/>
      <w:marRight w:val="0"/>
      <w:marTop w:val="0"/>
      <w:marBottom w:val="0"/>
      <w:divBdr>
        <w:top w:val="none" w:sz="0" w:space="0" w:color="auto"/>
        <w:left w:val="none" w:sz="0" w:space="0" w:color="auto"/>
        <w:bottom w:val="none" w:sz="0" w:space="0" w:color="auto"/>
        <w:right w:val="none" w:sz="0" w:space="0" w:color="auto"/>
      </w:divBdr>
    </w:div>
    <w:div w:id="1609267356">
      <w:bodyDiv w:val="1"/>
      <w:marLeft w:val="0"/>
      <w:marRight w:val="0"/>
      <w:marTop w:val="0"/>
      <w:marBottom w:val="0"/>
      <w:divBdr>
        <w:top w:val="none" w:sz="0" w:space="0" w:color="auto"/>
        <w:left w:val="none" w:sz="0" w:space="0" w:color="auto"/>
        <w:bottom w:val="none" w:sz="0" w:space="0" w:color="auto"/>
        <w:right w:val="none" w:sz="0" w:space="0" w:color="auto"/>
      </w:divBdr>
    </w:div>
    <w:div w:id="1687170335">
      <w:bodyDiv w:val="1"/>
      <w:marLeft w:val="0"/>
      <w:marRight w:val="0"/>
      <w:marTop w:val="0"/>
      <w:marBottom w:val="0"/>
      <w:divBdr>
        <w:top w:val="none" w:sz="0" w:space="0" w:color="auto"/>
        <w:left w:val="none" w:sz="0" w:space="0" w:color="auto"/>
        <w:bottom w:val="none" w:sz="0" w:space="0" w:color="auto"/>
        <w:right w:val="none" w:sz="0" w:space="0" w:color="auto"/>
      </w:divBdr>
    </w:div>
    <w:div w:id="1698651528">
      <w:bodyDiv w:val="1"/>
      <w:marLeft w:val="0"/>
      <w:marRight w:val="0"/>
      <w:marTop w:val="0"/>
      <w:marBottom w:val="0"/>
      <w:divBdr>
        <w:top w:val="none" w:sz="0" w:space="0" w:color="auto"/>
        <w:left w:val="none" w:sz="0" w:space="0" w:color="auto"/>
        <w:bottom w:val="none" w:sz="0" w:space="0" w:color="auto"/>
        <w:right w:val="none" w:sz="0" w:space="0" w:color="auto"/>
      </w:divBdr>
    </w:div>
    <w:div w:id="1718238718">
      <w:bodyDiv w:val="1"/>
      <w:marLeft w:val="0"/>
      <w:marRight w:val="0"/>
      <w:marTop w:val="0"/>
      <w:marBottom w:val="0"/>
      <w:divBdr>
        <w:top w:val="none" w:sz="0" w:space="0" w:color="auto"/>
        <w:left w:val="none" w:sz="0" w:space="0" w:color="auto"/>
        <w:bottom w:val="none" w:sz="0" w:space="0" w:color="auto"/>
        <w:right w:val="none" w:sz="0" w:space="0" w:color="auto"/>
      </w:divBdr>
    </w:div>
    <w:div w:id="1764035345">
      <w:bodyDiv w:val="1"/>
      <w:marLeft w:val="0"/>
      <w:marRight w:val="0"/>
      <w:marTop w:val="0"/>
      <w:marBottom w:val="0"/>
      <w:divBdr>
        <w:top w:val="none" w:sz="0" w:space="0" w:color="auto"/>
        <w:left w:val="none" w:sz="0" w:space="0" w:color="auto"/>
        <w:bottom w:val="none" w:sz="0" w:space="0" w:color="auto"/>
        <w:right w:val="none" w:sz="0" w:space="0" w:color="auto"/>
      </w:divBdr>
    </w:div>
    <w:div w:id="1782992278">
      <w:bodyDiv w:val="1"/>
      <w:marLeft w:val="0"/>
      <w:marRight w:val="0"/>
      <w:marTop w:val="0"/>
      <w:marBottom w:val="0"/>
      <w:divBdr>
        <w:top w:val="none" w:sz="0" w:space="0" w:color="auto"/>
        <w:left w:val="none" w:sz="0" w:space="0" w:color="auto"/>
        <w:bottom w:val="none" w:sz="0" w:space="0" w:color="auto"/>
        <w:right w:val="none" w:sz="0" w:space="0" w:color="auto"/>
      </w:divBdr>
    </w:div>
    <w:div w:id="1804229127">
      <w:bodyDiv w:val="1"/>
      <w:marLeft w:val="0"/>
      <w:marRight w:val="0"/>
      <w:marTop w:val="0"/>
      <w:marBottom w:val="0"/>
      <w:divBdr>
        <w:top w:val="none" w:sz="0" w:space="0" w:color="auto"/>
        <w:left w:val="none" w:sz="0" w:space="0" w:color="auto"/>
        <w:bottom w:val="none" w:sz="0" w:space="0" w:color="auto"/>
        <w:right w:val="none" w:sz="0" w:space="0" w:color="auto"/>
      </w:divBdr>
    </w:div>
    <w:div w:id="1915551750">
      <w:bodyDiv w:val="1"/>
      <w:marLeft w:val="0"/>
      <w:marRight w:val="0"/>
      <w:marTop w:val="0"/>
      <w:marBottom w:val="0"/>
      <w:divBdr>
        <w:top w:val="none" w:sz="0" w:space="0" w:color="auto"/>
        <w:left w:val="none" w:sz="0" w:space="0" w:color="auto"/>
        <w:bottom w:val="none" w:sz="0" w:space="0" w:color="auto"/>
        <w:right w:val="none" w:sz="0" w:space="0" w:color="auto"/>
      </w:divBdr>
    </w:div>
    <w:div w:id="2021227025">
      <w:bodyDiv w:val="1"/>
      <w:marLeft w:val="0"/>
      <w:marRight w:val="0"/>
      <w:marTop w:val="0"/>
      <w:marBottom w:val="0"/>
      <w:divBdr>
        <w:top w:val="none" w:sz="0" w:space="0" w:color="auto"/>
        <w:left w:val="none" w:sz="0" w:space="0" w:color="auto"/>
        <w:bottom w:val="none" w:sz="0" w:space="0" w:color="auto"/>
        <w:right w:val="none" w:sz="0" w:space="0" w:color="auto"/>
      </w:divBdr>
    </w:div>
    <w:div w:id="2025278506">
      <w:bodyDiv w:val="1"/>
      <w:marLeft w:val="0"/>
      <w:marRight w:val="0"/>
      <w:marTop w:val="0"/>
      <w:marBottom w:val="0"/>
      <w:divBdr>
        <w:top w:val="none" w:sz="0" w:space="0" w:color="auto"/>
        <w:left w:val="none" w:sz="0" w:space="0" w:color="auto"/>
        <w:bottom w:val="none" w:sz="0" w:space="0" w:color="auto"/>
        <w:right w:val="none" w:sz="0" w:space="0" w:color="auto"/>
      </w:divBdr>
    </w:div>
    <w:div w:id="211196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header" Target="header1.xml"/><Relationship Id="rId42" Type="http://schemas.openxmlformats.org/officeDocument/2006/relationships/oleObject" Target="embeddings/oleObject10.bin"/><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image" Target="media/image23.png"/><Relationship Id="rId84" Type="http://schemas.openxmlformats.org/officeDocument/2006/relationships/image" Target="media/image30.wmf"/><Relationship Id="rId89" Type="http://schemas.openxmlformats.org/officeDocument/2006/relationships/hyperlink" Target="https://www.statista.com/statistics/201183/forecast-of-smartphone-penetration-in-the-us/" TargetMode="External"/><Relationship Id="rId16" Type="http://schemas.openxmlformats.org/officeDocument/2006/relationships/hyperlink" Target="mailto:ram.pendyala@asu.edu" TargetMode="External"/><Relationship Id="rId11" Type="http://schemas.openxmlformats.org/officeDocument/2006/relationships/hyperlink" Target="mailto:fdias@utexas.edu" TargetMode="External"/><Relationship Id="rId32" Type="http://schemas.openxmlformats.org/officeDocument/2006/relationships/oleObject" Target="embeddings/oleObject5.bin"/><Relationship Id="rId37" Type="http://schemas.openxmlformats.org/officeDocument/2006/relationships/image" Target="media/image8.wmf"/><Relationship Id="rId53" Type="http://schemas.openxmlformats.org/officeDocument/2006/relationships/oleObject" Target="embeddings/oleObject16.bin"/><Relationship Id="rId58" Type="http://schemas.openxmlformats.org/officeDocument/2006/relationships/image" Target="media/image18.wmf"/><Relationship Id="rId74" Type="http://schemas.openxmlformats.org/officeDocument/2006/relationships/image" Target="media/image25.wmf"/><Relationship Id="rId79" Type="http://schemas.openxmlformats.org/officeDocument/2006/relationships/oleObject" Target="embeddings/oleObject27.bin"/><Relationship Id="rId5" Type="http://schemas.openxmlformats.org/officeDocument/2006/relationships/numbering" Target="numbering.xml"/><Relationship Id="rId90" Type="http://schemas.openxmlformats.org/officeDocument/2006/relationships/header" Target="header6.xml"/><Relationship Id="rId22" Type="http://schemas.openxmlformats.org/officeDocument/2006/relationships/footer" Target="footer2.xml"/><Relationship Id="rId27" Type="http://schemas.openxmlformats.org/officeDocument/2006/relationships/image" Target="media/image3.wmf"/><Relationship Id="rId43" Type="http://schemas.openxmlformats.org/officeDocument/2006/relationships/oleObject" Target="embeddings/oleObject11.bin"/><Relationship Id="rId48" Type="http://schemas.openxmlformats.org/officeDocument/2006/relationships/image" Target="media/image13.wmf"/><Relationship Id="rId64" Type="http://schemas.openxmlformats.org/officeDocument/2006/relationships/image" Target="media/image21.wmf"/><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oleObject" Target="embeddings/oleObject15.bin"/><Relationship Id="rId72" Type="http://schemas.openxmlformats.org/officeDocument/2006/relationships/image" Target="media/image24.wmf"/><Relationship Id="rId80" Type="http://schemas.openxmlformats.org/officeDocument/2006/relationships/image" Target="media/image28.wmf"/><Relationship Id="rId85" Type="http://schemas.openxmlformats.org/officeDocument/2006/relationships/oleObject" Target="embeddings/oleObject30.bin"/><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patricia.lavieri@unimelb.edu.au" TargetMode="External"/><Relationship Id="rId17" Type="http://schemas.openxmlformats.org/officeDocument/2006/relationships/hyperlink" Target="mailto:abdul@iisc.ac.in" TargetMode="External"/><Relationship Id="rId25" Type="http://schemas.openxmlformats.org/officeDocument/2006/relationships/image" Target="media/image2.wmf"/><Relationship Id="rId33" Type="http://schemas.openxmlformats.org/officeDocument/2006/relationships/image" Target="media/image6.wmf"/><Relationship Id="rId38" Type="http://schemas.openxmlformats.org/officeDocument/2006/relationships/oleObject" Target="embeddings/oleObject8.bin"/><Relationship Id="rId46" Type="http://schemas.openxmlformats.org/officeDocument/2006/relationships/image" Target="media/image12.wmf"/><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footer" Target="footer1.xml"/><Relationship Id="rId41" Type="http://schemas.openxmlformats.org/officeDocument/2006/relationships/image" Target="media/image10.wmf"/><Relationship Id="rId54" Type="http://schemas.openxmlformats.org/officeDocument/2006/relationships/image" Target="media/image16.wmf"/><Relationship Id="rId62" Type="http://schemas.openxmlformats.org/officeDocument/2006/relationships/image" Target="media/image20.wmf"/><Relationship Id="rId70" Type="http://schemas.openxmlformats.org/officeDocument/2006/relationships/footer" Target="footer3.xml"/><Relationship Id="rId75" Type="http://schemas.openxmlformats.org/officeDocument/2006/relationships/oleObject" Target="embeddings/oleObject25.bin"/><Relationship Id="rId83" Type="http://schemas.openxmlformats.org/officeDocument/2006/relationships/oleObject" Target="embeddings/oleObject29.bin"/><Relationship Id="rId88" Type="http://schemas.openxmlformats.org/officeDocument/2006/relationships/hyperlink" Target="https://www.psrc.org/sites/default/files/psrc2017-final-report.pdf" TargetMode="External"/><Relationship Id="rId9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bhat@mail.utexas.edu" TargetMode="External"/><Relationship Id="rId23" Type="http://schemas.openxmlformats.org/officeDocument/2006/relationships/image" Target="media/image1.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oleObject" Target="embeddings/oleObject14.bin"/><Relationship Id="rId57" Type="http://schemas.openxmlformats.org/officeDocument/2006/relationships/oleObject" Target="embeddings/oleObject18.bin"/><Relationship Id="rId10" Type="http://schemas.openxmlformats.org/officeDocument/2006/relationships/endnotes" Target="endnotes.xml"/><Relationship Id="rId31" Type="http://schemas.openxmlformats.org/officeDocument/2006/relationships/image" Target="media/image5.wmf"/><Relationship Id="rId44" Type="http://schemas.openxmlformats.org/officeDocument/2006/relationships/image" Target="media/image11.wmf"/><Relationship Id="rId52" Type="http://schemas.openxmlformats.org/officeDocument/2006/relationships/image" Target="media/image15.wmf"/><Relationship Id="rId60" Type="http://schemas.openxmlformats.org/officeDocument/2006/relationships/image" Target="media/image19.wmf"/><Relationship Id="rId65" Type="http://schemas.openxmlformats.org/officeDocument/2006/relationships/oleObject" Target="embeddings/oleObject22.bin"/><Relationship Id="rId73" Type="http://schemas.openxmlformats.org/officeDocument/2006/relationships/oleObject" Target="embeddings/oleObject24.bin"/><Relationship Id="rId78" Type="http://schemas.openxmlformats.org/officeDocument/2006/relationships/image" Target="media/image27.wmf"/><Relationship Id="rId81" Type="http://schemas.openxmlformats.org/officeDocument/2006/relationships/oleObject" Target="embeddings/oleObject28.bin"/><Relationship Id="rId86"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sharda@asu.edu" TargetMode="External"/><Relationship Id="rId18" Type="http://schemas.openxmlformats.org/officeDocument/2006/relationships/hyperlink" Target="mailto:gitakrishnan@iitm.ac.in" TargetMode="External"/><Relationship Id="rId39" Type="http://schemas.openxmlformats.org/officeDocument/2006/relationships/image" Target="media/image9.wmf"/><Relationship Id="rId34" Type="http://schemas.openxmlformats.org/officeDocument/2006/relationships/oleObject" Target="embeddings/oleObject6.bin"/><Relationship Id="rId50" Type="http://schemas.openxmlformats.org/officeDocument/2006/relationships/image" Target="media/image14.wmf"/><Relationship Id="rId55" Type="http://schemas.openxmlformats.org/officeDocument/2006/relationships/oleObject" Target="embeddings/oleObject17.bin"/><Relationship Id="rId76" Type="http://schemas.openxmlformats.org/officeDocument/2006/relationships/image" Target="media/image26.wmf"/><Relationship Id="rId7" Type="http://schemas.openxmlformats.org/officeDocument/2006/relationships/settings" Target="settings.xml"/><Relationship Id="rId71" Type="http://schemas.openxmlformats.org/officeDocument/2006/relationships/header" Target="header3.xm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image" Target="media/image4.wmf"/><Relationship Id="rId24" Type="http://schemas.openxmlformats.org/officeDocument/2006/relationships/oleObject" Target="embeddings/oleObject1.bin"/><Relationship Id="rId40" Type="http://schemas.openxmlformats.org/officeDocument/2006/relationships/oleObject" Target="embeddings/oleObject9.bin"/><Relationship Id="rId45" Type="http://schemas.openxmlformats.org/officeDocument/2006/relationships/oleObject" Target="embeddings/oleObject12.bin"/><Relationship Id="rId66" Type="http://schemas.openxmlformats.org/officeDocument/2006/relationships/image" Target="media/image22.wmf"/><Relationship Id="rId87" Type="http://schemas.openxmlformats.org/officeDocument/2006/relationships/header" Target="header5.xml"/><Relationship Id="rId61" Type="http://schemas.openxmlformats.org/officeDocument/2006/relationships/oleObject" Target="embeddings/oleObject20.bin"/><Relationship Id="rId82" Type="http://schemas.openxmlformats.org/officeDocument/2006/relationships/image" Target="media/image29.wmf"/><Relationship Id="rId19" Type="http://schemas.openxmlformats.org/officeDocument/2006/relationships/hyperlink" Target="mailto:karthikks@iitm.ac.in" TargetMode="External"/><Relationship Id="rId14" Type="http://schemas.openxmlformats.org/officeDocument/2006/relationships/hyperlink" Target="mailto:skhoeini@asu.edu" TargetMode="External"/><Relationship Id="rId30" Type="http://schemas.openxmlformats.org/officeDocument/2006/relationships/oleObject" Target="embeddings/oleObject4.bin"/><Relationship Id="rId35" Type="http://schemas.openxmlformats.org/officeDocument/2006/relationships/image" Target="media/image7.wmf"/><Relationship Id="rId56" Type="http://schemas.openxmlformats.org/officeDocument/2006/relationships/image" Target="media/image17.wmf"/><Relationship Id="rId77"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9863F6348F5047882039450C0CB2D4" ma:contentTypeVersion="11" ma:contentTypeDescription="Create a new document." ma:contentTypeScope="" ma:versionID="e7559d520b7ce32f4eff9cf4238539f5">
  <xsd:schema xmlns:xsd="http://www.w3.org/2001/XMLSchema" xmlns:xs="http://www.w3.org/2001/XMLSchema" xmlns:p="http://schemas.microsoft.com/office/2006/metadata/properties" xmlns:ns3="48f50342-34b0-4e87-9de8-c0f0ec70b2f0" xmlns:ns4="fc14fe88-6036-4f71-b499-d330bcbc66ed" targetNamespace="http://schemas.microsoft.com/office/2006/metadata/properties" ma:root="true" ma:fieldsID="a973cb4301be93b20e4a38c75c7b4721" ns3:_="" ns4:_="">
    <xsd:import namespace="48f50342-34b0-4e87-9de8-c0f0ec70b2f0"/>
    <xsd:import namespace="fc14fe88-6036-4f71-b499-d330bcbc66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50342-34b0-4e87-9de8-c0f0ec70b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14fe88-6036-4f71-b499-d330bcbc6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49DCF-7DB2-4AA5-A56F-23F2C4549D9B}">
  <ds:schemaRef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48f50342-34b0-4e87-9de8-c0f0ec70b2f0"/>
    <ds:schemaRef ds:uri="http://schemas.openxmlformats.org/package/2006/metadata/core-properties"/>
    <ds:schemaRef ds:uri="fc14fe88-6036-4f71-b499-d330bcbc66ed"/>
    <ds:schemaRef ds:uri="http://purl.org/dc/terms/"/>
  </ds:schemaRefs>
</ds:datastoreItem>
</file>

<file path=customXml/itemProps2.xml><?xml version="1.0" encoding="utf-8"?>
<ds:datastoreItem xmlns:ds="http://schemas.openxmlformats.org/officeDocument/2006/customXml" ds:itemID="{F7B8EE2F-8F5D-4410-9F8F-EE7D563FB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50342-34b0-4e87-9de8-c0f0ec70b2f0"/>
    <ds:schemaRef ds:uri="fc14fe88-6036-4f71-b499-d330bcbc6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6CE65-5219-49F9-A4AE-6C3636135A8A}">
  <ds:schemaRefs>
    <ds:schemaRef ds:uri="http://schemas.microsoft.com/sharepoint/v3/contenttype/forms"/>
  </ds:schemaRefs>
</ds:datastoreItem>
</file>

<file path=customXml/itemProps4.xml><?xml version="1.0" encoding="utf-8"?>
<ds:datastoreItem xmlns:ds="http://schemas.openxmlformats.org/officeDocument/2006/customXml" ds:itemID="{8A2507E6-1EC7-4663-BDF3-30FC7FFDA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11527</Words>
  <Characters>65705</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 Pendyala</dc:creator>
  <cp:lastModifiedBy>Macias, Lisa J</cp:lastModifiedBy>
  <cp:revision>2</cp:revision>
  <cp:lastPrinted>2019-08-20T16:57:00Z</cp:lastPrinted>
  <dcterms:created xsi:type="dcterms:W3CDTF">2020-02-24T17:48:00Z</dcterms:created>
  <dcterms:modified xsi:type="dcterms:W3CDTF">2020-02-24T17:48:00Z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0x010100419863F6348F5047882039450C0CB2D4</vt:lpwstr>
  </property>
</Properties>
</file>