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E88BE" w14:textId="77777777" w:rsidR="001618C1" w:rsidRDefault="001618C1" w:rsidP="000F4976">
      <w:pPr>
        <w:spacing w:before="0" w:line="240" w:lineRule="auto"/>
        <w:rPr>
          <w:b/>
          <w:bCs/>
          <w:i/>
          <w:iCs/>
        </w:rPr>
      </w:pPr>
    </w:p>
    <w:p w14:paraId="4C8186E9" w14:textId="77777777" w:rsidR="000F4976" w:rsidRDefault="000F4976" w:rsidP="000F4976">
      <w:pPr>
        <w:spacing w:before="0" w:line="240" w:lineRule="auto"/>
        <w:rPr>
          <w:b/>
          <w:bCs/>
          <w:color w:val="000000" w:themeColor="text1"/>
        </w:rPr>
      </w:pPr>
    </w:p>
    <w:p w14:paraId="4184AA70" w14:textId="77777777" w:rsidR="000F4976" w:rsidRDefault="000F4976" w:rsidP="000F4976">
      <w:pPr>
        <w:spacing w:before="0" w:line="240" w:lineRule="auto"/>
        <w:rPr>
          <w:b/>
          <w:bCs/>
          <w:color w:val="000000" w:themeColor="text1"/>
        </w:rPr>
      </w:pPr>
    </w:p>
    <w:p w14:paraId="14B6140B" w14:textId="77777777" w:rsidR="000F4976" w:rsidRDefault="000F4976" w:rsidP="000F4976">
      <w:pPr>
        <w:spacing w:before="0" w:line="240" w:lineRule="auto"/>
        <w:rPr>
          <w:b/>
          <w:bCs/>
          <w:color w:val="000000" w:themeColor="text1"/>
        </w:rPr>
      </w:pPr>
    </w:p>
    <w:p w14:paraId="0B61A39A" w14:textId="77777777" w:rsidR="00FC1529" w:rsidRDefault="00FC1529" w:rsidP="000F4976">
      <w:pPr>
        <w:spacing w:before="0" w:line="240" w:lineRule="auto"/>
        <w:rPr>
          <w:b/>
          <w:bCs/>
          <w:color w:val="000000" w:themeColor="text1"/>
        </w:rPr>
      </w:pPr>
    </w:p>
    <w:p w14:paraId="6ABA0EFB" w14:textId="77777777" w:rsidR="00FC1529" w:rsidRDefault="00FC1529" w:rsidP="000F4976">
      <w:pPr>
        <w:spacing w:before="0" w:line="240" w:lineRule="auto"/>
        <w:rPr>
          <w:b/>
          <w:bCs/>
          <w:color w:val="000000" w:themeColor="text1"/>
        </w:rPr>
      </w:pPr>
    </w:p>
    <w:p w14:paraId="6550BE75" w14:textId="3BCE0C49" w:rsidR="00146DB5" w:rsidRPr="00882FD5" w:rsidRDefault="00146DB5" w:rsidP="006329B2">
      <w:pPr>
        <w:spacing w:before="0" w:line="240" w:lineRule="auto"/>
        <w:jc w:val="center"/>
        <w:rPr>
          <w:b/>
          <w:bCs/>
          <w:color w:val="000000" w:themeColor="text1"/>
        </w:rPr>
      </w:pPr>
      <w:r w:rsidRPr="00882FD5">
        <w:rPr>
          <w:b/>
          <w:bCs/>
          <w:color w:val="000000" w:themeColor="text1"/>
        </w:rPr>
        <w:t xml:space="preserve">Investigating Residential Built Environment Effects on Rank-Based Modal </w:t>
      </w:r>
      <w:r w:rsidR="000F4976" w:rsidRPr="00882FD5">
        <w:rPr>
          <w:b/>
          <w:bCs/>
          <w:color w:val="000000" w:themeColor="text1"/>
        </w:rPr>
        <w:t>P</w:t>
      </w:r>
      <w:r w:rsidRPr="00882FD5">
        <w:rPr>
          <w:b/>
          <w:bCs/>
          <w:color w:val="000000" w:themeColor="text1"/>
        </w:rPr>
        <w:t>references and Auto-Ownership</w:t>
      </w:r>
    </w:p>
    <w:p w14:paraId="4BB8837A" w14:textId="77777777" w:rsidR="0018284D" w:rsidRPr="00882FD5" w:rsidRDefault="0018284D" w:rsidP="006329B2">
      <w:pPr>
        <w:spacing w:before="0" w:line="240" w:lineRule="auto"/>
        <w:jc w:val="center"/>
        <w:rPr>
          <w:b/>
          <w:bCs/>
          <w:color w:val="000000" w:themeColor="text1"/>
        </w:rPr>
      </w:pPr>
    </w:p>
    <w:p w14:paraId="221806CC" w14:textId="0586EAF2" w:rsidR="00264FF4" w:rsidRPr="00882FD5" w:rsidRDefault="00264FF4" w:rsidP="006329B2">
      <w:pPr>
        <w:spacing w:before="0" w:line="240" w:lineRule="auto"/>
        <w:jc w:val="center"/>
        <w:rPr>
          <w:b/>
          <w:bCs/>
          <w:color w:val="000000" w:themeColor="text1"/>
        </w:rPr>
      </w:pPr>
    </w:p>
    <w:p w14:paraId="23F009F3" w14:textId="282BAF28" w:rsidR="00264FF4" w:rsidRPr="00882FD5" w:rsidRDefault="00264FF4" w:rsidP="006329B2">
      <w:pPr>
        <w:spacing w:before="0" w:line="240" w:lineRule="auto"/>
        <w:jc w:val="center"/>
        <w:rPr>
          <w:b/>
          <w:bCs/>
          <w:color w:val="000000" w:themeColor="text1"/>
        </w:rPr>
      </w:pPr>
    </w:p>
    <w:p w14:paraId="2EEB5E1C" w14:textId="7EDD9171" w:rsidR="000F4976" w:rsidRPr="00882FD5" w:rsidRDefault="000F4976" w:rsidP="006329B2">
      <w:pPr>
        <w:spacing w:before="0" w:line="240" w:lineRule="auto"/>
        <w:jc w:val="center"/>
        <w:rPr>
          <w:b/>
          <w:bCs/>
          <w:color w:val="000000" w:themeColor="text1"/>
        </w:rPr>
      </w:pPr>
    </w:p>
    <w:p w14:paraId="15218939" w14:textId="429A1C36" w:rsidR="00FC1529" w:rsidRPr="00882FD5" w:rsidRDefault="00FC1529" w:rsidP="006329B2">
      <w:pPr>
        <w:spacing w:before="0" w:line="240" w:lineRule="auto"/>
        <w:jc w:val="center"/>
        <w:rPr>
          <w:b/>
          <w:bCs/>
          <w:color w:val="000000" w:themeColor="text1"/>
        </w:rPr>
      </w:pPr>
    </w:p>
    <w:p w14:paraId="2D39088D" w14:textId="77777777" w:rsidR="00FC1529" w:rsidRPr="00882FD5" w:rsidRDefault="00FC1529" w:rsidP="00C93377">
      <w:pPr>
        <w:spacing w:before="0" w:line="240" w:lineRule="auto"/>
        <w:rPr>
          <w:b/>
          <w:bCs/>
          <w:color w:val="000000" w:themeColor="text1"/>
        </w:rPr>
      </w:pPr>
    </w:p>
    <w:p w14:paraId="3322C6D1" w14:textId="77777777" w:rsidR="000F4976" w:rsidRPr="00882FD5" w:rsidRDefault="000F4976" w:rsidP="00C93377">
      <w:pPr>
        <w:spacing w:before="0" w:line="240" w:lineRule="auto"/>
        <w:rPr>
          <w:b/>
          <w:bCs/>
          <w:color w:val="000000" w:themeColor="text1"/>
        </w:rPr>
      </w:pPr>
    </w:p>
    <w:p w14:paraId="03A9156A" w14:textId="77777777" w:rsidR="00264FF4" w:rsidRPr="00882FD5" w:rsidRDefault="00264FF4" w:rsidP="00C93377">
      <w:pPr>
        <w:spacing w:before="0" w:line="240" w:lineRule="auto"/>
        <w:rPr>
          <w:b/>
          <w:bCs/>
        </w:rPr>
      </w:pPr>
      <w:r w:rsidRPr="00882FD5">
        <w:rPr>
          <w:b/>
          <w:bCs/>
        </w:rPr>
        <w:t>Aupal Mondal</w:t>
      </w:r>
    </w:p>
    <w:p w14:paraId="08A72741" w14:textId="77777777" w:rsidR="00264FF4" w:rsidRPr="00882FD5" w:rsidRDefault="00264FF4" w:rsidP="00C93377">
      <w:pPr>
        <w:spacing w:before="0" w:line="240" w:lineRule="auto"/>
        <w:rPr>
          <w:bCs/>
        </w:rPr>
      </w:pPr>
      <w:r w:rsidRPr="00882FD5">
        <w:t>The University of Texas at Austin</w:t>
      </w:r>
    </w:p>
    <w:p w14:paraId="0F998E61" w14:textId="77777777" w:rsidR="00264FF4" w:rsidRPr="00882FD5" w:rsidRDefault="00264FF4" w:rsidP="00C93377">
      <w:pPr>
        <w:spacing w:before="0" w:line="240" w:lineRule="auto"/>
        <w:rPr>
          <w:bCs/>
        </w:rPr>
      </w:pPr>
      <w:r w:rsidRPr="00882FD5">
        <w:t>Department of Civil, Architectural and Environmental Engineering</w:t>
      </w:r>
    </w:p>
    <w:p w14:paraId="10F7E7B2" w14:textId="77777777" w:rsidR="00264FF4" w:rsidRPr="00882FD5" w:rsidRDefault="00264FF4" w:rsidP="00C93377">
      <w:pPr>
        <w:spacing w:before="0" w:line="240" w:lineRule="auto"/>
        <w:rPr>
          <w:bCs/>
        </w:rPr>
      </w:pPr>
      <w:r w:rsidRPr="00882FD5">
        <w:t>301 E. Dean Keeton St. Stop C1761, Austin TX 78712, USA</w:t>
      </w:r>
    </w:p>
    <w:p w14:paraId="118063F2" w14:textId="77777777" w:rsidR="00264FF4" w:rsidRPr="00882FD5" w:rsidRDefault="00264FF4" w:rsidP="00C93377">
      <w:pPr>
        <w:spacing w:before="0" w:line="240" w:lineRule="auto"/>
      </w:pPr>
      <w:r w:rsidRPr="00882FD5">
        <w:t xml:space="preserve">Email: </w:t>
      </w:r>
      <w:hyperlink r:id="rId8" w:history="1">
        <w:r w:rsidRPr="00882FD5">
          <w:rPr>
            <w:rStyle w:val="Hyperlink"/>
          </w:rPr>
          <w:t>aupal.mondal@utexas.edu</w:t>
        </w:r>
      </w:hyperlink>
    </w:p>
    <w:p w14:paraId="0EC979EB" w14:textId="77777777" w:rsidR="00264FF4" w:rsidRPr="00882FD5" w:rsidRDefault="00264FF4" w:rsidP="00C93377">
      <w:pPr>
        <w:autoSpaceDE w:val="0"/>
        <w:autoSpaceDN w:val="0"/>
        <w:adjustRightInd w:val="0"/>
        <w:spacing w:before="0" w:line="240" w:lineRule="auto"/>
      </w:pPr>
    </w:p>
    <w:p w14:paraId="6256E13B" w14:textId="77777777" w:rsidR="00264FF4" w:rsidRPr="00882FD5" w:rsidRDefault="00264FF4" w:rsidP="00C93377">
      <w:pPr>
        <w:spacing w:before="0" w:line="240" w:lineRule="auto"/>
        <w:rPr>
          <w:b/>
          <w:lang w:val="fr-FR"/>
        </w:rPr>
      </w:pPr>
      <w:r w:rsidRPr="00882FD5">
        <w:rPr>
          <w:b/>
          <w:lang w:val="fr-FR"/>
        </w:rPr>
        <w:t>Chandra R. Bhat</w:t>
      </w:r>
      <w:r w:rsidRPr="00882FD5">
        <w:rPr>
          <w:bCs/>
          <w:lang w:val="fr-FR"/>
        </w:rPr>
        <w:t xml:space="preserve"> </w:t>
      </w:r>
      <w:r w:rsidRPr="00882FD5">
        <w:rPr>
          <w:b/>
        </w:rPr>
        <w:t>(corresponding author)</w:t>
      </w:r>
    </w:p>
    <w:p w14:paraId="3A0B871D" w14:textId="77777777" w:rsidR="00264FF4" w:rsidRPr="00882FD5" w:rsidRDefault="00264FF4" w:rsidP="00C93377">
      <w:pPr>
        <w:spacing w:before="0" w:line="240" w:lineRule="auto"/>
        <w:rPr>
          <w:rFonts w:cs="Arial"/>
          <w:bCs/>
          <w:kern w:val="32"/>
          <w:szCs w:val="32"/>
        </w:rPr>
      </w:pPr>
      <w:r w:rsidRPr="00882FD5">
        <w:rPr>
          <w:rFonts w:cs="Arial"/>
          <w:bCs/>
          <w:kern w:val="32"/>
          <w:szCs w:val="32"/>
        </w:rPr>
        <w:t>The University of Texas at Austin</w:t>
      </w:r>
    </w:p>
    <w:p w14:paraId="674B2A44" w14:textId="77777777" w:rsidR="00264FF4" w:rsidRPr="00882FD5" w:rsidRDefault="00264FF4" w:rsidP="00C93377">
      <w:pPr>
        <w:spacing w:before="0" w:line="240" w:lineRule="auto"/>
        <w:rPr>
          <w:rFonts w:cs="Arial"/>
          <w:bCs/>
          <w:kern w:val="32"/>
          <w:szCs w:val="32"/>
        </w:rPr>
      </w:pPr>
      <w:r w:rsidRPr="00882FD5">
        <w:rPr>
          <w:rFonts w:cs="Arial"/>
          <w:bCs/>
          <w:kern w:val="32"/>
          <w:szCs w:val="32"/>
        </w:rPr>
        <w:t>Department of Civil, Architectural and Environmental Engineering</w:t>
      </w:r>
    </w:p>
    <w:p w14:paraId="49A15E86" w14:textId="77777777" w:rsidR="00264FF4" w:rsidRPr="00882FD5" w:rsidRDefault="00264FF4" w:rsidP="00C93377">
      <w:pPr>
        <w:spacing w:before="0" w:line="240" w:lineRule="auto"/>
        <w:rPr>
          <w:rFonts w:cs="Arial"/>
          <w:bCs/>
          <w:kern w:val="32"/>
          <w:szCs w:val="32"/>
        </w:rPr>
      </w:pPr>
      <w:r w:rsidRPr="00882FD5">
        <w:rPr>
          <w:rFonts w:cs="Arial"/>
          <w:bCs/>
          <w:kern w:val="32"/>
          <w:szCs w:val="32"/>
        </w:rPr>
        <w:t>301 E. Dean Keeton St. Stop C1761, Austin, TX 78712, USA</w:t>
      </w:r>
    </w:p>
    <w:p w14:paraId="4EB42321" w14:textId="77777777" w:rsidR="00264FF4" w:rsidRPr="00882FD5" w:rsidRDefault="00264FF4" w:rsidP="00C93377">
      <w:pPr>
        <w:spacing w:before="0" w:line="240" w:lineRule="auto"/>
        <w:rPr>
          <w:rFonts w:cs="Arial"/>
          <w:bCs/>
          <w:kern w:val="32"/>
          <w:szCs w:val="32"/>
          <w:lang w:val="fr-FR"/>
        </w:rPr>
      </w:pPr>
      <w:r w:rsidRPr="00882FD5">
        <w:rPr>
          <w:rFonts w:cs="Arial"/>
          <w:bCs/>
          <w:kern w:val="32"/>
          <w:szCs w:val="32"/>
        </w:rPr>
        <w:t xml:space="preserve">Phone: 1-512-471-4535; </w:t>
      </w:r>
      <w:r w:rsidRPr="00882FD5">
        <w:rPr>
          <w:rFonts w:cs="Arial"/>
          <w:bCs/>
          <w:kern w:val="32"/>
          <w:szCs w:val="32"/>
          <w:lang w:val="fr-FR"/>
        </w:rPr>
        <w:t xml:space="preserve">Email: </w:t>
      </w:r>
      <w:hyperlink r:id="rId9" w:history="1">
        <w:r w:rsidRPr="00882FD5">
          <w:rPr>
            <w:rStyle w:val="Hyperlink"/>
            <w:rFonts w:cs="Arial"/>
            <w:kern w:val="32"/>
            <w:szCs w:val="32"/>
            <w:lang w:val="fr-FR"/>
          </w:rPr>
          <w:t>bhat@mail.utexas.edu</w:t>
        </w:r>
      </w:hyperlink>
    </w:p>
    <w:p w14:paraId="7C3C82FA" w14:textId="4C78E181" w:rsidR="00264FF4" w:rsidRPr="00882FD5" w:rsidRDefault="00264FF4" w:rsidP="00C93377">
      <w:pPr>
        <w:widowControl w:val="0"/>
        <w:autoSpaceDE w:val="0"/>
        <w:autoSpaceDN w:val="0"/>
        <w:adjustRightInd w:val="0"/>
        <w:spacing w:before="0" w:line="240" w:lineRule="auto"/>
      </w:pPr>
    </w:p>
    <w:p w14:paraId="3879A1BD" w14:textId="77777777" w:rsidR="00264FF4" w:rsidRPr="00882FD5" w:rsidRDefault="00264FF4" w:rsidP="000F4976">
      <w:pPr>
        <w:widowControl w:val="0"/>
        <w:autoSpaceDE w:val="0"/>
        <w:autoSpaceDN w:val="0"/>
        <w:adjustRightInd w:val="0"/>
        <w:spacing w:before="0" w:line="240" w:lineRule="auto"/>
      </w:pPr>
    </w:p>
    <w:p w14:paraId="6ED304DA" w14:textId="58321891" w:rsidR="00264FF4" w:rsidRPr="00882FD5" w:rsidRDefault="00264FF4" w:rsidP="000F4976">
      <w:pPr>
        <w:spacing w:before="0" w:line="240" w:lineRule="auto"/>
        <w:rPr>
          <w:b/>
          <w:bCs/>
          <w:color w:val="000000" w:themeColor="text1"/>
        </w:rPr>
      </w:pPr>
    </w:p>
    <w:p w14:paraId="14E547F2" w14:textId="3B05DD84" w:rsidR="000F4976" w:rsidRPr="00882FD5" w:rsidRDefault="000F4976" w:rsidP="000F4976">
      <w:pPr>
        <w:spacing w:before="0" w:line="240" w:lineRule="auto"/>
        <w:rPr>
          <w:b/>
          <w:bCs/>
          <w:color w:val="000000" w:themeColor="text1"/>
        </w:rPr>
      </w:pPr>
    </w:p>
    <w:p w14:paraId="6DB47859" w14:textId="77777777" w:rsidR="00F739CC" w:rsidRDefault="00F739CC" w:rsidP="00F739CC">
      <w:pPr>
        <w:spacing w:before="0" w:after="160" w:line="259" w:lineRule="auto"/>
        <w:rPr>
          <w:b/>
        </w:rPr>
        <w:sectPr w:rsidR="00F739CC" w:rsidSect="00F739CC">
          <w:footerReference w:type="default" r:id="rId10"/>
          <w:pgSz w:w="12240" w:h="15840"/>
          <w:pgMar w:top="1440" w:right="1440" w:bottom="1440" w:left="1440" w:header="720" w:footer="720" w:gutter="0"/>
          <w:pgNumType w:start="1"/>
          <w:cols w:space="720"/>
          <w:docGrid w:linePitch="360"/>
        </w:sectPr>
      </w:pPr>
    </w:p>
    <w:p w14:paraId="65434825" w14:textId="53C95451" w:rsidR="0018284D" w:rsidRPr="00882FD5" w:rsidRDefault="0018284D" w:rsidP="00F739CC">
      <w:pPr>
        <w:spacing w:before="0" w:line="259" w:lineRule="auto"/>
        <w:rPr>
          <w:b/>
        </w:rPr>
      </w:pPr>
      <w:r w:rsidRPr="00882FD5">
        <w:rPr>
          <w:b/>
        </w:rPr>
        <w:lastRenderedPageBreak/>
        <w:t>ABSTRACT</w:t>
      </w:r>
    </w:p>
    <w:p w14:paraId="613393A6" w14:textId="6B2E8F98" w:rsidR="0018284D" w:rsidRPr="00882FD5" w:rsidRDefault="009D6A50" w:rsidP="00F739CC">
      <w:pPr>
        <w:autoSpaceDE w:val="0"/>
        <w:autoSpaceDN w:val="0"/>
        <w:adjustRightInd w:val="0"/>
        <w:spacing w:before="0" w:line="240" w:lineRule="auto"/>
        <w:jc w:val="both"/>
        <w:rPr>
          <w:color w:val="000000" w:themeColor="text1"/>
        </w:rPr>
      </w:pPr>
      <w:r w:rsidRPr="00882FD5">
        <w:rPr>
          <w:color w:val="000000" w:themeColor="text1"/>
        </w:rPr>
        <w:t>S</w:t>
      </w:r>
      <w:r w:rsidR="005E3EAE" w:rsidRPr="00882FD5">
        <w:rPr>
          <w:color w:val="000000" w:themeColor="text1"/>
        </w:rPr>
        <w:t>tudies in</w:t>
      </w:r>
      <w:r w:rsidRPr="00882FD5">
        <w:rPr>
          <w:color w:val="000000" w:themeColor="text1"/>
        </w:rPr>
        <w:t xml:space="preserve"> residential self-selection literature</w:t>
      </w:r>
      <w:r w:rsidR="005A70D5" w:rsidRPr="00882FD5">
        <w:rPr>
          <w:color w:val="000000" w:themeColor="text1"/>
        </w:rPr>
        <w:t>,</w:t>
      </w:r>
      <w:r w:rsidR="005E3EAE" w:rsidRPr="00882FD5">
        <w:rPr>
          <w:color w:val="000000" w:themeColor="text1"/>
        </w:rPr>
        <w:t xml:space="preserve"> which use attitudinal factors to model the jointness of residential and travel-related choices</w:t>
      </w:r>
      <w:r w:rsidR="005A70D5" w:rsidRPr="00882FD5">
        <w:rPr>
          <w:color w:val="000000" w:themeColor="text1"/>
        </w:rPr>
        <w:t>,</w:t>
      </w:r>
      <w:r w:rsidR="005E3EAE" w:rsidRPr="00882FD5">
        <w:rPr>
          <w:color w:val="000000" w:themeColor="text1"/>
        </w:rPr>
        <w:t xml:space="preserve"> assume a unidirection</w:t>
      </w:r>
      <w:r w:rsidR="00855EED" w:rsidRPr="00882FD5">
        <w:rPr>
          <w:color w:val="000000" w:themeColor="text1"/>
        </w:rPr>
        <w:t>al impact from attitudes to behavior; however, such an assumption may be violated under several circumstances.</w:t>
      </w:r>
      <w:r w:rsidR="003A3C46" w:rsidRPr="00882FD5">
        <w:rPr>
          <w:color w:val="000000" w:themeColor="text1"/>
        </w:rPr>
        <w:t xml:space="preserve"> </w:t>
      </w:r>
      <w:r w:rsidRPr="00882FD5">
        <w:rPr>
          <w:color w:val="000000" w:themeColor="text1"/>
        </w:rPr>
        <w:t>I</w:t>
      </w:r>
      <w:r w:rsidR="00855EED" w:rsidRPr="00882FD5">
        <w:rPr>
          <w:color w:val="000000" w:themeColor="text1"/>
        </w:rPr>
        <w:t>n this current study, we allow the error terms of the attitudinal factors to be correlated with the main outcomes as we jointly model residential choice, auto-ownership level and ranked-based modal preference</w:t>
      </w:r>
      <w:r w:rsidR="007A0AB2" w:rsidRPr="00882FD5">
        <w:rPr>
          <w:color w:val="000000" w:themeColor="text1"/>
        </w:rPr>
        <w:t>s</w:t>
      </w:r>
      <w:r w:rsidR="00855EED" w:rsidRPr="00882FD5">
        <w:rPr>
          <w:color w:val="000000" w:themeColor="text1"/>
        </w:rPr>
        <w:t>. In our joint model, we use Green Lifestyle Propensity (GLP) and Luxury Lifestyle Propensity (LLP) as the two stochastic latent constructs. The empirical data for this study is drawn from the 2019 multi-city Transformative Technologies in Transportation (T4) Survey for the city of Austin</w:t>
      </w:r>
      <w:r w:rsidR="00FD39C8" w:rsidRPr="00882FD5">
        <w:rPr>
          <w:color w:val="000000" w:themeColor="text1"/>
        </w:rPr>
        <w:t xml:space="preserve"> that</w:t>
      </w:r>
      <w:r w:rsidR="00855EED" w:rsidRPr="00882FD5">
        <w:rPr>
          <w:color w:val="000000" w:themeColor="text1"/>
        </w:rPr>
        <w:t xml:space="preserve"> elicited information regarding individuals’ residential location, auto-ownership, </w:t>
      </w:r>
      <w:r w:rsidR="00FD39C8" w:rsidRPr="00882FD5">
        <w:rPr>
          <w:color w:val="000000" w:themeColor="text1"/>
        </w:rPr>
        <w:t xml:space="preserve">and </w:t>
      </w:r>
      <w:r w:rsidR="00855EED" w:rsidRPr="00882FD5">
        <w:rPr>
          <w:color w:val="000000" w:themeColor="text1"/>
        </w:rPr>
        <w:t>modal preferences through a</w:t>
      </w:r>
      <w:r w:rsidR="00FD39C8" w:rsidRPr="00882FD5">
        <w:rPr>
          <w:color w:val="000000" w:themeColor="text1"/>
        </w:rPr>
        <w:t xml:space="preserve"> stated preference </w:t>
      </w:r>
      <w:r w:rsidR="00855EED" w:rsidRPr="00882FD5">
        <w:rPr>
          <w:color w:val="000000" w:themeColor="text1"/>
        </w:rPr>
        <w:t>experiment</w:t>
      </w:r>
      <w:r w:rsidR="00341685" w:rsidRPr="00882FD5">
        <w:rPr>
          <w:color w:val="000000" w:themeColor="text1"/>
        </w:rPr>
        <w:t xml:space="preserve"> in a futuristic AV environment. Results indicate significant unobserved correlations between the latent constructs and the main outcomes; ignoring such endogeneity leads to underestimation</w:t>
      </w:r>
      <w:r w:rsidR="007A0AB2" w:rsidRPr="00882FD5">
        <w:rPr>
          <w:color w:val="000000" w:themeColor="text1"/>
        </w:rPr>
        <w:t>s</w:t>
      </w:r>
      <w:r w:rsidR="00341685" w:rsidRPr="00882FD5">
        <w:rPr>
          <w:color w:val="000000" w:themeColor="text1"/>
        </w:rPr>
        <w:t xml:space="preserve"> of the “true” causal effect of </w:t>
      </w:r>
      <w:r w:rsidR="00C50E3B" w:rsidRPr="00882FD5">
        <w:rPr>
          <w:color w:val="000000" w:themeColor="text1"/>
        </w:rPr>
        <w:t>high</w:t>
      </w:r>
      <w:r w:rsidR="002C69D1" w:rsidRPr="00882FD5">
        <w:rPr>
          <w:color w:val="000000" w:themeColor="text1"/>
        </w:rPr>
        <w:t>-</w:t>
      </w:r>
      <w:r w:rsidR="00C50E3B" w:rsidRPr="00882FD5">
        <w:rPr>
          <w:color w:val="000000" w:themeColor="text1"/>
        </w:rPr>
        <w:t>density neighborhood (</w:t>
      </w:r>
      <w:r w:rsidR="00341685" w:rsidRPr="00882FD5">
        <w:rPr>
          <w:color w:val="000000" w:themeColor="text1"/>
        </w:rPr>
        <w:t>HDN</w:t>
      </w:r>
      <w:r w:rsidR="00C50E3B" w:rsidRPr="00882FD5">
        <w:rPr>
          <w:color w:val="000000" w:themeColor="text1"/>
        </w:rPr>
        <w:t>)</w:t>
      </w:r>
      <w:r w:rsidR="00341685" w:rsidRPr="00882FD5">
        <w:rPr>
          <w:color w:val="000000" w:themeColor="text1"/>
        </w:rPr>
        <w:t xml:space="preserve"> living on travel-related choices</w:t>
      </w:r>
      <w:r w:rsidR="00C42BE9" w:rsidRPr="00882FD5">
        <w:rPr>
          <w:color w:val="000000" w:themeColor="text1"/>
        </w:rPr>
        <w:t>,</w:t>
      </w:r>
      <w:r w:rsidR="00341685" w:rsidRPr="00882FD5">
        <w:rPr>
          <w:color w:val="000000" w:themeColor="text1"/>
        </w:rPr>
        <w:t xml:space="preserve"> which can have consequences </w:t>
      </w:r>
      <w:r w:rsidR="00C42BE9" w:rsidRPr="00882FD5">
        <w:rPr>
          <w:color w:val="000000" w:themeColor="text1"/>
        </w:rPr>
        <w:t>for</w:t>
      </w:r>
      <w:r w:rsidR="00341685" w:rsidRPr="00882FD5">
        <w:rPr>
          <w:color w:val="000000" w:themeColor="text1"/>
        </w:rPr>
        <w:t xml:space="preserve"> policy-making. </w:t>
      </w:r>
      <w:r w:rsidR="00FC29FE" w:rsidRPr="00882FD5">
        <w:rPr>
          <w:color w:val="000000" w:themeColor="text1"/>
        </w:rPr>
        <w:t>In our analysis, the “true” causal effect of HDN living on auto-ownership suggests that</w:t>
      </w:r>
      <w:r w:rsidR="00122668">
        <w:rPr>
          <w:color w:val="000000" w:themeColor="text1"/>
        </w:rPr>
        <w:t>,</w:t>
      </w:r>
      <w:r w:rsidR="00FC29FE" w:rsidRPr="00882FD5">
        <w:rPr>
          <w:color w:val="000000" w:themeColor="text1"/>
        </w:rPr>
        <w:t xml:space="preserve"> on average, the auto-ownership level </w:t>
      </w:r>
      <w:r w:rsidR="00D4026D" w:rsidRPr="00882FD5">
        <w:rPr>
          <w:color w:val="000000" w:themeColor="text1"/>
        </w:rPr>
        <w:t>w</w:t>
      </w:r>
      <w:r w:rsidR="00FC29FE" w:rsidRPr="00882FD5">
        <w:rPr>
          <w:color w:val="000000" w:themeColor="text1"/>
        </w:rPr>
        <w:t xml:space="preserve">ould reduce by about 29% when an individual is shifted from a non-HDN to an HDN. Furthermore, the probability of using </w:t>
      </w:r>
      <w:r w:rsidR="00D4026D" w:rsidRPr="00882FD5">
        <w:rPr>
          <w:color w:val="000000" w:themeColor="text1"/>
        </w:rPr>
        <w:t xml:space="preserve">the </w:t>
      </w:r>
      <w:r w:rsidR="00FC29FE" w:rsidRPr="00882FD5">
        <w:rPr>
          <w:color w:val="000000" w:themeColor="text1"/>
        </w:rPr>
        <w:t xml:space="preserve">bicycle </w:t>
      </w:r>
      <w:r w:rsidR="00D4026D" w:rsidRPr="00882FD5">
        <w:rPr>
          <w:color w:val="000000" w:themeColor="text1"/>
        </w:rPr>
        <w:t xml:space="preserve">mode for non-work pursuits is estimated to </w:t>
      </w:r>
      <w:r w:rsidR="00FC29FE" w:rsidRPr="00882FD5">
        <w:rPr>
          <w:color w:val="000000" w:themeColor="text1"/>
        </w:rPr>
        <w:t>increase by 8%</w:t>
      </w:r>
      <w:r w:rsidR="00122668">
        <w:rPr>
          <w:color w:val="000000" w:themeColor="text1"/>
        </w:rPr>
        <w:t>,</w:t>
      </w:r>
      <w:r w:rsidR="00FC29FE" w:rsidRPr="00882FD5">
        <w:rPr>
          <w:color w:val="000000" w:themeColor="text1"/>
        </w:rPr>
        <w:t xml:space="preserve"> and that of using </w:t>
      </w:r>
      <w:r w:rsidR="00687995" w:rsidRPr="00882FD5">
        <w:rPr>
          <w:color w:val="000000" w:themeColor="text1"/>
        </w:rPr>
        <w:t xml:space="preserve">a </w:t>
      </w:r>
      <w:r w:rsidR="00FC29FE" w:rsidRPr="00882FD5">
        <w:rPr>
          <w:color w:val="000000" w:themeColor="text1"/>
        </w:rPr>
        <w:t xml:space="preserve">private vehicle </w:t>
      </w:r>
      <w:r w:rsidR="00D4026D" w:rsidRPr="00882FD5">
        <w:rPr>
          <w:color w:val="000000" w:themeColor="text1"/>
        </w:rPr>
        <w:t xml:space="preserve">is estimated to </w:t>
      </w:r>
      <w:r w:rsidR="00FC29FE" w:rsidRPr="00882FD5">
        <w:rPr>
          <w:color w:val="000000" w:themeColor="text1"/>
        </w:rPr>
        <w:t>decrease by 3.1%</w:t>
      </w:r>
      <w:r w:rsidR="00122668">
        <w:rPr>
          <w:color w:val="000000" w:themeColor="text1"/>
        </w:rPr>
        <w:t xml:space="preserve">, </w:t>
      </w:r>
      <w:r w:rsidR="00FC29FE" w:rsidRPr="00882FD5">
        <w:rPr>
          <w:color w:val="000000" w:themeColor="text1"/>
        </w:rPr>
        <w:t xml:space="preserve">when individuals </w:t>
      </w:r>
      <w:r w:rsidR="00122668">
        <w:rPr>
          <w:color w:val="000000" w:themeColor="text1"/>
        </w:rPr>
        <w:t xml:space="preserve">are </w:t>
      </w:r>
      <w:r w:rsidR="00FC29FE" w:rsidRPr="00882FD5">
        <w:rPr>
          <w:color w:val="000000" w:themeColor="text1"/>
        </w:rPr>
        <w:t>move</w:t>
      </w:r>
      <w:r w:rsidR="00122668">
        <w:rPr>
          <w:color w:val="000000" w:themeColor="text1"/>
        </w:rPr>
        <w:t>d</w:t>
      </w:r>
      <w:r w:rsidR="00FC29FE" w:rsidRPr="00882FD5">
        <w:rPr>
          <w:color w:val="000000" w:themeColor="text1"/>
        </w:rPr>
        <w:t xml:space="preserve"> from a non-HDN to an HDN. </w:t>
      </w:r>
    </w:p>
    <w:p w14:paraId="12B429D7" w14:textId="77777777" w:rsidR="00341685" w:rsidRPr="00882FD5" w:rsidRDefault="00341685" w:rsidP="00F739CC">
      <w:pPr>
        <w:autoSpaceDE w:val="0"/>
        <w:autoSpaceDN w:val="0"/>
        <w:adjustRightInd w:val="0"/>
        <w:spacing w:before="0" w:line="240" w:lineRule="auto"/>
        <w:jc w:val="both"/>
        <w:rPr>
          <w:b/>
        </w:rPr>
      </w:pPr>
    </w:p>
    <w:p w14:paraId="75983732" w14:textId="7934027E" w:rsidR="00627A85" w:rsidRPr="00882FD5" w:rsidRDefault="0018284D" w:rsidP="00AE6910">
      <w:pPr>
        <w:autoSpaceDE w:val="0"/>
        <w:autoSpaceDN w:val="0"/>
        <w:adjustRightInd w:val="0"/>
        <w:spacing w:before="0" w:line="240" w:lineRule="auto"/>
        <w:jc w:val="both"/>
      </w:pPr>
      <w:r w:rsidRPr="00882FD5">
        <w:rPr>
          <w:b/>
        </w:rPr>
        <w:t>Keywords</w:t>
      </w:r>
      <w:r w:rsidRPr="00882FD5">
        <w:t xml:space="preserve">: </w:t>
      </w:r>
      <w:r w:rsidR="00341685" w:rsidRPr="00882FD5">
        <w:t>Residential self-selection</w:t>
      </w:r>
      <w:r w:rsidRPr="00882FD5">
        <w:t xml:space="preserve">; Latent </w:t>
      </w:r>
      <w:r w:rsidR="00341685" w:rsidRPr="00882FD5">
        <w:t>constructs</w:t>
      </w:r>
      <w:r w:rsidRPr="00882FD5">
        <w:t xml:space="preserve">; </w:t>
      </w:r>
      <w:r w:rsidR="003A3C46" w:rsidRPr="00882FD5">
        <w:t>GHDM; Auto-ownership; Ranked mode choice.</w:t>
      </w:r>
    </w:p>
    <w:p w14:paraId="5B50A09F" w14:textId="465987C8" w:rsidR="00627A85" w:rsidRPr="00882FD5" w:rsidRDefault="00627A85">
      <w:pPr>
        <w:spacing w:before="0" w:after="160" w:line="259" w:lineRule="auto"/>
      </w:pPr>
    </w:p>
    <w:p w14:paraId="027BEEAE" w14:textId="77777777" w:rsidR="00F739CC" w:rsidRDefault="00F739CC" w:rsidP="00AE6910">
      <w:pPr>
        <w:pStyle w:val="ListParagraph"/>
        <w:numPr>
          <w:ilvl w:val="0"/>
          <w:numId w:val="20"/>
        </w:numPr>
        <w:autoSpaceDE w:val="0"/>
        <w:autoSpaceDN w:val="0"/>
        <w:adjustRightInd w:val="0"/>
        <w:spacing w:before="0" w:line="240" w:lineRule="auto"/>
        <w:ind w:left="360"/>
        <w:jc w:val="both"/>
        <w:rPr>
          <w:b/>
        </w:rPr>
        <w:sectPr w:rsidR="00F739CC" w:rsidSect="003B5197">
          <w:footerReference w:type="default" r:id="rId11"/>
          <w:pgSz w:w="12240" w:h="15840"/>
          <w:pgMar w:top="1440" w:right="1440" w:bottom="1440" w:left="1440" w:header="720" w:footer="720" w:gutter="0"/>
          <w:pgNumType w:start="1"/>
          <w:cols w:space="720"/>
          <w:docGrid w:linePitch="360"/>
        </w:sectPr>
      </w:pPr>
    </w:p>
    <w:p w14:paraId="30F2217B" w14:textId="27D07096" w:rsidR="00520A4B" w:rsidRPr="00882FD5" w:rsidRDefault="00520A4B" w:rsidP="00F739CC">
      <w:pPr>
        <w:pStyle w:val="ListParagraph"/>
        <w:numPr>
          <w:ilvl w:val="0"/>
          <w:numId w:val="20"/>
        </w:numPr>
        <w:autoSpaceDE w:val="0"/>
        <w:autoSpaceDN w:val="0"/>
        <w:adjustRightInd w:val="0"/>
        <w:spacing w:before="0" w:line="240" w:lineRule="auto"/>
        <w:ind w:left="360"/>
        <w:jc w:val="both"/>
        <w:rPr>
          <w:b/>
        </w:rPr>
      </w:pPr>
      <w:r w:rsidRPr="00882FD5">
        <w:rPr>
          <w:b/>
        </w:rPr>
        <w:lastRenderedPageBreak/>
        <w:t>I</w:t>
      </w:r>
      <w:r w:rsidR="003B4A74" w:rsidRPr="00882FD5">
        <w:rPr>
          <w:b/>
        </w:rPr>
        <w:t>NTRODUCTION</w:t>
      </w:r>
    </w:p>
    <w:p w14:paraId="63A48F46" w14:textId="79722F49" w:rsidR="006C4DEC" w:rsidRPr="00882FD5" w:rsidRDefault="006C4DEC" w:rsidP="00F739CC">
      <w:pPr>
        <w:spacing w:before="0" w:line="240" w:lineRule="auto"/>
        <w:jc w:val="both"/>
        <w:rPr>
          <w:color w:val="000000" w:themeColor="text1"/>
        </w:rPr>
      </w:pPr>
      <w:r w:rsidRPr="00882FD5">
        <w:rPr>
          <w:color w:val="000000" w:themeColor="text1"/>
        </w:rPr>
        <w:t xml:space="preserve">There is substantial interest in the land use-transportation literature on disentangling associative effects </w:t>
      </w:r>
      <w:r w:rsidR="00122668">
        <w:rPr>
          <w:color w:val="000000" w:themeColor="text1"/>
        </w:rPr>
        <w:t>from</w:t>
      </w:r>
      <w:r w:rsidR="00122668" w:rsidRPr="00882FD5">
        <w:rPr>
          <w:color w:val="000000" w:themeColor="text1"/>
        </w:rPr>
        <w:t xml:space="preserve"> </w:t>
      </w:r>
      <w:r w:rsidRPr="00882FD5">
        <w:rPr>
          <w:color w:val="000000" w:themeColor="text1"/>
        </w:rPr>
        <w:t xml:space="preserve">causal effects in the impacts of residential built environment on traveler behavior. In this direction of research, motivated by the potential of influencing individual’s travel-related choices through built environment (BE) configurations and policies, it is critical to understand whether the co-movement of BE characteristics and the travel-related variables is “truly” a reflection of causality or simply a spurious correlation due to intrinsic attitudinal factors leading individuals to live in specific built environments and also pursuing distinctive activity-travel patterns </w:t>
      </w:r>
      <w:r w:rsidR="00975E66" w:rsidRPr="00882FD5">
        <w:rPr>
          <w:color w:val="000000" w:themeColor="text1"/>
        </w:rPr>
        <w:t xml:space="preserve">(see </w:t>
      </w:r>
      <w:r w:rsidR="001D34CC" w:rsidRPr="00882FD5">
        <w:rPr>
          <w:color w:val="000000" w:themeColor="text1"/>
        </w:rPr>
        <w:t xml:space="preserve">Bhat and Guo, 2007, </w:t>
      </w:r>
      <w:r w:rsidR="00975E66" w:rsidRPr="00882FD5">
        <w:rPr>
          <w:color w:val="000000" w:themeColor="text1"/>
        </w:rPr>
        <w:t xml:space="preserve">for an extended discussion of residential self-selection considerations and alternative ways to address this concern; more recently, </w:t>
      </w:r>
      <w:r w:rsidR="001D34CC" w:rsidRPr="00882FD5">
        <w:rPr>
          <w:color w:val="000000" w:themeColor="text1"/>
        </w:rPr>
        <w:t>Guan et al., 2020</w:t>
      </w:r>
      <w:r w:rsidR="00975E66" w:rsidRPr="00882FD5">
        <w:rPr>
          <w:color w:val="000000" w:themeColor="text1"/>
        </w:rPr>
        <w:t xml:space="preserve"> provide an extensive review of studies that accommodate residential self-selection when investigating the effect of the built environment (BE) on travel-related variables </w:t>
      </w:r>
      <w:r w:rsidR="00122668">
        <w:rPr>
          <w:color w:val="000000" w:themeColor="text1"/>
        </w:rPr>
        <w:t>such as</w:t>
      </w:r>
      <w:r w:rsidR="00122668" w:rsidRPr="00882FD5">
        <w:rPr>
          <w:color w:val="000000" w:themeColor="text1"/>
        </w:rPr>
        <w:t xml:space="preserve"> </w:t>
      </w:r>
      <w:r w:rsidR="00975E66" w:rsidRPr="00882FD5">
        <w:rPr>
          <w:color w:val="000000" w:themeColor="text1"/>
        </w:rPr>
        <w:t xml:space="preserve">trip frequency, active travel, transit use, private vehicle use, travel duration, </w:t>
      </w:r>
      <w:r w:rsidR="0082193C" w:rsidRPr="00882FD5">
        <w:rPr>
          <w:color w:val="000000" w:themeColor="text1"/>
        </w:rPr>
        <w:t>auto-</w:t>
      </w:r>
      <w:r w:rsidR="00975E66" w:rsidRPr="00882FD5">
        <w:rPr>
          <w:color w:val="000000" w:themeColor="text1"/>
        </w:rPr>
        <w:t>ownership, and travel mode choice)</w:t>
      </w:r>
      <w:r w:rsidRPr="00882FD5">
        <w:rPr>
          <w:color w:val="000000" w:themeColor="text1"/>
        </w:rPr>
        <w:t xml:space="preserve">. Thus, it is important to explicitly model the jointness in (that is, correlation in unobserved factors impacting) residential living choice and traveler behavior choices.  </w:t>
      </w:r>
    </w:p>
    <w:p w14:paraId="139FBB57" w14:textId="03813876" w:rsidR="00975E66" w:rsidRPr="00882FD5" w:rsidRDefault="006C4DEC" w:rsidP="00F739CC">
      <w:pPr>
        <w:spacing w:before="0" w:line="240" w:lineRule="auto"/>
        <w:jc w:val="both"/>
      </w:pPr>
      <w:r w:rsidRPr="00882FD5">
        <w:rPr>
          <w:color w:val="000000" w:themeColor="text1"/>
        </w:rPr>
        <w:tab/>
        <w:t>In our current effort, we contribute to this thread of land use-transportation relationship by investigating residential location effects on auto-ownership levels</w:t>
      </w:r>
      <w:r w:rsidR="00EA13EB" w:rsidRPr="00882FD5">
        <w:rPr>
          <w:color w:val="000000" w:themeColor="text1"/>
        </w:rPr>
        <w:t xml:space="preserve"> (number of motorized four-wheelers owned by a household)</w:t>
      </w:r>
      <w:r w:rsidRPr="00882FD5">
        <w:rPr>
          <w:color w:val="000000" w:themeColor="text1"/>
        </w:rPr>
        <w:t xml:space="preserve"> and rank-based travel mode preferences of individuals, within a hypothetical futuristic autonomous vehicle (AV) landscape. Rank-based preference surveys</w:t>
      </w:r>
      <w:r w:rsidRPr="00882FD5">
        <w:t xml:space="preserve"> can be exploited to achieve a certain desired precision in choice model estimation with a much smaller sample size, making ranked data surveys more cost-effective than traditional first-choice surveys</w:t>
      </w:r>
      <w:r w:rsidR="00C42BE9" w:rsidRPr="00882FD5">
        <w:rPr>
          <w:color w:val="000000" w:themeColor="text1"/>
        </w:rPr>
        <w:t xml:space="preserve"> (see </w:t>
      </w:r>
      <w:r w:rsidR="001D34CC" w:rsidRPr="00882FD5">
        <w:rPr>
          <w:color w:val="000000" w:themeColor="text1"/>
        </w:rPr>
        <w:t>Nair et al., 2019</w:t>
      </w:r>
      <w:r w:rsidR="00975E66" w:rsidRPr="00882FD5">
        <w:rPr>
          <w:color w:val="000000" w:themeColor="text1"/>
        </w:rPr>
        <w:t>)</w:t>
      </w:r>
      <w:r w:rsidR="00C42BE9" w:rsidRPr="00882FD5">
        <w:rPr>
          <w:color w:val="000000" w:themeColor="text1"/>
        </w:rPr>
        <w:t>.</w:t>
      </w:r>
      <w:r w:rsidR="00975E66" w:rsidRPr="00882FD5">
        <w:rPr>
          <w:color w:val="000000" w:themeColor="text1"/>
        </w:rPr>
        <w:t xml:space="preserve"> </w:t>
      </w:r>
      <w:r w:rsidRPr="00882FD5">
        <w:t xml:space="preserve">Accordingly, and, to our knowledge, for the first time in the literature, we </w:t>
      </w:r>
      <w:r w:rsidR="00C42BE9" w:rsidRPr="00882FD5">
        <w:t xml:space="preserve">jointly </w:t>
      </w:r>
      <w:r w:rsidRPr="00882FD5">
        <w:t>model</w:t>
      </w:r>
      <w:r w:rsidR="00C42BE9" w:rsidRPr="00882FD5">
        <w:t xml:space="preserve"> </w:t>
      </w:r>
      <w:r w:rsidRPr="00882FD5">
        <w:t>ranked modal preferences with residential choice and auto</w:t>
      </w:r>
      <w:r w:rsidR="0082193C" w:rsidRPr="00882FD5">
        <w:t>-</w:t>
      </w:r>
      <w:r w:rsidRPr="00882FD5">
        <w:t>ownership choices to understand BE effect</w:t>
      </w:r>
      <w:r w:rsidR="007C6940" w:rsidRPr="00882FD5">
        <w:t>s</w:t>
      </w:r>
      <w:r w:rsidRPr="00882FD5">
        <w:t xml:space="preserve">. To do so in a parsimonious manner, we consider </w:t>
      </w:r>
      <w:r w:rsidR="00975E66" w:rsidRPr="00882FD5">
        <w:t xml:space="preserve">two </w:t>
      </w:r>
      <w:r w:rsidRPr="00882FD5">
        <w:t>stochastic latent constructs as</w:t>
      </w:r>
      <w:r w:rsidR="00C42BE9" w:rsidRPr="00882FD5">
        <w:t xml:space="preserve"> </w:t>
      </w:r>
      <w:r w:rsidRPr="00882FD5">
        <w:t xml:space="preserve">determinants of residential choice, auto-ownership, and modal preferences within </w:t>
      </w:r>
      <w:r w:rsidR="00975E66" w:rsidRPr="00882FD5">
        <w:t>Bhat’s (</w:t>
      </w:r>
      <w:r w:rsidR="001D34CC" w:rsidRPr="00882FD5">
        <w:t>2015</w:t>
      </w:r>
      <w:r w:rsidR="00575D15" w:rsidRPr="00882FD5">
        <w:t>a</w:t>
      </w:r>
      <w:r w:rsidR="00975E66" w:rsidRPr="00882FD5">
        <w:t xml:space="preserve">) </w:t>
      </w:r>
      <w:r w:rsidRPr="00882FD5">
        <w:t xml:space="preserve">Generalized Heterogeneous Data Model (GHDM) framework. </w:t>
      </w:r>
      <w:r w:rsidRPr="00882FD5">
        <w:rPr>
          <w:color w:val="000000" w:themeColor="text1"/>
        </w:rPr>
        <w:t xml:space="preserve">The latent constructs (or social </w:t>
      </w:r>
      <w:r w:rsidR="00975E66" w:rsidRPr="00882FD5">
        <w:rPr>
          <w:color w:val="000000" w:themeColor="text1"/>
        </w:rPr>
        <w:t xml:space="preserve">lifestyle </w:t>
      </w:r>
      <w:r w:rsidRPr="00882FD5">
        <w:rPr>
          <w:color w:val="000000" w:themeColor="text1"/>
        </w:rPr>
        <w:t xml:space="preserve">factors) </w:t>
      </w:r>
      <w:r w:rsidR="00C42BE9" w:rsidRPr="00882FD5">
        <w:rPr>
          <w:color w:val="000000" w:themeColor="text1"/>
        </w:rPr>
        <w:t>are</w:t>
      </w:r>
      <w:r w:rsidRPr="00882FD5">
        <w:rPr>
          <w:color w:val="000000" w:themeColor="text1"/>
        </w:rPr>
        <w:t xml:space="preserve"> Green Lifestyle Propensity (GLP)</w:t>
      </w:r>
      <w:r w:rsidR="00472845" w:rsidRPr="00882FD5">
        <w:rPr>
          <w:color w:val="000000" w:themeColor="text1"/>
        </w:rPr>
        <w:t xml:space="preserve"> and</w:t>
      </w:r>
      <w:r w:rsidRPr="00882FD5">
        <w:rPr>
          <w:color w:val="000000" w:themeColor="text1"/>
        </w:rPr>
        <w:t xml:space="preserve"> Luxury Lifestyle Propensity (LLP)</w:t>
      </w:r>
      <w:r w:rsidR="00472845" w:rsidRPr="00882FD5">
        <w:rPr>
          <w:color w:val="000000" w:themeColor="text1"/>
        </w:rPr>
        <w:t xml:space="preserve">. </w:t>
      </w:r>
      <w:r w:rsidRPr="00882FD5">
        <w:rPr>
          <w:color w:val="000000" w:themeColor="text1"/>
        </w:rPr>
        <w:t xml:space="preserve">The first latent construct relates to a general </w:t>
      </w:r>
      <w:r w:rsidR="006F24A7" w:rsidRPr="00882FD5">
        <w:rPr>
          <w:color w:val="000000" w:themeColor="text1"/>
        </w:rPr>
        <w:t>environmental-</w:t>
      </w:r>
      <w:r w:rsidRPr="00882FD5">
        <w:rPr>
          <w:color w:val="000000" w:themeColor="text1"/>
        </w:rPr>
        <w:t xml:space="preserve">consciousness and </w:t>
      </w:r>
      <w:r w:rsidR="006F24A7" w:rsidRPr="00882FD5">
        <w:rPr>
          <w:color w:val="000000" w:themeColor="text1"/>
        </w:rPr>
        <w:t>a pro-environmental lifestyle</w:t>
      </w:r>
      <w:r w:rsidRPr="00882FD5">
        <w:rPr>
          <w:color w:val="000000" w:themeColor="text1"/>
        </w:rPr>
        <w:t xml:space="preserve">; the second LLP construct is characterized by a </w:t>
      </w:r>
      <w:r w:rsidRPr="00882FD5">
        <w:t>penchant for consuming more, marked by a desire for privacy, spaciousness, and signaling exclusivity</w:t>
      </w:r>
      <w:r w:rsidR="00975E66" w:rsidRPr="00882FD5">
        <w:t>.</w:t>
      </w:r>
    </w:p>
    <w:p w14:paraId="2ED09ED2" w14:textId="0F5FBD7E" w:rsidR="00D46CD7" w:rsidRPr="00882FD5" w:rsidRDefault="006C4DEC" w:rsidP="00F739CC">
      <w:pPr>
        <w:spacing w:before="0" w:line="240" w:lineRule="auto"/>
        <w:jc w:val="both"/>
      </w:pPr>
      <w:r w:rsidRPr="00882FD5">
        <w:t xml:space="preserve"> </w:t>
      </w:r>
      <w:r w:rsidR="00975E66" w:rsidRPr="00882FD5">
        <w:tab/>
      </w:r>
      <w:r w:rsidR="00515616" w:rsidRPr="00882FD5">
        <w:t>The GHDM model is based on using the latent constructs as unobserved stochastic factors that impact the underlying propensities/utilities (determining non-continuous outcomes of interest) or directly influencing a continuous outcome of interest. In this paper, we will use the label “latent construct” strictly for unobserved stochastic lifestyle factors, and the label “latent variable” strictly for propensities/utilities underlying non-continuous outcomes of interest. Then, through the latent construct mediating factors, which are generally fewer than the latent variables underlying the main outcomes of interest, one can engender jointness (correlations</w:t>
      </w:r>
      <w:r w:rsidR="00D4026D" w:rsidRPr="00882FD5">
        <w:t xml:space="preserve"> due to unobserved factors</w:t>
      </w:r>
      <w:r w:rsidR="00515616" w:rsidRPr="00882FD5">
        <w:t xml:space="preserve">) in a parsimonious fashion among the main outcomes of interest (see </w:t>
      </w:r>
      <w:r w:rsidR="001D34CC" w:rsidRPr="00882FD5">
        <w:t>Bhat, 2015</w:t>
      </w:r>
      <w:r w:rsidR="00575D15" w:rsidRPr="00882FD5">
        <w:t>a</w:t>
      </w:r>
      <w:r w:rsidR="00515616" w:rsidRPr="00882FD5">
        <w:t xml:space="preserve">). </w:t>
      </w:r>
      <w:r w:rsidR="00D46CD7" w:rsidRPr="00882FD5">
        <w:t xml:space="preserve"> </w:t>
      </w:r>
    </w:p>
    <w:p w14:paraId="7239D23C" w14:textId="0481842A" w:rsidR="00677A45" w:rsidRPr="00882FD5" w:rsidRDefault="00D46CD7" w:rsidP="00F739CC">
      <w:pPr>
        <w:spacing w:before="0" w:line="240" w:lineRule="auto"/>
        <w:ind w:firstLine="720"/>
        <w:jc w:val="both"/>
        <w:rPr>
          <w:noProof/>
        </w:rPr>
      </w:pPr>
      <w:r w:rsidRPr="00882FD5">
        <w:rPr>
          <w:noProof/>
        </w:rPr>
        <w:t>O</w:t>
      </w:r>
      <w:r w:rsidR="00576C90" w:rsidRPr="00882FD5">
        <w:rPr>
          <w:noProof/>
        </w:rPr>
        <w:t xml:space="preserve">ne important assumption in the GHDM </w:t>
      </w:r>
      <w:r w:rsidR="000E7F7A" w:rsidRPr="00882FD5">
        <w:rPr>
          <w:noProof/>
        </w:rPr>
        <w:t>model</w:t>
      </w:r>
      <w:r w:rsidR="000E7F7A" w:rsidRPr="00882FD5">
        <w:t xml:space="preserve"> (and the other factorization-based parsimonious models that are subsumed within the broad GHDM framework)</w:t>
      </w:r>
      <w:r w:rsidR="00576C90" w:rsidRPr="00882FD5">
        <w:rPr>
          <w:noProof/>
        </w:rPr>
        <w:t xml:space="preserve"> is that the latent constructs </w:t>
      </w:r>
      <w:r w:rsidR="000E7F7A" w:rsidRPr="00882FD5">
        <w:rPr>
          <w:noProof/>
        </w:rPr>
        <w:t xml:space="preserve">are </w:t>
      </w:r>
      <w:r w:rsidR="00576C90" w:rsidRPr="00882FD5">
        <w:rPr>
          <w:noProof/>
        </w:rPr>
        <w:t xml:space="preserve">completely independent of the main outcomes </w:t>
      </w:r>
      <w:r w:rsidR="000E7F7A" w:rsidRPr="00882FD5">
        <w:rPr>
          <w:noProof/>
        </w:rPr>
        <w:t xml:space="preserve">of interest </w:t>
      </w:r>
      <w:r w:rsidR="00576C90" w:rsidRPr="00882FD5">
        <w:rPr>
          <w:noProof/>
        </w:rPr>
        <w:t>(</w:t>
      </w:r>
      <w:r w:rsidR="002C69D1" w:rsidRPr="00882FD5">
        <w:rPr>
          <w:noProof/>
        </w:rPr>
        <w:t>high-density</w:t>
      </w:r>
      <w:r w:rsidR="00C50E3B" w:rsidRPr="00882FD5">
        <w:rPr>
          <w:noProof/>
        </w:rPr>
        <w:t xml:space="preserve"> neighborhood or </w:t>
      </w:r>
      <w:r w:rsidR="000E7F7A" w:rsidRPr="00882FD5">
        <w:rPr>
          <w:noProof/>
        </w:rPr>
        <w:t>HDN living, auto</w:t>
      </w:r>
      <w:r w:rsidR="0082193C" w:rsidRPr="00882FD5">
        <w:rPr>
          <w:noProof/>
        </w:rPr>
        <w:t>-</w:t>
      </w:r>
      <w:r w:rsidR="000E7F7A" w:rsidRPr="00882FD5">
        <w:rPr>
          <w:noProof/>
        </w:rPr>
        <w:t>ownership, and mode choice</w:t>
      </w:r>
      <w:r w:rsidR="00CF2E27" w:rsidRPr="00882FD5">
        <w:rPr>
          <w:noProof/>
        </w:rPr>
        <w:t xml:space="preserve"> in our empirical context</w:t>
      </w:r>
      <w:r w:rsidR="000E7F7A" w:rsidRPr="00882FD5">
        <w:rPr>
          <w:noProof/>
        </w:rPr>
        <w:t>)</w:t>
      </w:r>
      <w:r w:rsidR="00576C90" w:rsidRPr="00882FD5">
        <w:rPr>
          <w:noProof/>
        </w:rPr>
        <w:t xml:space="preserve">. </w:t>
      </w:r>
      <w:r w:rsidR="000E7F7A" w:rsidRPr="00882FD5">
        <w:rPr>
          <w:noProof/>
        </w:rPr>
        <w:t xml:space="preserve">This is because the stochastic latent constructs are used in a </w:t>
      </w:r>
      <w:r w:rsidR="00CF2E27" w:rsidRPr="00882FD5">
        <w:rPr>
          <w:noProof/>
        </w:rPr>
        <w:t xml:space="preserve">strictly </w:t>
      </w:r>
      <w:r w:rsidR="000E7F7A" w:rsidRPr="00882FD5">
        <w:rPr>
          <w:noProof/>
        </w:rPr>
        <w:t xml:space="preserve">forward-facing manner to impact the </w:t>
      </w:r>
      <w:r w:rsidR="00515616" w:rsidRPr="00882FD5">
        <w:rPr>
          <w:noProof/>
        </w:rPr>
        <w:t xml:space="preserve">latent variables underlying the </w:t>
      </w:r>
      <w:r w:rsidR="000E7F7A" w:rsidRPr="00882FD5">
        <w:rPr>
          <w:noProof/>
        </w:rPr>
        <w:t>main outcomes</w:t>
      </w:r>
      <w:r w:rsidR="00515616" w:rsidRPr="00882FD5">
        <w:rPr>
          <w:noProof/>
        </w:rPr>
        <w:t xml:space="preserve"> to </w:t>
      </w:r>
      <w:r w:rsidR="000E7F7A" w:rsidRPr="00882FD5">
        <w:rPr>
          <w:noProof/>
        </w:rPr>
        <w:t xml:space="preserve">generate correlation among the main outcomes. </w:t>
      </w:r>
      <w:r w:rsidR="00576C90" w:rsidRPr="00882FD5">
        <w:rPr>
          <w:noProof/>
        </w:rPr>
        <w:t>Such a</w:t>
      </w:r>
      <w:r w:rsidR="000E7F7A" w:rsidRPr="00882FD5">
        <w:rPr>
          <w:noProof/>
        </w:rPr>
        <w:t xml:space="preserve"> forward-facing assumption is also </w:t>
      </w:r>
      <w:r w:rsidR="00576C90" w:rsidRPr="00882FD5">
        <w:rPr>
          <w:noProof/>
        </w:rPr>
        <w:t xml:space="preserve">theoretically </w:t>
      </w:r>
      <w:r w:rsidR="000E7F7A" w:rsidRPr="00882FD5">
        <w:rPr>
          <w:noProof/>
        </w:rPr>
        <w:t xml:space="preserve">embedded </w:t>
      </w:r>
      <w:r w:rsidR="00576C90" w:rsidRPr="00882FD5">
        <w:rPr>
          <w:noProof/>
        </w:rPr>
        <w:t>in the popular Theory of Planned Behavior or TPB (</w:t>
      </w:r>
      <w:r w:rsidR="001D34CC" w:rsidRPr="00882FD5">
        <w:rPr>
          <w:noProof/>
        </w:rPr>
        <w:t>Ajzen, 1991</w:t>
      </w:r>
      <w:r w:rsidR="00576C90" w:rsidRPr="00882FD5">
        <w:rPr>
          <w:noProof/>
        </w:rPr>
        <w:t>)</w:t>
      </w:r>
      <w:r w:rsidR="000E7F7A" w:rsidRPr="00882FD5">
        <w:rPr>
          <w:noProof/>
        </w:rPr>
        <w:t>,</w:t>
      </w:r>
      <w:r w:rsidR="00576C90" w:rsidRPr="00882FD5">
        <w:rPr>
          <w:noProof/>
        </w:rPr>
        <w:t xml:space="preserve"> which proposes a unidirectional impact of attitudes on behavior</w:t>
      </w:r>
      <w:r w:rsidR="000E7F7A" w:rsidRPr="00882FD5">
        <w:rPr>
          <w:noProof/>
        </w:rPr>
        <w:t xml:space="preserve">. </w:t>
      </w:r>
      <w:r w:rsidR="000E7F7A" w:rsidRPr="00882FD5">
        <w:rPr>
          <w:noProof/>
        </w:rPr>
        <w:lastRenderedPageBreak/>
        <w:t>T</w:t>
      </w:r>
      <w:r w:rsidR="00576C90" w:rsidRPr="00882FD5">
        <w:rPr>
          <w:noProof/>
        </w:rPr>
        <w:t xml:space="preserve">he underlying notion </w:t>
      </w:r>
      <w:r w:rsidR="000E7F7A" w:rsidRPr="00882FD5">
        <w:rPr>
          <w:noProof/>
        </w:rPr>
        <w:t xml:space="preserve">is </w:t>
      </w:r>
      <w:r w:rsidR="00576C90" w:rsidRPr="00882FD5">
        <w:rPr>
          <w:noProof/>
        </w:rPr>
        <w:t>that</w:t>
      </w:r>
      <w:r w:rsidR="000E7F7A" w:rsidRPr="00882FD5">
        <w:rPr>
          <w:noProof/>
        </w:rPr>
        <w:t>,</w:t>
      </w:r>
      <w:r w:rsidR="00576C90" w:rsidRPr="00882FD5">
        <w:rPr>
          <w:noProof/>
        </w:rPr>
        <w:t xml:space="preserve"> together with subjective norms and behavioral control, our attitudes mold our behavioral intentions. </w:t>
      </w:r>
      <w:r w:rsidR="0054314D" w:rsidRPr="00882FD5">
        <w:rPr>
          <w:noProof/>
        </w:rPr>
        <w:t xml:space="preserve">Yet, </w:t>
      </w:r>
      <w:r w:rsidR="00F30F38" w:rsidRPr="00882FD5">
        <w:rPr>
          <w:noProof/>
        </w:rPr>
        <w:t xml:space="preserve">such </w:t>
      </w:r>
      <w:r w:rsidR="00006EE5" w:rsidRPr="00882FD5">
        <w:rPr>
          <w:noProof/>
        </w:rPr>
        <w:t xml:space="preserve">a </w:t>
      </w:r>
      <w:r w:rsidR="00F30F38" w:rsidRPr="00882FD5">
        <w:rPr>
          <w:noProof/>
        </w:rPr>
        <w:t xml:space="preserve">unidirectional </w:t>
      </w:r>
      <w:r w:rsidR="00006EE5" w:rsidRPr="00882FD5">
        <w:rPr>
          <w:noProof/>
        </w:rPr>
        <w:t xml:space="preserve">relationship may not always hold true. For example, imagine an individual </w:t>
      </w:r>
      <w:r w:rsidR="00CE75C8" w:rsidRPr="00882FD5">
        <w:rPr>
          <w:noProof/>
        </w:rPr>
        <w:t xml:space="preserve">with </w:t>
      </w:r>
      <w:r w:rsidR="00006EE5" w:rsidRPr="00882FD5">
        <w:rPr>
          <w:noProof/>
        </w:rPr>
        <w:t xml:space="preserve">low green lifestyle propensity (GLP) </w:t>
      </w:r>
      <w:r w:rsidR="002654B2" w:rsidRPr="00882FD5">
        <w:rPr>
          <w:noProof/>
        </w:rPr>
        <w:t xml:space="preserve">who </w:t>
      </w:r>
      <w:r w:rsidR="00006EE5" w:rsidRPr="00882FD5">
        <w:rPr>
          <w:noProof/>
        </w:rPr>
        <w:t>decides to reside in a</w:t>
      </w:r>
      <w:r w:rsidR="002654B2" w:rsidRPr="00882FD5">
        <w:rPr>
          <w:noProof/>
        </w:rPr>
        <w:t>n</w:t>
      </w:r>
      <w:r w:rsidR="00006EE5" w:rsidRPr="00882FD5">
        <w:rPr>
          <w:noProof/>
        </w:rPr>
        <w:t xml:space="preserve"> </w:t>
      </w:r>
      <w:r w:rsidR="002654B2" w:rsidRPr="00882FD5">
        <w:rPr>
          <w:noProof/>
        </w:rPr>
        <w:t xml:space="preserve">HDN </w:t>
      </w:r>
      <w:r w:rsidR="00296F5B" w:rsidRPr="00882FD5">
        <w:rPr>
          <w:noProof/>
        </w:rPr>
        <w:t xml:space="preserve">(characterized by </w:t>
      </w:r>
      <w:r w:rsidR="00773917" w:rsidRPr="00882FD5">
        <w:rPr>
          <w:noProof/>
        </w:rPr>
        <w:t>higher use of sustainable modes</w:t>
      </w:r>
      <w:r w:rsidR="00296F5B" w:rsidRPr="00882FD5">
        <w:rPr>
          <w:noProof/>
        </w:rPr>
        <w:t>)</w:t>
      </w:r>
      <w:r w:rsidR="00006EE5" w:rsidRPr="00882FD5">
        <w:rPr>
          <w:noProof/>
        </w:rPr>
        <w:t xml:space="preserve"> because of employer-provided housing incentives</w:t>
      </w:r>
      <w:r w:rsidR="00782BAF" w:rsidRPr="00882FD5">
        <w:rPr>
          <w:noProof/>
        </w:rPr>
        <w:t xml:space="preserve">. </w:t>
      </w:r>
      <w:r w:rsidR="00296F5B" w:rsidRPr="00882FD5">
        <w:rPr>
          <w:noProof/>
        </w:rPr>
        <w:t xml:space="preserve">Over a period of time, such individuals may begin to appreciate the </w:t>
      </w:r>
      <w:r w:rsidR="005B54F0" w:rsidRPr="00882FD5">
        <w:rPr>
          <w:noProof/>
        </w:rPr>
        <w:t>‘lower-carbon-footprint’ lifestyle</w:t>
      </w:r>
      <w:r w:rsidR="00773917" w:rsidRPr="00882FD5">
        <w:rPr>
          <w:noProof/>
        </w:rPr>
        <w:t xml:space="preserve"> </w:t>
      </w:r>
      <w:r w:rsidR="002654B2" w:rsidRPr="00882FD5">
        <w:rPr>
          <w:noProof/>
        </w:rPr>
        <w:t xml:space="preserve">stemming from </w:t>
      </w:r>
      <w:r w:rsidR="00773917" w:rsidRPr="00882FD5">
        <w:rPr>
          <w:noProof/>
        </w:rPr>
        <w:t>the greater usage of sustainable modes,</w:t>
      </w:r>
      <w:r w:rsidR="005B54F0" w:rsidRPr="00882FD5">
        <w:rPr>
          <w:noProof/>
        </w:rPr>
        <w:t xml:space="preserve"> which may elevate a sense of </w:t>
      </w:r>
      <w:r w:rsidR="002654B2" w:rsidRPr="00882FD5">
        <w:rPr>
          <w:noProof/>
        </w:rPr>
        <w:t>self-</w:t>
      </w:r>
      <w:r w:rsidR="005B54F0" w:rsidRPr="00882FD5">
        <w:rPr>
          <w:noProof/>
        </w:rPr>
        <w:t>pride for contributing positively to</w:t>
      </w:r>
      <w:r w:rsidR="00773917" w:rsidRPr="00882FD5">
        <w:rPr>
          <w:noProof/>
        </w:rPr>
        <w:t>ward environmental</w:t>
      </w:r>
      <w:r w:rsidR="005B54F0" w:rsidRPr="00882FD5">
        <w:rPr>
          <w:noProof/>
        </w:rPr>
        <w:t xml:space="preserve"> </w:t>
      </w:r>
      <w:r w:rsidR="00773917" w:rsidRPr="00882FD5">
        <w:rPr>
          <w:noProof/>
        </w:rPr>
        <w:t>conservation</w:t>
      </w:r>
      <w:r w:rsidR="005B54F0" w:rsidRPr="00882FD5">
        <w:rPr>
          <w:noProof/>
        </w:rPr>
        <w:t xml:space="preserve">. This, in turn, may increase the levels of GLP in such an individual. </w:t>
      </w:r>
      <w:r w:rsidR="000A46C2" w:rsidRPr="00882FD5">
        <w:rPr>
          <w:noProof/>
        </w:rPr>
        <w:t>In such a case,</w:t>
      </w:r>
      <w:r w:rsidR="005B54F0" w:rsidRPr="00882FD5">
        <w:rPr>
          <w:noProof/>
        </w:rPr>
        <w:t xml:space="preserve"> one might reasonably argue</w:t>
      </w:r>
      <w:r w:rsidR="006E7D27" w:rsidRPr="00882FD5">
        <w:rPr>
          <w:noProof/>
        </w:rPr>
        <w:t xml:space="preserve"> that </w:t>
      </w:r>
      <w:r w:rsidR="004F211D" w:rsidRPr="00882FD5">
        <w:rPr>
          <w:noProof/>
        </w:rPr>
        <w:t xml:space="preserve">HDN living and the use of sustainable travel modes (the main behavioral outcomes) themselves shape the GLP latent construct (the attitudinal precedent of the behavioral outcomes, in the context of chronological time). That is, the GLP construct and the underlying latent variables determining HDN living and sustainable mode use, when measured at a particular cross-sectional point in time, </w:t>
      </w:r>
      <w:r w:rsidR="002654B2" w:rsidRPr="00882FD5">
        <w:rPr>
          <w:noProof/>
        </w:rPr>
        <w:t xml:space="preserve">would be </w:t>
      </w:r>
      <w:r w:rsidR="006E7D27" w:rsidRPr="00882FD5">
        <w:rPr>
          <w:noProof/>
        </w:rPr>
        <w:t>positively correlated</w:t>
      </w:r>
      <w:r w:rsidR="005B54F0" w:rsidRPr="00882FD5">
        <w:rPr>
          <w:noProof/>
        </w:rPr>
        <w:t xml:space="preserve">. </w:t>
      </w:r>
      <w:r w:rsidR="00F93E19" w:rsidRPr="00882FD5">
        <w:rPr>
          <w:noProof/>
        </w:rPr>
        <w:t>Bhat and Mondal (</w:t>
      </w:r>
      <w:r w:rsidR="001D34CC" w:rsidRPr="00882FD5">
        <w:rPr>
          <w:noProof/>
        </w:rPr>
        <w:t>2022</w:t>
      </w:r>
      <w:r w:rsidR="00F93E19" w:rsidRPr="00882FD5">
        <w:rPr>
          <w:noProof/>
        </w:rPr>
        <w:t xml:space="preserve">) label such potential </w:t>
      </w:r>
      <w:r w:rsidR="00773917" w:rsidRPr="00882FD5">
        <w:rPr>
          <w:noProof/>
        </w:rPr>
        <w:t>correlation</w:t>
      </w:r>
      <w:r w:rsidR="00F93E19" w:rsidRPr="00882FD5">
        <w:rPr>
          <w:noProof/>
        </w:rPr>
        <w:t>s</w:t>
      </w:r>
      <w:r w:rsidR="00773917" w:rsidRPr="00882FD5">
        <w:rPr>
          <w:noProof/>
        </w:rPr>
        <w:t xml:space="preserve"> betwee</w:t>
      </w:r>
      <w:r w:rsidR="00F93E19" w:rsidRPr="00882FD5">
        <w:rPr>
          <w:noProof/>
        </w:rPr>
        <w:t xml:space="preserve">n latent constructs </w:t>
      </w:r>
      <w:r w:rsidR="00773917" w:rsidRPr="00882FD5">
        <w:rPr>
          <w:noProof/>
        </w:rPr>
        <w:t>and the main outcome</w:t>
      </w:r>
      <w:r w:rsidR="00F93E19" w:rsidRPr="00882FD5">
        <w:rPr>
          <w:noProof/>
        </w:rPr>
        <w:t>s</w:t>
      </w:r>
      <w:r w:rsidR="00773917" w:rsidRPr="00882FD5">
        <w:rPr>
          <w:noProof/>
        </w:rPr>
        <w:t xml:space="preserve"> </w:t>
      </w:r>
      <w:r w:rsidR="00F93E19" w:rsidRPr="00882FD5">
        <w:rPr>
          <w:noProof/>
        </w:rPr>
        <w:t xml:space="preserve">as </w:t>
      </w:r>
      <w:r w:rsidR="00773917" w:rsidRPr="00882FD5">
        <w:rPr>
          <w:noProof/>
        </w:rPr>
        <w:t>the “</w:t>
      </w:r>
      <w:r w:rsidR="00782BAF" w:rsidRPr="00882FD5">
        <w:rPr>
          <w:noProof/>
        </w:rPr>
        <w:t>late</w:t>
      </w:r>
      <w:r w:rsidR="00CF2E27" w:rsidRPr="00882FD5">
        <w:rPr>
          <w:noProof/>
        </w:rPr>
        <w:t>nt</w:t>
      </w:r>
      <w:r w:rsidR="00782BAF" w:rsidRPr="00882FD5">
        <w:rPr>
          <w:noProof/>
        </w:rPr>
        <w:t xml:space="preserve"> construct </w:t>
      </w:r>
      <w:r w:rsidR="00773917" w:rsidRPr="00882FD5">
        <w:rPr>
          <w:noProof/>
        </w:rPr>
        <w:t>endogeneity effect</w:t>
      </w:r>
      <w:r w:rsidR="00F93E19" w:rsidRPr="00882FD5">
        <w:rPr>
          <w:noProof/>
        </w:rPr>
        <w:t xml:space="preserve"> (or LC endogeneity effect)</w:t>
      </w:r>
      <w:r w:rsidR="00773917" w:rsidRPr="00882FD5">
        <w:rPr>
          <w:noProof/>
        </w:rPr>
        <w:t>”</w:t>
      </w:r>
      <w:r w:rsidR="00F93E19" w:rsidRPr="00882FD5">
        <w:rPr>
          <w:noProof/>
        </w:rPr>
        <w:t xml:space="preserve">. </w:t>
      </w:r>
      <w:r w:rsidR="004F211D" w:rsidRPr="00882FD5">
        <w:rPr>
          <w:noProof/>
          <w:color w:val="000000" w:themeColor="text1"/>
        </w:rPr>
        <w:t xml:space="preserve">Of course, this bi-directional relationship between attitudes and behavioral choices has a temporal </w:t>
      </w:r>
      <w:r w:rsidR="004F211D" w:rsidRPr="00882FD5">
        <w:rPr>
          <w:noProof/>
        </w:rPr>
        <w:t xml:space="preserve">component to it, where attitudes affect behavior and then the behavioral actions influence attitudes over time. </w:t>
      </w:r>
      <w:bookmarkStart w:id="0" w:name="_Hlk120886518"/>
      <w:r w:rsidR="004F211D" w:rsidRPr="00882FD5">
        <w:rPr>
          <w:noProof/>
        </w:rPr>
        <w:t xml:space="preserve">However, many publicly collected and available multivariate data sets </w:t>
      </w:r>
      <w:r w:rsidR="003648E2" w:rsidRPr="00882FD5">
        <w:rPr>
          <w:noProof/>
        </w:rPr>
        <w:t xml:space="preserve">on attitudes and behaviors </w:t>
      </w:r>
      <w:r w:rsidR="004F211D" w:rsidRPr="00882FD5">
        <w:rPr>
          <w:noProof/>
        </w:rPr>
        <w:t xml:space="preserve">are cross-sectional, </w:t>
      </w:r>
      <w:r w:rsidR="00DB06BA" w:rsidRPr="00882FD5">
        <w:rPr>
          <w:noProof/>
        </w:rPr>
        <w:t xml:space="preserve">thereby </w:t>
      </w:r>
      <w:r w:rsidR="004465DD" w:rsidRPr="00882FD5">
        <w:rPr>
          <w:noProof/>
        </w:rPr>
        <w:t>comingl</w:t>
      </w:r>
      <w:r w:rsidR="00DB06BA" w:rsidRPr="00882FD5">
        <w:rPr>
          <w:noProof/>
        </w:rPr>
        <w:t>ing</w:t>
      </w:r>
      <w:r w:rsidR="004465DD" w:rsidRPr="00882FD5">
        <w:rPr>
          <w:noProof/>
        </w:rPr>
        <w:t xml:space="preserve"> </w:t>
      </w:r>
      <w:r w:rsidR="003648E2" w:rsidRPr="00882FD5">
        <w:rPr>
          <w:noProof/>
        </w:rPr>
        <w:t xml:space="preserve">attitudes and behaviors in a </w:t>
      </w:r>
      <w:r w:rsidR="00DB06BA" w:rsidRPr="00882FD5">
        <w:rPr>
          <w:noProof/>
        </w:rPr>
        <w:t xml:space="preserve">sense of an </w:t>
      </w:r>
      <w:r w:rsidR="003648E2" w:rsidRPr="00882FD5">
        <w:rPr>
          <w:noProof/>
        </w:rPr>
        <w:t xml:space="preserve">equilibrium state at the time of data collection. Thus, with such cross-sectional data, the analyst needs to </w:t>
      </w:r>
      <w:r w:rsidR="004F211D" w:rsidRPr="00882FD5">
        <w:rPr>
          <w:noProof/>
        </w:rPr>
        <w:t xml:space="preserve">consider the attitude-behavior data as a package observation. Ignoring the package nature of the attitude-behavior data can lead to </w:t>
      </w:r>
      <w:r w:rsidR="0092112D" w:rsidRPr="00882FD5">
        <w:rPr>
          <w:noProof/>
        </w:rPr>
        <w:t>biased estimates of the “true” causal effect of HDN living on travel-related behavior, as discussed in detail in Bhat and Mondal (</w:t>
      </w:r>
      <w:r w:rsidR="001D34CC" w:rsidRPr="00882FD5">
        <w:rPr>
          <w:noProof/>
        </w:rPr>
        <w:t>2022</w:t>
      </w:r>
      <w:r w:rsidR="0092112D" w:rsidRPr="00882FD5">
        <w:rPr>
          <w:noProof/>
        </w:rPr>
        <w:t>).</w:t>
      </w:r>
      <w:r w:rsidR="00DB06BA" w:rsidRPr="00882FD5">
        <w:rPr>
          <w:rStyle w:val="FootnoteReference"/>
          <w:noProof/>
        </w:rPr>
        <w:footnoteReference w:id="1"/>
      </w:r>
    </w:p>
    <w:bookmarkEnd w:id="0"/>
    <w:p w14:paraId="0F3E6216" w14:textId="7B44D3EC" w:rsidR="005C264D" w:rsidRPr="00882FD5" w:rsidRDefault="00146DB5" w:rsidP="00F739CC">
      <w:pPr>
        <w:spacing w:before="0" w:line="240" w:lineRule="auto"/>
        <w:jc w:val="both"/>
        <w:rPr>
          <w:color w:val="000000" w:themeColor="text1"/>
        </w:rPr>
      </w:pPr>
      <w:r w:rsidRPr="00882FD5">
        <w:rPr>
          <w:color w:val="000000" w:themeColor="text1"/>
        </w:rPr>
        <w:tab/>
        <w:t xml:space="preserve">In </w:t>
      </w:r>
      <w:r w:rsidR="001B5E2F" w:rsidRPr="00882FD5">
        <w:rPr>
          <w:color w:val="000000" w:themeColor="text1"/>
        </w:rPr>
        <w:t xml:space="preserve">the current paper, we follow the </w:t>
      </w:r>
      <w:r w:rsidR="001975AE" w:rsidRPr="00882FD5">
        <w:rPr>
          <w:color w:val="000000" w:themeColor="text1"/>
        </w:rPr>
        <w:t xml:space="preserve">flexible GHDM </w:t>
      </w:r>
      <w:r w:rsidR="001B5E2F" w:rsidRPr="00882FD5">
        <w:rPr>
          <w:color w:val="000000" w:themeColor="text1"/>
        </w:rPr>
        <w:t xml:space="preserve">approach </w:t>
      </w:r>
      <w:r w:rsidR="001975AE" w:rsidRPr="00882FD5">
        <w:rPr>
          <w:color w:val="000000" w:themeColor="text1"/>
        </w:rPr>
        <w:t xml:space="preserve">(accommodating LC endogeneity effects) </w:t>
      </w:r>
      <w:r w:rsidR="001B5E2F" w:rsidRPr="00882FD5">
        <w:rPr>
          <w:color w:val="000000" w:themeColor="text1"/>
        </w:rPr>
        <w:t>proposed by Bhat and Mondal (</w:t>
      </w:r>
      <w:r w:rsidR="001D34CC" w:rsidRPr="00882FD5">
        <w:rPr>
          <w:noProof/>
        </w:rPr>
        <w:t>2022</w:t>
      </w:r>
      <w:r w:rsidR="001B5E2F" w:rsidRPr="00882FD5">
        <w:rPr>
          <w:color w:val="000000" w:themeColor="text1"/>
        </w:rPr>
        <w:t xml:space="preserve">), but </w:t>
      </w:r>
      <w:r w:rsidR="001975AE" w:rsidRPr="00882FD5">
        <w:rPr>
          <w:color w:val="000000" w:themeColor="text1"/>
        </w:rPr>
        <w:t xml:space="preserve">extend their approach to the </w:t>
      </w:r>
      <w:r w:rsidR="001B5E2F" w:rsidRPr="00882FD5">
        <w:rPr>
          <w:color w:val="000000" w:themeColor="text1"/>
        </w:rPr>
        <w:t>consider</w:t>
      </w:r>
      <w:r w:rsidR="001975AE" w:rsidRPr="00882FD5">
        <w:rPr>
          <w:color w:val="000000" w:themeColor="text1"/>
        </w:rPr>
        <w:t xml:space="preserve">ation of </w:t>
      </w:r>
      <w:r w:rsidR="001B5E2F" w:rsidRPr="00882FD5">
        <w:rPr>
          <w:color w:val="000000" w:themeColor="text1"/>
        </w:rPr>
        <w:t>a ranked variable</w:t>
      </w:r>
      <w:r w:rsidR="001975AE" w:rsidRPr="00882FD5">
        <w:rPr>
          <w:color w:val="000000" w:themeColor="text1"/>
        </w:rPr>
        <w:t xml:space="preserve"> among the main outcomes. </w:t>
      </w:r>
      <w:r w:rsidR="00FB2A43" w:rsidRPr="00882FD5">
        <w:t xml:space="preserve">To our knowledge, </w:t>
      </w:r>
      <w:r w:rsidR="00C42BE9" w:rsidRPr="00882FD5">
        <w:t xml:space="preserve">this </w:t>
      </w:r>
      <w:r w:rsidR="00FB2A43" w:rsidRPr="00882FD5">
        <w:t>is the first study to employ a latent construct-based approach to model a rank-ordered travel mode variable jointly with other main outcome variable types</w:t>
      </w:r>
      <w:r w:rsidR="000214F8" w:rsidRPr="00882FD5">
        <w:t xml:space="preserve"> (</w:t>
      </w:r>
      <w:r w:rsidR="000214F8" w:rsidRPr="00882FD5">
        <w:rPr>
          <w:color w:val="000000" w:themeColor="text1"/>
        </w:rPr>
        <w:t>residential location and auto</w:t>
      </w:r>
      <w:r w:rsidR="0082193C" w:rsidRPr="00882FD5">
        <w:rPr>
          <w:color w:val="000000" w:themeColor="text1"/>
        </w:rPr>
        <w:t>-</w:t>
      </w:r>
      <w:r w:rsidR="000214F8" w:rsidRPr="00882FD5">
        <w:rPr>
          <w:color w:val="000000" w:themeColor="text1"/>
        </w:rPr>
        <w:t>ownership)</w:t>
      </w:r>
      <w:r w:rsidR="00FB2A43" w:rsidRPr="00882FD5">
        <w:t>, while also recognizing</w:t>
      </w:r>
      <w:r w:rsidR="003648E2" w:rsidRPr="00882FD5">
        <w:t>, in a cross-sectional analysis context,</w:t>
      </w:r>
      <w:r w:rsidR="00FB2A43" w:rsidRPr="00882FD5">
        <w:t xml:space="preserve"> the </w:t>
      </w:r>
      <w:r w:rsidR="003648E2" w:rsidRPr="00882FD5">
        <w:t xml:space="preserve">potential endogeneity of </w:t>
      </w:r>
      <w:r w:rsidR="00FB2A43" w:rsidRPr="00882FD5">
        <w:t xml:space="preserve">latent constructs </w:t>
      </w:r>
      <w:r w:rsidR="00514593" w:rsidRPr="00882FD5">
        <w:t xml:space="preserve">in the </w:t>
      </w:r>
      <w:r w:rsidR="003648E2" w:rsidRPr="00882FD5">
        <w:t xml:space="preserve">modeling </w:t>
      </w:r>
      <w:r w:rsidR="00514593" w:rsidRPr="00882FD5">
        <w:t xml:space="preserve">of </w:t>
      </w:r>
      <w:r w:rsidR="00FB2A43" w:rsidRPr="00882FD5">
        <w:t xml:space="preserve">the main outcomes. </w:t>
      </w:r>
      <w:r w:rsidR="001975AE" w:rsidRPr="00882FD5">
        <w:rPr>
          <w:color w:val="000000" w:themeColor="text1"/>
        </w:rPr>
        <w:t xml:space="preserve">From a substantive standpoint, </w:t>
      </w:r>
      <w:r w:rsidRPr="00882FD5">
        <w:rPr>
          <w:color w:val="000000" w:themeColor="text1"/>
        </w:rPr>
        <w:t>we contribute to th</w:t>
      </w:r>
      <w:r w:rsidR="005723D6" w:rsidRPr="00882FD5">
        <w:rPr>
          <w:color w:val="000000" w:themeColor="text1"/>
        </w:rPr>
        <w:t>e</w:t>
      </w:r>
      <w:r w:rsidRPr="00882FD5">
        <w:rPr>
          <w:color w:val="000000" w:themeColor="text1"/>
        </w:rPr>
        <w:t xml:space="preserve"> </w:t>
      </w:r>
      <w:r w:rsidR="001975AE" w:rsidRPr="00882FD5">
        <w:rPr>
          <w:color w:val="000000" w:themeColor="text1"/>
        </w:rPr>
        <w:t xml:space="preserve">study of </w:t>
      </w:r>
      <w:r w:rsidRPr="00882FD5">
        <w:rPr>
          <w:color w:val="000000" w:themeColor="text1"/>
        </w:rPr>
        <w:t>land use-transportation relationship</w:t>
      </w:r>
      <w:r w:rsidR="001975AE" w:rsidRPr="00882FD5">
        <w:rPr>
          <w:color w:val="000000" w:themeColor="text1"/>
        </w:rPr>
        <w:t>s</w:t>
      </w:r>
      <w:r w:rsidRPr="00882FD5">
        <w:rPr>
          <w:color w:val="000000" w:themeColor="text1"/>
        </w:rPr>
        <w:t xml:space="preserve"> by investigating residential location effects on auto-ownership levels and travel mode preferences of individuals, within a hypothetical futuristic autonomous vehicle (AV) landscape. </w:t>
      </w:r>
      <w:r w:rsidR="00494D45" w:rsidRPr="00882FD5">
        <w:rPr>
          <w:color w:val="000000" w:themeColor="text1"/>
        </w:rPr>
        <w:t>Further, unlike the vast number of studies that focus on commute mode choice, our focus is on mode choice for non-work travel.</w:t>
      </w:r>
    </w:p>
    <w:p w14:paraId="3F78D627" w14:textId="59B85269" w:rsidR="004B7BCB" w:rsidRPr="00882FD5" w:rsidRDefault="00494D45" w:rsidP="00F739CC">
      <w:pPr>
        <w:spacing w:before="0" w:line="240" w:lineRule="auto"/>
        <w:jc w:val="both"/>
        <w:rPr>
          <w:color w:val="000000" w:themeColor="text1"/>
        </w:rPr>
      </w:pPr>
      <w:r w:rsidRPr="00882FD5">
        <w:rPr>
          <w:color w:val="000000" w:themeColor="text1"/>
        </w:rPr>
        <w:t xml:space="preserve"> </w:t>
      </w:r>
    </w:p>
    <w:p w14:paraId="65A64801" w14:textId="44F996B4" w:rsidR="00062DB5" w:rsidRPr="00882FD5" w:rsidRDefault="003B4A74" w:rsidP="00F739CC">
      <w:pPr>
        <w:pStyle w:val="Heading1"/>
        <w:numPr>
          <w:ilvl w:val="0"/>
          <w:numId w:val="20"/>
        </w:numPr>
        <w:spacing w:before="0" w:after="0" w:line="240" w:lineRule="auto"/>
        <w:ind w:left="360"/>
      </w:pPr>
      <w:r w:rsidRPr="00882FD5">
        <w:lastRenderedPageBreak/>
        <w:t>METHODOLOGY</w:t>
      </w:r>
    </w:p>
    <w:p w14:paraId="3725365D" w14:textId="7C77BE3D" w:rsidR="003319F0" w:rsidRPr="00882FD5" w:rsidRDefault="003319F0" w:rsidP="00F739CC">
      <w:pPr>
        <w:spacing w:before="0" w:line="240" w:lineRule="auto"/>
        <w:jc w:val="both"/>
        <w:rPr>
          <w:noProof/>
        </w:rPr>
      </w:pPr>
      <w:r w:rsidRPr="00882FD5">
        <w:t xml:space="preserve">For ease of presentation, we will suppress </w:t>
      </w:r>
      <w:r w:rsidRPr="00882FD5">
        <w:rPr>
          <w:noProof/>
        </w:rPr>
        <w:t>the index for decision-makers in our exposition below and assume that all error terms are independent and identically distributed across decision-makers. Following Bhat’s (</w:t>
      </w:r>
      <w:r w:rsidR="006329B2" w:rsidRPr="00882FD5">
        <w:t>2015</w:t>
      </w:r>
      <w:r w:rsidR="00575D15" w:rsidRPr="00882FD5">
        <w:t>a</w:t>
      </w:r>
      <w:r w:rsidRPr="00882FD5">
        <w:rPr>
          <w:noProof/>
        </w:rPr>
        <w:t xml:space="preserve">) GHDM formulation, let </w:t>
      </w:r>
      <w:r w:rsidRPr="00882FD5">
        <w:rPr>
          <w:i/>
          <w:noProof/>
        </w:rPr>
        <w:t>l</w:t>
      </w:r>
      <w:r w:rsidRPr="00882FD5">
        <w:rPr>
          <w:noProof/>
        </w:rPr>
        <w:t xml:space="preserve"> be an index for latent variables (</w:t>
      </w:r>
      <w:r w:rsidRPr="00882FD5">
        <w:rPr>
          <w:i/>
          <w:noProof/>
        </w:rPr>
        <w:t>l</w:t>
      </w:r>
      <w:r w:rsidRPr="00882FD5">
        <w:rPr>
          <w:noProof/>
        </w:rPr>
        <w:t>=1,</w:t>
      </w:r>
      <w:r w:rsidR="00CE75C8" w:rsidRPr="00882FD5">
        <w:rPr>
          <w:noProof/>
        </w:rPr>
        <w:t xml:space="preserve"> </w:t>
      </w:r>
      <w:r w:rsidRPr="00882FD5">
        <w:rPr>
          <w:noProof/>
        </w:rPr>
        <w:t>2,</w:t>
      </w:r>
      <w:r w:rsidR="00CE75C8" w:rsidRPr="00882FD5">
        <w:rPr>
          <w:noProof/>
        </w:rPr>
        <w:t xml:space="preserve"> </w:t>
      </w:r>
      <w:r w:rsidRPr="00882FD5">
        <w:rPr>
          <w:noProof/>
        </w:rPr>
        <w:t>…,</w:t>
      </w:r>
      <w:r w:rsidR="00CE75C8" w:rsidRPr="00882FD5">
        <w:rPr>
          <w:noProof/>
        </w:rPr>
        <w:t xml:space="preserve"> </w:t>
      </w:r>
      <w:r w:rsidRPr="00882FD5">
        <w:rPr>
          <w:i/>
          <w:noProof/>
        </w:rPr>
        <w:t>L</w:t>
      </w:r>
      <w:r w:rsidRPr="00882FD5">
        <w:rPr>
          <w:noProof/>
        </w:rPr>
        <w:t xml:space="preserve">). </w:t>
      </w:r>
      <w:r w:rsidR="00EA1F89" w:rsidRPr="00882FD5">
        <w:rPr>
          <w:noProof/>
        </w:rPr>
        <w:t xml:space="preserve">In our case, </w:t>
      </w:r>
      <w:r w:rsidR="00EA1F89" w:rsidRPr="00882FD5">
        <w:rPr>
          <w:i/>
          <w:noProof/>
        </w:rPr>
        <w:t>L=</w:t>
      </w:r>
      <w:r w:rsidR="00EA1F89" w:rsidRPr="00882FD5">
        <w:rPr>
          <w:noProof/>
        </w:rPr>
        <w:t>2</w:t>
      </w:r>
      <w:r w:rsidR="00183E2A" w:rsidRPr="00882FD5">
        <w:rPr>
          <w:noProof/>
        </w:rPr>
        <w:t>,</w:t>
      </w:r>
      <w:r w:rsidR="00EA1F89" w:rsidRPr="00882FD5">
        <w:rPr>
          <w:noProof/>
        </w:rPr>
        <w:t xml:space="preserve"> corresponding to the two latent constructs. </w:t>
      </w:r>
      <w:r w:rsidRPr="00882FD5">
        <w:rPr>
          <w:noProof/>
        </w:rPr>
        <w:t xml:space="preserve">Consider the latent </w:t>
      </w:r>
      <w:r w:rsidR="00F430C6" w:rsidRPr="00882FD5">
        <w:rPr>
          <w:noProof/>
        </w:rPr>
        <w:t>construct</w:t>
      </w:r>
      <w:r w:rsidRPr="00882FD5">
        <w:rPr>
          <w:noProof/>
        </w:rPr>
        <w:t xml:space="preserve"> </w:t>
      </w:r>
      <w:r w:rsidRPr="00882FD5">
        <w:rPr>
          <w:noProof/>
          <w:position w:val="-12"/>
        </w:rPr>
        <w:object w:dxaOrig="260" w:dyaOrig="380" w14:anchorId="5491EB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pt" o:ole="">
            <v:imagedata r:id="rId12" o:title=""/>
          </v:shape>
          <o:OLEObject Type="Embed" ProgID="Equation.3" ShapeID="_x0000_i1025" DrawAspect="Content" ObjectID="_1738154922" r:id="rId13"/>
        </w:object>
      </w:r>
      <w:r w:rsidRPr="00882FD5">
        <w:rPr>
          <w:noProof/>
        </w:rPr>
        <w:t xml:space="preserve"> and write it as a linear function of covariates:</w:t>
      </w:r>
    </w:p>
    <w:p w14:paraId="29A36C1F" w14:textId="6ACEAD1A" w:rsidR="003319F0" w:rsidRPr="00882FD5" w:rsidRDefault="002D75CA" w:rsidP="00575D15">
      <w:pPr>
        <w:tabs>
          <w:tab w:val="right" w:pos="9360"/>
        </w:tabs>
        <w:spacing w:line="240" w:lineRule="auto"/>
        <w:jc w:val="both"/>
        <w:rPr>
          <w:noProof/>
        </w:rPr>
      </w:pPr>
      <w:r w:rsidRPr="00882FD5">
        <w:rPr>
          <w:noProof/>
          <w:position w:val="-12"/>
        </w:rPr>
        <w:object w:dxaOrig="1260" w:dyaOrig="380" w14:anchorId="7D13016F">
          <v:shape id="_x0000_i1026" type="#_x0000_t75" style="width:62.15pt;height:18pt" o:ole="">
            <v:imagedata r:id="rId14" o:title=""/>
          </v:shape>
          <o:OLEObject Type="Embed" ProgID="Equation.DSMT4" ShapeID="_x0000_i1026" DrawAspect="Content" ObjectID="_1738154923" r:id="rId15"/>
        </w:object>
      </w:r>
      <w:r w:rsidR="003319F0" w:rsidRPr="00882FD5">
        <w:rPr>
          <w:noProof/>
        </w:rPr>
        <w:t xml:space="preserve">                                               </w:t>
      </w:r>
      <w:r w:rsidR="003319F0" w:rsidRPr="00882FD5">
        <w:rPr>
          <w:noProof/>
          <w:lang w:eastAsia="zh-CN"/>
        </w:rPr>
        <w:t xml:space="preserve">                                                              </w:t>
      </w:r>
      <w:r w:rsidR="003319F0" w:rsidRPr="00882FD5">
        <w:rPr>
          <w:noProof/>
        </w:rPr>
        <w:t xml:space="preserve">            </w:t>
      </w:r>
      <w:r w:rsidR="003319F0" w:rsidRPr="00882FD5">
        <w:rPr>
          <w:noProof/>
        </w:rPr>
        <w:tab/>
        <w:t>(1)</w:t>
      </w:r>
    </w:p>
    <w:p w14:paraId="7D77AF09" w14:textId="3BEE0F65" w:rsidR="003319F0" w:rsidRPr="00882FD5" w:rsidRDefault="003319F0" w:rsidP="00575D15">
      <w:pPr>
        <w:spacing w:line="240" w:lineRule="auto"/>
        <w:jc w:val="both"/>
        <w:rPr>
          <w:noProof/>
        </w:rPr>
      </w:pPr>
      <w:r w:rsidRPr="00882FD5">
        <w:rPr>
          <w:noProof/>
        </w:rPr>
        <w:t xml:space="preserve">where </w:t>
      </w:r>
      <w:r w:rsidRPr="00882FD5">
        <w:rPr>
          <w:b/>
          <w:i/>
          <w:noProof/>
        </w:rPr>
        <w:t>w</w:t>
      </w:r>
      <w:r w:rsidRPr="00882FD5">
        <w:rPr>
          <w:noProof/>
        </w:rPr>
        <w:t xml:space="preserve"> is a </w:t>
      </w:r>
      <w:r w:rsidRPr="00882FD5">
        <w:rPr>
          <w:noProof/>
          <w:position w:val="-10"/>
        </w:rPr>
        <w:object w:dxaOrig="720" w:dyaOrig="360" w14:anchorId="5D2AF256">
          <v:shape id="_x0000_i1027" type="#_x0000_t75" style="width:36pt;height:18pt" o:ole="">
            <v:imagedata r:id="rId16" o:title=""/>
          </v:shape>
          <o:OLEObject Type="Embed" ProgID="Equation.3" ShapeID="_x0000_i1027" DrawAspect="Content" ObjectID="_1738154924" r:id="rId17"/>
        </w:object>
      </w:r>
      <w:r w:rsidRPr="00882FD5">
        <w:rPr>
          <w:noProof/>
        </w:rPr>
        <w:t xml:space="preserve"> vector of observed covariates (excluding a constant), </w:t>
      </w:r>
      <w:r w:rsidR="002713EF" w:rsidRPr="00882FD5">
        <w:rPr>
          <w:noProof/>
          <w:position w:val="-12"/>
        </w:rPr>
        <w:object w:dxaOrig="260" w:dyaOrig="360" w14:anchorId="539FC68D">
          <v:shape id="_x0000_i1028" type="#_x0000_t75" style="width:12pt;height:18pt" o:ole="">
            <v:imagedata r:id="rId18" o:title=""/>
          </v:shape>
          <o:OLEObject Type="Embed" ProgID="Equation.DSMT4" ShapeID="_x0000_i1028" DrawAspect="Content" ObjectID="_1738154925" r:id="rId19"/>
        </w:object>
      </w:r>
      <w:r w:rsidRPr="00882FD5">
        <w:rPr>
          <w:noProof/>
        </w:rPr>
        <w:t xml:space="preserve"> is a corresponding </w:t>
      </w:r>
      <w:r w:rsidRPr="00882FD5">
        <w:rPr>
          <w:noProof/>
          <w:position w:val="-10"/>
        </w:rPr>
        <w:object w:dxaOrig="720" w:dyaOrig="360" w14:anchorId="3390EBFC">
          <v:shape id="_x0000_i1029" type="#_x0000_t75" style="width:36pt;height:18pt" o:ole="">
            <v:imagedata r:id="rId20" o:title=""/>
          </v:shape>
          <o:OLEObject Type="Embed" ProgID="Equation.3" ShapeID="_x0000_i1029" DrawAspect="Content" ObjectID="_1738154926" r:id="rId21"/>
        </w:object>
      </w:r>
      <w:r w:rsidRPr="00882FD5">
        <w:rPr>
          <w:noProof/>
        </w:rPr>
        <w:t xml:space="preserve"> vector of coefficients, and </w:t>
      </w:r>
      <w:r w:rsidRPr="00882FD5">
        <w:rPr>
          <w:noProof/>
          <w:position w:val="-12"/>
        </w:rPr>
        <w:object w:dxaOrig="240" w:dyaOrig="360" w14:anchorId="59B9F770">
          <v:shape id="_x0000_i1030" type="#_x0000_t75" style="width:12pt;height:18pt" o:ole="">
            <v:imagedata r:id="rId22" o:title=""/>
          </v:shape>
          <o:OLEObject Type="Embed" ProgID="Equation.3" ShapeID="_x0000_i1030" DrawAspect="Content" ObjectID="_1738154927" r:id="rId23"/>
        </w:object>
      </w:r>
      <w:r w:rsidRPr="00882FD5">
        <w:rPr>
          <w:noProof/>
        </w:rPr>
        <w:t xml:space="preserve"> is a random error term assumed to be standard normally distributed for identification purpose</w:t>
      </w:r>
      <w:r w:rsidR="00CE75C8" w:rsidRPr="00882FD5">
        <w:rPr>
          <w:noProof/>
        </w:rPr>
        <w:t>s</w:t>
      </w:r>
      <w:r w:rsidRPr="00882FD5">
        <w:rPr>
          <w:noProof/>
        </w:rPr>
        <w:t xml:space="preserve">.  Next, define the </w:t>
      </w:r>
      <w:r w:rsidRPr="00882FD5">
        <w:rPr>
          <w:noProof/>
          <w:position w:val="-10"/>
        </w:rPr>
        <w:object w:dxaOrig="780" w:dyaOrig="360" w14:anchorId="4E567C2C">
          <v:shape id="_x0000_i1031" type="#_x0000_t75" style="width:42pt;height:18pt" o:ole="">
            <v:imagedata r:id="rId24" o:title=""/>
          </v:shape>
          <o:OLEObject Type="Embed" ProgID="Equation.3" ShapeID="_x0000_i1031" DrawAspect="Content" ObjectID="_1738154928" r:id="rId25"/>
        </w:object>
      </w:r>
      <w:r w:rsidRPr="00882FD5">
        <w:rPr>
          <w:noProof/>
        </w:rPr>
        <w:t xml:space="preserve">matrix </w:t>
      </w:r>
      <w:r w:rsidR="00F739CC" w:rsidRPr="00E53691">
        <w:rPr>
          <w:noProof/>
          <w:position w:val="-12"/>
        </w:rPr>
        <w:object w:dxaOrig="1780" w:dyaOrig="360" w14:anchorId="66E680D2">
          <v:shape id="_x0000_i1032" type="#_x0000_t75" style="width:89.15pt;height:19.3pt" o:ole="" o:preferrelative="f">
            <v:imagedata r:id="rId26" o:title=""/>
            <o:lock v:ext="edit" aspectratio="f"/>
          </v:shape>
          <o:OLEObject Type="Embed" ProgID="Equation.DSMT4" ShapeID="_x0000_i1032" DrawAspect="Content" ObjectID="_1738154929" r:id="rId27"/>
        </w:object>
      </w:r>
      <w:r w:rsidRPr="00882FD5">
        <w:rPr>
          <w:noProof/>
        </w:rPr>
        <w:t xml:space="preserve">, and the </w:t>
      </w:r>
      <w:r w:rsidR="00F739CC" w:rsidRPr="00882FD5">
        <w:rPr>
          <w:noProof/>
          <w:position w:val="-10"/>
        </w:rPr>
        <w:object w:dxaOrig="639" w:dyaOrig="320" w14:anchorId="33E8D427">
          <v:shape id="_x0000_i1033" type="#_x0000_t75" style="width:31.7pt;height:15.85pt" o:ole="" o:preferrelative="f">
            <v:imagedata r:id="rId28" o:title=""/>
            <o:lock v:ext="edit" aspectratio="f"/>
          </v:shape>
          <o:OLEObject Type="Embed" ProgID="Equation.DSMT4" ShapeID="_x0000_i1033" DrawAspect="Content" ObjectID="_1738154930" r:id="rId29"/>
        </w:object>
      </w:r>
      <w:r w:rsidRPr="00882FD5">
        <w:rPr>
          <w:noProof/>
        </w:rPr>
        <w:t xml:space="preserve">vectors </w:t>
      </w:r>
      <w:r w:rsidR="00F739CC" w:rsidRPr="00882FD5">
        <w:rPr>
          <w:noProof/>
          <w:position w:val="-10"/>
        </w:rPr>
        <w:object w:dxaOrig="1860" w:dyaOrig="360" w14:anchorId="061FAA2C">
          <v:shape id="_x0000_i1034" type="#_x0000_t75" style="width:93pt;height:18pt" o:ole="" o:preferrelative="f">
            <v:imagedata r:id="rId30" o:title=""/>
            <o:lock v:ext="edit" aspectratio="f"/>
          </v:shape>
          <o:OLEObject Type="Embed" ProgID="Equation.3" ShapeID="_x0000_i1034" DrawAspect="Content" ObjectID="_1738154931" r:id="rId31"/>
        </w:object>
      </w:r>
      <w:r w:rsidRPr="00882FD5">
        <w:rPr>
          <w:noProof/>
        </w:rPr>
        <w:t xml:space="preserve"> and </w:t>
      </w:r>
      <w:r w:rsidR="00F739CC" w:rsidRPr="00FC1BCE">
        <w:rPr>
          <w:noProof/>
          <w:position w:val="-12"/>
        </w:rPr>
        <w:object w:dxaOrig="2160" w:dyaOrig="360" w14:anchorId="07D010D6">
          <v:shape id="_x0000_i1035" type="#_x0000_t75" style="width:108pt;height:18pt" o:ole="" o:preferrelative="f">
            <v:imagedata r:id="rId32" o:title=""/>
            <o:lock v:ext="edit" aspectratio="f"/>
          </v:shape>
          <o:OLEObject Type="Embed" ProgID="Equation.DSMT4" ShapeID="_x0000_i1035" DrawAspect="Content" ObjectID="_1738154932" r:id="rId33"/>
        </w:object>
      </w:r>
      <w:r w:rsidRPr="00882FD5">
        <w:rPr>
          <w:noProof/>
        </w:rPr>
        <w:t xml:space="preserve"> We allow a multivariate normal (MVN) correlation structure for</w:t>
      </w:r>
      <w:r w:rsidR="00E53691">
        <w:rPr>
          <w:noProof/>
        </w:rPr>
        <w:t xml:space="preserve"> </w:t>
      </w:r>
      <w:r w:rsidR="00E53691" w:rsidRPr="008D772B">
        <w:rPr>
          <w:position w:val="-10"/>
        </w:rPr>
        <w:object w:dxaOrig="200" w:dyaOrig="260" w14:anchorId="5575B6D3">
          <v:shape id="_x0000_i1036" type="#_x0000_t75" style="width:9.85pt;height:13.3pt" o:ole="">
            <v:imagedata r:id="rId34" o:title=""/>
          </v:shape>
          <o:OLEObject Type="Embed" ProgID="Equation.DSMT4" ShapeID="_x0000_i1036" DrawAspect="Content" ObjectID="_1738154933" r:id="rId35"/>
        </w:object>
      </w:r>
      <w:r w:rsidR="00E53691">
        <w:rPr>
          <w:noProof/>
        </w:rPr>
        <w:t xml:space="preserve"> </w:t>
      </w:r>
      <w:r w:rsidRPr="00882FD5">
        <w:rPr>
          <w:noProof/>
        </w:rPr>
        <w:t>to accommodate interactions among the unobserved latent variables</w:t>
      </w:r>
      <w:r w:rsidR="00BD3DF6" w:rsidRPr="00882FD5">
        <w:rPr>
          <w:noProof/>
        </w:rPr>
        <w:t>.</w:t>
      </w:r>
      <w:r w:rsidRPr="00882FD5">
        <w:rPr>
          <w:noProof/>
        </w:rPr>
        <w:t xml:space="preserve"> </w:t>
      </w:r>
      <w:r w:rsidR="00FC1BCE" w:rsidRPr="00882FD5">
        <w:rPr>
          <w:noProof/>
          <w:position w:val="-12"/>
        </w:rPr>
        <w:object w:dxaOrig="1680" w:dyaOrig="360" w14:anchorId="4D89D99A">
          <v:shape id="_x0000_i1037" type="#_x0000_t75" style="width:84pt;height:18pt" o:ole="">
            <v:imagedata r:id="rId36" o:title=""/>
          </v:shape>
          <o:OLEObject Type="Embed" ProgID="Equation.DSMT4" ShapeID="_x0000_i1037" DrawAspect="Content" ObjectID="_1738154934" r:id="rId37"/>
        </w:object>
      </w:r>
      <w:r w:rsidRPr="00882FD5">
        <w:rPr>
          <w:noProof/>
        </w:rPr>
        <w:t xml:space="preserve">, where </w:t>
      </w:r>
      <w:r w:rsidR="00E53691" w:rsidRPr="00882FD5">
        <w:rPr>
          <w:noProof/>
          <w:position w:val="-12"/>
        </w:rPr>
        <w:object w:dxaOrig="279" w:dyaOrig="360" w14:anchorId="3C6DC808">
          <v:shape id="_x0000_i1038" type="#_x0000_t75" style="width:15.45pt;height:18pt" o:ole="">
            <v:imagedata r:id="rId38" o:title=""/>
          </v:shape>
          <o:OLEObject Type="Embed" ProgID="Equation.DSMT4" ShapeID="_x0000_i1038" DrawAspect="Content" ObjectID="_1738154935" r:id="rId39"/>
        </w:object>
      </w:r>
      <w:r w:rsidRPr="00882FD5">
        <w:rPr>
          <w:noProof/>
        </w:rPr>
        <w:t xml:space="preserve"> is an </w:t>
      </w:r>
      <w:r w:rsidR="00582398" w:rsidRPr="00882FD5">
        <w:rPr>
          <w:noProof/>
          <w:position w:val="-10"/>
        </w:rPr>
        <w:object w:dxaOrig="639" w:dyaOrig="320" w14:anchorId="61AC1F9B">
          <v:shape id="_x0000_i1039" type="#_x0000_t75" style="width:33.85pt;height:16.7pt" o:ole="" o:preferrelative="f">
            <v:imagedata r:id="rId28" o:title=""/>
            <o:lock v:ext="edit" aspectratio="f"/>
          </v:shape>
          <o:OLEObject Type="Embed" ProgID="Equation.DSMT4" ShapeID="_x0000_i1039" DrawAspect="Content" ObjectID="_1738154936" r:id="rId40"/>
        </w:object>
      </w:r>
      <w:r w:rsidRPr="00882FD5">
        <w:rPr>
          <w:noProof/>
        </w:rPr>
        <w:t xml:space="preserve">column vector of zeros, and </w:t>
      </w:r>
      <w:r w:rsidR="00582398" w:rsidRPr="008D772B">
        <w:rPr>
          <w:position w:val="-4"/>
        </w:rPr>
        <w:object w:dxaOrig="240" w:dyaOrig="260" w14:anchorId="24ACCB8E">
          <v:shape id="_x0000_i1040" type="#_x0000_t75" style="width:12pt;height:13.3pt" o:ole="">
            <v:imagedata r:id="rId41" o:title=""/>
          </v:shape>
          <o:OLEObject Type="Embed" ProgID="Equation.DSMT4" ShapeID="_x0000_i1040" DrawAspect="Content" ObjectID="_1738154937" r:id="rId42"/>
        </w:object>
      </w:r>
      <w:r w:rsidRPr="00882FD5">
        <w:rPr>
          <w:noProof/>
        </w:rPr>
        <w:t xml:space="preserve">is an </w:t>
      </w:r>
      <w:r w:rsidR="00582398" w:rsidRPr="00882FD5">
        <w:rPr>
          <w:noProof/>
          <w:position w:val="-10"/>
        </w:rPr>
        <w:object w:dxaOrig="720" w:dyaOrig="320" w14:anchorId="2307FFB9">
          <v:shape id="_x0000_i1041" type="#_x0000_t75" style="width:33.85pt;height:16.7pt" o:ole="">
            <v:imagedata r:id="rId43" o:title=""/>
          </v:shape>
          <o:OLEObject Type="Embed" ProgID="Equation.DSMT4" ShapeID="_x0000_i1041" DrawAspect="Content" ObjectID="_1738154938" r:id="rId44"/>
        </w:object>
      </w:r>
      <w:r w:rsidRPr="00882FD5">
        <w:rPr>
          <w:noProof/>
        </w:rPr>
        <w:t>correlation matrix. In matrix form, we may write Equation (1) as:</w:t>
      </w:r>
    </w:p>
    <w:p w14:paraId="7382DAF0" w14:textId="1EE39336" w:rsidR="003319F0" w:rsidRPr="00882FD5" w:rsidRDefault="00F739CC" w:rsidP="00575D15">
      <w:pPr>
        <w:spacing w:line="240" w:lineRule="auto"/>
        <w:jc w:val="both"/>
        <w:rPr>
          <w:iCs/>
        </w:rPr>
      </w:pPr>
      <w:r w:rsidRPr="00882FD5">
        <w:rPr>
          <w:noProof/>
          <w:position w:val="-10"/>
        </w:rPr>
        <w:object w:dxaOrig="1160" w:dyaOrig="360" w14:anchorId="04EA17A1">
          <v:shape id="_x0000_i1042" type="#_x0000_t75" style="width:58.3pt;height:17.55pt" o:ole="">
            <v:imagedata r:id="rId45" o:title=""/>
          </v:shape>
          <o:OLEObject Type="Embed" ProgID="Equation.DSMT4" ShapeID="_x0000_i1042" DrawAspect="Content" ObjectID="_1738154939" r:id="rId46"/>
        </w:object>
      </w:r>
      <w:r w:rsidR="003319F0" w:rsidRPr="00882FD5">
        <w:rPr>
          <w:noProof/>
        </w:rPr>
        <w:t xml:space="preserve">                                                                                                                                            (2) </w:t>
      </w:r>
      <w:r w:rsidR="003319F0" w:rsidRPr="00882FD5">
        <w:rPr>
          <w:noProof/>
          <w:lang w:eastAsia="zh-CN"/>
        </w:rPr>
        <w:t xml:space="preserve">                                                              </w:t>
      </w:r>
      <w:r w:rsidR="003319F0" w:rsidRPr="00882FD5">
        <w:rPr>
          <w:noProof/>
        </w:rPr>
        <w:t xml:space="preserve">                        </w:t>
      </w:r>
    </w:p>
    <w:p w14:paraId="7E160DF6" w14:textId="0FE89183" w:rsidR="003319F0" w:rsidRDefault="003319F0" w:rsidP="00575D15">
      <w:pPr>
        <w:spacing w:line="240" w:lineRule="auto"/>
        <w:ind w:firstLine="720"/>
        <w:jc w:val="both"/>
        <w:rPr>
          <w:noProof/>
        </w:rPr>
      </w:pPr>
      <w:r w:rsidRPr="00882FD5">
        <w:rPr>
          <w:noProof/>
        </w:rPr>
        <w:t xml:space="preserve">Now consider </w:t>
      </w:r>
      <w:r w:rsidRPr="00882FD5">
        <w:rPr>
          <w:i/>
          <w:noProof/>
        </w:rPr>
        <w:t>N</w:t>
      </w:r>
      <w:r w:rsidRPr="00882FD5">
        <w:rPr>
          <w:noProof/>
        </w:rPr>
        <w:t xml:space="preserve"> ordinal outcomes (indicator variables </w:t>
      </w:r>
      <w:r w:rsidR="00F34230" w:rsidRPr="00882FD5">
        <w:rPr>
          <w:noProof/>
        </w:rPr>
        <w:t xml:space="preserve">for the latent constructs </w:t>
      </w:r>
      <w:r w:rsidRPr="00882FD5">
        <w:rPr>
          <w:noProof/>
        </w:rPr>
        <w:t xml:space="preserve">as well as main outcomes) and let </w:t>
      </w:r>
      <w:r w:rsidRPr="00882FD5">
        <w:rPr>
          <w:i/>
          <w:noProof/>
        </w:rPr>
        <w:t>n</w:t>
      </w:r>
      <w:r w:rsidRPr="00882FD5">
        <w:rPr>
          <w:noProof/>
        </w:rPr>
        <w:t xml:space="preserve"> be the index for the ordinal outcomes </w:t>
      </w:r>
      <w:r w:rsidR="00F739CC" w:rsidRPr="007419C3">
        <w:rPr>
          <w:noProof/>
          <w:position w:val="-10"/>
        </w:rPr>
        <w:object w:dxaOrig="1480" w:dyaOrig="320" w14:anchorId="3ACE1AD8">
          <v:shape id="_x0000_i1043" type="#_x0000_t75" style="width:76.7pt;height:15.45pt" o:ole="" o:preferrelative="f">
            <v:imagedata r:id="rId47" o:title=""/>
            <o:lock v:ext="edit" aspectratio="f"/>
          </v:shape>
          <o:OLEObject Type="Embed" ProgID="Equation.3" ShapeID="_x0000_i1043" DrawAspect="Content" ObjectID="_1738154940" r:id="rId48"/>
        </w:object>
      </w:r>
      <w:r w:rsidR="00165A17" w:rsidRPr="00882FD5">
        <w:rPr>
          <w:noProof/>
        </w:rPr>
        <w:t>.</w:t>
      </w:r>
      <w:r w:rsidR="00C47453" w:rsidRPr="00882FD5">
        <w:rPr>
          <w:noProof/>
        </w:rPr>
        <w:t xml:space="preserve"> </w:t>
      </w:r>
      <w:r w:rsidR="008977D6" w:rsidRPr="00882FD5">
        <w:rPr>
          <w:noProof/>
        </w:rPr>
        <w:t xml:space="preserve">In our empirical context, </w:t>
      </w:r>
      <w:r w:rsidR="008977D6" w:rsidRPr="00882FD5">
        <w:rPr>
          <w:i/>
          <w:noProof/>
        </w:rPr>
        <w:t>N=</w:t>
      </w:r>
      <w:r w:rsidR="008977D6" w:rsidRPr="00882FD5">
        <w:rPr>
          <w:noProof/>
        </w:rPr>
        <w:t xml:space="preserve">8, corresponding to </w:t>
      </w:r>
      <w:r w:rsidR="00F430C6" w:rsidRPr="00882FD5">
        <w:rPr>
          <w:noProof/>
        </w:rPr>
        <w:t xml:space="preserve">a total of </w:t>
      </w:r>
      <w:r w:rsidR="008220CA" w:rsidRPr="00882FD5">
        <w:rPr>
          <w:noProof/>
        </w:rPr>
        <w:t>six</w:t>
      </w:r>
      <w:r w:rsidR="008977D6" w:rsidRPr="00882FD5">
        <w:rPr>
          <w:noProof/>
        </w:rPr>
        <w:t xml:space="preserve"> indicators </w:t>
      </w:r>
      <w:r w:rsidR="00F430C6" w:rsidRPr="00882FD5">
        <w:rPr>
          <w:noProof/>
        </w:rPr>
        <w:t xml:space="preserve">of the two latent constructs (three indicators for each of the latent constructs, as discussed later in Section 3.2) </w:t>
      </w:r>
      <w:r w:rsidR="008977D6" w:rsidRPr="00882FD5">
        <w:rPr>
          <w:noProof/>
        </w:rPr>
        <w:t xml:space="preserve">and the two ordinal </w:t>
      </w:r>
      <w:r w:rsidR="00122668">
        <w:rPr>
          <w:noProof/>
        </w:rPr>
        <w:t xml:space="preserve">main </w:t>
      </w:r>
      <w:r w:rsidR="008977D6" w:rsidRPr="00882FD5">
        <w:rPr>
          <w:noProof/>
        </w:rPr>
        <w:t>outcomes (HDN living and auto-ownership</w:t>
      </w:r>
      <w:r w:rsidR="00C47453" w:rsidRPr="00882FD5">
        <w:rPr>
          <w:noProof/>
        </w:rPr>
        <w:t>; the HDN variable</w:t>
      </w:r>
      <w:r w:rsidR="00F430C6" w:rsidRPr="00882FD5">
        <w:rPr>
          <w:noProof/>
        </w:rPr>
        <w:t xml:space="preserve"> </w:t>
      </w:r>
      <w:r w:rsidR="00C47453" w:rsidRPr="00882FD5">
        <w:rPr>
          <w:noProof/>
        </w:rPr>
        <w:t xml:space="preserve">is </w:t>
      </w:r>
      <w:r w:rsidR="00F430C6" w:rsidRPr="00882FD5">
        <w:rPr>
          <w:noProof/>
        </w:rPr>
        <w:t xml:space="preserve">characterized as </w:t>
      </w:r>
      <w:r w:rsidR="00C47453" w:rsidRPr="00882FD5">
        <w:rPr>
          <w:noProof/>
        </w:rPr>
        <w:t>a binary variable</w:t>
      </w:r>
      <w:r w:rsidR="00F430C6" w:rsidRPr="00882FD5">
        <w:rPr>
          <w:noProof/>
        </w:rPr>
        <w:t xml:space="preserve"> in our empirical analysis, which </w:t>
      </w:r>
      <w:r w:rsidR="00C47453" w:rsidRPr="00882FD5">
        <w:rPr>
          <w:noProof/>
        </w:rPr>
        <w:t xml:space="preserve">can be treated as a special case of </w:t>
      </w:r>
      <w:r w:rsidR="00F430C6" w:rsidRPr="00882FD5">
        <w:rPr>
          <w:noProof/>
        </w:rPr>
        <w:t xml:space="preserve">an </w:t>
      </w:r>
      <w:r w:rsidR="00C47453" w:rsidRPr="00882FD5">
        <w:rPr>
          <w:noProof/>
        </w:rPr>
        <w:t>ordinal variable with two categories</w:t>
      </w:r>
      <w:r w:rsidR="008977D6" w:rsidRPr="00882FD5">
        <w:rPr>
          <w:noProof/>
        </w:rPr>
        <w:t xml:space="preserve">). </w:t>
      </w:r>
      <w:r w:rsidRPr="00882FD5">
        <w:rPr>
          <w:noProof/>
        </w:rPr>
        <w:t xml:space="preserve">Also, let </w:t>
      </w:r>
      <w:r w:rsidRPr="00882FD5">
        <w:rPr>
          <w:noProof/>
          <w:position w:val="-12"/>
        </w:rPr>
        <w:object w:dxaOrig="300" w:dyaOrig="360" w14:anchorId="46E7E8B0">
          <v:shape id="_x0000_i1044" type="#_x0000_t75" style="width:18pt;height:18pt" o:ole="">
            <v:imagedata r:id="rId49" o:title=""/>
          </v:shape>
          <o:OLEObject Type="Embed" ProgID="Equation.3" ShapeID="_x0000_i1044" DrawAspect="Content" ObjectID="_1738154941" r:id="rId50"/>
        </w:object>
      </w:r>
      <w:r w:rsidRPr="00882FD5">
        <w:rPr>
          <w:noProof/>
          <w:position w:val="-12"/>
        </w:rPr>
        <w:t xml:space="preserve"> </w:t>
      </w:r>
      <w:r w:rsidRPr="00882FD5">
        <w:rPr>
          <w:noProof/>
        </w:rPr>
        <w:t xml:space="preserve">be the number of categories for the </w:t>
      </w:r>
      <w:r w:rsidRPr="00882FD5">
        <w:rPr>
          <w:i/>
          <w:noProof/>
        </w:rPr>
        <w:t>n</w:t>
      </w:r>
      <w:r w:rsidRPr="00882FD5">
        <w:rPr>
          <w:i/>
          <w:noProof/>
          <w:vertAlign w:val="superscript"/>
        </w:rPr>
        <w:t>th</w:t>
      </w:r>
      <w:r w:rsidRPr="00882FD5">
        <w:rPr>
          <w:noProof/>
        </w:rPr>
        <w:t xml:space="preserve"> ordinal outcome </w:t>
      </w:r>
      <w:r w:rsidRPr="00882FD5">
        <w:rPr>
          <w:noProof/>
          <w:position w:val="-12"/>
        </w:rPr>
        <w:object w:dxaOrig="859" w:dyaOrig="360" w14:anchorId="49D67783">
          <v:shape id="_x0000_i1045" type="#_x0000_t75" style="width:48pt;height:18pt" o:ole="" o:preferrelative="f">
            <v:imagedata r:id="rId51" o:title=""/>
            <o:lock v:ext="edit" aspectratio="f"/>
          </v:shape>
          <o:OLEObject Type="Embed" ProgID="Equation.3" ShapeID="_x0000_i1045" DrawAspect="Content" ObjectID="_1738154942" r:id="rId52"/>
        </w:object>
      </w:r>
      <w:r w:rsidRPr="00882FD5">
        <w:rPr>
          <w:noProof/>
          <w:position w:val="-12"/>
        </w:rPr>
        <w:t xml:space="preserve"> </w:t>
      </w:r>
      <w:r w:rsidRPr="00882FD5">
        <w:rPr>
          <w:noProof/>
        </w:rPr>
        <w:t>and let the corresponding index be</w:t>
      </w:r>
      <w:r w:rsidRPr="00882FD5">
        <w:rPr>
          <w:noProof/>
          <w:position w:val="-12"/>
        </w:rPr>
        <w:object w:dxaOrig="279" w:dyaOrig="360" w14:anchorId="43B3B2AF">
          <v:shape id="_x0000_i1046" type="#_x0000_t75" style="width:12pt;height:18pt" o:ole="">
            <v:imagedata r:id="rId53" o:title=""/>
          </v:shape>
          <o:OLEObject Type="Embed" ProgID="Equation.3" ShapeID="_x0000_i1046" DrawAspect="Content" ObjectID="_1738154943" r:id="rId54"/>
        </w:object>
      </w:r>
      <w:r w:rsidRPr="00882FD5">
        <w:rPr>
          <w:noProof/>
          <w:position w:val="-12"/>
        </w:rPr>
        <w:object w:dxaOrig="1640" w:dyaOrig="360" w14:anchorId="5FDAB219">
          <v:shape id="_x0000_i1047" type="#_x0000_t75" style="width:84pt;height:18pt" o:ole="" o:preferrelative="f">
            <v:imagedata r:id="rId55" o:title=""/>
            <o:lock v:ext="edit" aspectratio="f"/>
          </v:shape>
          <o:OLEObject Type="Embed" ProgID="Equation.3" ShapeID="_x0000_i1047" DrawAspect="Content" ObjectID="_1738154944" r:id="rId56"/>
        </w:object>
      </w:r>
      <w:r w:rsidRPr="00882FD5">
        <w:rPr>
          <w:noProof/>
        </w:rPr>
        <w:t>. Let</w:t>
      </w:r>
      <w:r w:rsidR="00615278">
        <w:rPr>
          <w:noProof/>
        </w:rPr>
        <w:t xml:space="preserve"> </w:t>
      </w:r>
      <w:r w:rsidR="00615278" w:rsidRPr="008D772B">
        <w:rPr>
          <w:position w:val="-12"/>
        </w:rPr>
        <w:object w:dxaOrig="279" w:dyaOrig="380" w14:anchorId="6A7D4EE3">
          <v:shape id="_x0000_i1048" type="#_x0000_t75" style="width:14.15pt;height:19.3pt" o:ole="">
            <v:imagedata r:id="rId57" o:title=""/>
          </v:shape>
          <o:OLEObject Type="Embed" ProgID="Equation.DSMT4" ShapeID="_x0000_i1048" DrawAspect="Content" ObjectID="_1738154945" r:id="rId58"/>
        </w:object>
      </w:r>
      <w:r w:rsidRPr="00882FD5">
        <w:rPr>
          <w:noProof/>
        </w:rPr>
        <w:t xml:space="preserve"> be the latent underlying variable whose horizontal partitioning leads to the observed outcome for the </w:t>
      </w:r>
      <w:r w:rsidRPr="00882FD5">
        <w:rPr>
          <w:i/>
          <w:noProof/>
        </w:rPr>
        <w:t>n</w:t>
      </w:r>
      <w:r w:rsidRPr="00882FD5">
        <w:rPr>
          <w:i/>
          <w:noProof/>
          <w:vertAlign w:val="superscript"/>
        </w:rPr>
        <w:t>th</w:t>
      </w:r>
      <w:r w:rsidRPr="00882FD5">
        <w:rPr>
          <w:noProof/>
        </w:rPr>
        <w:t xml:space="preserve"> ordinal variable. Assume that the individual under consideration chooses the </w:t>
      </w:r>
      <w:r w:rsidRPr="00882FD5">
        <w:rPr>
          <w:noProof/>
          <w:position w:val="-12"/>
        </w:rPr>
        <w:object w:dxaOrig="340" w:dyaOrig="380" w14:anchorId="3DC8700E">
          <v:shape id="_x0000_i1049" type="#_x0000_t75" style="width:18pt;height:18pt" o:ole="">
            <v:imagedata r:id="rId59" o:title=""/>
          </v:shape>
          <o:OLEObject Type="Embed" ProgID="Equation.3" ShapeID="_x0000_i1049" DrawAspect="Content" ObjectID="_1738154946" r:id="rId60"/>
        </w:object>
      </w:r>
      <w:r w:rsidRPr="00882FD5">
        <w:rPr>
          <w:noProof/>
        </w:rPr>
        <w:t xml:space="preserve"> ordinal category. Then, in the usual ordered response formulation, for the individual, we may write:</w:t>
      </w:r>
    </w:p>
    <w:p w14:paraId="2F22A269" w14:textId="0BF41767" w:rsidR="003319F0" w:rsidRPr="00882FD5" w:rsidRDefault="00E53691" w:rsidP="003260D1">
      <w:pPr>
        <w:spacing w:line="240" w:lineRule="auto"/>
        <w:jc w:val="both"/>
        <w:rPr>
          <w:noProof/>
        </w:rPr>
      </w:pPr>
      <w:r w:rsidRPr="008D772B">
        <w:rPr>
          <w:position w:val="-14"/>
        </w:rPr>
        <w:object w:dxaOrig="4200" w:dyaOrig="420" w14:anchorId="49D17C43">
          <v:shape id="_x0000_i1050" type="#_x0000_t75" style="width:210pt;height:21pt" o:ole="">
            <v:imagedata r:id="rId61" o:title=""/>
          </v:shape>
          <o:OLEObject Type="Embed" ProgID="Equation.DSMT4" ShapeID="_x0000_i1050" DrawAspect="Content" ObjectID="_1738154947" r:id="rId62"/>
        </w:object>
      </w:r>
      <w:r>
        <w:t xml:space="preserve">   </w:t>
      </w:r>
      <w:r w:rsidR="003319F0" w:rsidRPr="00882FD5">
        <w:rPr>
          <w:noProof/>
        </w:rPr>
        <w:t xml:space="preserve">                          </w:t>
      </w:r>
      <w:r w:rsidR="003319F0" w:rsidRPr="00882FD5">
        <w:rPr>
          <w:noProof/>
          <w:lang w:eastAsia="zh-CN"/>
        </w:rPr>
        <w:t xml:space="preserve">                                     </w:t>
      </w:r>
      <w:r w:rsidR="003319F0" w:rsidRPr="00882FD5">
        <w:rPr>
          <w:noProof/>
        </w:rPr>
        <w:t xml:space="preserve">    </w:t>
      </w:r>
      <w:r w:rsidR="003B4A74" w:rsidRPr="00882FD5">
        <w:rPr>
          <w:noProof/>
        </w:rPr>
        <w:t xml:space="preserve">     </w:t>
      </w:r>
      <w:r w:rsidR="003319F0" w:rsidRPr="00882FD5">
        <w:rPr>
          <w:noProof/>
        </w:rPr>
        <w:t xml:space="preserve"> </w:t>
      </w:r>
      <w:r w:rsidR="00122668">
        <w:rPr>
          <w:noProof/>
        </w:rPr>
        <w:t xml:space="preserve">    </w:t>
      </w:r>
      <w:r w:rsidR="003319F0" w:rsidRPr="00882FD5">
        <w:rPr>
          <w:noProof/>
        </w:rPr>
        <w:t xml:space="preserve"> (3)</w:t>
      </w:r>
    </w:p>
    <w:p w14:paraId="392F69B7" w14:textId="0F8EEACE" w:rsidR="005D2EC2" w:rsidRPr="00882FD5" w:rsidRDefault="003319F0" w:rsidP="00575D15">
      <w:pPr>
        <w:spacing w:line="240" w:lineRule="auto"/>
        <w:jc w:val="both"/>
        <w:rPr>
          <w:noProof/>
        </w:rPr>
      </w:pPr>
      <w:r w:rsidRPr="00882FD5">
        <w:rPr>
          <w:noProof/>
        </w:rPr>
        <w:t xml:space="preserve">where </w:t>
      </w:r>
      <w:r w:rsidR="00615278" w:rsidRPr="008D772B">
        <w:rPr>
          <w:position w:val="-6"/>
        </w:rPr>
        <w:object w:dxaOrig="220" w:dyaOrig="220" w14:anchorId="11499239">
          <v:shape id="_x0000_i1051" type="#_x0000_t75" style="width:11.15pt;height:11.15pt" o:ole="">
            <v:imagedata r:id="rId63" o:title=""/>
          </v:shape>
          <o:OLEObject Type="Embed" ProgID="Equation.DSMT4" ShapeID="_x0000_i1051" DrawAspect="Content" ObjectID="_1738154948" r:id="rId64"/>
        </w:object>
      </w:r>
      <w:r w:rsidRPr="00882FD5">
        <w:rPr>
          <w:noProof/>
        </w:rPr>
        <w:t xml:space="preserve"> is an</w:t>
      </w:r>
      <w:r w:rsidR="00615278" w:rsidRPr="008D772B">
        <w:rPr>
          <w:position w:val="-10"/>
        </w:rPr>
        <w:object w:dxaOrig="660" w:dyaOrig="320" w14:anchorId="531B75EC">
          <v:shape id="_x0000_i1052" type="#_x0000_t75" style="width:33pt;height:15.85pt" o:ole="">
            <v:imagedata r:id="rId65" o:title=""/>
          </v:shape>
          <o:OLEObject Type="Embed" ProgID="Equation.DSMT4" ShapeID="_x0000_i1052" DrawAspect="Content" ObjectID="_1738154949" r:id="rId66"/>
        </w:object>
      </w:r>
      <w:r w:rsidRPr="00882FD5">
        <w:rPr>
          <w:noProof/>
        </w:rPr>
        <w:t xml:space="preserve">vector of exogenous variables (including a constant) </w:t>
      </w:r>
      <w:bookmarkStart w:id="1" w:name="_Hlk78693510"/>
      <w:r w:rsidRPr="00882FD5">
        <w:t>as well as possibly the observed values of other endogenous variables</w:t>
      </w:r>
      <w:bookmarkEnd w:id="1"/>
      <w:r w:rsidRPr="00882FD5">
        <w:rPr>
          <w:noProof/>
        </w:rPr>
        <w:t xml:space="preserve">, </w:t>
      </w:r>
      <w:r w:rsidR="002713EF" w:rsidRPr="00882FD5">
        <w:rPr>
          <w:noProof/>
          <w:position w:val="-12"/>
        </w:rPr>
        <w:object w:dxaOrig="260" w:dyaOrig="360" w14:anchorId="2362BDEB">
          <v:shape id="_x0000_i1053" type="#_x0000_t75" style="width:12pt;height:18pt" o:ole="">
            <v:imagedata r:id="rId67" o:title=""/>
          </v:shape>
          <o:OLEObject Type="Embed" ProgID="Equation.DSMT4" ShapeID="_x0000_i1053" DrawAspect="Content" ObjectID="_1738154950" r:id="rId68"/>
        </w:object>
      </w:r>
      <w:r w:rsidRPr="00882FD5">
        <w:rPr>
          <w:noProof/>
          <w:position w:val="-12"/>
        </w:rPr>
        <w:t xml:space="preserve"> </w:t>
      </w:r>
      <w:r w:rsidRPr="00882FD5">
        <w:rPr>
          <w:noProof/>
        </w:rPr>
        <w:t xml:space="preserve">is a corresponding vector of coefficients to be estimated, </w:t>
      </w:r>
      <w:r w:rsidR="00615278" w:rsidRPr="008D772B">
        <w:rPr>
          <w:position w:val="-12"/>
        </w:rPr>
        <w:object w:dxaOrig="279" w:dyaOrig="400" w14:anchorId="070C2131">
          <v:shape id="_x0000_i1054" type="#_x0000_t75" style="width:14.15pt;height:20.15pt" o:ole="">
            <v:imagedata r:id="rId69" o:title=""/>
          </v:shape>
          <o:OLEObject Type="Embed" ProgID="Equation.DSMT4" ShapeID="_x0000_i1054" DrawAspect="Content" ObjectID="_1738154951" r:id="rId70"/>
        </w:object>
      </w:r>
      <w:r w:rsidRPr="00882FD5">
        <w:rPr>
          <w:noProof/>
        </w:rPr>
        <w:t xml:space="preserve"> is an</w:t>
      </w:r>
      <w:r w:rsidR="00615278" w:rsidRPr="008D772B">
        <w:rPr>
          <w:position w:val="-10"/>
        </w:rPr>
        <w:object w:dxaOrig="639" w:dyaOrig="320" w14:anchorId="4E4AC77E">
          <v:shape id="_x0000_i1055" type="#_x0000_t75" style="width:32.15pt;height:15.85pt" o:ole="">
            <v:imagedata r:id="rId71" o:title=""/>
          </v:shape>
          <o:OLEObject Type="Embed" ProgID="Equation.DSMT4" ShapeID="_x0000_i1055" DrawAspect="Content" ObjectID="_1738154952" r:id="rId72"/>
        </w:object>
      </w:r>
      <w:r w:rsidRPr="00882FD5">
        <w:rPr>
          <w:noProof/>
        </w:rPr>
        <w:t xml:space="preserve">vector of latent variable loadings on the </w:t>
      </w:r>
      <w:r w:rsidRPr="00882FD5">
        <w:rPr>
          <w:i/>
          <w:noProof/>
        </w:rPr>
        <w:t>n</w:t>
      </w:r>
      <w:r w:rsidRPr="00882FD5">
        <w:rPr>
          <w:i/>
          <w:noProof/>
          <w:vertAlign w:val="superscript"/>
        </w:rPr>
        <w:t>th</w:t>
      </w:r>
      <w:r w:rsidRPr="00882FD5">
        <w:rPr>
          <w:noProof/>
        </w:rPr>
        <w:t xml:space="preserve"> ordinal outcome, the </w:t>
      </w:r>
      <w:r w:rsidR="00F739CC" w:rsidRPr="00882FD5">
        <w:rPr>
          <w:noProof/>
          <w:position w:val="-10"/>
        </w:rPr>
        <w:object w:dxaOrig="240" w:dyaOrig="320" w14:anchorId="446EAD52">
          <v:shape id="_x0000_i1056" type="#_x0000_t75" style="width:12pt;height:15.85pt" o:ole="" o:preferrelative="f">
            <v:imagedata r:id="rId73" o:title=""/>
            <o:lock v:ext="edit" aspectratio="f"/>
          </v:shape>
          <o:OLEObject Type="Embed" ProgID="Equation.3" ShapeID="_x0000_i1056" DrawAspect="Content" ObjectID="_1738154953" r:id="rId74"/>
        </w:object>
      </w:r>
      <w:r w:rsidRPr="00882FD5">
        <w:rPr>
          <w:noProof/>
        </w:rPr>
        <w:t xml:space="preserve"> terms represent thresholds, and </w:t>
      </w:r>
      <w:r w:rsidRPr="00882FD5">
        <w:rPr>
          <w:noProof/>
          <w:position w:val="-12"/>
        </w:rPr>
        <w:object w:dxaOrig="279" w:dyaOrig="360" w14:anchorId="64FC0817">
          <v:shape id="_x0000_i1057" type="#_x0000_t75" style="width:12pt;height:18pt" o:ole="">
            <v:imagedata r:id="rId75" o:title=""/>
          </v:shape>
          <o:OLEObject Type="Embed" ProgID="Equation.3" ShapeID="_x0000_i1057" DrawAspect="Content" ObjectID="_1738154954" r:id="rId76"/>
        </w:object>
      </w:r>
      <w:r w:rsidRPr="00882FD5">
        <w:rPr>
          <w:noProof/>
        </w:rPr>
        <w:t xml:space="preserve"> is the standard normal random error for the </w:t>
      </w:r>
      <w:r w:rsidRPr="00882FD5">
        <w:rPr>
          <w:i/>
          <w:noProof/>
        </w:rPr>
        <w:t>n</w:t>
      </w:r>
      <w:r w:rsidRPr="00882FD5">
        <w:rPr>
          <w:i/>
          <w:noProof/>
          <w:vertAlign w:val="superscript"/>
        </w:rPr>
        <w:t>th</w:t>
      </w:r>
      <w:r w:rsidRPr="00882FD5">
        <w:rPr>
          <w:i/>
          <w:noProof/>
        </w:rPr>
        <w:t xml:space="preserve"> </w:t>
      </w:r>
      <w:r w:rsidRPr="00882FD5">
        <w:rPr>
          <w:noProof/>
        </w:rPr>
        <w:t>ordinal outcome (note, however, that for the indicators (but not the main outcomes), the</w:t>
      </w:r>
      <w:r w:rsidR="00615278" w:rsidRPr="008D772B">
        <w:rPr>
          <w:position w:val="-6"/>
        </w:rPr>
        <w:object w:dxaOrig="220" w:dyaOrig="220" w14:anchorId="3F9C6077">
          <v:shape id="_x0000_i1058" type="#_x0000_t75" style="width:11.15pt;height:11.15pt" o:ole="">
            <v:imagedata r:id="rId63" o:title=""/>
          </v:shape>
          <o:OLEObject Type="Embed" ProgID="Equation.DSMT4" ShapeID="_x0000_i1058" DrawAspect="Content" ObjectID="_1738154955" r:id="rId77"/>
        </w:object>
      </w:r>
      <w:r w:rsidR="00615278">
        <w:rPr>
          <w:noProof/>
        </w:rPr>
        <w:t xml:space="preserve"> </w:t>
      </w:r>
      <w:r w:rsidRPr="00882FD5">
        <w:rPr>
          <w:noProof/>
        </w:rPr>
        <w:t xml:space="preserve">vector will not appear on the right side of Equation (3); also, there are specific identification conditions for the number of non-zero elements of </w:t>
      </w:r>
      <w:r w:rsidR="00582398" w:rsidRPr="008D772B">
        <w:rPr>
          <w:position w:val="-12"/>
        </w:rPr>
        <w:object w:dxaOrig="279" w:dyaOrig="400" w14:anchorId="7744F2AF">
          <v:shape id="_x0000_i1059" type="#_x0000_t75" style="width:14.15pt;height:20.15pt" o:ole="">
            <v:imagedata r:id="rId69" o:title=""/>
          </v:shape>
          <o:OLEObject Type="Embed" ProgID="Equation.DSMT4" ShapeID="_x0000_i1059" DrawAspect="Content" ObjectID="_1738154956" r:id="rId78"/>
        </w:object>
      </w:r>
      <w:r w:rsidR="00F739CC">
        <w:t xml:space="preserve"> </w:t>
      </w:r>
      <w:r w:rsidRPr="00882FD5">
        <w:rPr>
          <w:noProof/>
        </w:rPr>
        <w:t>that can be present in each indicator equation and across all indicator equations; please see Bhat</w:t>
      </w:r>
      <w:r w:rsidR="008E20F9" w:rsidRPr="00882FD5">
        <w:rPr>
          <w:noProof/>
        </w:rPr>
        <w:t xml:space="preserve"> (</w:t>
      </w:r>
      <w:r w:rsidR="006329B2" w:rsidRPr="00882FD5">
        <w:t>2015</w:t>
      </w:r>
      <w:r w:rsidR="00575D15" w:rsidRPr="00882FD5">
        <w:t>a</w:t>
      </w:r>
      <w:r w:rsidR="008E20F9" w:rsidRPr="00882FD5">
        <w:rPr>
          <w:noProof/>
        </w:rPr>
        <w:t xml:space="preserve">) </w:t>
      </w:r>
      <w:r w:rsidRPr="00882FD5">
        <w:rPr>
          <w:noProof/>
        </w:rPr>
        <w:t xml:space="preserve">for additional details). For each ordinal outcome, </w:t>
      </w:r>
      <w:r w:rsidR="00F739CC" w:rsidRPr="008D772B">
        <w:rPr>
          <w:position w:val="-14"/>
        </w:rPr>
        <w:object w:dxaOrig="3240" w:dyaOrig="380" w14:anchorId="5018F24F">
          <v:shape id="_x0000_i1060" type="#_x0000_t75" style="width:162pt;height:18.85pt" o:ole="" o:preferrelative="f">
            <v:imagedata r:id="rId79" o:title=""/>
            <o:lock v:ext="edit" aspectratio="f"/>
          </v:shape>
          <o:OLEObject Type="Embed" ProgID="Equation.DSMT4" ShapeID="_x0000_i1060" DrawAspect="Content" ObjectID="_1738154957" r:id="rId80"/>
        </w:object>
      </w:r>
      <w:r w:rsidRPr="00882FD5">
        <w:rPr>
          <w:noProof/>
        </w:rPr>
        <w:t>;</w:t>
      </w:r>
      <w:r w:rsidR="00F739CC">
        <w:rPr>
          <w:noProof/>
        </w:rPr>
        <w:t xml:space="preserve"> </w:t>
      </w:r>
      <w:r w:rsidR="00615278" w:rsidRPr="008D772B">
        <w:rPr>
          <w:position w:val="-14"/>
        </w:rPr>
        <w:object w:dxaOrig="980" w:dyaOrig="380" w14:anchorId="67D6FAD7">
          <v:shape id="_x0000_i1061" type="#_x0000_t75" style="width:49.3pt;height:19.3pt" o:ole="">
            <v:imagedata r:id="rId81" o:title=""/>
          </v:shape>
          <o:OLEObject Type="Embed" ProgID="Equation.DSMT4" ShapeID="_x0000_i1061" DrawAspect="Content" ObjectID="_1738154958" r:id="rId82"/>
        </w:object>
      </w:r>
      <w:r w:rsidRPr="00882FD5">
        <w:rPr>
          <w:noProof/>
        </w:rPr>
        <w:t xml:space="preserve">, </w:t>
      </w:r>
      <w:r w:rsidR="00615278" w:rsidRPr="008D772B">
        <w:rPr>
          <w:position w:val="-14"/>
        </w:rPr>
        <w:object w:dxaOrig="780" w:dyaOrig="380" w14:anchorId="1DF6FFC6">
          <v:shape id="_x0000_i1062" type="#_x0000_t75" style="width:39pt;height:19.3pt" o:ole="">
            <v:imagedata r:id="rId83" o:title=""/>
          </v:shape>
          <o:OLEObject Type="Embed" ProgID="Equation.DSMT4" ShapeID="_x0000_i1062" DrawAspect="Content" ObjectID="_1738154959" r:id="rId84"/>
        </w:object>
      </w:r>
      <w:r w:rsidRPr="00882FD5">
        <w:rPr>
          <w:noProof/>
        </w:rPr>
        <w:t>, and</w:t>
      </w:r>
      <w:r w:rsidR="00615278">
        <w:rPr>
          <w:noProof/>
        </w:rPr>
        <w:t xml:space="preserve"> </w:t>
      </w:r>
      <w:r w:rsidR="00615278" w:rsidRPr="008D772B">
        <w:rPr>
          <w:position w:val="-14"/>
        </w:rPr>
        <w:object w:dxaOrig="1060" w:dyaOrig="380" w14:anchorId="67A47212">
          <v:shape id="_x0000_i1063" type="#_x0000_t75" style="width:53.15pt;height:19.3pt" o:ole="">
            <v:imagedata r:id="rId85" o:title=""/>
          </v:shape>
          <o:OLEObject Type="Embed" ProgID="Equation.DSMT4" ShapeID="_x0000_i1063" DrawAspect="Content" ObjectID="_1738154960" r:id="rId86"/>
        </w:object>
      </w:r>
      <w:r w:rsidRPr="00882FD5">
        <w:rPr>
          <w:noProof/>
        </w:rPr>
        <w:t xml:space="preserve">. For later use, let </w:t>
      </w:r>
      <w:r w:rsidR="00F739CC" w:rsidRPr="00882FD5">
        <w:rPr>
          <w:noProof/>
          <w:position w:val="-14"/>
        </w:rPr>
        <w:object w:dxaOrig="2480" w:dyaOrig="380" w14:anchorId="5B6FEED9">
          <v:shape id="_x0000_i1064" type="#_x0000_t75" style="width:123.85pt;height:18.85pt" o:ole="" o:preferrelative="f">
            <v:imagedata r:id="rId87" o:title=""/>
            <o:lock v:ext="edit" aspectratio="f"/>
          </v:shape>
          <o:OLEObject Type="Embed" ProgID="Equation.DSMT4" ShapeID="_x0000_i1064" DrawAspect="Content" ObjectID="_1738154961" r:id="rId88"/>
        </w:object>
      </w:r>
      <w:r w:rsidRPr="00882FD5">
        <w:rPr>
          <w:noProof/>
        </w:rPr>
        <w:t xml:space="preserve"> and </w:t>
      </w:r>
      <w:r w:rsidR="00F739CC" w:rsidRPr="00882FD5">
        <w:rPr>
          <w:noProof/>
          <w:position w:val="-12"/>
        </w:rPr>
        <w:object w:dxaOrig="1920" w:dyaOrig="360" w14:anchorId="702AD4BE">
          <v:shape id="_x0000_i1065" type="#_x0000_t75" style="width:95.55pt;height:18pt" o:ole="" o:preferrelative="f">
            <v:imagedata r:id="rId89" o:title=""/>
            <o:lock v:ext="edit" aspectratio="f"/>
          </v:shape>
          <o:OLEObject Type="Embed" ProgID="Equation.DSMT4" ShapeID="_x0000_i1065" DrawAspect="Content" ObjectID="_1738154962" r:id="rId90"/>
        </w:object>
      </w:r>
      <w:r w:rsidRPr="00882FD5">
        <w:rPr>
          <w:noProof/>
        </w:rPr>
        <w:t xml:space="preserve"> Stack the </w:t>
      </w:r>
      <w:r w:rsidRPr="00882FD5">
        <w:rPr>
          <w:i/>
          <w:noProof/>
        </w:rPr>
        <w:t xml:space="preserve">N </w:t>
      </w:r>
      <w:r w:rsidRPr="00882FD5">
        <w:rPr>
          <w:noProof/>
        </w:rPr>
        <w:t>underlying continuous</w:t>
      </w:r>
      <w:r w:rsidRPr="00882FD5">
        <w:rPr>
          <w:i/>
          <w:noProof/>
        </w:rPr>
        <w:t xml:space="preserve"> </w:t>
      </w:r>
      <w:r w:rsidRPr="00882FD5">
        <w:rPr>
          <w:noProof/>
        </w:rPr>
        <w:t xml:space="preserve">variables </w:t>
      </w:r>
      <w:r w:rsidR="00615278" w:rsidRPr="008D772B">
        <w:rPr>
          <w:position w:val="-12"/>
        </w:rPr>
        <w:object w:dxaOrig="279" w:dyaOrig="380" w14:anchorId="4FB80B67">
          <v:shape id="_x0000_i1066" type="#_x0000_t75" style="width:14.15pt;height:19.3pt" o:ole="">
            <v:imagedata r:id="rId57" o:title=""/>
          </v:shape>
          <o:OLEObject Type="Embed" ProgID="Equation.DSMT4" ShapeID="_x0000_i1066" DrawAspect="Content" ObjectID="_1738154963" r:id="rId91"/>
        </w:object>
      </w:r>
      <w:r w:rsidR="00615278">
        <w:t xml:space="preserve"> </w:t>
      </w:r>
      <w:r w:rsidRPr="00882FD5">
        <w:rPr>
          <w:noProof/>
        </w:rPr>
        <w:t>into an</w:t>
      </w:r>
      <w:r w:rsidR="00615278">
        <w:rPr>
          <w:noProof/>
        </w:rPr>
        <w:t xml:space="preserve"> </w:t>
      </w:r>
      <w:r w:rsidR="00D65919" w:rsidRPr="008D772B">
        <w:rPr>
          <w:position w:val="-10"/>
        </w:rPr>
        <w:object w:dxaOrig="700" w:dyaOrig="320" w14:anchorId="7AB41FC6">
          <v:shape id="_x0000_i1067" type="#_x0000_t75" style="width:35.15pt;height:15.85pt" o:ole="">
            <v:imagedata r:id="rId92" o:title=""/>
          </v:shape>
          <o:OLEObject Type="Embed" ProgID="Equation.DSMT4" ShapeID="_x0000_i1067" DrawAspect="Content" ObjectID="_1738154964" r:id="rId93"/>
        </w:object>
      </w:r>
      <w:r w:rsidR="00F739CC">
        <w:t xml:space="preserve"> </w:t>
      </w:r>
      <w:r w:rsidRPr="00882FD5">
        <w:rPr>
          <w:noProof/>
        </w:rPr>
        <w:t xml:space="preserve">vector </w:t>
      </w:r>
      <w:r w:rsidRPr="00882FD5">
        <w:rPr>
          <w:noProof/>
          <w:position w:val="-10"/>
        </w:rPr>
        <w:object w:dxaOrig="300" w:dyaOrig="360" w14:anchorId="5A3CF308">
          <v:shape id="_x0000_i1068" type="#_x0000_t75" style="width:18pt;height:18pt" o:ole="" o:preferrelative="f">
            <v:imagedata r:id="rId94" o:title=""/>
            <o:lock v:ext="edit" aspectratio="f"/>
          </v:shape>
          <o:OLEObject Type="Embed" ProgID="Equation.3" ShapeID="_x0000_i1068" DrawAspect="Content" ObjectID="_1738154965" r:id="rId95"/>
        </w:object>
      </w:r>
      <w:r w:rsidRPr="00882FD5">
        <w:rPr>
          <w:noProof/>
        </w:rPr>
        <w:t xml:space="preserve">, and the </w:t>
      </w:r>
      <w:r w:rsidRPr="00882FD5">
        <w:rPr>
          <w:i/>
          <w:noProof/>
        </w:rPr>
        <w:t>N</w:t>
      </w:r>
      <w:r w:rsidRPr="00882FD5">
        <w:rPr>
          <w:noProof/>
        </w:rPr>
        <w:t xml:space="preserve"> error terms </w:t>
      </w:r>
      <w:r w:rsidRPr="00882FD5">
        <w:rPr>
          <w:noProof/>
          <w:position w:val="-12"/>
        </w:rPr>
        <w:object w:dxaOrig="279" w:dyaOrig="360" w14:anchorId="6F446487">
          <v:shape id="_x0000_i1069" type="#_x0000_t75" style="width:12pt;height:18pt" o:ole="">
            <v:imagedata r:id="rId96" o:title=""/>
          </v:shape>
          <o:OLEObject Type="Embed" ProgID="Equation.3" ShapeID="_x0000_i1069" DrawAspect="Content" ObjectID="_1738154966" r:id="rId97"/>
        </w:object>
      </w:r>
      <w:r w:rsidRPr="00882FD5">
        <w:rPr>
          <w:noProof/>
        </w:rPr>
        <w:t xml:space="preserve"> into another</w:t>
      </w:r>
      <w:r w:rsidR="00582398">
        <w:rPr>
          <w:noProof/>
        </w:rPr>
        <w:t xml:space="preserve"> </w:t>
      </w:r>
      <w:r w:rsidR="00582398" w:rsidRPr="008D772B">
        <w:rPr>
          <w:position w:val="-10"/>
        </w:rPr>
        <w:object w:dxaOrig="700" w:dyaOrig="320" w14:anchorId="71F8E4A2">
          <v:shape id="_x0000_i1070" type="#_x0000_t75" style="width:35.15pt;height:15.85pt" o:ole="">
            <v:imagedata r:id="rId98" o:title=""/>
          </v:shape>
          <o:OLEObject Type="Embed" ProgID="Equation.DSMT4" ShapeID="_x0000_i1070" DrawAspect="Content" ObjectID="_1738154967" r:id="rId99"/>
        </w:object>
      </w:r>
      <w:r w:rsidR="00F739CC">
        <w:t xml:space="preserve"> </w:t>
      </w:r>
      <w:r w:rsidRPr="00882FD5">
        <w:rPr>
          <w:noProof/>
        </w:rPr>
        <w:t>vector</w:t>
      </w:r>
      <w:r w:rsidR="00615278">
        <w:rPr>
          <w:noProof/>
        </w:rPr>
        <w:t xml:space="preserve"> </w:t>
      </w:r>
      <w:r w:rsidR="00615278" w:rsidRPr="008D772B">
        <w:rPr>
          <w:position w:val="-6"/>
        </w:rPr>
        <w:object w:dxaOrig="200" w:dyaOrig="279" w14:anchorId="2F7C0C31">
          <v:shape id="_x0000_i1071" type="#_x0000_t75" style="width:9.85pt;height:14.15pt" o:ole="">
            <v:imagedata r:id="rId100" o:title=""/>
          </v:shape>
          <o:OLEObject Type="Embed" ProgID="Equation.DSMT4" ShapeID="_x0000_i1071" DrawAspect="Content" ObjectID="_1738154968" r:id="rId101"/>
        </w:object>
      </w:r>
      <w:r w:rsidR="00615278">
        <w:t>.</w:t>
      </w:r>
      <w:r w:rsidR="00615278">
        <w:rPr>
          <w:noProof/>
        </w:rPr>
        <w:t xml:space="preserve"> </w:t>
      </w:r>
      <w:r w:rsidRPr="00882FD5">
        <w:rPr>
          <w:noProof/>
        </w:rPr>
        <w:t xml:space="preserve">Define </w:t>
      </w:r>
      <w:r w:rsidR="000214F8" w:rsidRPr="00882FD5">
        <w:rPr>
          <w:noProof/>
          <w:position w:val="-12"/>
        </w:rPr>
        <w:object w:dxaOrig="1719" w:dyaOrig="360" w14:anchorId="4129037E">
          <v:shape id="_x0000_i1072" type="#_x0000_t75" style="width:84pt;height:18pt" o:ole="" o:preferrelative="f">
            <v:imagedata r:id="rId102" o:title=""/>
            <o:lock v:ext="edit" aspectratio="f"/>
          </v:shape>
          <o:OLEObject Type="Embed" ProgID="Equation.DSMT4" ShapeID="_x0000_i1072" DrawAspect="Content" ObjectID="_1738154969" r:id="rId103"/>
        </w:object>
      </w:r>
      <w:r w:rsidR="00D65919">
        <w:rPr>
          <w:noProof/>
        </w:rPr>
        <w:t xml:space="preserve"> </w:t>
      </w:r>
      <w:r w:rsidR="00E57AD5" w:rsidRPr="00882FD5">
        <w:rPr>
          <w:noProof/>
        </w:rPr>
        <w:t>[</w:t>
      </w:r>
      <w:r w:rsidR="00F739CC" w:rsidRPr="008D772B">
        <w:rPr>
          <w:position w:val="-10"/>
        </w:rPr>
        <w:object w:dxaOrig="780" w:dyaOrig="320" w14:anchorId="677F21AC">
          <v:shape id="_x0000_i1073" type="#_x0000_t75" style="width:39pt;height:15.85pt" o:ole="">
            <v:imagedata r:id="rId104" o:title=""/>
          </v:shape>
          <o:OLEObject Type="Embed" ProgID="Equation.DSMT4" ShapeID="_x0000_i1073" DrawAspect="Content" ObjectID="_1738154970" r:id="rId105"/>
        </w:object>
      </w:r>
      <w:r w:rsidR="00F739CC">
        <w:t xml:space="preserve"> </w:t>
      </w:r>
      <w:r w:rsidRPr="00882FD5">
        <w:rPr>
          <w:noProof/>
        </w:rPr>
        <w:t>matrix</w:t>
      </w:r>
      <w:r w:rsidR="005C264D" w:rsidRPr="00882FD5">
        <w:rPr>
          <w:noProof/>
        </w:rPr>
        <w:t>]</w:t>
      </w:r>
      <w:r w:rsidRPr="00882FD5">
        <w:rPr>
          <w:noProof/>
        </w:rPr>
        <w:t xml:space="preserve"> and </w:t>
      </w:r>
      <w:r w:rsidR="00D65919" w:rsidRPr="00882FD5">
        <w:rPr>
          <w:noProof/>
          <w:position w:val="-18"/>
        </w:rPr>
        <w:object w:dxaOrig="1760" w:dyaOrig="480" w14:anchorId="5802EC47">
          <v:shape id="_x0000_i1074" type="#_x0000_t75" style="width:87.85pt;height:24pt" o:ole="" o:preferrelative="f">
            <v:imagedata r:id="rId106" o:title=""/>
            <o:lock v:ext="edit" aspectratio="f"/>
          </v:shape>
          <o:OLEObject Type="Embed" ProgID="Equation.DSMT4" ShapeID="_x0000_i1074" DrawAspect="Content" ObjectID="_1738154971" r:id="rId107"/>
        </w:object>
      </w:r>
      <w:r w:rsidRPr="00882FD5">
        <w:rPr>
          <w:noProof/>
          <w:position w:val="-12"/>
        </w:rPr>
        <w:t xml:space="preserve"> </w:t>
      </w:r>
      <w:r w:rsidRPr="00882FD5">
        <w:rPr>
          <w:noProof/>
        </w:rPr>
        <w:t>[</w:t>
      </w:r>
      <w:r w:rsidR="00582398" w:rsidRPr="008D772B">
        <w:rPr>
          <w:position w:val="-10"/>
        </w:rPr>
        <w:object w:dxaOrig="780" w:dyaOrig="320" w14:anchorId="15472833">
          <v:shape id="_x0000_i1075" type="#_x0000_t75" style="width:39pt;height:15.85pt" o:ole="">
            <v:imagedata r:id="rId108" o:title=""/>
          </v:shape>
          <o:OLEObject Type="Embed" ProgID="Equation.DSMT4" ShapeID="_x0000_i1075" DrawAspect="Content" ObjectID="_1738154972" r:id="rId109"/>
        </w:object>
      </w:r>
      <w:r w:rsidR="00F739CC">
        <w:t xml:space="preserve"> </w:t>
      </w:r>
      <w:r w:rsidRPr="00882FD5">
        <w:rPr>
          <w:noProof/>
        </w:rPr>
        <w:t xml:space="preserve">matrix], and let </w:t>
      </w:r>
      <w:r w:rsidR="002713EF" w:rsidRPr="00882FD5">
        <w:rPr>
          <w:noProof/>
          <w:position w:val="-12"/>
        </w:rPr>
        <w:object w:dxaOrig="800" w:dyaOrig="360" w14:anchorId="4566D1A9">
          <v:shape id="_x0000_i1076" type="#_x0000_t75" style="width:42pt;height:18pt" o:ole="" o:preferrelative="f">
            <v:imagedata r:id="rId110" o:title=""/>
            <o:lock v:ext="edit" aspectratio="f"/>
          </v:shape>
          <o:OLEObject Type="Embed" ProgID="Equation.DSMT4" ShapeID="_x0000_i1076" DrawAspect="Content" ObjectID="_1738154973" r:id="rId111"/>
        </w:object>
      </w:r>
      <w:r w:rsidRPr="00882FD5">
        <w:rPr>
          <w:noProof/>
        </w:rPr>
        <w:t xml:space="preserve"> be the identity matrix of dimension </w:t>
      </w:r>
      <w:r w:rsidRPr="00882FD5">
        <w:rPr>
          <w:i/>
          <w:noProof/>
        </w:rPr>
        <w:t>N</w:t>
      </w:r>
      <w:r w:rsidRPr="00882FD5">
        <w:rPr>
          <w:noProof/>
        </w:rPr>
        <w:t xml:space="preserve"> representing the correlation matrix of</w:t>
      </w:r>
      <w:r w:rsidR="00C22058">
        <w:rPr>
          <w:noProof/>
        </w:rPr>
        <w:t xml:space="preserve"> </w:t>
      </w:r>
      <w:r w:rsidR="00C22058" w:rsidRPr="008D772B">
        <w:rPr>
          <w:position w:val="-6"/>
        </w:rPr>
        <w:object w:dxaOrig="200" w:dyaOrig="279" w14:anchorId="000B53A6">
          <v:shape id="_x0000_i1077" type="#_x0000_t75" style="width:9.85pt;height:14.15pt" o:ole="">
            <v:imagedata r:id="rId100" o:title=""/>
          </v:shape>
          <o:OLEObject Type="Embed" ProgID="Equation.DSMT4" ShapeID="_x0000_i1077" DrawAspect="Content" ObjectID="_1738154974" r:id="rId112"/>
        </w:object>
      </w:r>
      <w:r w:rsidR="00E25088" w:rsidRPr="00882FD5">
        <w:rPr>
          <w:noProof/>
        </w:rPr>
        <w:t xml:space="preserve">. </w:t>
      </w:r>
      <w:r w:rsidRPr="00882FD5">
        <w:rPr>
          <w:noProof/>
        </w:rPr>
        <w:t>Finally, stack the lower thresholds for the decision-maker</w:t>
      </w:r>
      <w:r w:rsidR="00C22058">
        <w:rPr>
          <w:noProof/>
        </w:rPr>
        <w:t xml:space="preserve"> </w:t>
      </w:r>
      <w:r w:rsidR="00D65919" w:rsidRPr="007419C3">
        <w:rPr>
          <w:noProof/>
          <w:position w:val="-14"/>
        </w:rPr>
        <w:object w:dxaOrig="2040" w:dyaOrig="380" w14:anchorId="22FBE98A">
          <v:shape id="_x0000_i1078" type="#_x0000_t75" style="width:102pt;height:18.85pt" o:ole="" o:preferrelative="f">
            <v:imagedata r:id="rId113" o:title=""/>
            <o:lock v:ext="edit" aspectratio="f"/>
          </v:shape>
          <o:OLEObject Type="Embed" ProgID="Equation.3" ShapeID="_x0000_i1078" DrawAspect="Content" ObjectID="_1738154975" r:id="rId114"/>
        </w:object>
      </w:r>
      <w:r w:rsidR="00C22058">
        <w:rPr>
          <w:noProof/>
          <w:position w:val="-14"/>
        </w:rPr>
        <w:t xml:space="preserve"> </w:t>
      </w:r>
      <w:r w:rsidRPr="00882FD5">
        <w:rPr>
          <w:noProof/>
        </w:rPr>
        <w:t>into an</w:t>
      </w:r>
      <w:r w:rsidR="00F739CC">
        <w:rPr>
          <w:noProof/>
        </w:rPr>
        <w:t xml:space="preserve"> </w:t>
      </w:r>
      <w:r w:rsidR="00C22058" w:rsidRPr="00882FD5">
        <w:rPr>
          <w:noProof/>
          <w:position w:val="-10"/>
        </w:rPr>
        <w:object w:dxaOrig="700" w:dyaOrig="320" w14:anchorId="3511B98B">
          <v:shape id="_x0000_i1079" type="#_x0000_t75" style="width:36pt;height:16.7pt" o:ole="" o:preferrelative="f">
            <v:imagedata r:id="rId115" o:title=""/>
            <o:lock v:ext="edit" aspectratio="f"/>
          </v:shape>
          <o:OLEObject Type="Embed" ProgID="Equation.DSMT4" ShapeID="_x0000_i1079" DrawAspect="Content" ObjectID="_1738154976" r:id="rId116"/>
        </w:object>
      </w:r>
      <w:r w:rsidRPr="00882FD5">
        <w:rPr>
          <w:noProof/>
          <w:position w:val="-10"/>
        </w:rPr>
        <w:t xml:space="preserve"> </w:t>
      </w:r>
      <w:r w:rsidRPr="00882FD5">
        <w:rPr>
          <w:noProof/>
        </w:rPr>
        <w:t xml:space="preserve">vector </w:t>
      </w:r>
      <w:r w:rsidR="00C22058" w:rsidRPr="008D772B">
        <w:rPr>
          <w:position w:val="-12"/>
        </w:rPr>
        <w:object w:dxaOrig="440" w:dyaOrig="360" w14:anchorId="790B1420">
          <v:shape id="_x0000_i1080" type="#_x0000_t75" style="width:21.85pt;height:18pt" o:ole="">
            <v:imagedata r:id="rId117" o:title=""/>
          </v:shape>
          <o:OLEObject Type="Embed" ProgID="Equation.DSMT4" ShapeID="_x0000_i1080" DrawAspect="Content" ObjectID="_1738154977" r:id="rId118"/>
        </w:object>
      </w:r>
      <w:r w:rsidRPr="00882FD5">
        <w:rPr>
          <w:noProof/>
          <w:position w:val="-12"/>
        </w:rPr>
        <w:t xml:space="preserve"> </w:t>
      </w:r>
      <w:r w:rsidRPr="00882FD5">
        <w:rPr>
          <w:noProof/>
        </w:rPr>
        <w:t>and the upper thresholds</w:t>
      </w:r>
      <w:r w:rsidR="00C22058">
        <w:rPr>
          <w:noProof/>
        </w:rPr>
        <w:t xml:space="preserve"> </w:t>
      </w:r>
      <w:r w:rsidR="00D65919" w:rsidRPr="007419C3">
        <w:rPr>
          <w:noProof/>
          <w:position w:val="-14"/>
        </w:rPr>
        <w:object w:dxaOrig="1900" w:dyaOrig="380" w14:anchorId="3D31B59A">
          <v:shape id="_x0000_i1081" type="#_x0000_t75" style="width:95.15pt;height:18.85pt" o:ole="" o:preferrelative="f">
            <v:imagedata r:id="rId119" o:title=""/>
            <o:lock v:ext="edit" aspectratio="f"/>
          </v:shape>
          <o:OLEObject Type="Embed" ProgID="Equation.3" ShapeID="_x0000_i1081" DrawAspect="Content" ObjectID="_1738154978" r:id="rId120"/>
        </w:object>
      </w:r>
      <w:r w:rsidR="00D65919">
        <w:t xml:space="preserve"> </w:t>
      </w:r>
      <w:r w:rsidRPr="00882FD5">
        <w:rPr>
          <w:noProof/>
        </w:rPr>
        <w:t xml:space="preserve">into another vector </w:t>
      </w:r>
      <w:r w:rsidR="00C22058" w:rsidRPr="008D772B">
        <w:rPr>
          <w:position w:val="-14"/>
        </w:rPr>
        <w:object w:dxaOrig="380" w:dyaOrig="380" w14:anchorId="6532E91B">
          <v:shape id="_x0000_i1082" type="#_x0000_t75" style="width:19.3pt;height:19.3pt" o:ole="">
            <v:imagedata r:id="rId121" o:title=""/>
          </v:shape>
          <o:OLEObject Type="Embed" ProgID="Equation.DSMT4" ShapeID="_x0000_i1082" DrawAspect="Content" ObjectID="_1738154979" r:id="rId122"/>
        </w:object>
      </w:r>
      <w:r w:rsidR="00C22058">
        <w:t>.</w:t>
      </w:r>
      <w:r w:rsidRPr="00882FD5">
        <w:rPr>
          <w:noProof/>
        </w:rPr>
        <w:t xml:space="preserve"> Then, in matrix form, the measurement equation for the ordinal outcomes for the decision-maker may be written as:</w:t>
      </w:r>
    </w:p>
    <w:p w14:paraId="218CCA1B" w14:textId="4A557D0F" w:rsidR="003319F0" w:rsidRPr="00882FD5" w:rsidRDefault="00D65919" w:rsidP="00575D15">
      <w:pPr>
        <w:spacing w:line="240" w:lineRule="auto"/>
        <w:jc w:val="both"/>
        <w:rPr>
          <w:noProof/>
        </w:rPr>
      </w:pPr>
      <w:r w:rsidRPr="008D772B">
        <w:rPr>
          <w:position w:val="-14"/>
        </w:rPr>
        <w:object w:dxaOrig="3240" w:dyaOrig="420" w14:anchorId="71EA1579">
          <v:shape id="_x0000_i1083" type="#_x0000_t75" style="width:162pt;height:21pt" o:ole="">
            <v:imagedata r:id="rId123" o:title=""/>
          </v:shape>
          <o:OLEObject Type="Embed" ProgID="Equation.DSMT4" ShapeID="_x0000_i1083" DrawAspect="Content" ObjectID="_1738154980" r:id="rId124"/>
        </w:object>
      </w:r>
      <w:r w:rsidR="00C22058">
        <w:rPr>
          <w:noProof/>
        </w:rPr>
        <w:t xml:space="preserve"> </w:t>
      </w:r>
      <w:r w:rsidR="003319F0" w:rsidRPr="00882FD5">
        <w:rPr>
          <w:noProof/>
        </w:rPr>
        <w:t xml:space="preserve">            </w:t>
      </w:r>
      <w:r w:rsidR="003319F0" w:rsidRPr="00882FD5">
        <w:rPr>
          <w:noProof/>
        </w:rPr>
        <w:tab/>
      </w:r>
      <w:r w:rsidR="003319F0" w:rsidRPr="00882FD5">
        <w:rPr>
          <w:noProof/>
        </w:rPr>
        <w:tab/>
      </w:r>
      <w:r w:rsidR="003319F0" w:rsidRPr="00882FD5">
        <w:rPr>
          <w:noProof/>
        </w:rPr>
        <w:tab/>
      </w:r>
      <w:r w:rsidR="003319F0" w:rsidRPr="00882FD5">
        <w:rPr>
          <w:noProof/>
        </w:rPr>
        <w:tab/>
      </w:r>
      <w:r w:rsidR="003319F0" w:rsidRPr="00882FD5">
        <w:rPr>
          <w:noProof/>
        </w:rPr>
        <w:tab/>
      </w:r>
      <w:r w:rsidR="003319F0" w:rsidRPr="00882FD5">
        <w:rPr>
          <w:noProof/>
        </w:rPr>
        <w:tab/>
      </w:r>
      <w:r w:rsidR="003319F0" w:rsidRPr="00882FD5">
        <w:rPr>
          <w:noProof/>
        </w:rPr>
        <w:tab/>
      </w:r>
      <w:r w:rsidR="003B1E70" w:rsidRPr="00882FD5">
        <w:rPr>
          <w:noProof/>
        </w:rPr>
        <w:t xml:space="preserve">      </w:t>
      </w:r>
      <w:r w:rsidR="003319F0" w:rsidRPr="00882FD5">
        <w:rPr>
          <w:noProof/>
        </w:rPr>
        <w:t xml:space="preserve"> (4)</w:t>
      </w:r>
    </w:p>
    <w:p w14:paraId="31322661" w14:textId="127F71FE" w:rsidR="003319F0" w:rsidRDefault="003319F0" w:rsidP="00575D15">
      <w:pPr>
        <w:spacing w:line="240" w:lineRule="auto"/>
        <w:ind w:firstLine="720"/>
        <w:jc w:val="both"/>
        <w:rPr>
          <w:noProof/>
        </w:rPr>
      </w:pPr>
      <w:r w:rsidRPr="00882FD5">
        <w:rPr>
          <w:noProof/>
        </w:rPr>
        <w:t xml:space="preserve">Now let there be </w:t>
      </w:r>
      <w:r w:rsidRPr="00882FD5">
        <w:rPr>
          <w:i/>
          <w:noProof/>
        </w:rPr>
        <w:t>G</w:t>
      </w:r>
      <w:r w:rsidRPr="00882FD5">
        <w:rPr>
          <w:noProof/>
        </w:rPr>
        <w:t xml:space="preserve"> ranked outcome variables for an individual, and let </w:t>
      </w:r>
      <w:r w:rsidRPr="00882FD5">
        <w:rPr>
          <w:i/>
          <w:noProof/>
        </w:rPr>
        <w:t>g</w:t>
      </w:r>
      <w:r w:rsidRPr="00882FD5">
        <w:rPr>
          <w:noProof/>
        </w:rPr>
        <w:t xml:space="preserve"> be the index for the ranked variables</w:t>
      </w:r>
      <w:r w:rsidR="007A3632">
        <w:rPr>
          <w:noProof/>
        </w:rPr>
        <w:t xml:space="preserve"> </w:t>
      </w:r>
      <w:r w:rsidR="00D65919" w:rsidRPr="007419C3">
        <w:rPr>
          <w:noProof/>
          <w:position w:val="-10"/>
        </w:rPr>
        <w:object w:dxaOrig="1620" w:dyaOrig="320" w14:anchorId="683FE21E">
          <v:shape id="_x0000_i1084" type="#_x0000_t75" style="width:81.45pt;height:15.85pt" o:ole="" o:preferrelative="f">
            <v:imagedata r:id="rId125" o:title=""/>
            <o:lock v:ext="edit" aspectratio="f"/>
          </v:shape>
          <o:OLEObject Type="Embed" ProgID="Equation.3" ShapeID="_x0000_i1084" DrawAspect="Content" ObjectID="_1738154981" r:id="rId126"/>
        </w:object>
      </w:r>
      <w:r w:rsidRPr="00882FD5">
        <w:rPr>
          <w:noProof/>
        </w:rPr>
        <w:t xml:space="preserve">. Also, let </w:t>
      </w:r>
      <w:r w:rsidRPr="00882FD5">
        <w:rPr>
          <w:i/>
          <w:noProof/>
        </w:rPr>
        <w:t>I</w:t>
      </w:r>
      <w:r w:rsidRPr="00882FD5">
        <w:rPr>
          <w:i/>
          <w:noProof/>
          <w:vertAlign w:val="subscript"/>
        </w:rPr>
        <w:t>g</w:t>
      </w:r>
      <w:r w:rsidRPr="00882FD5">
        <w:rPr>
          <w:noProof/>
        </w:rPr>
        <w:t xml:space="preserve"> be the number of alternatives </w:t>
      </w:r>
      <w:r w:rsidR="00FF6BD9" w:rsidRPr="00882FD5">
        <w:rPr>
          <w:noProof/>
        </w:rPr>
        <w:t>being ranked for</w:t>
      </w:r>
      <w:r w:rsidRPr="00882FD5">
        <w:rPr>
          <w:noProof/>
        </w:rPr>
        <w:t xml:space="preserve"> the </w:t>
      </w:r>
      <w:r w:rsidRPr="00882FD5">
        <w:rPr>
          <w:i/>
          <w:noProof/>
        </w:rPr>
        <w:t>g</w:t>
      </w:r>
      <w:r w:rsidRPr="00882FD5">
        <w:rPr>
          <w:noProof/>
          <w:vertAlign w:val="superscript"/>
        </w:rPr>
        <w:t>th</w:t>
      </w:r>
      <w:r w:rsidRPr="00882FD5">
        <w:rPr>
          <w:noProof/>
        </w:rPr>
        <w:t xml:space="preserve"> ranked variable (</w:t>
      </w:r>
      <w:r w:rsidRPr="00882FD5">
        <w:rPr>
          <w:i/>
          <w:noProof/>
        </w:rPr>
        <w:t>I</w:t>
      </w:r>
      <w:r w:rsidRPr="00882FD5">
        <w:rPr>
          <w:i/>
          <w:noProof/>
          <w:vertAlign w:val="subscript"/>
        </w:rPr>
        <w:t>g</w:t>
      </w:r>
      <w:r w:rsidR="00D65919">
        <w:rPr>
          <w:noProof/>
        </w:rPr>
        <w:t xml:space="preserve"> ≥ </w:t>
      </w:r>
      <w:r w:rsidRPr="00882FD5">
        <w:rPr>
          <w:noProof/>
        </w:rPr>
        <w:t xml:space="preserve">3) and let </w:t>
      </w:r>
      <w:r w:rsidRPr="00882FD5">
        <w:rPr>
          <w:noProof/>
          <w:position w:val="-14"/>
        </w:rPr>
        <w:object w:dxaOrig="220" w:dyaOrig="380" w14:anchorId="356E5CE2">
          <v:shape id="_x0000_i1085" type="#_x0000_t75" style="width:12pt;height:18pt" o:ole="">
            <v:imagedata r:id="rId127" o:title=""/>
          </v:shape>
          <o:OLEObject Type="Embed" ProgID="Equation.3" ShapeID="_x0000_i1085" DrawAspect="Content" ObjectID="_1738154982" r:id="rId128"/>
        </w:object>
      </w:r>
      <w:r w:rsidRPr="00882FD5">
        <w:rPr>
          <w:noProof/>
        </w:rPr>
        <w:t>be the corresponding index</w:t>
      </w:r>
      <w:r w:rsidR="007A3632">
        <w:rPr>
          <w:noProof/>
        </w:rPr>
        <w:t xml:space="preserve"> </w:t>
      </w:r>
      <w:r w:rsidR="00D65919" w:rsidRPr="007419C3">
        <w:rPr>
          <w:noProof/>
          <w:position w:val="-14"/>
        </w:rPr>
        <w:object w:dxaOrig="1719" w:dyaOrig="380" w14:anchorId="776CCB7D">
          <v:shape id="_x0000_i1086" type="#_x0000_t75" style="width:85.7pt;height:18.85pt" o:ole="" o:preferrelative="f">
            <v:imagedata r:id="rId129" o:title=""/>
            <o:lock v:ext="edit" aspectratio="f"/>
          </v:shape>
          <o:OLEObject Type="Embed" ProgID="Equation.3" ShapeID="_x0000_i1086" DrawAspect="Content" ObjectID="_1738154983" r:id="rId130"/>
        </w:object>
      </w:r>
      <w:r w:rsidRPr="00882FD5">
        <w:rPr>
          <w:noProof/>
        </w:rPr>
        <w:t xml:space="preserve">. In our case, </w:t>
      </w:r>
      <w:r w:rsidRPr="00882FD5">
        <w:rPr>
          <w:i/>
          <w:noProof/>
        </w:rPr>
        <w:t>G</w:t>
      </w:r>
      <w:r w:rsidRPr="00882FD5">
        <w:rPr>
          <w:noProof/>
        </w:rPr>
        <w:t>=1 and</w:t>
      </w:r>
      <w:r w:rsidR="00F34230" w:rsidRPr="00882FD5">
        <w:rPr>
          <w:noProof/>
        </w:rPr>
        <w:t xml:space="preserve"> </w:t>
      </w:r>
      <w:r w:rsidR="00F34230" w:rsidRPr="00882FD5">
        <w:rPr>
          <w:i/>
          <w:noProof/>
        </w:rPr>
        <w:t>I</w:t>
      </w:r>
      <w:r w:rsidR="00F34230" w:rsidRPr="00D65919">
        <w:rPr>
          <w:noProof/>
          <w:vertAlign w:val="subscript"/>
        </w:rPr>
        <w:t>1</w:t>
      </w:r>
      <w:r w:rsidR="00F34230" w:rsidRPr="00D65919">
        <w:rPr>
          <w:noProof/>
        </w:rPr>
        <w:t xml:space="preserve"> </w:t>
      </w:r>
      <w:r w:rsidR="00F34230" w:rsidRPr="00882FD5">
        <w:rPr>
          <w:noProof/>
        </w:rPr>
        <w:t>=7</w:t>
      </w:r>
      <w:r w:rsidRPr="00882FD5">
        <w:rPr>
          <w:noProof/>
        </w:rPr>
        <w:t>; however</w:t>
      </w:r>
      <w:r w:rsidR="00CE75C8" w:rsidRPr="00882FD5">
        <w:rPr>
          <w:noProof/>
        </w:rPr>
        <w:t>,</w:t>
      </w:r>
      <w:r w:rsidRPr="00882FD5">
        <w:rPr>
          <w:noProof/>
        </w:rPr>
        <w:t xml:space="preserve"> we present the framework for any number of ranked o</w:t>
      </w:r>
      <w:r w:rsidR="002D7225" w:rsidRPr="00882FD5">
        <w:rPr>
          <w:noProof/>
        </w:rPr>
        <w:t>u</w:t>
      </w:r>
      <w:r w:rsidRPr="00882FD5">
        <w:rPr>
          <w:noProof/>
        </w:rPr>
        <w:t xml:space="preserve">tcomes. Consider the </w:t>
      </w:r>
      <w:r w:rsidRPr="00882FD5">
        <w:rPr>
          <w:i/>
          <w:noProof/>
        </w:rPr>
        <w:t>g</w:t>
      </w:r>
      <w:r w:rsidRPr="00882FD5">
        <w:rPr>
          <w:noProof/>
          <w:vertAlign w:val="superscript"/>
        </w:rPr>
        <w:t>th</w:t>
      </w:r>
      <w:r w:rsidRPr="00882FD5">
        <w:rPr>
          <w:noProof/>
        </w:rPr>
        <w:t xml:space="preserve"> ranked variable and assume the usual random utility structure for each alternative </w:t>
      </w:r>
      <w:r w:rsidR="00D65919" w:rsidRPr="00882FD5">
        <w:rPr>
          <w:noProof/>
          <w:position w:val="-14"/>
        </w:rPr>
        <w:object w:dxaOrig="220" w:dyaOrig="380" w14:anchorId="7CFF598C">
          <v:shape id="_x0000_i1087" type="#_x0000_t75" style="width:10.7pt;height:18.85pt" o:ole="" o:preferrelative="f">
            <v:imagedata r:id="rId131" o:title=""/>
            <o:lock v:ext="edit" aspectratio="f"/>
          </v:shape>
          <o:OLEObject Type="Embed" ProgID="Equation.3" ShapeID="_x0000_i1087" DrawAspect="Content" ObjectID="_1738154984" r:id="rId132"/>
        </w:object>
      </w:r>
      <w:r w:rsidRPr="00882FD5">
        <w:rPr>
          <w:noProof/>
        </w:rPr>
        <w:t>.</w:t>
      </w:r>
      <w:r w:rsidRPr="00882FD5">
        <w:rPr>
          <w:noProof/>
        </w:rPr>
        <w:tab/>
        <w:t xml:space="preserve"> </w:t>
      </w:r>
    </w:p>
    <w:p w14:paraId="6BF73665" w14:textId="59E2DDEB" w:rsidR="003319F0" w:rsidRPr="00882FD5" w:rsidRDefault="00D65919" w:rsidP="003260D1">
      <w:pPr>
        <w:spacing w:line="240" w:lineRule="auto"/>
        <w:jc w:val="both"/>
        <w:rPr>
          <w:noProof/>
        </w:rPr>
      </w:pPr>
      <w:r w:rsidRPr="008D772B">
        <w:rPr>
          <w:position w:val="-16"/>
        </w:rPr>
        <w:object w:dxaOrig="2920" w:dyaOrig="420" w14:anchorId="79047561">
          <v:shape id="_x0000_i1088" type="#_x0000_t75" style="width:146.15pt;height:21pt" o:ole="">
            <v:imagedata r:id="rId133" o:title=""/>
          </v:shape>
          <o:OLEObject Type="Embed" ProgID="Equation.DSMT4" ShapeID="_x0000_i1088" DrawAspect="Content" ObjectID="_1738154985" r:id="rId134"/>
        </w:object>
      </w:r>
      <w:r w:rsidR="007A3632">
        <w:tab/>
      </w:r>
      <w:r w:rsidR="007A3632">
        <w:tab/>
        <w:t xml:space="preserve">      </w:t>
      </w:r>
      <w:r w:rsidR="003319F0" w:rsidRPr="00882FD5">
        <w:rPr>
          <w:noProof/>
        </w:rPr>
        <w:t xml:space="preserve">  </w:t>
      </w:r>
      <w:r w:rsidR="003319F0" w:rsidRPr="00882FD5">
        <w:rPr>
          <w:noProof/>
          <w:lang w:eastAsia="zh-CN"/>
        </w:rPr>
        <w:t xml:space="preserve">                           </w:t>
      </w:r>
      <w:r w:rsidR="003319F0" w:rsidRPr="00882FD5">
        <w:rPr>
          <w:noProof/>
        </w:rPr>
        <w:t xml:space="preserve">                                            (5)</w:t>
      </w:r>
    </w:p>
    <w:p w14:paraId="05EEB4C2" w14:textId="0BFD5F12" w:rsidR="003319F0" w:rsidRPr="00882FD5" w:rsidRDefault="00D65919" w:rsidP="00575D15">
      <w:pPr>
        <w:spacing w:line="240" w:lineRule="auto"/>
        <w:jc w:val="both"/>
        <w:rPr>
          <w:noProof/>
        </w:rPr>
      </w:pPr>
      <w:r>
        <w:rPr>
          <w:noProof/>
        </w:rPr>
        <w:t>w</w:t>
      </w:r>
      <w:r w:rsidR="003319F0" w:rsidRPr="00882FD5">
        <w:rPr>
          <w:noProof/>
        </w:rPr>
        <w:t xml:space="preserve">here </w:t>
      </w:r>
      <w:r w:rsidR="007A3632" w:rsidRPr="008D772B">
        <w:rPr>
          <w:position w:val="-6"/>
        </w:rPr>
        <w:object w:dxaOrig="220" w:dyaOrig="220" w14:anchorId="38A4E5BA">
          <v:shape id="_x0000_i1089" type="#_x0000_t75" style="width:11.15pt;height:11.15pt" o:ole="">
            <v:imagedata r:id="rId135" o:title=""/>
          </v:shape>
          <o:OLEObject Type="Embed" ProgID="Equation.DSMT4" ShapeID="_x0000_i1089" DrawAspect="Content" ObjectID="_1738154986" r:id="rId136"/>
        </w:object>
      </w:r>
      <w:r w:rsidR="003319F0" w:rsidRPr="00882FD5">
        <w:rPr>
          <w:noProof/>
        </w:rPr>
        <w:t xml:space="preserve"> is an</w:t>
      </w:r>
      <w:r w:rsidR="007A3632">
        <w:rPr>
          <w:noProof/>
        </w:rPr>
        <w:t xml:space="preserve"> </w:t>
      </w:r>
      <w:r w:rsidR="007A3632" w:rsidRPr="008D772B">
        <w:rPr>
          <w:position w:val="-10"/>
        </w:rPr>
        <w:object w:dxaOrig="660" w:dyaOrig="320" w14:anchorId="4AF3647F">
          <v:shape id="_x0000_i1090" type="#_x0000_t75" style="width:33pt;height:15.85pt" o:ole="">
            <v:imagedata r:id="rId137" o:title=""/>
          </v:shape>
          <o:OLEObject Type="Embed" ProgID="Equation.DSMT4" ShapeID="_x0000_i1090" DrawAspect="Content" ObjectID="_1738154987" r:id="rId138"/>
        </w:object>
      </w:r>
      <w:r>
        <w:t xml:space="preserve"> </w:t>
      </w:r>
      <w:r w:rsidR="003319F0" w:rsidRPr="00882FD5">
        <w:rPr>
          <w:noProof/>
        </w:rPr>
        <w:t xml:space="preserve">vector of exogenous variables (including a constant) </w:t>
      </w:r>
      <w:r w:rsidR="003319F0" w:rsidRPr="00882FD5">
        <w:t>as well as possibly the observed values of other endogenous</w:t>
      </w:r>
      <w:r w:rsidR="00713B96" w:rsidRPr="00882FD5">
        <w:t xml:space="preserve"> </w:t>
      </w:r>
      <w:r w:rsidR="003319F0" w:rsidRPr="00882FD5">
        <w:t>variables (introduced in a recursive fashion)</w:t>
      </w:r>
      <w:r w:rsidR="003319F0" w:rsidRPr="00882FD5">
        <w:rPr>
          <w:noProof/>
        </w:rPr>
        <w:t xml:space="preserve">, </w:t>
      </w:r>
      <w:r w:rsidRPr="008D772B">
        <w:rPr>
          <w:position w:val="-16"/>
        </w:rPr>
        <w:object w:dxaOrig="380" w:dyaOrig="400" w14:anchorId="195A8355">
          <v:shape id="_x0000_i1091" type="#_x0000_t75" style="width:18.85pt;height:20.15pt" o:ole="" o:preferrelative="f">
            <v:imagedata r:id="rId139" o:title=""/>
            <o:lock v:ext="edit" aspectratio="f"/>
          </v:shape>
          <o:OLEObject Type="Embed" ProgID="Equation.DSMT4" ShapeID="_x0000_i1091" DrawAspect="Content" ObjectID="_1738154988" r:id="rId140"/>
        </w:object>
      </w:r>
      <w:r>
        <w:t xml:space="preserve"> </w:t>
      </w:r>
      <w:r w:rsidR="003319F0" w:rsidRPr="00882FD5">
        <w:rPr>
          <w:noProof/>
        </w:rPr>
        <w:t>is an</w:t>
      </w:r>
      <w:r>
        <w:rPr>
          <w:noProof/>
        </w:rPr>
        <w:t xml:space="preserve"> </w:t>
      </w:r>
      <w:r w:rsidRPr="008D772B">
        <w:rPr>
          <w:position w:val="-10"/>
        </w:rPr>
        <w:object w:dxaOrig="660" w:dyaOrig="320" w14:anchorId="1A23DC77">
          <v:shape id="_x0000_i1092" type="#_x0000_t75" style="width:33pt;height:15.85pt" o:ole="" o:preferrelative="f">
            <v:imagedata r:id="rId141" o:title=""/>
            <o:lock v:ext="edit" aspectratio="f"/>
          </v:shape>
          <o:OLEObject Type="Embed" ProgID="Equation.DSMT4" ShapeID="_x0000_i1092" DrawAspect="Content" ObjectID="_1738154989" r:id="rId142"/>
        </w:object>
      </w:r>
      <w:r w:rsidR="003319F0" w:rsidRPr="00882FD5">
        <w:rPr>
          <w:noProof/>
        </w:rPr>
        <w:t xml:space="preserve"> column vector of corresponding coefficients, and</w:t>
      </w:r>
      <w:r w:rsidR="007A3632">
        <w:rPr>
          <w:noProof/>
        </w:rPr>
        <w:t xml:space="preserve"> </w:t>
      </w:r>
      <w:r w:rsidR="007A3632" w:rsidRPr="008D772B">
        <w:rPr>
          <w:position w:val="-16"/>
        </w:rPr>
        <w:object w:dxaOrig="380" w:dyaOrig="400" w14:anchorId="7BA0D1DC">
          <v:shape id="_x0000_i1093" type="#_x0000_t75" style="width:19.3pt;height:20.15pt" o:ole="">
            <v:imagedata r:id="rId143" o:title=""/>
          </v:shape>
          <o:OLEObject Type="Embed" ProgID="Equation.DSMT4" ShapeID="_x0000_i1093" DrawAspect="Content" ObjectID="_1738154990" r:id="rId144"/>
        </w:object>
      </w:r>
      <w:r>
        <w:t xml:space="preserve"> </w:t>
      </w:r>
      <w:r w:rsidR="003319F0" w:rsidRPr="00882FD5">
        <w:rPr>
          <w:noProof/>
        </w:rPr>
        <w:t xml:space="preserve">is </w:t>
      </w:r>
      <w:r w:rsidR="00F34230" w:rsidRPr="00882FD5">
        <w:rPr>
          <w:noProof/>
        </w:rPr>
        <w:t xml:space="preserve">a </w:t>
      </w:r>
      <w:r w:rsidR="003319F0" w:rsidRPr="00882FD5">
        <w:rPr>
          <w:noProof/>
        </w:rPr>
        <w:t xml:space="preserve">normal error term. </w:t>
      </w:r>
      <w:r w:rsidR="007A3632" w:rsidRPr="008D772B">
        <w:rPr>
          <w:position w:val="-16"/>
        </w:rPr>
        <w:object w:dxaOrig="400" w:dyaOrig="400" w14:anchorId="791FF8CB">
          <v:shape id="_x0000_i1094" type="#_x0000_t75" style="width:20.15pt;height:20.15pt" o:ole="">
            <v:imagedata r:id="rId145" o:title=""/>
          </v:shape>
          <o:OLEObject Type="Embed" ProgID="Equation.DSMT4" ShapeID="_x0000_i1094" DrawAspect="Content" ObjectID="_1738154991" r:id="rId146"/>
        </w:object>
      </w:r>
      <w:r w:rsidR="003319F0" w:rsidRPr="00882FD5">
        <w:rPr>
          <w:noProof/>
        </w:rPr>
        <w:t xml:space="preserve">is an </w:t>
      </w:r>
      <w:r w:rsidR="007A3632" w:rsidRPr="008D772B">
        <w:rPr>
          <w:position w:val="-16"/>
        </w:rPr>
        <w:object w:dxaOrig="960" w:dyaOrig="400" w14:anchorId="2C995EEB">
          <v:shape id="_x0000_i1095" type="#_x0000_t75" style="width:48pt;height:20.15pt" o:ole="">
            <v:imagedata r:id="rId147" o:title=""/>
          </v:shape>
          <o:OLEObject Type="Embed" ProgID="Equation.DSMT4" ShapeID="_x0000_i1095" DrawAspect="Content" ObjectID="_1738154992" r:id="rId148"/>
        </w:object>
      </w:r>
      <w:r w:rsidR="003319F0" w:rsidRPr="00882FD5">
        <w:rPr>
          <w:noProof/>
        </w:rPr>
        <w:t xml:space="preserve">-matrix of variables interacting with latent variables to influence the utility of alternative </w:t>
      </w:r>
      <w:r w:rsidR="003319F0" w:rsidRPr="00882FD5">
        <w:rPr>
          <w:noProof/>
          <w:position w:val="-14"/>
        </w:rPr>
        <w:object w:dxaOrig="220" w:dyaOrig="380" w14:anchorId="1D524B5E">
          <v:shape id="_x0000_i1096" type="#_x0000_t75" style="width:12pt;height:18pt" o:ole="">
            <v:imagedata r:id="rId131" o:title=""/>
          </v:shape>
          <o:OLEObject Type="Embed" ProgID="Equation.3" ShapeID="_x0000_i1096" DrawAspect="Content" ObjectID="_1738154993" r:id="rId149"/>
        </w:object>
      </w:r>
      <w:r w:rsidR="003319F0" w:rsidRPr="00882FD5">
        <w:rPr>
          <w:noProof/>
        </w:rPr>
        <w:t xml:space="preserve">, and </w:t>
      </w:r>
      <w:r w:rsidR="007A3632" w:rsidRPr="008D772B">
        <w:rPr>
          <w:position w:val="-16"/>
        </w:rPr>
        <w:object w:dxaOrig="400" w:dyaOrig="400" w14:anchorId="09073185">
          <v:shape id="_x0000_i1097" type="#_x0000_t75" style="width:20.15pt;height:20.15pt" o:ole="">
            <v:imagedata r:id="rId150" o:title=""/>
          </v:shape>
          <o:OLEObject Type="Embed" ProgID="Equation.DSMT4" ShapeID="_x0000_i1097" DrawAspect="Content" ObjectID="_1738154994" r:id="rId151"/>
        </w:object>
      </w:r>
      <w:r w:rsidR="003319F0" w:rsidRPr="00882FD5">
        <w:rPr>
          <w:noProof/>
        </w:rPr>
        <w:t xml:space="preserve"> is an </w:t>
      </w:r>
      <w:r w:rsidR="007A3632" w:rsidRPr="008D772B">
        <w:rPr>
          <w:position w:val="-16"/>
        </w:rPr>
        <w:object w:dxaOrig="900" w:dyaOrig="400" w14:anchorId="4F929E1B">
          <v:shape id="_x0000_i1098" type="#_x0000_t75" style="width:45pt;height:20.15pt" o:ole="">
            <v:imagedata r:id="rId152" o:title=""/>
          </v:shape>
          <o:OLEObject Type="Embed" ProgID="Equation.DSMT4" ShapeID="_x0000_i1098" DrawAspect="Content" ObjectID="_1738154995" r:id="rId153"/>
        </w:object>
      </w:r>
      <w:r w:rsidR="003319F0" w:rsidRPr="00882FD5">
        <w:rPr>
          <w:noProof/>
        </w:rPr>
        <w:t>-column vector of coefficients capturing the effects of latent variables and their interaction effects with other exogenous variables.</w:t>
      </w:r>
      <w:r w:rsidR="00E25088" w:rsidRPr="00882FD5">
        <w:rPr>
          <w:noProof/>
        </w:rPr>
        <w:t xml:space="preserve"> </w:t>
      </w:r>
      <w:r w:rsidR="003319F0" w:rsidRPr="00882FD5">
        <w:rPr>
          <w:noProof/>
        </w:rPr>
        <w:t xml:space="preserve">Let </w:t>
      </w:r>
      <w:r w:rsidR="003E6CBA" w:rsidRPr="008D772B">
        <w:rPr>
          <w:position w:val="-16"/>
        </w:rPr>
        <w:object w:dxaOrig="1960" w:dyaOrig="400" w14:anchorId="1E19C1D4">
          <v:shape id="_x0000_i1099" type="#_x0000_t75" style="width:98.15pt;height:20.15pt" o:ole="">
            <v:imagedata r:id="rId154" o:title=""/>
          </v:shape>
          <o:OLEObject Type="Embed" ProgID="Equation.DSMT4" ShapeID="_x0000_i1099" DrawAspect="Content" ObjectID="_1738154996" r:id="rId155"/>
        </w:object>
      </w:r>
      <w:r w:rsidR="003E6CBA">
        <w:t xml:space="preserve"> </w:t>
      </w:r>
      <w:r w:rsidR="00CE75C8" w:rsidRPr="00882FD5">
        <w:rPr>
          <w:noProof/>
        </w:rPr>
        <w:t>[</w:t>
      </w:r>
      <w:r w:rsidR="003E6CBA" w:rsidRPr="008D772B">
        <w:rPr>
          <w:position w:val="-14"/>
        </w:rPr>
        <w:object w:dxaOrig="720" w:dyaOrig="380" w14:anchorId="28D4109A">
          <v:shape id="_x0000_i1100" type="#_x0000_t75" style="width:36pt;height:19.3pt" o:ole="">
            <v:imagedata r:id="rId156" o:title=""/>
          </v:shape>
          <o:OLEObject Type="Embed" ProgID="Equation.DSMT4" ShapeID="_x0000_i1100" DrawAspect="Content" ObjectID="_1738154997" r:id="rId157"/>
        </w:object>
      </w:r>
      <w:r w:rsidR="003319F0" w:rsidRPr="00882FD5">
        <w:rPr>
          <w:noProof/>
        </w:rPr>
        <w:t xml:space="preserve"> vector</w:t>
      </w:r>
      <w:r w:rsidR="00CE75C8" w:rsidRPr="00882FD5">
        <w:rPr>
          <w:noProof/>
        </w:rPr>
        <w:t>]</w:t>
      </w:r>
      <w:r w:rsidR="003319F0" w:rsidRPr="00882FD5">
        <w:rPr>
          <w:noProof/>
        </w:rPr>
        <w:t>, and</w:t>
      </w:r>
      <w:r w:rsidR="003E6CBA">
        <w:rPr>
          <w:noProof/>
        </w:rPr>
        <w:t xml:space="preserve"> </w:t>
      </w:r>
      <w:r w:rsidRPr="008D772B">
        <w:rPr>
          <w:position w:val="-16"/>
        </w:rPr>
        <w:object w:dxaOrig="2480" w:dyaOrig="400" w14:anchorId="6443A6F0">
          <v:shape id="_x0000_i1101" type="#_x0000_t75" style="width:123.85pt;height:20.15pt" o:ole="">
            <v:imagedata r:id="rId158" o:title=""/>
          </v:shape>
          <o:OLEObject Type="Embed" ProgID="Equation.DSMT4" ShapeID="_x0000_i1101" DrawAspect="Content" ObjectID="_1738154998" r:id="rId159"/>
        </w:object>
      </w:r>
      <w:r w:rsidR="003319F0" w:rsidRPr="00882FD5">
        <w:rPr>
          <w:noProof/>
        </w:rPr>
        <w:t xml:space="preserve">. </w:t>
      </w:r>
      <w:bookmarkStart w:id="2" w:name="_Hlk119807144"/>
      <w:bookmarkStart w:id="3" w:name="_Hlk120947685"/>
      <w:r w:rsidR="003319F0" w:rsidRPr="00882FD5">
        <w:rPr>
          <w:noProof/>
        </w:rPr>
        <w:t xml:space="preserve">The error terms in the alternatives are assumed to be independent in order to achieve a parsimonious specification; however, the utilities of the alternatives are correlated </w:t>
      </w:r>
      <w:r w:rsidR="00DE7210" w:rsidRPr="00882FD5">
        <w:rPr>
          <w:noProof/>
        </w:rPr>
        <w:t xml:space="preserve">(because of unobserved factors) </w:t>
      </w:r>
      <w:r w:rsidR="003319F0" w:rsidRPr="00882FD5">
        <w:rPr>
          <w:noProof/>
        </w:rPr>
        <w:t>through the stochastic latent constructs</w:t>
      </w:r>
      <w:bookmarkEnd w:id="2"/>
      <w:r w:rsidR="003319F0" w:rsidRPr="00882FD5">
        <w:rPr>
          <w:noProof/>
        </w:rPr>
        <w:t xml:space="preserve">. </w:t>
      </w:r>
      <w:bookmarkEnd w:id="3"/>
      <w:r w:rsidR="00024BAD" w:rsidRPr="00882FD5">
        <w:rPr>
          <w:noProof/>
        </w:rPr>
        <w:t xml:space="preserve">Moreover, for </w:t>
      </w:r>
      <w:r w:rsidR="00122668">
        <w:rPr>
          <w:noProof/>
        </w:rPr>
        <w:t>our modeling</w:t>
      </w:r>
      <w:r w:rsidR="00024BAD" w:rsidRPr="00882FD5">
        <w:rPr>
          <w:noProof/>
        </w:rPr>
        <w:t xml:space="preserve">, we assume the scales </w:t>
      </w:r>
      <w:r w:rsidR="00122668">
        <w:rPr>
          <w:noProof/>
        </w:rPr>
        <w:t>of all</w:t>
      </w:r>
      <w:r w:rsidR="003079C9" w:rsidRPr="00882FD5">
        <w:rPr>
          <w:noProof/>
        </w:rPr>
        <w:t xml:space="preserve"> the alternatives to be </w:t>
      </w:r>
      <w:r w:rsidR="00122668">
        <w:rPr>
          <w:noProof/>
        </w:rPr>
        <w:t xml:space="preserve">the same and </w:t>
      </w:r>
      <w:r w:rsidR="003079C9" w:rsidRPr="00882FD5">
        <w:rPr>
          <w:noProof/>
        </w:rPr>
        <w:t xml:space="preserve">fixed </w:t>
      </w:r>
      <w:r w:rsidR="00122668">
        <w:rPr>
          <w:noProof/>
        </w:rPr>
        <w:t>to</w:t>
      </w:r>
      <w:r w:rsidR="003079C9" w:rsidRPr="00882FD5">
        <w:rPr>
          <w:noProof/>
        </w:rPr>
        <w:t xml:space="preserve"> one</w:t>
      </w:r>
      <w:r w:rsidR="00122668">
        <w:rPr>
          <w:noProof/>
        </w:rPr>
        <w:t xml:space="preserve"> (the latter is needed for identification).</w:t>
      </w:r>
      <w:r w:rsidR="003079C9" w:rsidRPr="00882FD5">
        <w:rPr>
          <w:noProof/>
        </w:rPr>
        <w:t xml:space="preserve"> </w:t>
      </w:r>
      <w:r w:rsidR="003319F0" w:rsidRPr="00882FD5">
        <w:rPr>
          <w:noProof/>
        </w:rPr>
        <w:t>In addition, the usual identification restriction is imposed such that one of the alternatives serves as the base when introducing alternative-specific constants and variables that do not vary across alternatives</w:t>
      </w:r>
      <w:r w:rsidR="00E25088" w:rsidRPr="00882FD5">
        <w:rPr>
          <w:noProof/>
        </w:rPr>
        <w:t>.</w:t>
      </w:r>
      <w:r w:rsidR="003319F0" w:rsidRPr="00882FD5">
        <w:rPr>
          <w:noProof/>
        </w:rPr>
        <w:t xml:space="preserve"> To proceed, define </w:t>
      </w:r>
      <w:r w:rsidRPr="008D772B">
        <w:rPr>
          <w:position w:val="-16"/>
        </w:rPr>
        <w:object w:dxaOrig="2320" w:dyaOrig="400" w14:anchorId="60B8C252">
          <v:shape id="_x0000_i1102" type="#_x0000_t75" style="width:116.15pt;height:20.15pt" o:ole="" o:preferrelative="f">
            <v:imagedata r:id="rId160" o:title=""/>
            <o:lock v:ext="edit" aspectratio="f"/>
          </v:shape>
          <o:OLEObject Type="Embed" ProgID="Equation.DSMT4" ShapeID="_x0000_i1102" DrawAspect="Content" ObjectID="_1738154999" r:id="rId161"/>
        </w:object>
      </w:r>
      <w:r w:rsidR="003319F0" w:rsidRPr="00882FD5">
        <w:rPr>
          <w:noProof/>
          <w:position w:val="-14"/>
        </w:rPr>
        <w:object w:dxaOrig="680" w:dyaOrig="380" w14:anchorId="7C34FADC">
          <v:shape id="_x0000_i1103" type="#_x0000_t75" style="width:36pt;height:18pt" o:ole="">
            <v:imagedata r:id="rId162" o:title=""/>
          </v:shape>
          <o:OLEObject Type="Embed" ProgID="Equation.3" ShapeID="_x0000_i1103" DrawAspect="Content" ObjectID="_1738155000" r:id="rId163"/>
        </w:object>
      </w:r>
      <w:r w:rsidR="003319F0" w:rsidRPr="00882FD5">
        <w:rPr>
          <w:noProof/>
          <w:lang w:val="fr-FR"/>
        </w:rPr>
        <w:t xml:space="preserve"> vector),</w:t>
      </w:r>
      <w:r w:rsidR="003319F0" w:rsidRPr="00882FD5">
        <w:rPr>
          <w:noProof/>
        </w:rPr>
        <w:t xml:space="preserve"> </w:t>
      </w:r>
      <w:r w:rsidRPr="00882FD5">
        <w:rPr>
          <w:noProof/>
          <w:position w:val="-16"/>
        </w:rPr>
        <w:object w:dxaOrig="2460" w:dyaOrig="400" w14:anchorId="1788C209">
          <v:shape id="_x0000_i1104" type="#_x0000_t75" style="width:123pt;height:20.15pt" o:ole="" o:preferrelative="f">
            <v:imagedata r:id="rId164" o:title=""/>
            <o:lock v:ext="edit" aspectratio="f"/>
          </v:shape>
          <o:OLEObject Type="Embed" ProgID="Equation.DSMT4" ShapeID="_x0000_i1104" DrawAspect="Content" ObjectID="_1738155001" r:id="rId165"/>
        </w:object>
      </w:r>
      <w:r w:rsidR="003319F0" w:rsidRPr="00882FD5">
        <w:rPr>
          <w:noProof/>
        </w:rPr>
        <w:t xml:space="preserve"> </w:t>
      </w:r>
      <w:r w:rsidRPr="00882FD5">
        <w:rPr>
          <w:noProof/>
          <w:position w:val="-14"/>
        </w:rPr>
        <w:object w:dxaOrig="740" w:dyaOrig="380" w14:anchorId="74888D56">
          <v:shape id="_x0000_i1105" type="#_x0000_t75" style="width:36.85pt;height:18.85pt" o:ole="" o:preferrelative="f">
            <v:imagedata r:id="rId166" o:title=""/>
            <o:lock v:ext="edit" aspectratio="f"/>
          </v:shape>
          <o:OLEObject Type="Embed" ProgID="Equation.3" ShapeID="_x0000_i1105" DrawAspect="Content" ObjectID="_1738155002" r:id="rId167"/>
        </w:object>
      </w:r>
      <w:r w:rsidR="003319F0" w:rsidRPr="00882FD5">
        <w:rPr>
          <w:noProof/>
          <w:lang w:val="fr-FR"/>
        </w:rPr>
        <w:t xml:space="preserve"> matrix), and</w:t>
      </w:r>
      <w:r w:rsidR="001F3BE2">
        <w:rPr>
          <w:noProof/>
          <w:lang w:val="fr-FR"/>
        </w:rPr>
        <w:t xml:space="preserve"> </w:t>
      </w:r>
      <w:r w:rsidR="001F3BE2" w:rsidRPr="008D772B">
        <w:rPr>
          <w:position w:val="-16"/>
        </w:rPr>
        <w:object w:dxaOrig="2220" w:dyaOrig="400" w14:anchorId="45024796">
          <v:shape id="_x0000_i1106" type="#_x0000_t75" style="width:111.45pt;height:20.15pt" o:ole="">
            <v:imagedata r:id="rId168" o:title=""/>
          </v:shape>
          <o:OLEObject Type="Embed" ProgID="Equation.DSMT4" ShapeID="_x0000_i1106" DrawAspect="Content" ObjectID="_1738155003" r:id="rId169"/>
        </w:object>
      </w:r>
      <w:r w:rsidR="003319F0" w:rsidRPr="00882FD5">
        <w:rPr>
          <w:noProof/>
        </w:rPr>
        <w:t xml:space="preserve"> </w:t>
      </w:r>
      <w:r w:rsidR="00B61E46" w:rsidRPr="00B61E46">
        <w:rPr>
          <w:noProof/>
          <w:position w:val="-38"/>
        </w:rPr>
        <w:object w:dxaOrig="2260" w:dyaOrig="880" w14:anchorId="4C36C25E">
          <v:shape id="_x0000_i1107" type="#_x0000_t75" style="width:113.15pt;height:44.15pt" o:ole="">
            <v:imagedata r:id="rId170" o:title=""/>
          </v:shape>
          <o:OLEObject Type="Embed" ProgID="Equation.DSMT4" ShapeID="_x0000_i1107" DrawAspect="Content" ObjectID="_1738155004" r:id="rId171"/>
        </w:object>
      </w:r>
      <w:r w:rsidR="00B61E46">
        <w:rPr>
          <w:noProof/>
        </w:rPr>
        <w:t>.</w:t>
      </w:r>
      <w:r w:rsidR="003319F0" w:rsidRPr="00882FD5">
        <w:rPr>
          <w:noProof/>
        </w:rPr>
        <w:t xml:space="preserve"> Also, define the </w:t>
      </w:r>
      <w:r w:rsidRPr="00B61E46">
        <w:rPr>
          <w:noProof/>
          <w:position w:val="-38"/>
        </w:rPr>
        <w:object w:dxaOrig="2280" w:dyaOrig="880" w14:anchorId="6BCB66EA">
          <v:shape id="_x0000_i1108" type="#_x0000_t75" style="width:113.55pt;height:44.15pt" o:ole="" o:preferrelative="f">
            <v:imagedata r:id="rId172" o:title=""/>
            <o:lock v:ext="edit" aspectratio="f"/>
          </v:shape>
          <o:OLEObject Type="Embed" ProgID="Equation.DSMT4" ShapeID="_x0000_i1108" DrawAspect="Content" ObjectID="_1738155005" r:id="rId173"/>
        </w:object>
      </w:r>
      <w:r w:rsidRPr="00882FD5">
        <w:rPr>
          <w:position w:val="-14"/>
        </w:rPr>
        <w:object w:dxaOrig="300" w:dyaOrig="380" w14:anchorId="753805E2">
          <v:shape id="_x0000_i1109" type="#_x0000_t75" style="width:15pt;height:18.85pt" o:ole="" o:preferrelative="f">
            <v:imagedata r:id="rId174" o:title=""/>
            <o:lock v:ext="edit" aspectratio="f"/>
          </v:shape>
          <o:OLEObject Type="Embed" ProgID="Equation.DSMT4" ShapeID="_x0000_i1109" DrawAspect="Content" ObjectID="_1738155006" r:id="rId175"/>
        </w:object>
      </w:r>
      <w:r w:rsidR="003319F0" w:rsidRPr="00882FD5">
        <w:rPr>
          <w:noProof/>
        </w:rPr>
        <w:t xml:space="preserve">, which is initially filled with all zero values. Then, position the </w:t>
      </w:r>
      <w:r w:rsidRPr="007419C3">
        <w:rPr>
          <w:noProof/>
          <w:position w:val="-14"/>
        </w:rPr>
        <w:object w:dxaOrig="900" w:dyaOrig="380" w14:anchorId="6A14913F">
          <v:shape id="_x0000_i1110" type="#_x0000_t75" style="width:45.45pt;height:18.85pt" o:ole="" o:preferrelative="f">
            <v:imagedata r:id="rId176" o:title=""/>
            <o:lock v:ext="edit" aspectratio="f"/>
          </v:shape>
          <o:OLEObject Type="Embed" ProgID="Equation.3" ShapeID="_x0000_i1110" DrawAspect="Content" ObjectID="_1738155007" r:id="rId177"/>
        </w:object>
      </w:r>
      <w:r w:rsidR="003319F0" w:rsidRPr="00882FD5">
        <w:rPr>
          <w:noProof/>
        </w:rPr>
        <w:t xml:space="preserve"> row vector </w:t>
      </w:r>
      <w:r w:rsidRPr="00882FD5">
        <w:rPr>
          <w:position w:val="-14"/>
        </w:rPr>
        <w:object w:dxaOrig="360" w:dyaOrig="380" w14:anchorId="0C44FD2D">
          <v:shape id="_x0000_i1111" type="#_x0000_t75" style="width:18pt;height:18.85pt" o:ole="" o:preferrelative="f">
            <v:imagedata r:id="rId178" o:title=""/>
            <o:lock v:ext="edit" aspectratio="f"/>
          </v:shape>
          <o:OLEObject Type="Embed" ProgID="Equation.3" ShapeID="_x0000_i1111" DrawAspect="Content" ObjectID="_1738155008" r:id="rId179"/>
        </w:object>
      </w:r>
      <w:r w:rsidR="003319F0" w:rsidRPr="00882FD5">
        <w:rPr>
          <w:noProof/>
        </w:rPr>
        <w:t xml:space="preserve"> in the first row to occupy columns 1 to</w:t>
      </w:r>
      <w:r w:rsidR="001F3BE2">
        <w:rPr>
          <w:noProof/>
        </w:rPr>
        <w:t xml:space="preserve"> </w:t>
      </w:r>
      <w:r w:rsidR="001F3BE2" w:rsidRPr="008D772B">
        <w:rPr>
          <w:position w:val="-14"/>
        </w:rPr>
        <w:object w:dxaOrig="400" w:dyaOrig="380" w14:anchorId="6AE917FC">
          <v:shape id="_x0000_i1112" type="#_x0000_t75" style="width:20.15pt;height:19.3pt" o:ole="">
            <v:imagedata r:id="rId180" o:title=""/>
          </v:shape>
          <o:OLEObject Type="Embed" ProgID="Equation.DSMT4" ShapeID="_x0000_i1112" DrawAspect="Content" ObjectID="_1738155009" r:id="rId181"/>
        </w:object>
      </w:r>
      <w:r w:rsidR="003319F0" w:rsidRPr="00882FD5">
        <w:rPr>
          <w:noProof/>
        </w:rPr>
        <w:t xml:space="preserve">, position the </w:t>
      </w:r>
      <w:r w:rsidRPr="003260D1">
        <w:rPr>
          <w:position w:val="-14"/>
        </w:rPr>
        <w:object w:dxaOrig="880" w:dyaOrig="380" w14:anchorId="1D4C8E40">
          <v:shape id="_x0000_i1113" type="#_x0000_t75" style="width:44.15pt;height:18.85pt" o:ole="" o:preferrelative="f">
            <v:imagedata r:id="rId182" o:title=""/>
            <o:lock v:ext="edit" aspectratio="f"/>
          </v:shape>
          <o:OLEObject Type="Embed" ProgID="Equation.DSMT4" ShapeID="_x0000_i1113" DrawAspect="Content" ObjectID="_1738155010" r:id="rId183"/>
        </w:object>
      </w:r>
      <w:r w:rsidR="003319F0" w:rsidRPr="00882FD5">
        <w:rPr>
          <w:noProof/>
        </w:rPr>
        <w:t xml:space="preserve"> row vector </w:t>
      </w:r>
      <w:r w:rsidR="001F3BE2" w:rsidRPr="008D772B">
        <w:rPr>
          <w:position w:val="-14"/>
        </w:rPr>
        <w:object w:dxaOrig="380" w:dyaOrig="380" w14:anchorId="44F7BE3F">
          <v:shape id="_x0000_i1114" type="#_x0000_t75" style="width:19.3pt;height:19.3pt" o:ole="">
            <v:imagedata r:id="rId184" o:title=""/>
          </v:shape>
          <o:OLEObject Type="Embed" ProgID="Equation.DSMT4" ShapeID="_x0000_i1114" DrawAspect="Content" ObjectID="_1738155011" r:id="rId185"/>
        </w:object>
      </w:r>
      <w:r w:rsidR="003319F0" w:rsidRPr="00882FD5">
        <w:rPr>
          <w:noProof/>
        </w:rPr>
        <w:t xml:space="preserve">in the second row to occupy columns </w:t>
      </w:r>
      <w:r w:rsidR="001F3BE2" w:rsidRPr="008D772B">
        <w:rPr>
          <w:position w:val="-14"/>
        </w:rPr>
        <w:object w:dxaOrig="400" w:dyaOrig="380" w14:anchorId="3061DD43">
          <v:shape id="_x0000_i1115" type="#_x0000_t75" style="width:20.15pt;height:19.3pt" o:ole="">
            <v:imagedata r:id="rId186" o:title=""/>
          </v:shape>
          <o:OLEObject Type="Embed" ProgID="Equation.DSMT4" ShapeID="_x0000_i1115" DrawAspect="Content" ObjectID="_1738155012" r:id="rId187"/>
        </w:object>
      </w:r>
      <w:r w:rsidR="003319F0" w:rsidRPr="00882FD5">
        <w:rPr>
          <w:noProof/>
        </w:rPr>
        <w:t>+1 to</w:t>
      </w:r>
      <w:r w:rsidR="001F3BE2">
        <w:rPr>
          <w:noProof/>
        </w:rPr>
        <w:t xml:space="preserve"> </w:t>
      </w:r>
      <w:r w:rsidRPr="008D772B">
        <w:rPr>
          <w:position w:val="-14"/>
        </w:rPr>
        <w:object w:dxaOrig="1060" w:dyaOrig="380" w14:anchorId="7C98B7B6">
          <v:shape id="_x0000_i1116" type="#_x0000_t75" style="width:51.45pt;height:18.85pt" o:ole="">
            <v:imagedata r:id="rId188" o:title=""/>
          </v:shape>
          <o:OLEObject Type="Embed" ProgID="Equation.DSMT4" ShapeID="_x0000_i1116" DrawAspect="Content" ObjectID="_1738155013" r:id="rId189"/>
        </w:object>
      </w:r>
      <w:r w:rsidR="001F3BE2">
        <w:rPr>
          <w:noProof/>
        </w:rPr>
        <w:t xml:space="preserve"> </w:t>
      </w:r>
      <w:r w:rsidR="003319F0" w:rsidRPr="00882FD5">
        <w:rPr>
          <w:noProof/>
        </w:rPr>
        <w:t xml:space="preserve">and so on until the </w:t>
      </w:r>
      <w:r w:rsidR="001F3BE2" w:rsidRPr="008D772B">
        <w:rPr>
          <w:position w:val="-16"/>
        </w:rPr>
        <w:object w:dxaOrig="920" w:dyaOrig="400" w14:anchorId="0F2715AC">
          <v:shape id="_x0000_i1117" type="#_x0000_t75" style="width:45.85pt;height:20.15pt" o:ole="">
            <v:imagedata r:id="rId190" o:title=""/>
          </v:shape>
          <o:OLEObject Type="Embed" ProgID="Equation.DSMT4" ShapeID="_x0000_i1117" DrawAspect="Content" ObjectID="_1738155014" r:id="rId191"/>
        </w:object>
      </w:r>
      <w:r w:rsidR="003319F0" w:rsidRPr="00882FD5">
        <w:rPr>
          <w:noProof/>
        </w:rPr>
        <w:t xml:space="preserve">row vector </w:t>
      </w:r>
      <w:r w:rsidR="001F3BE2" w:rsidRPr="008D772B">
        <w:rPr>
          <w:position w:val="-16"/>
        </w:rPr>
        <w:object w:dxaOrig="420" w:dyaOrig="400" w14:anchorId="667510B8">
          <v:shape id="_x0000_i1118" type="#_x0000_t75" style="width:21pt;height:20.15pt" o:ole="">
            <v:imagedata r:id="rId192" o:title=""/>
          </v:shape>
          <o:OLEObject Type="Embed" ProgID="Equation.DSMT4" ShapeID="_x0000_i1118" DrawAspect="Content" ObjectID="_1738155015" r:id="rId193"/>
        </w:object>
      </w:r>
      <w:r w:rsidR="003319F0" w:rsidRPr="00882FD5">
        <w:rPr>
          <w:noProof/>
        </w:rPr>
        <w:t>is appropriately positioned.</w:t>
      </w:r>
      <w:r w:rsidR="00E25088" w:rsidRPr="00882FD5">
        <w:rPr>
          <w:noProof/>
        </w:rPr>
        <w:t xml:space="preserve"> </w:t>
      </w:r>
      <w:r w:rsidR="003319F0" w:rsidRPr="00882FD5">
        <w:rPr>
          <w:noProof/>
          <w:lang w:val="fr-FR"/>
        </w:rPr>
        <w:t>Further,</w:t>
      </w:r>
      <w:r w:rsidR="00E25088" w:rsidRPr="00882FD5">
        <w:rPr>
          <w:noProof/>
          <w:lang w:val="fr-FR"/>
        </w:rPr>
        <w:t xml:space="preserve"> </w:t>
      </w:r>
      <w:r w:rsidR="003319F0" w:rsidRPr="00882FD5">
        <w:rPr>
          <w:noProof/>
          <w:lang w:val="fr-FR"/>
        </w:rPr>
        <w:t xml:space="preserve">define </w:t>
      </w:r>
      <w:r w:rsidRPr="00882FD5">
        <w:rPr>
          <w:noProof/>
          <w:position w:val="-14"/>
        </w:rPr>
        <w:object w:dxaOrig="1340" w:dyaOrig="380" w14:anchorId="4736318C">
          <v:shape id="_x0000_i1119" type="#_x0000_t75" style="width:66.85pt;height:18.85pt" o:ole="" o:preferrelative="f">
            <v:imagedata r:id="rId194" o:title=""/>
            <o:lock v:ext="edit" aspectratio="f"/>
          </v:shape>
          <o:OLEObject Type="Embed" ProgID="Equation.3" ShapeID="_x0000_i1119" DrawAspect="Content" ObjectID="_1738155016" r:id="rId195"/>
        </w:object>
      </w:r>
      <w:r w:rsidRPr="00882FD5">
        <w:rPr>
          <w:noProof/>
          <w:position w:val="-14"/>
        </w:rPr>
        <w:object w:dxaOrig="720" w:dyaOrig="380" w14:anchorId="0517A78C">
          <v:shape id="_x0000_i1120" type="#_x0000_t75" style="width:36pt;height:18.85pt" o:ole="" o:preferrelative="f">
            <v:imagedata r:id="rId196" o:title=""/>
            <o:lock v:ext="edit" aspectratio="f"/>
          </v:shape>
          <o:OLEObject Type="Embed" ProgID="Equation.3" ShapeID="_x0000_i1120" DrawAspect="Content" ObjectID="_1738155017" r:id="rId197"/>
        </w:object>
      </w:r>
      <w:r w:rsidR="003319F0" w:rsidRPr="00882FD5">
        <w:rPr>
          <w:noProof/>
        </w:rPr>
        <w:t xml:space="preserve"> matrix</w:t>
      </w:r>
      <w:r w:rsidR="003319F0" w:rsidRPr="00882FD5">
        <w:rPr>
          <w:noProof/>
          <w:lang w:val="fr-FR"/>
        </w:rPr>
        <w:t>)</w:t>
      </w:r>
      <w:r w:rsidR="003319F0" w:rsidRPr="00882FD5">
        <w:rPr>
          <w:noProof/>
        </w:rPr>
        <w:t xml:space="preserve">, </w:t>
      </w:r>
      <w:r w:rsidRPr="008D772B">
        <w:rPr>
          <w:position w:val="-30"/>
        </w:rPr>
        <w:object w:dxaOrig="980" w:dyaOrig="700" w14:anchorId="48B32EA2">
          <v:shape id="_x0000_i1121" type="#_x0000_t75" style="width:48.85pt;height:35.15pt" o:ole="">
            <v:imagedata r:id="rId198" o:title=""/>
          </v:shape>
          <o:OLEObject Type="Embed" ProgID="Equation.DSMT4" ShapeID="_x0000_i1121" DrawAspect="Content" ObjectID="_1738155018" r:id="rId199"/>
        </w:object>
      </w:r>
      <w:r w:rsidR="003319F0" w:rsidRPr="00882FD5">
        <w:rPr>
          <w:noProof/>
        </w:rPr>
        <w:t>,</w:t>
      </w:r>
      <w:r w:rsidR="00582398">
        <w:rPr>
          <w:noProof/>
        </w:rPr>
        <w:t xml:space="preserve"> </w:t>
      </w:r>
      <w:r w:rsidR="00582398" w:rsidRPr="008D772B">
        <w:rPr>
          <w:position w:val="-30"/>
        </w:rPr>
        <w:object w:dxaOrig="1579" w:dyaOrig="700" w14:anchorId="39F29434">
          <v:shape id="_x0000_i1122" type="#_x0000_t75" style="width:78.85pt;height:35.15pt" o:ole="">
            <v:imagedata r:id="rId200" o:title=""/>
          </v:shape>
          <o:OLEObject Type="Embed" ProgID="Equation.DSMT4" ShapeID="_x0000_i1122" DrawAspect="Content" ObjectID="_1738155019" r:id="rId201"/>
        </w:object>
      </w:r>
      <w:r w:rsidR="001F3BE2" w:rsidRPr="008D772B">
        <w:rPr>
          <w:position w:val="-14"/>
        </w:rPr>
        <w:object w:dxaOrig="2040" w:dyaOrig="499" w14:anchorId="669FD92A">
          <v:shape id="_x0000_i1123" type="#_x0000_t75" style="width:102pt;height:24.85pt" o:ole="">
            <v:imagedata r:id="rId202" o:title=""/>
          </v:shape>
          <o:OLEObject Type="Embed" ProgID="Equation.DSMT4" ShapeID="_x0000_i1123" DrawAspect="Content" ObjectID="_1738155020" r:id="rId203"/>
        </w:object>
      </w:r>
      <w:r w:rsidR="00E25088" w:rsidRPr="00882FD5">
        <w:rPr>
          <w:noProof/>
        </w:rPr>
        <w:t xml:space="preserve"> </w:t>
      </w:r>
      <w:r w:rsidR="009C6844" w:rsidRPr="008D772B">
        <w:rPr>
          <w:position w:val="-10"/>
        </w:rPr>
        <w:object w:dxaOrig="600" w:dyaOrig="380" w14:anchorId="0837CE0E">
          <v:shape id="_x0000_i1124" type="#_x0000_t75" style="width:30pt;height:19.3pt" o:ole="">
            <v:imagedata r:id="rId204" o:title=""/>
          </v:shape>
          <o:OLEObject Type="Embed" ProgID="Equation.DSMT4" ShapeID="_x0000_i1124" DrawAspect="Content" ObjectID="_1738155021" r:id="rId205"/>
        </w:object>
      </w:r>
      <w:r w:rsidR="003319F0" w:rsidRPr="00882FD5">
        <w:rPr>
          <w:noProof/>
        </w:rPr>
        <w:t>vector),</w:t>
      </w:r>
      <w:r w:rsidR="00E25088" w:rsidRPr="00882FD5">
        <w:rPr>
          <w:noProof/>
        </w:rPr>
        <w:t xml:space="preserve"> </w:t>
      </w:r>
      <w:r w:rsidR="009C6844" w:rsidRPr="008D772B">
        <w:rPr>
          <w:position w:val="-12"/>
        </w:rPr>
        <w:object w:dxaOrig="1540" w:dyaOrig="360" w14:anchorId="4B2DFC9B">
          <v:shape id="_x0000_i1125" type="#_x0000_t75" style="width:77.15pt;height:18pt" o:ole="">
            <v:imagedata r:id="rId206" o:title=""/>
          </v:shape>
          <o:OLEObject Type="Embed" ProgID="Equation.DSMT4" ShapeID="_x0000_i1125" DrawAspect="Content" ObjectID="_1738155022" r:id="rId207"/>
        </w:object>
      </w:r>
      <w:r w:rsidR="009C6844" w:rsidRPr="008D772B">
        <w:rPr>
          <w:position w:val="-10"/>
        </w:rPr>
        <w:object w:dxaOrig="600" w:dyaOrig="380" w14:anchorId="077240D1">
          <v:shape id="_x0000_i1126" type="#_x0000_t75" style="width:30pt;height:19.3pt" o:ole="">
            <v:imagedata r:id="rId204" o:title=""/>
          </v:shape>
          <o:OLEObject Type="Embed" ProgID="Equation.DSMT4" ShapeID="_x0000_i1126" DrawAspect="Content" ObjectID="_1738155023" r:id="rId208"/>
        </w:object>
      </w:r>
      <w:r w:rsidR="003319F0" w:rsidRPr="00882FD5">
        <w:rPr>
          <w:noProof/>
        </w:rPr>
        <w:t>vector),</w:t>
      </w:r>
      <w:r w:rsidR="009C6844">
        <w:rPr>
          <w:noProof/>
        </w:rPr>
        <w:t xml:space="preserve"> </w:t>
      </w:r>
      <w:r w:rsidR="003E0C9B" w:rsidRPr="00882FD5">
        <w:rPr>
          <w:noProof/>
          <w:position w:val="-12"/>
        </w:rPr>
        <w:object w:dxaOrig="1700" w:dyaOrig="360" w14:anchorId="79AE3575">
          <v:shape id="_x0000_i1127" type="#_x0000_t75" style="width:84pt;height:18pt" o:ole="" o:preferrelative="f">
            <v:imagedata r:id="rId209" o:title=""/>
            <o:lock v:ext="edit" aspectratio="f"/>
          </v:shape>
          <o:OLEObject Type="Embed" ProgID="Equation.DSMT4" ShapeID="_x0000_i1127" DrawAspect="Content" ObjectID="_1738155024" r:id="rId210"/>
        </w:object>
      </w:r>
      <w:r w:rsidR="003319F0" w:rsidRPr="00882FD5">
        <w:rPr>
          <w:noProof/>
          <w:position w:val="-10"/>
        </w:rPr>
        <w:object w:dxaOrig="700" w:dyaOrig="380" w14:anchorId="2B45C523">
          <v:shape id="_x0000_i1128" type="#_x0000_t75" style="width:36pt;height:18pt" o:ole="" o:preferrelative="f">
            <v:imagedata r:id="rId211" o:title=""/>
            <o:lock v:ext="edit" aspectratio="f"/>
          </v:shape>
          <o:OLEObject Type="Embed" ProgID="Equation.3" ShapeID="_x0000_i1128" DrawAspect="Content" ObjectID="_1738155025" r:id="rId212"/>
        </w:object>
      </w:r>
      <w:r w:rsidR="003319F0" w:rsidRPr="00882FD5">
        <w:rPr>
          <w:noProof/>
        </w:rPr>
        <w:t>matrix),</w:t>
      </w:r>
      <w:r w:rsidR="00E25088" w:rsidRPr="00882FD5">
        <w:rPr>
          <w:noProof/>
        </w:rPr>
        <w:t xml:space="preserve"> </w:t>
      </w:r>
      <w:r w:rsidR="00E25088" w:rsidRPr="00882FD5">
        <w:rPr>
          <w:noProof/>
          <w:position w:val="-12"/>
        </w:rPr>
        <w:object w:dxaOrig="2060" w:dyaOrig="360" w14:anchorId="2EA89E77">
          <v:shape id="_x0000_i1129" type="#_x0000_t75" style="width:96pt;height:18pt" o:ole="" o:preferrelative="f">
            <v:imagedata r:id="rId213" o:title=""/>
            <o:lock v:ext="edit" aspectratio="f"/>
          </v:shape>
          <o:OLEObject Type="Embed" ProgID="Equation.3" ShapeID="_x0000_i1129" DrawAspect="Content" ObjectID="_1738155026" r:id="rId214"/>
        </w:object>
      </w:r>
      <w:r w:rsidR="003319F0" w:rsidRPr="00882FD5">
        <w:rPr>
          <w:noProof/>
          <w:position w:val="-10"/>
        </w:rPr>
        <w:object w:dxaOrig="680" w:dyaOrig="380" w14:anchorId="15D41167">
          <v:shape id="_x0000_i1130" type="#_x0000_t75" style="width:36pt;height:18pt" o:ole="" o:preferrelative="f">
            <v:imagedata r:id="rId215" o:title=""/>
            <o:lock v:ext="edit" aspectratio="f"/>
          </v:shape>
          <o:OLEObject Type="Embed" ProgID="Equation.3" ShapeID="_x0000_i1130" DrawAspect="Content" ObjectID="_1738155027" r:id="rId216"/>
        </w:object>
      </w:r>
      <w:r w:rsidR="003319F0" w:rsidRPr="00882FD5">
        <w:rPr>
          <w:noProof/>
        </w:rPr>
        <w:t xml:space="preserve">matrix), and </w:t>
      </w:r>
      <w:r w:rsidR="003319F0" w:rsidRPr="00882FD5">
        <w:rPr>
          <w:noProof/>
          <w:position w:val="-12"/>
        </w:rPr>
        <w:object w:dxaOrig="2260" w:dyaOrig="360" w14:anchorId="03AC4B8D">
          <v:shape id="_x0000_i1131" type="#_x0000_t75" style="width:114pt;height:18pt" o:ole="" o:preferrelative="f">
            <v:imagedata r:id="rId217" o:title=""/>
            <o:lock v:ext="edit" aspectratio="f"/>
          </v:shape>
          <o:OLEObject Type="Embed" ProgID="Equation.3" ShapeID="_x0000_i1131" DrawAspect="Content" ObjectID="_1738155028" r:id="rId218"/>
        </w:object>
      </w:r>
      <w:r w:rsidR="003319F0" w:rsidRPr="00882FD5">
        <w:rPr>
          <w:noProof/>
        </w:rPr>
        <w:t>(that is,</w:t>
      </w:r>
      <w:r w:rsidR="009C6844" w:rsidRPr="008D772B">
        <w:rPr>
          <w:position w:val="-6"/>
        </w:rPr>
        <w:object w:dxaOrig="220" w:dyaOrig="279" w14:anchorId="62C59958">
          <v:shape id="_x0000_i1132" type="#_x0000_t75" style="width:11.15pt;height:14.15pt" o:ole="">
            <v:imagedata r:id="rId219" o:title=""/>
          </v:shape>
          <o:OLEObject Type="Embed" ProgID="Equation.DSMT4" ShapeID="_x0000_i1132" DrawAspect="Content" ObjectID="_1738155029" r:id="rId220"/>
        </w:object>
      </w:r>
      <w:r w:rsidR="009C6844">
        <w:t xml:space="preserve"> </w:t>
      </w:r>
      <w:r w:rsidR="003319F0" w:rsidRPr="00882FD5">
        <w:rPr>
          <w:noProof/>
        </w:rPr>
        <w:t xml:space="preserve">is a column vector that includes all elements of the matrices </w:t>
      </w:r>
      <w:r w:rsidR="003319F0" w:rsidRPr="00882FD5">
        <w:rPr>
          <w:position w:val="-12"/>
        </w:rPr>
        <w:object w:dxaOrig="1160" w:dyaOrig="360" w14:anchorId="08025B05">
          <v:shape id="_x0000_i1133" type="#_x0000_t75" style="width:60pt;height:18pt" o:ole="" o:preferrelative="f">
            <v:imagedata r:id="rId221" o:title=""/>
            <o:lock v:ext="edit" aspectratio="f"/>
          </v:shape>
          <o:OLEObject Type="Embed" ProgID="Equation.3" ShapeID="_x0000_i1133" DrawAspect="Content" ObjectID="_1738155030" r:id="rId222"/>
        </w:object>
      </w:r>
      <w:r w:rsidR="003319F0" w:rsidRPr="00882FD5">
        <w:rPr>
          <w:noProof/>
        </w:rPr>
        <w:t>). Then, in matrix form, we may write Equation (5) as:</w:t>
      </w:r>
    </w:p>
    <w:p w14:paraId="319937E4" w14:textId="2AA01925" w:rsidR="003319F0" w:rsidRPr="00882FD5" w:rsidRDefault="00D65919" w:rsidP="00575D15">
      <w:pPr>
        <w:tabs>
          <w:tab w:val="right" w:pos="9360"/>
        </w:tabs>
        <w:spacing w:line="240" w:lineRule="auto"/>
        <w:jc w:val="both"/>
        <w:rPr>
          <w:noProof/>
        </w:rPr>
      </w:pPr>
      <w:r w:rsidRPr="00882FD5">
        <w:rPr>
          <w:noProof/>
          <w:position w:val="-10"/>
        </w:rPr>
        <w:object w:dxaOrig="1719" w:dyaOrig="360" w14:anchorId="5D6A8750">
          <v:shape id="_x0000_i1134" type="#_x0000_t75" style="width:85.7pt;height:18pt" o:ole="" o:preferrelative="f">
            <v:imagedata r:id="rId223" o:title=""/>
            <o:lock v:ext="edit" aspectratio="f"/>
          </v:shape>
          <o:OLEObject Type="Embed" ProgID="Equation.DSMT4" ShapeID="_x0000_i1134" DrawAspect="Content" ObjectID="_1738155031" r:id="rId224"/>
        </w:object>
      </w:r>
      <w:r w:rsidR="003319F0" w:rsidRPr="00882FD5">
        <w:rPr>
          <w:noProof/>
          <w:lang w:eastAsia="zh-CN"/>
        </w:rPr>
        <w:t xml:space="preserve">                 </w:t>
      </w:r>
      <w:r w:rsidR="003319F0" w:rsidRPr="00882FD5">
        <w:rPr>
          <w:noProof/>
        </w:rPr>
        <w:tab/>
        <w:t xml:space="preserve">                                       </w:t>
      </w:r>
      <w:r w:rsidR="003319F0" w:rsidRPr="00882FD5" w:rsidDel="00D02230">
        <w:rPr>
          <w:noProof/>
        </w:rPr>
        <w:t xml:space="preserve"> </w:t>
      </w:r>
      <w:r w:rsidR="003319F0" w:rsidRPr="00882FD5">
        <w:rPr>
          <w:noProof/>
          <w:lang w:eastAsia="zh-CN"/>
        </w:rPr>
        <w:t xml:space="preserve">                   </w:t>
      </w:r>
      <w:r w:rsidR="003319F0" w:rsidRPr="00882FD5">
        <w:rPr>
          <w:noProof/>
        </w:rPr>
        <w:t>(6)</w:t>
      </w:r>
    </w:p>
    <w:p w14:paraId="5E01EF42" w14:textId="0840106D" w:rsidR="003319F0" w:rsidRPr="00882FD5" w:rsidRDefault="003319F0" w:rsidP="00F739CC">
      <w:pPr>
        <w:spacing w:after="120" w:line="240" w:lineRule="auto"/>
        <w:jc w:val="both"/>
        <w:rPr>
          <w:noProof/>
        </w:rPr>
      </w:pPr>
      <w:r w:rsidRPr="00882FD5">
        <w:rPr>
          <w:noProof/>
        </w:rPr>
        <w:t xml:space="preserve">where </w:t>
      </w:r>
      <w:r w:rsidR="00D65919" w:rsidRPr="00882FD5">
        <w:rPr>
          <w:noProof/>
          <w:position w:val="-14"/>
        </w:rPr>
        <w:object w:dxaOrig="2340" w:dyaOrig="380" w14:anchorId="5AD5E040">
          <v:shape id="_x0000_i1135" type="#_x0000_t75" style="width:117.45pt;height:18.85pt" o:ole="" o:preferrelative="f">
            <v:imagedata r:id="rId225" o:title=""/>
            <o:lock v:ext="edit" aspectratio="f"/>
          </v:shape>
          <o:OLEObject Type="Embed" ProgID="Equation.DSMT4" ShapeID="_x0000_i1135" DrawAspect="Content" ObjectID="_1738155032" r:id="rId226"/>
        </w:object>
      </w:r>
      <w:r w:rsidR="00D65919">
        <w:rPr>
          <w:noProof/>
        </w:rPr>
        <w:t>.</w:t>
      </w:r>
      <w:r w:rsidRPr="00882FD5">
        <w:rPr>
          <w:noProof/>
        </w:rPr>
        <w:t xml:space="preserve">  </w:t>
      </w:r>
      <w:r w:rsidR="003B1E70" w:rsidRPr="00882FD5">
        <w:rPr>
          <w:noProof/>
        </w:rPr>
        <w:t xml:space="preserve">                                                                                             </w:t>
      </w:r>
      <w:r w:rsidR="003F4BC4" w:rsidRPr="00882FD5">
        <w:rPr>
          <w:noProof/>
        </w:rPr>
        <w:t xml:space="preserve"> </w:t>
      </w:r>
      <w:r w:rsidR="003B1E70" w:rsidRPr="00882FD5">
        <w:rPr>
          <w:noProof/>
        </w:rPr>
        <w:t xml:space="preserve">      (7)</w:t>
      </w:r>
    </w:p>
    <w:p w14:paraId="0B44911E" w14:textId="0CDF1741" w:rsidR="003319F0" w:rsidRPr="00882FD5" w:rsidRDefault="003319F0" w:rsidP="00F739CC">
      <w:pPr>
        <w:spacing w:before="0" w:line="240" w:lineRule="auto"/>
        <w:ind w:firstLine="720"/>
        <w:jc w:val="both"/>
        <w:rPr>
          <w:noProof/>
        </w:rPr>
      </w:pPr>
      <w:r w:rsidRPr="00882FD5">
        <w:rPr>
          <w:noProof/>
        </w:rPr>
        <w:t>With the matrix definitions above, the continuous components of the model system may be written compactly as:</w:t>
      </w:r>
    </w:p>
    <w:p w14:paraId="607FF314" w14:textId="3A62034A" w:rsidR="003319F0" w:rsidRPr="00882FD5" w:rsidRDefault="009C6844" w:rsidP="00575D15">
      <w:pPr>
        <w:tabs>
          <w:tab w:val="right" w:pos="9360"/>
        </w:tabs>
        <w:spacing w:line="240" w:lineRule="auto"/>
        <w:jc w:val="both"/>
        <w:rPr>
          <w:noProof/>
          <w:lang w:eastAsia="zh-CN"/>
        </w:rPr>
      </w:pPr>
      <w:r w:rsidRPr="00882FD5">
        <w:rPr>
          <w:noProof/>
          <w:position w:val="-10"/>
        </w:rPr>
        <w:object w:dxaOrig="1160" w:dyaOrig="360" w14:anchorId="5A08EF6F">
          <v:shape id="_x0000_i1136" type="#_x0000_t75" style="width:60pt;height:18pt" o:ole="">
            <v:imagedata r:id="rId227" o:title=""/>
          </v:shape>
          <o:OLEObject Type="Embed" ProgID="Equation.DSMT4" ShapeID="_x0000_i1136" DrawAspect="Content" ObjectID="_1738155033" r:id="rId228"/>
        </w:object>
      </w:r>
      <w:r w:rsidR="003319F0" w:rsidRPr="00882FD5">
        <w:rPr>
          <w:noProof/>
        </w:rPr>
        <w:tab/>
        <w:t xml:space="preserve">                                      </w:t>
      </w:r>
      <w:r w:rsidR="003319F0" w:rsidRPr="00882FD5">
        <w:rPr>
          <w:noProof/>
          <w:lang w:eastAsia="zh-CN"/>
        </w:rPr>
        <w:t xml:space="preserve">                                                   </w:t>
      </w:r>
      <w:r w:rsidR="003319F0" w:rsidRPr="00882FD5">
        <w:rPr>
          <w:noProof/>
        </w:rPr>
        <w:t xml:space="preserve">                  (8)</w:t>
      </w:r>
    </w:p>
    <w:p w14:paraId="279D3589" w14:textId="46DC4860" w:rsidR="003319F0" w:rsidRPr="00882FD5" w:rsidRDefault="009C6844" w:rsidP="00575D15">
      <w:pPr>
        <w:tabs>
          <w:tab w:val="right" w:pos="9360"/>
        </w:tabs>
        <w:spacing w:line="240" w:lineRule="auto"/>
        <w:jc w:val="both"/>
        <w:rPr>
          <w:noProof/>
        </w:rPr>
      </w:pPr>
      <w:r w:rsidRPr="008D772B">
        <w:rPr>
          <w:position w:val="-10"/>
        </w:rPr>
        <w:object w:dxaOrig="1640" w:dyaOrig="380" w14:anchorId="11443419">
          <v:shape id="_x0000_i1137" type="#_x0000_t75" style="width:81.85pt;height:19.3pt" o:ole="">
            <v:imagedata r:id="rId229" o:title=""/>
          </v:shape>
          <o:OLEObject Type="Embed" ProgID="Equation.DSMT4" ShapeID="_x0000_i1137" DrawAspect="Content" ObjectID="_1738155034" r:id="rId230"/>
        </w:object>
      </w:r>
      <w:r w:rsidR="003319F0" w:rsidRPr="00882FD5">
        <w:rPr>
          <w:noProof/>
        </w:rPr>
        <w:t>,</w:t>
      </w:r>
      <w:r w:rsidR="00D65919" w:rsidRPr="00882FD5">
        <w:rPr>
          <w:noProof/>
          <w:position w:val="-12"/>
        </w:rPr>
        <w:object w:dxaOrig="3480" w:dyaOrig="360" w14:anchorId="71AD38A6">
          <v:shape id="_x0000_i1138" type="#_x0000_t75" style="width:174pt;height:18pt" o:ole="" o:preferrelative="f">
            <v:imagedata r:id="rId231" o:title=""/>
            <o:lock v:ext="edit" aspectratio="f"/>
          </v:shape>
          <o:OLEObject Type="Embed" ProgID="Equation.DSMT4" ShapeID="_x0000_i1138" DrawAspect="Content" ObjectID="_1738155035" r:id="rId232"/>
        </w:object>
      </w:r>
      <w:r w:rsidR="003319F0" w:rsidRPr="00882FD5">
        <w:rPr>
          <w:noProof/>
        </w:rPr>
        <w:t xml:space="preserve">  </w:t>
      </w:r>
      <w:r w:rsidR="003319F0" w:rsidRPr="00882FD5">
        <w:rPr>
          <w:noProof/>
          <w:lang w:eastAsia="zh-CN"/>
        </w:rPr>
        <w:t xml:space="preserve">         </w:t>
      </w:r>
      <w:r w:rsidR="003319F0" w:rsidRPr="00882FD5">
        <w:rPr>
          <w:noProof/>
        </w:rPr>
        <w:t xml:space="preserve"> </w:t>
      </w:r>
      <w:r w:rsidR="003319F0" w:rsidRPr="00882FD5">
        <w:rPr>
          <w:noProof/>
        </w:rPr>
        <w:tab/>
        <w:t>(9)</w:t>
      </w:r>
    </w:p>
    <w:p w14:paraId="551B987E" w14:textId="500CFFA7" w:rsidR="003319F0" w:rsidRPr="00882FD5" w:rsidRDefault="007D2D02" w:rsidP="00575D15">
      <w:pPr>
        <w:tabs>
          <w:tab w:val="right" w:pos="9360"/>
        </w:tabs>
        <w:spacing w:line="240" w:lineRule="auto"/>
        <w:jc w:val="both"/>
        <w:rPr>
          <w:noProof/>
        </w:rPr>
      </w:pPr>
      <w:r w:rsidRPr="008D772B">
        <w:rPr>
          <w:position w:val="-10"/>
        </w:rPr>
        <w:object w:dxaOrig="1719" w:dyaOrig="360" w14:anchorId="43E518E1">
          <v:shape id="_x0000_i1139" type="#_x0000_t75" style="width:85.7pt;height:18pt" o:ole="">
            <v:imagedata r:id="rId233" o:title=""/>
          </v:shape>
          <o:OLEObject Type="Embed" ProgID="Equation.DSMT4" ShapeID="_x0000_i1139" DrawAspect="Content" ObjectID="_1738155036" r:id="rId234"/>
        </w:object>
      </w:r>
      <w:r w:rsidR="003319F0" w:rsidRPr="00882FD5">
        <w:rPr>
          <w:noProof/>
        </w:rPr>
        <w:t xml:space="preserve">  </w:t>
      </w:r>
      <w:r w:rsidR="009C6844">
        <w:rPr>
          <w:noProof/>
        </w:rPr>
        <w:t xml:space="preserve">  </w:t>
      </w:r>
      <w:r w:rsidR="003319F0" w:rsidRPr="00882FD5">
        <w:rPr>
          <w:noProof/>
        </w:rPr>
        <w:t xml:space="preserve">                                            </w:t>
      </w:r>
      <w:r w:rsidR="003319F0" w:rsidRPr="00882FD5">
        <w:rPr>
          <w:noProof/>
          <w:lang w:eastAsia="zh-CN"/>
        </w:rPr>
        <w:t xml:space="preserve">                                                         </w:t>
      </w:r>
      <w:r w:rsidR="003319F0" w:rsidRPr="00882FD5">
        <w:rPr>
          <w:noProof/>
        </w:rPr>
        <w:t xml:space="preserve">      </w:t>
      </w:r>
      <w:r w:rsidR="00560C25" w:rsidRPr="00882FD5">
        <w:rPr>
          <w:noProof/>
        </w:rPr>
        <w:t xml:space="preserve">        </w:t>
      </w:r>
      <w:r w:rsidR="003319F0" w:rsidRPr="00882FD5">
        <w:rPr>
          <w:noProof/>
        </w:rPr>
        <w:tab/>
        <w:t>(10)</w:t>
      </w:r>
    </w:p>
    <w:p w14:paraId="3B654F07" w14:textId="245744B8" w:rsidR="00983AF9" w:rsidRPr="00882FD5" w:rsidRDefault="00983AF9" w:rsidP="00575D15">
      <w:pPr>
        <w:spacing w:line="240" w:lineRule="auto"/>
        <w:jc w:val="both"/>
        <w:rPr>
          <w:noProof/>
        </w:rPr>
      </w:pPr>
      <w:r w:rsidRPr="00882FD5">
        <w:rPr>
          <w:noProof/>
        </w:rPr>
        <w:t xml:space="preserve">The vector equation for the latent constructs (represented by Equation (8)) constitutes the structural equation system. The vector equation for the ordinal indicators and ordinal outcomes (represented by Equation (9)) and the vector equation for the ranked outcomes (represented by Equation (10)) constitute the measurement equation system in our framework. </w:t>
      </w:r>
    </w:p>
    <w:p w14:paraId="1EB5FDCE" w14:textId="7DA0E672" w:rsidR="003319F0" w:rsidRPr="00882FD5" w:rsidRDefault="003319F0" w:rsidP="00F739CC">
      <w:pPr>
        <w:spacing w:before="0" w:line="240" w:lineRule="auto"/>
        <w:ind w:firstLine="720"/>
        <w:jc w:val="both"/>
        <w:rPr>
          <w:noProof/>
        </w:rPr>
      </w:pPr>
      <w:r w:rsidRPr="00882FD5">
        <w:rPr>
          <w:noProof/>
        </w:rPr>
        <w:t>N</w:t>
      </w:r>
      <w:r w:rsidR="00F430C6" w:rsidRPr="00882FD5">
        <w:rPr>
          <w:noProof/>
        </w:rPr>
        <w:t>ext,</w:t>
      </w:r>
      <w:r w:rsidR="00983AF9" w:rsidRPr="00882FD5">
        <w:rPr>
          <w:noProof/>
        </w:rPr>
        <w:t xml:space="preserve"> </w:t>
      </w:r>
      <w:r w:rsidRPr="00882FD5">
        <w:rPr>
          <w:noProof/>
        </w:rPr>
        <w:t xml:space="preserve">we explicitly consider that the latent constructs and the main outcomes </w:t>
      </w:r>
      <w:r w:rsidR="00307E5C" w:rsidRPr="00882FD5">
        <w:rPr>
          <w:noProof/>
        </w:rPr>
        <w:t>are</w:t>
      </w:r>
      <w:r w:rsidRPr="00882FD5">
        <w:rPr>
          <w:noProof/>
        </w:rPr>
        <w:t xml:space="preserve"> correlated</w:t>
      </w:r>
      <w:r w:rsidR="002D2C12" w:rsidRPr="00882FD5">
        <w:rPr>
          <w:noProof/>
        </w:rPr>
        <w:t xml:space="preserve">; </w:t>
      </w:r>
      <w:r w:rsidRPr="00882FD5">
        <w:rPr>
          <w:noProof/>
        </w:rPr>
        <w:t>i.e., we consider</w:t>
      </w:r>
      <w:r w:rsidR="00CF76A5">
        <w:rPr>
          <w:noProof/>
        </w:rPr>
        <w:t xml:space="preserve"> </w:t>
      </w:r>
      <w:r w:rsidR="00CF76A5" w:rsidRPr="008D772B">
        <w:rPr>
          <w:position w:val="-10"/>
        </w:rPr>
        <w:object w:dxaOrig="200" w:dyaOrig="260" w14:anchorId="1720E9FF">
          <v:shape id="_x0000_i1140" type="#_x0000_t75" style="width:9.85pt;height:13.3pt" o:ole="">
            <v:imagedata r:id="rId34" o:title=""/>
          </v:shape>
          <o:OLEObject Type="Embed" ProgID="Equation.DSMT4" ShapeID="_x0000_i1140" DrawAspect="Content" ObjectID="_1738155037" r:id="rId235"/>
        </w:object>
      </w:r>
      <w:r w:rsidR="00CF76A5">
        <w:t xml:space="preserve"> </w:t>
      </w:r>
      <w:r w:rsidRPr="00882FD5">
        <w:t xml:space="preserve">to be correlated with </w:t>
      </w:r>
      <w:r w:rsidR="00CF76A5" w:rsidRPr="008D772B">
        <w:rPr>
          <w:position w:val="-6"/>
        </w:rPr>
        <w:object w:dxaOrig="180" w:dyaOrig="279" w14:anchorId="145D0AE5">
          <v:shape id="_x0000_i1141" type="#_x0000_t75" style="width:9pt;height:14.15pt" o:ole="">
            <v:imagedata r:id="rId236" o:title=""/>
          </v:shape>
          <o:OLEObject Type="Embed" ProgID="Equation.DSMT4" ShapeID="_x0000_i1141" DrawAspect="Content" ObjectID="_1738155038" r:id="rId237"/>
        </w:object>
      </w:r>
      <w:r w:rsidRPr="00882FD5">
        <w:t xml:space="preserve"> as well</w:t>
      </w:r>
      <w:r w:rsidR="0014568C" w:rsidRPr="00882FD5">
        <w:t xml:space="preserve"> as</w:t>
      </w:r>
      <w:r w:rsidRPr="00882FD5">
        <w:t xml:space="preserve"> </w:t>
      </w:r>
      <w:r w:rsidR="00CF76A5" w:rsidRPr="008D772B">
        <w:rPr>
          <w:position w:val="-10"/>
        </w:rPr>
        <w:object w:dxaOrig="200" w:dyaOrig="260" w14:anchorId="0C3F80CC">
          <v:shape id="_x0000_i1142" type="#_x0000_t75" style="width:9.85pt;height:13.3pt" o:ole="">
            <v:imagedata r:id="rId238" o:title=""/>
          </v:shape>
          <o:OLEObject Type="Embed" ProgID="Equation.DSMT4" ShapeID="_x0000_i1142" DrawAspect="Content" ObjectID="_1738155039" r:id="rId239"/>
        </w:object>
      </w:r>
      <w:r w:rsidR="007D2D02">
        <w:t xml:space="preserve"> </w:t>
      </w:r>
      <w:r w:rsidRPr="00882FD5">
        <w:t xml:space="preserve">(while still maintaining the independence assumption between </w:t>
      </w:r>
      <w:r w:rsidR="00CF76A5" w:rsidRPr="008D772B">
        <w:rPr>
          <w:position w:val="-6"/>
        </w:rPr>
        <w:object w:dxaOrig="180" w:dyaOrig="279" w14:anchorId="780E0368">
          <v:shape id="_x0000_i1143" type="#_x0000_t75" style="width:9pt;height:14.15pt" o:ole="">
            <v:imagedata r:id="rId236" o:title=""/>
          </v:shape>
          <o:OLEObject Type="Embed" ProgID="Equation.DSMT4" ShapeID="_x0000_i1143" DrawAspect="Content" ObjectID="_1738155040" r:id="rId240"/>
        </w:object>
      </w:r>
      <w:r w:rsidRPr="00882FD5">
        <w:t xml:space="preserve"> and </w:t>
      </w:r>
      <w:r w:rsidR="00CF76A5" w:rsidRPr="008D772B">
        <w:rPr>
          <w:position w:val="-10"/>
        </w:rPr>
        <w:object w:dxaOrig="200" w:dyaOrig="260" w14:anchorId="4A7B58BB">
          <v:shape id="_x0000_i1144" type="#_x0000_t75" style="width:9.85pt;height:13.3pt" o:ole="">
            <v:imagedata r:id="rId238" o:title=""/>
          </v:shape>
          <o:OLEObject Type="Embed" ProgID="Equation.DSMT4" ShapeID="_x0000_i1144" DrawAspect="Content" ObjectID="_1738155041" r:id="rId241"/>
        </w:object>
      </w:r>
      <w:r w:rsidRPr="00882FD5">
        <w:t xml:space="preserve">). Let the matrix </w:t>
      </w:r>
      <w:r w:rsidR="00AC64F3" w:rsidRPr="00882FD5">
        <w:rPr>
          <w:position w:val="-12"/>
        </w:rPr>
        <w:object w:dxaOrig="1860" w:dyaOrig="360" w14:anchorId="6F26E2A2">
          <v:shape id="_x0000_i1145" type="#_x0000_t75" style="width:96pt;height:18pt" o:ole="" o:preferrelative="f">
            <v:imagedata r:id="rId242" o:title=""/>
            <o:lock v:ext="edit" aspectratio="f"/>
          </v:shape>
          <o:OLEObject Type="Embed" ProgID="Equation.DSMT4" ShapeID="_x0000_i1145" DrawAspect="Content" ObjectID="_1738155042" r:id="rId243"/>
        </w:object>
      </w:r>
      <w:r w:rsidRPr="00882FD5">
        <w:t xml:space="preserve"> contain the correlation elements between each of the latent construct</w:t>
      </w:r>
      <w:r w:rsidR="00CE75C8" w:rsidRPr="00882FD5">
        <w:t>s</w:t>
      </w:r>
      <w:r w:rsidRPr="00882FD5">
        <w:t xml:space="preserve"> and the ordinal outcomes</w:t>
      </w:r>
      <w:r w:rsidR="00122668">
        <w:t>,</w:t>
      </w:r>
      <w:r w:rsidRPr="00882FD5">
        <w:t xml:space="preserve"> and</w:t>
      </w:r>
      <w:r w:rsidR="00122668">
        <w:t xml:space="preserve"> let</w:t>
      </w:r>
      <w:r w:rsidRPr="00882FD5">
        <w:t xml:space="preserve"> the matrix </w:t>
      </w:r>
      <w:r w:rsidR="009C6844" w:rsidRPr="008D772B">
        <w:rPr>
          <w:position w:val="-12"/>
        </w:rPr>
        <w:object w:dxaOrig="1840" w:dyaOrig="400" w14:anchorId="35D95622">
          <v:shape id="_x0000_i1146" type="#_x0000_t75" style="width:92.15pt;height:20.15pt" o:ole="">
            <v:imagedata r:id="rId244" o:title=""/>
          </v:shape>
          <o:OLEObject Type="Embed" ProgID="Equation.DSMT4" ShapeID="_x0000_i1146" DrawAspect="Content" ObjectID="_1738155043" r:id="rId245"/>
        </w:object>
      </w:r>
      <w:r w:rsidRPr="00882FD5">
        <w:t>contain the correlation terms between each of the latent construct</w:t>
      </w:r>
      <w:r w:rsidR="00CE75C8" w:rsidRPr="00882FD5">
        <w:t>s</w:t>
      </w:r>
      <w:r w:rsidRPr="00882FD5">
        <w:t xml:space="preserve"> and the alternatives of the rank-ordered multinomial outcomes in differenced form. </w:t>
      </w:r>
      <w:r w:rsidRPr="00882FD5">
        <w:rPr>
          <w:noProof/>
        </w:rPr>
        <w:t>Earlier studies in residential self-selection explicit</w:t>
      </w:r>
      <w:r w:rsidR="00CE75C8" w:rsidRPr="00882FD5">
        <w:rPr>
          <w:noProof/>
        </w:rPr>
        <w:t>l</w:t>
      </w:r>
      <w:r w:rsidRPr="00882FD5">
        <w:rPr>
          <w:noProof/>
        </w:rPr>
        <w:t xml:space="preserve">y consider </w:t>
      </w:r>
      <w:r w:rsidR="003E0C9B" w:rsidRPr="00882FD5">
        <w:rPr>
          <w:position w:val="-12"/>
        </w:rPr>
        <w:object w:dxaOrig="460" w:dyaOrig="360" w14:anchorId="1693DE49">
          <v:shape id="_x0000_i1147" type="#_x0000_t75" style="width:24pt;height:18pt" o:ole="">
            <v:imagedata r:id="rId246" o:title=""/>
          </v:shape>
          <o:OLEObject Type="Embed" ProgID="Equation.DSMT4" ShapeID="_x0000_i1147" DrawAspect="Content" ObjectID="_1738155044" r:id="rId247"/>
        </w:object>
      </w:r>
      <w:r w:rsidRPr="00882FD5">
        <w:t xml:space="preserve">and </w:t>
      </w:r>
      <w:r w:rsidR="003E0C9B" w:rsidRPr="00882FD5">
        <w:rPr>
          <w:position w:val="-12"/>
        </w:rPr>
        <w:object w:dxaOrig="460" w:dyaOrig="360" w14:anchorId="41C34786">
          <v:shape id="_x0000_i1148" type="#_x0000_t75" style="width:24pt;height:18pt" o:ole="">
            <v:imagedata r:id="rId248" o:title=""/>
          </v:shape>
          <o:OLEObject Type="Embed" ProgID="Equation.DSMT4" ShapeID="_x0000_i1148" DrawAspect="Content" ObjectID="_1738155045" r:id="rId249"/>
        </w:object>
      </w:r>
      <w:r w:rsidRPr="00882FD5">
        <w:t>to be zero matrices.</w:t>
      </w:r>
      <w:r w:rsidRPr="00882FD5">
        <w:rPr>
          <w:noProof/>
        </w:rPr>
        <w:t xml:space="preserve"> Let </w:t>
      </w:r>
      <w:r w:rsidR="00DF0214" w:rsidRPr="008D772B">
        <w:rPr>
          <w:position w:val="-6"/>
        </w:rPr>
        <w:object w:dxaOrig="200" w:dyaOrig="279" w14:anchorId="4A620E72">
          <v:shape id="_x0000_i1149" type="#_x0000_t75" style="width:9.85pt;height:14.15pt" o:ole="">
            <v:imagedata r:id="rId250" o:title=""/>
          </v:shape>
          <o:OLEObject Type="Embed" ProgID="Equation.DSMT4" ShapeID="_x0000_i1149" DrawAspect="Content" ObjectID="_1738155046" r:id="rId251"/>
        </w:object>
      </w:r>
      <w:r w:rsidR="00CF76A5">
        <w:t xml:space="preserve"> </w:t>
      </w:r>
      <w:r w:rsidRPr="00882FD5">
        <w:rPr>
          <w:noProof/>
        </w:rPr>
        <w:t>be the collection of parameters to be estimated:</w:t>
      </w:r>
      <w:r w:rsidR="007D2D02" w:rsidRPr="008D772B">
        <w:rPr>
          <w:position w:val="-12"/>
        </w:rPr>
        <w:object w:dxaOrig="8559" w:dyaOrig="400" w14:anchorId="0911741E">
          <v:shape id="_x0000_i1150" type="#_x0000_t75" style="width:428.15pt;height:20.15pt" o:ole="">
            <v:imagedata r:id="rId252" o:title=""/>
          </v:shape>
          <o:OLEObject Type="Embed" ProgID="Equation.DSMT4" ShapeID="_x0000_i1150" DrawAspect="Content" ObjectID="_1738155047" r:id="rId253"/>
        </w:object>
      </w:r>
      <w:r w:rsidR="007D2D02">
        <w:t xml:space="preserve"> </w:t>
      </w:r>
      <w:r w:rsidRPr="00882FD5">
        <w:rPr>
          <w:noProof/>
        </w:rPr>
        <w:t>where</w:t>
      </w:r>
      <w:r w:rsidR="00BA0F05" w:rsidRPr="00882FD5">
        <w:rPr>
          <w:noProof/>
        </w:rPr>
        <w:t xml:space="preserve"> </w:t>
      </w:r>
      <w:r w:rsidRPr="00882FD5">
        <w:rPr>
          <w:noProof/>
        </w:rPr>
        <w:t xml:space="preserve">the operator </w:t>
      </w:r>
      <w:r w:rsidR="00DF0214" w:rsidRPr="008D772B">
        <w:rPr>
          <w:position w:val="-10"/>
        </w:rPr>
        <w:object w:dxaOrig="980" w:dyaOrig="320" w14:anchorId="37876D5A">
          <v:shape id="_x0000_i1151" type="#_x0000_t75" style="width:49.3pt;height:15.85pt" o:ole="">
            <v:imagedata r:id="rId254" o:title=""/>
          </v:shape>
          <o:OLEObject Type="Embed" ProgID="Equation.DSMT4" ShapeID="_x0000_i1151" DrawAspect="Content" ObjectID="_1738155048" r:id="rId255"/>
        </w:object>
      </w:r>
      <w:r w:rsidRPr="00882FD5">
        <w:rPr>
          <w:noProof/>
        </w:rPr>
        <w:t xml:space="preserve">vectorizes all the non-zero elements of the matrix/vector on which it operates and </w:t>
      </w:r>
      <w:r w:rsidR="00DF0214" w:rsidRPr="008D772B">
        <w:rPr>
          <w:position w:val="-10"/>
        </w:rPr>
        <w:object w:dxaOrig="1219" w:dyaOrig="320" w14:anchorId="1DD3326A">
          <v:shape id="_x0000_i1152" type="#_x0000_t75" style="width:60.85pt;height:15.85pt" o:ole="">
            <v:imagedata r:id="rId256" o:title=""/>
          </v:shape>
          <o:OLEObject Type="Embed" ProgID="Equation.DSMT4" ShapeID="_x0000_i1152" DrawAspect="Content" ObjectID="_1738155049" r:id="rId257"/>
        </w:object>
      </w:r>
      <w:r w:rsidR="00DF0214">
        <w:t xml:space="preserve"> </w:t>
      </w:r>
      <w:r w:rsidRPr="00882FD5">
        <w:rPr>
          <w:noProof/>
        </w:rPr>
        <w:t xml:space="preserve">indicates strictly upper diagonal elements. </w:t>
      </w:r>
    </w:p>
    <w:p w14:paraId="46D68E1E" w14:textId="51B6934F" w:rsidR="003319F0" w:rsidRPr="00882FD5" w:rsidRDefault="008E03A9" w:rsidP="00F739CC">
      <w:pPr>
        <w:spacing w:before="0" w:line="240" w:lineRule="auto"/>
        <w:ind w:firstLine="720"/>
        <w:jc w:val="both"/>
        <w:rPr>
          <w:noProof/>
        </w:rPr>
      </w:pPr>
      <w:r w:rsidRPr="00882FD5">
        <w:rPr>
          <w:noProof/>
        </w:rPr>
        <w:t>T</w:t>
      </w:r>
      <w:r w:rsidR="003319F0" w:rsidRPr="00882FD5">
        <w:rPr>
          <w:noProof/>
        </w:rPr>
        <w:t xml:space="preserve">o develop the reduced form equations, replace the right side of Equation (8) for </w:t>
      </w:r>
      <w:r w:rsidR="007D2D02" w:rsidRPr="00882FD5">
        <w:rPr>
          <w:noProof/>
          <w:position w:val="-6"/>
        </w:rPr>
        <w:object w:dxaOrig="260" w:dyaOrig="320" w14:anchorId="5EA21A2A">
          <v:shape id="_x0000_i1153" type="#_x0000_t75" style="width:12.85pt;height:15.85pt" o:ole="" o:preferrelative="f">
            <v:imagedata r:id="rId258" o:title=""/>
            <o:lock v:ext="edit" aspectratio="f"/>
          </v:shape>
          <o:OLEObject Type="Embed" ProgID="Equation.3" ShapeID="_x0000_i1153" DrawAspect="Content" ObjectID="_1738155050" r:id="rId259"/>
        </w:object>
      </w:r>
      <w:r w:rsidR="007D2D02">
        <w:rPr>
          <w:noProof/>
        </w:rPr>
        <w:t xml:space="preserve"> </w:t>
      </w:r>
      <w:r w:rsidR="003319F0" w:rsidRPr="00882FD5">
        <w:rPr>
          <w:noProof/>
        </w:rPr>
        <w:t>in Equations (9) and (10) to obtain the following system:</w:t>
      </w:r>
    </w:p>
    <w:p w14:paraId="3016FD46" w14:textId="1C129AF6" w:rsidR="003319F0" w:rsidRPr="00882FD5" w:rsidRDefault="007D2D02" w:rsidP="00575D15">
      <w:pPr>
        <w:keepNext/>
        <w:keepLines/>
        <w:tabs>
          <w:tab w:val="right" w:pos="9360"/>
        </w:tabs>
        <w:spacing w:line="240" w:lineRule="auto"/>
        <w:jc w:val="both"/>
        <w:rPr>
          <w:noProof/>
        </w:rPr>
      </w:pPr>
      <w:r w:rsidRPr="00882FD5">
        <w:rPr>
          <w:noProof/>
          <w:position w:val="-10"/>
        </w:rPr>
        <w:object w:dxaOrig="5500" w:dyaOrig="380" w14:anchorId="0BD2AD0E">
          <v:shape id="_x0000_i1154" type="#_x0000_t75" style="width:275.15pt;height:18.85pt" o:ole="" o:preferrelative="f">
            <v:imagedata r:id="rId260" o:title=""/>
            <o:lock v:ext="edit" aspectratio="f"/>
          </v:shape>
          <o:OLEObject Type="Embed" ProgID="Equation.DSMT4" ShapeID="_x0000_i1154" DrawAspect="Content" ObjectID="_1738155051" r:id="rId261"/>
        </w:object>
      </w:r>
      <w:r w:rsidR="003319F0" w:rsidRPr="00882FD5">
        <w:rPr>
          <w:noProof/>
        </w:rPr>
        <w:t xml:space="preserve">                </w:t>
      </w:r>
      <w:r w:rsidR="003319F0" w:rsidRPr="00882FD5">
        <w:rPr>
          <w:noProof/>
          <w:lang w:eastAsia="zh-CN"/>
        </w:rPr>
        <w:t xml:space="preserve">                           </w:t>
      </w:r>
      <w:r w:rsidR="003319F0" w:rsidRPr="00882FD5">
        <w:rPr>
          <w:noProof/>
        </w:rPr>
        <w:t xml:space="preserve">       </w:t>
      </w:r>
      <w:r w:rsidR="003319F0" w:rsidRPr="00882FD5">
        <w:rPr>
          <w:noProof/>
        </w:rPr>
        <w:tab/>
      </w:r>
      <w:r w:rsidR="00560C25" w:rsidRPr="00882FD5">
        <w:rPr>
          <w:noProof/>
        </w:rPr>
        <w:t xml:space="preserve"> </w:t>
      </w:r>
      <w:r w:rsidR="003079C9" w:rsidRPr="00882FD5">
        <w:rPr>
          <w:noProof/>
        </w:rPr>
        <w:t xml:space="preserve"> </w:t>
      </w:r>
      <w:r w:rsidR="00627A85" w:rsidRPr="00882FD5">
        <w:rPr>
          <w:noProof/>
        </w:rPr>
        <w:t xml:space="preserve"> </w:t>
      </w:r>
      <w:r w:rsidR="003319F0" w:rsidRPr="00882FD5">
        <w:rPr>
          <w:noProof/>
        </w:rPr>
        <w:t xml:space="preserve">(11)                                                                            </w:t>
      </w:r>
    </w:p>
    <w:p w14:paraId="7CFF413D" w14:textId="0B34EC9C" w:rsidR="003319F0" w:rsidRDefault="007D2D02" w:rsidP="00AB3568">
      <w:pPr>
        <w:keepNext/>
        <w:keepLines/>
        <w:tabs>
          <w:tab w:val="right" w:pos="9360"/>
        </w:tabs>
        <w:spacing w:before="0" w:line="240" w:lineRule="auto"/>
        <w:jc w:val="both"/>
        <w:rPr>
          <w:noProof/>
        </w:rPr>
      </w:pPr>
      <w:r w:rsidRPr="00882FD5">
        <w:rPr>
          <w:noProof/>
          <w:position w:val="-10"/>
        </w:rPr>
        <w:object w:dxaOrig="5440" w:dyaOrig="360" w14:anchorId="2C45A5DD">
          <v:shape id="_x0000_i1155" type="#_x0000_t75" style="width:272.15pt;height:18pt" o:ole="" o:preferrelative="f">
            <v:imagedata r:id="rId262" o:title=""/>
            <o:lock v:ext="edit" aspectratio="f"/>
          </v:shape>
          <o:OLEObject Type="Embed" ProgID="Equation.DSMT4" ShapeID="_x0000_i1155" DrawAspect="Content" ObjectID="_1738155052" r:id="rId263"/>
        </w:object>
      </w:r>
      <w:r w:rsidR="003319F0" w:rsidRPr="00882FD5">
        <w:rPr>
          <w:noProof/>
        </w:rPr>
        <w:t xml:space="preserve"> </w:t>
      </w:r>
    </w:p>
    <w:p w14:paraId="6776C70E" w14:textId="19FDCA4F" w:rsidR="003319F0" w:rsidRPr="00882FD5" w:rsidRDefault="003319F0" w:rsidP="007D2D02">
      <w:pPr>
        <w:spacing w:before="0" w:line="240" w:lineRule="auto"/>
        <w:jc w:val="both"/>
        <w:rPr>
          <w:noProof/>
        </w:rPr>
      </w:pPr>
      <w:r w:rsidRPr="00882FD5">
        <w:rPr>
          <w:noProof/>
        </w:rPr>
        <w:t xml:space="preserve">Now, consider the </w:t>
      </w:r>
      <w:r w:rsidR="007D2D02" w:rsidRPr="00882FD5">
        <w:rPr>
          <w:noProof/>
          <w:position w:val="-10"/>
        </w:rPr>
        <w:object w:dxaOrig="1300" w:dyaOrig="380" w14:anchorId="06F8D679">
          <v:shape id="_x0000_i1156" type="#_x0000_t75" style="width:64.7pt;height:18.85pt" o:ole="" o:preferrelative="f">
            <v:imagedata r:id="rId264" o:title=""/>
            <o:lock v:ext="edit" aspectratio="f"/>
          </v:shape>
          <o:OLEObject Type="Embed" ProgID="Equation.DSMT4" ShapeID="_x0000_i1156" DrawAspect="Content" ObjectID="_1738155053" r:id="rId265"/>
        </w:object>
      </w:r>
      <w:r w:rsidRPr="00882FD5">
        <w:rPr>
          <w:noProof/>
        </w:rPr>
        <w:t xml:space="preserve"> vector</w:t>
      </w:r>
      <w:r w:rsidR="007D2D02">
        <w:rPr>
          <w:noProof/>
        </w:rPr>
        <w:t xml:space="preserve"> </w:t>
      </w:r>
      <w:r w:rsidR="007D2D02" w:rsidRPr="008D772B">
        <w:rPr>
          <w:position w:val="-16"/>
        </w:rPr>
        <w:object w:dxaOrig="1700" w:dyaOrig="540" w14:anchorId="680C0240">
          <v:shape id="_x0000_i1157" type="#_x0000_t75" style="width:85.3pt;height:27pt" o:ole="">
            <v:imagedata r:id="rId266" o:title=""/>
          </v:shape>
          <o:OLEObject Type="Embed" ProgID="Equation.DSMT4" ShapeID="_x0000_i1157" DrawAspect="Content" ObjectID="_1738155054" r:id="rId267"/>
        </w:object>
      </w:r>
      <w:r w:rsidRPr="00882FD5">
        <w:rPr>
          <w:noProof/>
        </w:rPr>
        <w:t>. Define</w:t>
      </w:r>
    </w:p>
    <w:p w14:paraId="52BF54B4" w14:textId="48601FE7" w:rsidR="003319F0" w:rsidRPr="00882FD5" w:rsidRDefault="007D2D02" w:rsidP="00575D15">
      <w:pPr>
        <w:tabs>
          <w:tab w:val="right" w:pos="9360"/>
        </w:tabs>
        <w:spacing w:line="240" w:lineRule="auto"/>
        <w:rPr>
          <w:noProof/>
        </w:rPr>
      </w:pPr>
      <w:r w:rsidRPr="00882FD5">
        <w:rPr>
          <w:noProof/>
          <w:position w:val="-32"/>
        </w:rPr>
        <w:object w:dxaOrig="1680" w:dyaOrig="760" w14:anchorId="5FC33839">
          <v:shape id="_x0000_i1158" type="#_x0000_t75" style="width:84pt;height:38.15pt" o:ole="" o:preferrelative="f">
            <v:imagedata r:id="rId268" o:title=""/>
            <o:lock v:ext="edit" aspectratio="f"/>
          </v:shape>
          <o:OLEObject Type="Embed" ProgID="Equation.DSMT4" ShapeID="_x0000_i1158" DrawAspect="Content" ObjectID="_1738155055" r:id="rId269"/>
        </w:object>
      </w:r>
      <w:r w:rsidR="00627A85" w:rsidRPr="00882FD5">
        <w:rPr>
          <w:noProof/>
        </w:rPr>
        <w:t xml:space="preserve"> </w:t>
      </w:r>
      <w:r w:rsidR="003319F0" w:rsidRPr="00882FD5">
        <w:rPr>
          <w:noProof/>
        </w:rPr>
        <w:t>and</w:t>
      </w:r>
      <w:r w:rsidR="005422EA" w:rsidRPr="00882FD5">
        <w:rPr>
          <w:noProof/>
        </w:rPr>
        <w:t xml:space="preserve"> </w:t>
      </w:r>
      <w:r w:rsidRPr="00882FD5">
        <w:rPr>
          <w:noProof/>
          <w:position w:val="-32"/>
        </w:rPr>
        <w:object w:dxaOrig="6600" w:dyaOrig="760" w14:anchorId="1F663AE5">
          <v:shape id="_x0000_i1159" type="#_x0000_t75" style="width:330pt;height:38.15pt" o:ole="" o:preferrelative="f">
            <v:imagedata r:id="rId270" o:title=""/>
            <o:lock v:ext="edit" aspectratio="f"/>
          </v:shape>
          <o:OLEObject Type="Embed" ProgID="Equation.DSMT4" ShapeID="_x0000_i1159" DrawAspect="Content" ObjectID="_1738155056" r:id="rId271"/>
        </w:object>
      </w:r>
      <w:r w:rsidR="00627A85" w:rsidRPr="00882FD5">
        <w:rPr>
          <w:noProof/>
          <w:lang w:eastAsia="zh-CN"/>
        </w:rPr>
        <w:t xml:space="preserve">  </w:t>
      </w:r>
      <w:r w:rsidR="003260D1">
        <w:rPr>
          <w:noProof/>
          <w:lang w:eastAsia="zh-CN"/>
        </w:rPr>
        <w:t xml:space="preserve"> </w:t>
      </w:r>
      <w:r w:rsidR="00627A85" w:rsidRPr="00882FD5">
        <w:rPr>
          <w:noProof/>
          <w:lang w:eastAsia="zh-CN"/>
        </w:rPr>
        <w:t>(12)</w:t>
      </w:r>
      <w:r w:rsidR="003319F0" w:rsidRPr="00882FD5">
        <w:rPr>
          <w:noProof/>
          <w:lang w:eastAsia="zh-CN"/>
        </w:rPr>
        <w:t xml:space="preserve">    </w:t>
      </w:r>
    </w:p>
    <w:p w14:paraId="11215775" w14:textId="38DB5BC0" w:rsidR="003319F0" w:rsidRPr="00882FD5" w:rsidRDefault="003319F0" w:rsidP="00575D15">
      <w:pPr>
        <w:spacing w:line="240" w:lineRule="auto"/>
        <w:jc w:val="both"/>
        <w:rPr>
          <w:noProof/>
        </w:rPr>
      </w:pPr>
      <w:r w:rsidRPr="00882FD5">
        <w:rPr>
          <w:noProof/>
        </w:rPr>
        <w:t xml:space="preserve">Then </w:t>
      </w:r>
      <w:r w:rsidR="007D2D02" w:rsidRPr="00882FD5">
        <w:rPr>
          <w:noProof/>
          <w:position w:val="-14"/>
        </w:rPr>
        <w:object w:dxaOrig="2220" w:dyaOrig="380" w14:anchorId="38E506F2">
          <v:shape id="_x0000_i1160" type="#_x0000_t75" style="width:111pt;height:18.85pt" o:ole="" o:preferrelative="f">
            <v:imagedata r:id="rId272" o:title=""/>
            <o:lock v:ext="edit" aspectratio="f"/>
          </v:shape>
          <o:OLEObject Type="Embed" ProgID="Equation.DSMT4" ShapeID="_x0000_i1160" DrawAspect="Content" ObjectID="_1738155057" r:id="rId273"/>
        </w:object>
      </w:r>
      <w:r w:rsidRPr="00882FD5">
        <w:rPr>
          <w:noProof/>
        </w:rPr>
        <w:t xml:space="preserve"> </w:t>
      </w:r>
    </w:p>
    <w:p w14:paraId="2767C90D" w14:textId="3B6669AE" w:rsidR="003319F0" w:rsidRPr="00882FD5" w:rsidRDefault="00F2310B" w:rsidP="00575D15">
      <w:pPr>
        <w:spacing w:line="240" w:lineRule="auto"/>
        <w:jc w:val="both"/>
        <w:rPr>
          <w:noProof/>
        </w:rPr>
      </w:pPr>
      <w:r w:rsidRPr="00882FD5">
        <w:rPr>
          <w:noProof/>
        </w:rPr>
        <w:lastRenderedPageBreak/>
        <w:t xml:space="preserve">For the estimation of the model, </w:t>
      </w:r>
      <w:bookmarkStart w:id="4" w:name="_Hlk121877059"/>
      <w:r w:rsidR="003319F0" w:rsidRPr="00882FD5">
        <w:rPr>
          <w:noProof/>
        </w:rPr>
        <w:t xml:space="preserve">define a matrix </w:t>
      </w:r>
      <w:r w:rsidR="003319F0" w:rsidRPr="00882FD5">
        <w:rPr>
          <w:b/>
          <w:noProof/>
        </w:rPr>
        <w:t>M</w:t>
      </w:r>
      <w:r w:rsidR="003319F0" w:rsidRPr="00882FD5">
        <w:rPr>
          <w:noProof/>
        </w:rPr>
        <w:t xml:space="preserve"> of size </w:t>
      </w:r>
      <w:r w:rsidR="007D2D02" w:rsidRPr="00882FD5">
        <w:rPr>
          <w:noProof/>
          <w:position w:val="-18"/>
        </w:rPr>
        <w:object w:dxaOrig="1880" w:dyaOrig="480" w14:anchorId="6DC9FB2A">
          <v:shape id="_x0000_i1161" type="#_x0000_t75" style="width:94.3pt;height:24pt" o:ole="" o:preferrelative="f">
            <v:imagedata r:id="rId274" o:title=""/>
            <o:lock v:ext="edit" aspectratio="f"/>
          </v:shape>
          <o:OLEObject Type="Embed" ProgID="Equation.DSMT4" ShapeID="_x0000_i1161" DrawAspect="Content" ObjectID="_1738155058" r:id="rId275"/>
        </w:object>
      </w:r>
      <w:bookmarkEnd w:id="4"/>
      <w:r w:rsidRPr="00882FD5">
        <w:rPr>
          <w:noProof/>
        </w:rPr>
        <w:t>which is</w:t>
      </w:r>
      <w:r w:rsidR="008E2CAC" w:rsidRPr="00882FD5">
        <w:rPr>
          <w:noProof/>
        </w:rPr>
        <w:t xml:space="preserve"> </w:t>
      </w:r>
      <w:r w:rsidRPr="00882FD5">
        <w:rPr>
          <w:noProof/>
        </w:rPr>
        <w:t xml:space="preserve">similar to the mask matrix used in </w:t>
      </w:r>
      <w:r w:rsidR="00CE75C8" w:rsidRPr="00882FD5">
        <w:rPr>
          <w:noProof/>
        </w:rPr>
        <w:t xml:space="preserve">the </w:t>
      </w:r>
      <w:r w:rsidRPr="00882FD5">
        <w:rPr>
          <w:noProof/>
        </w:rPr>
        <w:t xml:space="preserve">single choice discrete model except that now this is defined with respect to the </w:t>
      </w:r>
      <w:r w:rsidR="00307E5C" w:rsidRPr="00882FD5">
        <w:rPr>
          <w:noProof/>
        </w:rPr>
        <w:t xml:space="preserve">respondent-provided </w:t>
      </w:r>
      <w:r w:rsidRPr="00882FD5">
        <w:rPr>
          <w:noProof/>
        </w:rPr>
        <w:t>ran</w:t>
      </w:r>
      <w:r w:rsidR="00307E5C" w:rsidRPr="00882FD5">
        <w:rPr>
          <w:noProof/>
        </w:rPr>
        <w:t>king order of the alternatives</w:t>
      </w:r>
      <w:r w:rsidRPr="00882FD5">
        <w:rPr>
          <w:noProof/>
        </w:rPr>
        <w:t xml:space="preserve"> (</w:t>
      </w:r>
      <w:r w:rsidR="00AC64F3" w:rsidRPr="00882FD5">
        <w:rPr>
          <w:noProof/>
        </w:rPr>
        <w:t>s</w:t>
      </w:r>
      <w:r w:rsidRPr="00882FD5">
        <w:rPr>
          <w:noProof/>
        </w:rPr>
        <w:t xml:space="preserve">ee </w:t>
      </w:r>
      <w:r w:rsidR="00307E5C" w:rsidRPr="00882FD5">
        <w:rPr>
          <w:noProof/>
        </w:rPr>
        <w:t xml:space="preserve">Appendix </w:t>
      </w:r>
      <w:r w:rsidR="00FB22EF" w:rsidRPr="00882FD5">
        <w:rPr>
          <w:noProof/>
        </w:rPr>
        <w:t>A</w:t>
      </w:r>
      <w:r w:rsidR="00307E5C" w:rsidRPr="00882FD5">
        <w:rPr>
          <w:noProof/>
        </w:rPr>
        <w:t xml:space="preserve"> for the definition of this matrix </w:t>
      </w:r>
      <w:r w:rsidR="00307E5C" w:rsidRPr="00882FD5">
        <w:rPr>
          <w:b/>
          <w:noProof/>
        </w:rPr>
        <w:t>M</w:t>
      </w:r>
      <w:r w:rsidRPr="00882FD5">
        <w:rPr>
          <w:noProof/>
        </w:rPr>
        <w:t xml:space="preserve">). </w:t>
      </w:r>
      <w:r w:rsidR="003319F0" w:rsidRPr="00882FD5">
        <w:rPr>
          <w:noProof/>
        </w:rPr>
        <w:t>With th</w:t>
      </w:r>
      <w:r w:rsidR="00307E5C" w:rsidRPr="00882FD5">
        <w:rPr>
          <w:noProof/>
        </w:rPr>
        <w:t>is</w:t>
      </w:r>
      <w:r w:rsidR="003319F0" w:rsidRPr="00882FD5">
        <w:rPr>
          <w:noProof/>
        </w:rPr>
        <w:t xml:space="preserve"> matrix </w:t>
      </w:r>
      <w:r w:rsidR="003319F0" w:rsidRPr="00882FD5">
        <w:rPr>
          <w:b/>
          <w:noProof/>
        </w:rPr>
        <w:t>M</w:t>
      </w:r>
      <w:r w:rsidR="003319F0" w:rsidRPr="00882FD5">
        <w:rPr>
          <w:noProof/>
        </w:rPr>
        <w:t xml:space="preserve">, we can write </w:t>
      </w:r>
      <w:r w:rsidR="007D2D02" w:rsidRPr="008D772B">
        <w:rPr>
          <w:position w:val="-14"/>
        </w:rPr>
        <w:object w:dxaOrig="2200" w:dyaOrig="420" w14:anchorId="0261ED54">
          <v:shape id="_x0000_i1162" type="#_x0000_t75" style="width:110.15pt;height:21pt" o:ole="">
            <v:imagedata r:id="rId276" o:title=""/>
          </v:shape>
          <o:OLEObject Type="Embed" ProgID="Equation.DSMT4" ShapeID="_x0000_i1162" DrawAspect="Content" ObjectID="_1738155059" r:id="rId277"/>
        </w:object>
      </w:r>
      <w:r w:rsidR="003319F0" w:rsidRPr="00882FD5">
        <w:rPr>
          <w:noProof/>
        </w:rPr>
        <w:t xml:space="preserve"> where </w:t>
      </w:r>
      <w:r w:rsidR="00DF0214" w:rsidRPr="008D772B">
        <w:rPr>
          <w:position w:val="-4"/>
        </w:rPr>
        <w:object w:dxaOrig="880" w:dyaOrig="300" w14:anchorId="4D17ECF9">
          <v:shape id="_x0000_i1163" type="#_x0000_t75" style="width:44.15pt;height:15pt" o:ole="">
            <v:imagedata r:id="rId278" o:title=""/>
          </v:shape>
          <o:OLEObject Type="Embed" ProgID="Equation.DSMT4" ShapeID="_x0000_i1163" DrawAspect="Content" ObjectID="_1738155060" r:id="rId279"/>
        </w:object>
      </w:r>
      <w:r w:rsidR="003319F0" w:rsidRPr="00882FD5">
        <w:rPr>
          <w:noProof/>
        </w:rPr>
        <w:t xml:space="preserve">and </w:t>
      </w:r>
      <w:r w:rsidR="00DF0214" w:rsidRPr="008D772B">
        <w:rPr>
          <w:position w:val="-4"/>
        </w:rPr>
        <w:object w:dxaOrig="1219" w:dyaOrig="320" w14:anchorId="2866601A">
          <v:shape id="_x0000_i1164" type="#_x0000_t75" style="width:60.85pt;height:15.85pt" o:ole="">
            <v:imagedata r:id="rId280" o:title=""/>
          </v:shape>
          <o:OLEObject Type="Embed" ProgID="Equation.DSMT4" ShapeID="_x0000_i1164" DrawAspect="Content" ObjectID="_1738155061" r:id="rId281"/>
        </w:object>
      </w:r>
      <w:r w:rsidR="00DF0214">
        <w:t>.</w:t>
      </w:r>
    </w:p>
    <w:p w14:paraId="5398B34A" w14:textId="77777777" w:rsidR="003319F0" w:rsidRPr="00882FD5" w:rsidRDefault="003319F0" w:rsidP="007D2D02">
      <w:pPr>
        <w:tabs>
          <w:tab w:val="right" w:pos="9360"/>
        </w:tabs>
        <w:spacing w:line="240" w:lineRule="auto"/>
        <w:ind w:firstLine="720"/>
        <w:jc w:val="both"/>
        <w:rPr>
          <w:noProof/>
        </w:rPr>
      </w:pPr>
      <w:r w:rsidRPr="00882FD5">
        <w:rPr>
          <w:noProof/>
        </w:rPr>
        <w:t>Next, define threshold vectors as follows:</w:t>
      </w:r>
    </w:p>
    <w:p w14:paraId="2423073C" w14:textId="594CB15A" w:rsidR="003319F0" w:rsidRPr="00882FD5" w:rsidRDefault="007D2D02" w:rsidP="00AB3568">
      <w:pPr>
        <w:tabs>
          <w:tab w:val="right" w:pos="9360"/>
        </w:tabs>
        <w:spacing w:before="0" w:line="240" w:lineRule="auto"/>
        <w:jc w:val="both"/>
        <w:rPr>
          <w:noProof/>
        </w:rPr>
      </w:pPr>
      <w:r w:rsidRPr="008D772B">
        <w:rPr>
          <w:position w:val="-28"/>
        </w:rPr>
        <w:object w:dxaOrig="2120" w:dyaOrig="780" w14:anchorId="43BCB21C">
          <v:shape id="_x0000_i1165" type="#_x0000_t75" style="width:105.85pt;height:39pt" o:ole="">
            <v:imagedata r:id="rId282" o:title=""/>
          </v:shape>
          <o:OLEObject Type="Embed" ProgID="Equation.DSMT4" ShapeID="_x0000_i1165" DrawAspect="Content" ObjectID="_1738155062" r:id="rId283"/>
        </w:object>
      </w:r>
      <w:r w:rsidRPr="00882FD5">
        <w:rPr>
          <w:noProof/>
          <w:position w:val="-10"/>
        </w:rPr>
        <w:object w:dxaOrig="1320" w:dyaOrig="380" w14:anchorId="4907639A">
          <v:shape id="_x0000_i1166" type="#_x0000_t75" style="width:66pt;height:18.85pt" o:ole="" o:preferrelative="f">
            <v:imagedata r:id="rId284" o:title=""/>
            <o:lock v:ext="edit" aspectratio="f"/>
          </v:shape>
          <o:OLEObject Type="Embed" ProgID="Equation.DSMT4" ShapeID="_x0000_i1166" DrawAspect="Content" ObjectID="_1738155063" r:id="rId285"/>
        </w:object>
      </w:r>
      <w:r>
        <w:rPr>
          <w:noProof/>
        </w:rPr>
        <w:t xml:space="preserve"> </w:t>
      </w:r>
      <w:r w:rsidR="003319F0" w:rsidRPr="00882FD5">
        <w:rPr>
          <w:noProof/>
        </w:rPr>
        <w:t>vector) and</w:t>
      </w:r>
      <w:r w:rsidR="00CF76A5">
        <w:rPr>
          <w:noProof/>
        </w:rPr>
        <w:t xml:space="preserve"> </w:t>
      </w:r>
      <w:r w:rsidRPr="008D772B">
        <w:rPr>
          <w:position w:val="-28"/>
        </w:rPr>
        <w:object w:dxaOrig="1800" w:dyaOrig="780" w14:anchorId="5A81B4BD">
          <v:shape id="_x0000_i1167" type="#_x0000_t75" style="width:90pt;height:39pt" o:ole="">
            <v:imagedata r:id="rId286" o:title=""/>
          </v:shape>
          <o:OLEObject Type="Embed" ProgID="Equation.DSMT4" ShapeID="_x0000_i1167" DrawAspect="Content" ObjectID="_1738155064" r:id="rId287"/>
        </w:object>
      </w:r>
      <w:r w:rsidRPr="008D772B">
        <w:rPr>
          <w:position w:val="-10"/>
        </w:rPr>
        <w:object w:dxaOrig="1320" w:dyaOrig="380" w14:anchorId="3F236314">
          <v:shape id="_x0000_i1168" type="#_x0000_t75" style="width:66pt;height:18.85pt" o:ole="" o:preferrelative="f">
            <v:imagedata r:id="rId288" o:title=""/>
            <o:lock v:ext="edit" aspectratio="f"/>
          </v:shape>
          <o:OLEObject Type="Embed" ProgID="Equation.DSMT4" ShapeID="_x0000_i1168" DrawAspect="Content" ObjectID="_1738155065" r:id="rId289"/>
        </w:object>
      </w:r>
      <w:r w:rsidR="003319F0" w:rsidRPr="00882FD5">
        <w:rPr>
          <w:noProof/>
          <w:position w:val="-52"/>
        </w:rPr>
        <w:t xml:space="preserve"> </w:t>
      </w:r>
      <w:r w:rsidR="003319F0" w:rsidRPr="00882FD5">
        <w:rPr>
          <w:noProof/>
        </w:rPr>
        <w:t xml:space="preserve">vector), where </w:t>
      </w:r>
      <w:r w:rsidR="003319F0" w:rsidRPr="00882FD5">
        <w:rPr>
          <w:noProof/>
          <w:position w:val="-14"/>
        </w:rPr>
        <w:object w:dxaOrig="499" w:dyaOrig="380" w14:anchorId="3F9C3A23">
          <v:shape id="_x0000_i1169" type="#_x0000_t75" style="width:24pt;height:18pt" o:ole="" o:preferrelative="f">
            <v:imagedata r:id="rId290" o:title=""/>
            <o:lock v:ext="edit" aspectratio="f"/>
          </v:shape>
          <o:OLEObject Type="Embed" ProgID="Equation.DSMT4" ShapeID="_x0000_i1169" DrawAspect="Content" ObjectID="_1738155066" r:id="rId291"/>
        </w:object>
      </w:r>
      <w:r w:rsidR="003319F0" w:rsidRPr="00882FD5">
        <w:rPr>
          <w:noProof/>
        </w:rPr>
        <w:t xml:space="preserve"> is a</w:t>
      </w:r>
      <w:r w:rsidR="00CF76A5">
        <w:rPr>
          <w:noProof/>
        </w:rPr>
        <w:t xml:space="preserve"> </w:t>
      </w:r>
      <w:r w:rsidR="00CF76A5" w:rsidRPr="008D772B">
        <w:rPr>
          <w:position w:val="-6"/>
        </w:rPr>
        <w:object w:dxaOrig="520" w:dyaOrig="340" w14:anchorId="1D21C13F">
          <v:shape id="_x0000_i1170" type="#_x0000_t75" style="width:26.15pt;height:17.15pt" o:ole="">
            <v:imagedata r:id="rId292" o:title=""/>
          </v:shape>
          <o:OLEObject Type="Embed" ProgID="Equation.DSMT4" ShapeID="_x0000_i1170" DrawAspect="Content" ObjectID="_1738155067" r:id="rId293"/>
        </w:object>
      </w:r>
      <w:r w:rsidR="003319F0" w:rsidRPr="00882FD5">
        <w:rPr>
          <w:noProof/>
        </w:rPr>
        <w:t>-column vector of negative infinities, and</w:t>
      </w:r>
      <w:r w:rsidR="003319F0" w:rsidRPr="00882FD5">
        <w:rPr>
          <w:noProof/>
          <w:position w:val="-10"/>
        </w:rPr>
        <w:t xml:space="preserve"> </w:t>
      </w:r>
      <w:r w:rsidR="00CF76A5" w:rsidRPr="008D772B">
        <w:rPr>
          <w:position w:val="-14"/>
        </w:rPr>
        <w:object w:dxaOrig="300" w:dyaOrig="380" w14:anchorId="5DE2353B">
          <v:shape id="_x0000_i1171" type="#_x0000_t75" style="width:15pt;height:19.3pt" o:ole="">
            <v:imagedata r:id="rId294" o:title=""/>
          </v:shape>
          <o:OLEObject Type="Embed" ProgID="Equation.DSMT4" ShapeID="_x0000_i1171" DrawAspect="Content" ObjectID="_1738155068" r:id="rId295"/>
        </w:object>
      </w:r>
      <w:r w:rsidR="003319F0" w:rsidRPr="00882FD5">
        <w:rPr>
          <w:noProof/>
          <w:position w:val="-10"/>
        </w:rPr>
        <w:t xml:space="preserve"> </w:t>
      </w:r>
      <w:r w:rsidR="003319F0" w:rsidRPr="00882FD5">
        <w:rPr>
          <w:noProof/>
        </w:rPr>
        <w:t xml:space="preserve">is another </w:t>
      </w:r>
      <w:r w:rsidR="00CF76A5" w:rsidRPr="008D772B">
        <w:rPr>
          <w:position w:val="-6"/>
        </w:rPr>
        <w:object w:dxaOrig="520" w:dyaOrig="340" w14:anchorId="43E137F7">
          <v:shape id="_x0000_i1172" type="#_x0000_t75" style="width:26.15pt;height:17.15pt" o:ole="">
            <v:imagedata r:id="rId292" o:title=""/>
          </v:shape>
          <o:OLEObject Type="Embed" ProgID="Equation.DSMT4" ShapeID="_x0000_i1172" DrawAspect="Content" ObjectID="_1738155069" r:id="rId296"/>
        </w:object>
      </w:r>
      <w:r w:rsidR="003319F0" w:rsidRPr="00882FD5">
        <w:rPr>
          <w:noProof/>
        </w:rPr>
        <w:t>-column vector of zeros. Then the likelihood function may be written as:</w:t>
      </w:r>
    </w:p>
    <w:p w14:paraId="6ED94B1B" w14:textId="4BA9B286" w:rsidR="003319F0" w:rsidRPr="00882FD5" w:rsidRDefault="00CF76A5" w:rsidP="00A8346F">
      <w:pPr>
        <w:tabs>
          <w:tab w:val="right" w:pos="9360"/>
        </w:tabs>
        <w:spacing w:line="240" w:lineRule="auto"/>
        <w:jc w:val="both"/>
        <w:rPr>
          <w:noProof/>
        </w:rPr>
      </w:pPr>
      <w:r w:rsidRPr="008D772B">
        <w:rPr>
          <w:position w:val="-16"/>
        </w:rPr>
        <w:object w:dxaOrig="2820" w:dyaOrig="440" w14:anchorId="32150E31">
          <v:shape id="_x0000_i1173" type="#_x0000_t75" style="width:141pt;height:21.85pt" o:ole="">
            <v:imagedata r:id="rId297" o:title=""/>
          </v:shape>
          <o:OLEObject Type="Embed" ProgID="Equation.DSMT4" ShapeID="_x0000_i1173" DrawAspect="Content" ObjectID="_1738155070" r:id="rId298"/>
        </w:object>
      </w:r>
      <w:r w:rsidR="003319F0" w:rsidRPr="00882FD5">
        <w:rPr>
          <w:noProof/>
        </w:rPr>
        <w:t xml:space="preserve">                          </w:t>
      </w:r>
      <w:r w:rsidR="003319F0" w:rsidRPr="00882FD5">
        <w:rPr>
          <w:noProof/>
          <w:lang w:eastAsia="zh-CN"/>
        </w:rPr>
        <w:t xml:space="preserve">                                </w:t>
      </w:r>
      <w:r w:rsidR="003319F0" w:rsidRPr="00882FD5">
        <w:rPr>
          <w:b/>
          <w:noProof/>
        </w:rPr>
        <w:t xml:space="preserve">                           </w:t>
      </w:r>
      <w:r w:rsidR="003319F0" w:rsidRPr="00882FD5">
        <w:rPr>
          <w:bCs/>
          <w:noProof/>
        </w:rPr>
        <w:t xml:space="preserve">    </w:t>
      </w:r>
      <w:r w:rsidR="00151F30" w:rsidRPr="00882FD5">
        <w:rPr>
          <w:bCs/>
          <w:noProof/>
        </w:rPr>
        <w:t xml:space="preserve">    </w:t>
      </w:r>
      <w:r w:rsidR="003319F0" w:rsidRPr="00882FD5">
        <w:rPr>
          <w:bCs/>
          <w:noProof/>
        </w:rPr>
        <w:t xml:space="preserve">     </w:t>
      </w:r>
      <w:r w:rsidR="003F4BC4" w:rsidRPr="00882FD5">
        <w:rPr>
          <w:bCs/>
          <w:noProof/>
        </w:rPr>
        <w:t xml:space="preserve">     </w:t>
      </w:r>
      <w:r w:rsidR="003319F0" w:rsidRPr="00882FD5">
        <w:rPr>
          <w:bCs/>
          <w:noProof/>
        </w:rPr>
        <w:t>(13)</w:t>
      </w:r>
    </w:p>
    <w:p w14:paraId="2123417F" w14:textId="79D7D6F2" w:rsidR="003319F0" w:rsidRPr="00882FD5" w:rsidRDefault="00CF76A5" w:rsidP="00A8346F">
      <w:pPr>
        <w:tabs>
          <w:tab w:val="right" w:pos="9360"/>
        </w:tabs>
        <w:spacing w:line="240" w:lineRule="auto"/>
        <w:jc w:val="both"/>
        <w:rPr>
          <w:noProof/>
        </w:rPr>
      </w:pPr>
      <w:r>
        <w:rPr>
          <w:noProof/>
        </w:rPr>
        <w:t xml:space="preserve">       </w:t>
      </w:r>
      <w:r w:rsidR="003319F0" w:rsidRPr="00882FD5">
        <w:rPr>
          <w:noProof/>
          <w:position w:val="-34"/>
        </w:rPr>
        <w:t xml:space="preserve">  </w:t>
      </w:r>
      <w:r w:rsidR="007D2D02" w:rsidRPr="008D772B">
        <w:rPr>
          <w:position w:val="-34"/>
        </w:rPr>
        <w:object w:dxaOrig="2100" w:dyaOrig="620" w14:anchorId="67C8D640">
          <v:shape id="_x0000_i1174" type="#_x0000_t75" style="width:105pt;height:31.3pt" o:ole="" o:preferrelative="f">
            <v:imagedata r:id="rId299" o:title=""/>
            <o:lock v:ext="edit" aspectratio="f"/>
          </v:shape>
          <o:OLEObject Type="Embed" ProgID="Equation.DSMT4" ShapeID="_x0000_i1174" DrawAspect="Content" ObjectID="_1738155071" r:id="rId300"/>
        </w:object>
      </w:r>
      <w:r w:rsidR="003319F0" w:rsidRPr="00882FD5">
        <w:rPr>
          <w:noProof/>
          <w:position w:val="-34"/>
        </w:rPr>
        <w:t xml:space="preserve">   </w:t>
      </w:r>
    </w:p>
    <w:p w14:paraId="3A3A211E" w14:textId="5AC811DF" w:rsidR="003319F0" w:rsidRPr="00882FD5" w:rsidRDefault="003319F0" w:rsidP="007D2D02">
      <w:pPr>
        <w:spacing w:before="0" w:line="240" w:lineRule="auto"/>
        <w:jc w:val="both"/>
      </w:pPr>
      <w:r w:rsidRPr="00882FD5">
        <w:rPr>
          <w:noProof/>
        </w:rPr>
        <w:t xml:space="preserve">where the integration domain </w:t>
      </w:r>
      <w:r w:rsidR="007D2D02" w:rsidRPr="00882FD5">
        <w:rPr>
          <w:noProof/>
          <w:position w:val="-14"/>
        </w:rPr>
        <w:object w:dxaOrig="2340" w:dyaOrig="380" w14:anchorId="2379E875">
          <v:shape id="_x0000_i1175" type="#_x0000_t75" style="width:117.45pt;height:18.85pt" o:ole="" o:preferrelative="f">
            <v:imagedata r:id="rId301" o:title=""/>
            <o:lock v:ext="edit" aspectratio="f"/>
          </v:shape>
          <o:OLEObject Type="Embed" ProgID="Equation.3" ShapeID="_x0000_i1175" DrawAspect="Content" ObjectID="_1738155072" r:id="rId302"/>
        </w:object>
      </w:r>
      <w:r w:rsidRPr="00882FD5">
        <w:rPr>
          <w:noProof/>
        </w:rPr>
        <w:t xml:space="preserve"> is simply the multivariate region of the elements of the </w:t>
      </w:r>
      <w:r w:rsidR="007D2D02" w:rsidRPr="00882FD5">
        <w:rPr>
          <w:noProof/>
          <w:position w:val="-10"/>
        </w:rPr>
        <w:object w:dxaOrig="340" w:dyaOrig="260" w14:anchorId="16D7863B">
          <v:shape id="_x0000_i1176" type="#_x0000_t75" style="width:17.15pt;height:12.85pt" o:ole="" o:preferrelative="f">
            <v:imagedata r:id="rId303" o:title=""/>
            <o:lock v:ext="edit" aspectratio="f"/>
          </v:shape>
          <o:OLEObject Type="Embed" ProgID="Equation.DSMT4" ShapeID="_x0000_i1176" DrawAspect="Content" ObjectID="_1738155073" r:id="rId304"/>
        </w:object>
      </w:r>
      <w:r w:rsidRPr="00882FD5">
        <w:rPr>
          <w:noProof/>
        </w:rPr>
        <w:t xml:space="preserve"> vector determined by the observed ordinal outcomes, and the range </w:t>
      </w:r>
      <w:r w:rsidR="007D2D02" w:rsidRPr="00882FD5">
        <w:rPr>
          <w:noProof/>
          <w:position w:val="-14"/>
        </w:rPr>
        <w:object w:dxaOrig="1020" w:dyaOrig="380" w14:anchorId="654541F9">
          <v:shape id="_x0000_i1177" type="#_x0000_t75" style="width:51pt;height:18.85pt" o:ole="" o:preferrelative="f">
            <v:imagedata r:id="rId305" o:title=""/>
            <o:lock v:ext="edit" aspectratio="f"/>
          </v:shape>
          <o:OLEObject Type="Embed" ProgID="Equation.DSMT4" ShapeID="_x0000_i1177" DrawAspect="Content" ObjectID="_1738155074" r:id="rId306"/>
        </w:object>
      </w:r>
      <w:r w:rsidRPr="00882FD5">
        <w:rPr>
          <w:noProof/>
        </w:rPr>
        <w:t xml:space="preserve"> for the utility differences taken with respect to the utility of the ranked preference for the rank-ordered outcome. The likelihood function for a sample of </w:t>
      </w:r>
      <w:r w:rsidRPr="00882FD5">
        <w:rPr>
          <w:i/>
          <w:noProof/>
        </w:rPr>
        <w:t>Q</w:t>
      </w:r>
      <w:r w:rsidRPr="00882FD5">
        <w:rPr>
          <w:noProof/>
        </w:rPr>
        <w:t xml:space="preserve"> decision-makers is obtained as the product of the individual-level likelihood functions. </w:t>
      </w:r>
      <w:r w:rsidRPr="00882FD5">
        <w:tab/>
        <w:t xml:space="preserve">Since a </w:t>
      </w:r>
      <w:r w:rsidR="00CE75C8" w:rsidRPr="00882FD5">
        <w:t>closed-</w:t>
      </w:r>
      <w:r w:rsidRPr="00882FD5">
        <w:t xml:space="preserve">form expression does not exist for this integral and evaluation using simulation techniques can be time consuming, we used the </w:t>
      </w:r>
      <w:r w:rsidR="00F2310B" w:rsidRPr="00882FD5">
        <w:t>analytical method</w:t>
      </w:r>
      <w:r w:rsidR="000D3DF8" w:rsidRPr="00882FD5">
        <w:t>s</w:t>
      </w:r>
      <w:r w:rsidRPr="00882FD5">
        <w:t xml:space="preserve"> proposed by</w:t>
      </w:r>
      <w:r w:rsidR="00AC64F3" w:rsidRPr="00882FD5">
        <w:t xml:space="preserve"> Bhat (</w:t>
      </w:r>
      <w:r w:rsidR="006329B2" w:rsidRPr="00882FD5">
        <w:t>2018</w:t>
      </w:r>
      <w:r w:rsidR="00AC64F3" w:rsidRPr="00882FD5">
        <w:t>)</w:t>
      </w:r>
      <w:r w:rsidRPr="00882FD5">
        <w:t xml:space="preserve"> for approximating this integral. </w:t>
      </w:r>
    </w:p>
    <w:p w14:paraId="64C178F9" w14:textId="77777777" w:rsidR="00AB3568" w:rsidRDefault="002C77E7" w:rsidP="007D2D02">
      <w:pPr>
        <w:spacing w:before="0" w:line="240" w:lineRule="auto"/>
        <w:jc w:val="both"/>
      </w:pPr>
      <w:r w:rsidRPr="00882FD5">
        <w:tab/>
        <w:t>The overall methodology</w:t>
      </w:r>
      <w:r w:rsidR="00917066" w:rsidRPr="00882FD5">
        <w:t>, in our empirical context,</w:t>
      </w:r>
      <w:r w:rsidRPr="00882FD5">
        <w:t xml:space="preserve"> may be visualized as shown in Figure 1. </w:t>
      </w:r>
      <w:r w:rsidR="00E97756" w:rsidRPr="00882FD5">
        <w:t>T</w:t>
      </w:r>
      <w:r w:rsidRPr="00882FD5">
        <w:t xml:space="preserve">he exogenous individual and household socio-demographics (left side of the figure and represented by the vector </w:t>
      </w:r>
      <w:r w:rsidR="007D2D02" w:rsidRPr="00882FD5">
        <w:rPr>
          <w:position w:val="-6"/>
        </w:rPr>
        <w:object w:dxaOrig="260" w:dyaOrig="220" w14:anchorId="43C70E1B">
          <v:shape id="_x0000_i1178" type="#_x0000_t75" style="width:12.85pt;height:10.7pt" o:ole="" o:preferrelative="f">
            <v:imagedata r:id="rId307" o:title=""/>
            <o:lock v:ext="edit" aspectratio="f"/>
          </v:shape>
          <o:OLEObject Type="Embed" ProgID="Equation.DSMT4" ShapeID="_x0000_i1178" DrawAspect="Content" ObjectID="_1738155075" r:id="rId308"/>
        </w:object>
      </w:r>
      <w:r w:rsidRPr="00882FD5">
        <w:t xml:space="preserve"> in the notation of Equation (8)</w:t>
      </w:r>
      <w:r w:rsidR="00BA428E" w:rsidRPr="00882FD5">
        <w:t>)</w:t>
      </w:r>
      <w:r w:rsidRPr="00882FD5">
        <w:t xml:space="preserve"> affect the latent constructs</w:t>
      </w:r>
      <w:r w:rsidR="00BA428E" w:rsidRPr="00882FD5">
        <w:t xml:space="preserve"> </w:t>
      </w:r>
      <w:r w:rsidRPr="00882FD5">
        <w:t xml:space="preserve"> </w:t>
      </w:r>
      <w:r w:rsidR="00BA428E" w:rsidRPr="00882FD5">
        <w:t xml:space="preserve">(in the middle of Figure 1 and represented by the vector </w:t>
      </w:r>
      <w:r w:rsidR="007D2D02" w:rsidRPr="00882FD5">
        <w:rPr>
          <w:position w:val="-6"/>
        </w:rPr>
        <w:object w:dxaOrig="260" w:dyaOrig="320" w14:anchorId="03ED85F7">
          <v:shape id="_x0000_i1179" type="#_x0000_t75" style="width:12.85pt;height:15.85pt" o:ole="" o:preferrelative="f">
            <v:imagedata r:id="rId309" o:title=""/>
            <o:lock v:ext="edit" aspectratio="f"/>
          </v:shape>
          <o:OLEObject Type="Embed" ProgID="Equation.DSMT4" ShapeID="_x0000_i1179" DrawAspect="Content" ObjectID="_1738155076" r:id="rId310"/>
        </w:object>
      </w:r>
      <w:r w:rsidR="00BA428E" w:rsidRPr="00882FD5">
        <w:t>) i</w:t>
      </w:r>
      <w:r w:rsidRPr="00882FD5">
        <w:t>n the structural equation model (SEM) component</w:t>
      </w:r>
      <w:r w:rsidR="00BA428E" w:rsidRPr="00882FD5">
        <w:t xml:space="preserve"> </w:t>
      </w:r>
      <w:r w:rsidRPr="00882FD5">
        <w:t>of the GHDM (</w:t>
      </w:r>
      <w:r w:rsidR="00BA428E" w:rsidRPr="00882FD5">
        <w:t xml:space="preserve">these effects are </w:t>
      </w:r>
      <w:r w:rsidRPr="00882FD5">
        <w:t xml:space="preserve">captured by the elements of the vector </w:t>
      </w:r>
      <w:r w:rsidR="007D2D02" w:rsidRPr="00882FD5">
        <w:rPr>
          <w:position w:val="-6"/>
        </w:rPr>
        <w:object w:dxaOrig="220" w:dyaOrig="220" w14:anchorId="351CCCED">
          <v:shape id="_x0000_i1180" type="#_x0000_t75" style="width:10.7pt;height:10.7pt" o:ole="" o:preferrelative="f">
            <v:imagedata r:id="rId311" o:title=""/>
            <o:lock v:ext="edit" aspectratio="f"/>
          </v:shape>
          <o:OLEObject Type="Embed" ProgID="Equation.DSMT4" ShapeID="_x0000_i1180" DrawAspect="Content" ObjectID="_1738155077" r:id="rId312"/>
        </w:object>
      </w:r>
      <w:r w:rsidRPr="00882FD5">
        <w:t xml:space="preserve">). As part of the SEM component, the correlation </w:t>
      </w:r>
      <w:r w:rsidR="00BA428E" w:rsidRPr="00882FD5">
        <w:t xml:space="preserve">matrix </w:t>
      </w:r>
      <w:r w:rsidR="007D2D02" w:rsidRPr="00882FD5">
        <w:rPr>
          <w:position w:val="-4"/>
        </w:rPr>
        <w:object w:dxaOrig="240" w:dyaOrig="260" w14:anchorId="41D27FC9">
          <v:shape id="_x0000_i1181" type="#_x0000_t75" style="width:12pt;height:12.85pt" o:ole="" o:preferrelative="f">
            <v:imagedata r:id="rId313" o:title=""/>
            <o:lock v:ext="edit" aspectratio="f"/>
          </v:shape>
          <o:OLEObject Type="Embed" ProgID="Equation.DSMT4" ShapeID="_x0000_i1181" DrawAspect="Content" ObjectID="_1738155078" r:id="rId314"/>
        </w:object>
      </w:r>
      <w:r w:rsidRPr="00882FD5">
        <w:t xml:space="preserve"> among the elements of the error term vector </w:t>
      </w:r>
      <w:r w:rsidR="007D2D02" w:rsidRPr="00882FD5">
        <w:rPr>
          <w:position w:val="-10"/>
        </w:rPr>
        <w:object w:dxaOrig="200" w:dyaOrig="260" w14:anchorId="437D0EE5">
          <v:shape id="_x0000_i1182" type="#_x0000_t75" style="width:10.3pt;height:12.85pt" o:ole="" o:preferrelative="f">
            <v:imagedata r:id="rId315" o:title=""/>
            <o:lock v:ext="edit" aspectratio="f"/>
          </v:shape>
          <o:OLEObject Type="Embed" ProgID="Equation.DSMT4" ShapeID="_x0000_i1182" DrawAspect="Content" ObjectID="_1738155079" r:id="rId316"/>
        </w:object>
      </w:r>
      <w:r w:rsidRPr="00882FD5">
        <w:t xml:space="preserve"> of the latent constructs is also estimated (indicated by the double-headed arrow between the two latent constructs). This SEM system is estimated through the loadings of the latent constructs on the latent construct indicators. These loading pathways of the constructs on the indicators, which constitute one part of the measurement equation model (MEM) component, are </w:t>
      </w:r>
      <w:r w:rsidR="002F38D8" w:rsidRPr="00882FD5">
        <w:t xml:space="preserve">not shown </w:t>
      </w:r>
      <w:r w:rsidRPr="00882FD5">
        <w:t xml:space="preserve">in the figure to avoid clutter. The second part of the MEM component, shown in the figure, corresponds </w:t>
      </w:r>
      <w:r w:rsidR="008C140C" w:rsidRPr="00882FD5">
        <w:t>to t</w:t>
      </w:r>
      <w:r w:rsidR="00255E50" w:rsidRPr="00882FD5">
        <w:t>wo</w:t>
      </w:r>
      <w:r w:rsidR="008C140C" w:rsidRPr="00882FD5">
        <w:t xml:space="preserve"> effects: (a) the effects (as captured by the </w:t>
      </w:r>
      <w:r w:rsidR="00F34230" w:rsidRPr="00882FD5">
        <w:t>matrices</w:t>
      </w:r>
      <w:r w:rsidR="008C140C" w:rsidRPr="00882FD5">
        <w:t xml:space="preserve"> </w:t>
      </w:r>
      <w:r w:rsidR="007D2D02" w:rsidRPr="00882FD5">
        <w:rPr>
          <w:position w:val="-10"/>
        </w:rPr>
        <w:object w:dxaOrig="200" w:dyaOrig="320" w14:anchorId="2C3405F2">
          <v:shape id="_x0000_i1183" type="#_x0000_t75" style="width:10.3pt;height:15.85pt" o:ole="" o:preferrelative="f">
            <v:imagedata r:id="rId317" o:title=""/>
            <o:lock v:ext="edit" aspectratio="f"/>
          </v:shape>
          <o:OLEObject Type="Embed" ProgID="Equation.DSMT4" ShapeID="_x0000_i1183" DrawAspect="Content" ObjectID="_1738155080" r:id="rId318"/>
        </w:object>
      </w:r>
      <w:r w:rsidR="008C140C" w:rsidRPr="00882FD5">
        <w:t xml:space="preserve"> and</w:t>
      </w:r>
      <w:r w:rsidR="00FD615C">
        <w:t xml:space="preserve"> </w:t>
      </w:r>
      <w:r w:rsidR="00FD615C">
        <w:rPr>
          <w:b/>
          <w:i/>
        </w:rPr>
        <w:t>b</w:t>
      </w:r>
      <w:r w:rsidR="008C140C" w:rsidRPr="00882FD5">
        <w:t xml:space="preserve">) of </w:t>
      </w:r>
      <w:r w:rsidRPr="00882FD5">
        <w:t xml:space="preserve">individual/household characteristics (represented by the vector </w:t>
      </w:r>
      <w:r w:rsidR="007D2D02" w:rsidRPr="00882FD5">
        <w:rPr>
          <w:position w:val="-6"/>
        </w:rPr>
        <w:object w:dxaOrig="220" w:dyaOrig="220" w14:anchorId="782E3A57">
          <v:shape id="_x0000_i1184" type="#_x0000_t75" style="width:10.7pt;height:10.7pt" o:ole="" o:preferrelative="f">
            <v:imagedata r:id="rId319" o:title=""/>
            <o:lock v:ext="edit" aspectratio="f"/>
          </v:shape>
          <o:OLEObject Type="Embed" ProgID="Equation.DSMT4" ShapeID="_x0000_i1184" DrawAspect="Content" ObjectID="_1738155081" r:id="rId320"/>
        </w:object>
      </w:r>
      <w:r w:rsidR="008C140C" w:rsidRPr="00882FD5">
        <w:t xml:space="preserve"> in Equations (9) and (10)); the trip-level attributes, </w:t>
      </w:r>
      <w:r w:rsidR="00BA428E" w:rsidRPr="00882FD5">
        <w:t>shown toward the right bottom of the figure</w:t>
      </w:r>
      <w:r w:rsidR="002F38D8" w:rsidRPr="00882FD5">
        <w:t xml:space="preserve"> and relevant only for the mode choice model</w:t>
      </w:r>
      <w:r w:rsidR="00BA428E" w:rsidRPr="00882FD5">
        <w:t xml:space="preserve">, </w:t>
      </w:r>
      <w:r w:rsidR="002F38D8" w:rsidRPr="00882FD5">
        <w:t xml:space="preserve">and the observed values of endogenous outcome variables affecting other endogenous variables, </w:t>
      </w:r>
      <w:r w:rsidR="00BA428E" w:rsidRPr="00882FD5">
        <w:t xml:space="preserve">are </w:t>
      </w:r>
      <w:r w:rsidR="008C140C" w:rsidRPr="00882FD5">
        <w:t xml:space="preserve">also a part of the vector </w:t>
      </w:r>
      <w:r w:rsidR="007D2D02" w:rsidRPr="00882FD5">
        <w:rPr>
          <w:position w:val="-6"/>
        </w:rPr>
        <w:object w:dxaOrig="220" w:dyaOrig="220" w14:anchorId="128DC404">
          <v:shape id="_x0000_i1185" type="#_x0000_t75" style="width:10.7pt;height:10.7pt" o:ole="" o:preferrelative="f">
            <v:imagedata r:id="rId319" o:title=""/>
            <o:lock v:ext="edit" aspectratio="f"/>
          </v:shape>
          <o:OLEObject Type="Embed" ProgID="Equation.DSMT4" ShapeID="_x0000_i1185" DrawAspect="Content" ObjectID="_1738155082" r:id="rId321"/>
        </w:object>
      </w:r>
      <w:r w:rsidR="00BA428E" w:rsidRPr="00882FD5">
        <w:t xml:space="preserve">, and (b) the effects (as captured by the </w:t>
      </w:r>
      <w:r w:rsidR="00F34230" w:rsidRPr="00882FD5">
        <w:t>matrice</w:t>
      </w:r>
      <w:r w:rsidR="00BA428E" w:rsidRPr="00882FD5">
        <w:t xml:space="preserve">s </w:t>
      </w:r>
      <w:r w:rsidR="007D2D02" w:rsidRPr="00882FD5">
        <w:rPr>
          <w:position w:val="-6"/>
        </w:rPr>
        <w:object w:dxaOrig="220" w:dyaOrig="340" w14:anchorId="629DF8A8">
          <v:shape id="_x0000_i1186" type="#_x0000_t75" style="width:10.7pt;height:17.15pt" o:ole="" o:preferrelative="f">
            <v:imagedata r:id="rId322" o:title=""/>
            <o:lock v:ext="edit" aspectratio="f"/>
          </v:shape>
          <o:OLEObject Type="Embed" ProgID="Equation.DSMT4" ShapeID="_x0000_i1186" DrawAspect="Content" ObjectID="_1738155083" r:id="rId323"/>
        </w:object>
      </w:r>
      <w:r w:rsidR="00BA428E" w:rsidRPr="00882FD5">
        <w:t xml:space="preserve"> and </w:t>
      </w:r>
      <w:r w:rsidR="007D2D02" w:rsidRPr="00882FD5">
        <w:rPr>
          <w:position w:val="-6"/>
        </w:rPr>
        <w:object w:dxaOrig="260" w:dyaOrig="220" w14:anchorId="3EBA256E">
          <v:shape id="_x0000_i1187" type="#_x0000_t75" style="width:12.85pt;height:10.7pt" o:ole="" o:preferrelative="f">
            <v:imagedata r:id="rId324" o:title=""/>
            <o:lock v:ext="edit" aspectratio="f"/>
          </v:shape>
          <o:OLEObject Type="Embed" ProgID="Equation.DSMT4" ShapeID="_x0000_i1187" DrawAspect="Content" ObjectID="_1738155084" r:id="rId325"/>
        </w:object>
      </w:r>
      <w:r w:rsidR="00BA428E" w:rsidRPr="00882FD5">
        <w:t xml:space="preserve">) </w:t>
      </w:r>
      <w:r w:rsidRPr="00882FD5">
        <w:t xml:space="preserve">of the latent constructs on the main outcome variables, while also recognizing the potential endogeneity of the latent constructs, as identified by the correlation matrices </w:t>
      </w:r>
      <w:r w:rsidR="007D2D02" w:rsidRPr="00882FD5">
        <w:rPr>
          <w:position w:val="-12"/>
        </w:rPr>
        <w:object w:dxaOrig="460" w:dyaOrig="360" w14:anchorId="2FB14EF8">
          <v:shape id="_x0000_i1188" type="#_x0000_t75" style="width:23.15pt;height:18pt" o:ole="" o:preferrelative="f">
            <v:imagedata r:id="rId326" o:title=""/>
            <o:lock v:ext="edit" aspectratio="f"/>
          </v:shape>
          <o:OLEObject Type="Embed" ProgID="Equation.DSMT4" ShapeID="_x0000_i1188" DrawAspect="Content" ObjectID="_1738155085" r:id="rId327"/>
        </w:object>
      </w:r>
      <w:r w:rsidRPr="00882FD5">
        <w:t xml:space="preserve"> and </w:t>
      </w:r>
      <w:r w:rsidRPr="00882FD5">
        <w:rPr>
          <w:position w:val="-12"/>
        </w:rPr>
        <w:object w:dxaOrig="460" w:dyaOrig="360" w14:anchorId="402F4986">
          <v:shape id="_x0000_i1189" type="#_x0000_t75" style="width:24pt;height:18pt" o:ole="" o:preferrelative="f">
            <v:imagedata r:id="rId328" o:title=""/>
            <o:lock v:ext="edit" aspectratio="f"/>
          </v:shape>
          <o:OLEObject Type="Embed" ProgID="Equation.DSMT4" ShapeID="_x0000_i1189" DrawAspect="Content" ObjectID="_1738155086" r:id="rId329"/>
        </w:object>
      </w:r>
      <w:r w:rsidRPr="00882FD5">
        <w:t xml:space="preserve"> in Figure 1.</w:t>
      </w:r>
      <w:r w:rsidR="00C3287C" w:rsidRPr="00882FD5">
        <w:t xml:space="preserve"> Finally, part </w:t>
      </w:r>
      <w:r w:rsidR="00C3287C" w:rsidRPr="00882FD5">
        <w:lastRenderedPageBreak/>
        <w:t>of the</w:t>
      </w:r>
      <w:r w:rsidR="00EA0AF4">
        <w:t xml:space="preserve"> </w:t>
      </w:r>
      <w:r w:rsidR="007D2D02" w:rsidRPr="00882FD5">
        <w:rPr>
          <w:position w:val="-10"/>
        </w:rPr>
        <w:object w:dxaOrig="200" w:dyaOrig="320" w14:anchorId="289F25EE">
          <v:shape id="_x0000_i1190" type="#_x0000_t75" style="width:10.3pt;height:15.85pt" o:ole="" o:preferrelative="f">
            <v:imagedata r:id="rId317" o:title=""/>
            <o:lock v:ext="edit" aspectratio="f"/>
          </v:shape>
          <o:OLEObject Type="Embed" ProgID="Equation.DSMT4" ShapeID="_x0000_i1190" DrawAspect="Content" ObjectID="_1738155087" r:id="rId330"/>
        </w:object>
      </w:r>
      <w:r w:rsidR="00EA0AF4" w:rsidRPr="00882FD5">
        <w:t xml:space="preserve"> and </w:t>
      </w:r>
      <w:r w:rsidR="00FD615C">
        <w:rPr>
          <w:b/>
          <w:i/>
        </w:rPr>
        <w:t xml:space="preserve">b </w:t>
      </w:r>
      <w:r w:rsidR="00F34230" w:rsidRPr="00882FD5">
        <w:t>matri</w:t>
      </w:r>
      <w:r w:rsidR="00EA0AF4">
        <w:t>ces</w:t>
      </w:r>
      <w:r w:rsidR="00C3287C" w:rsidRPr="00882FD5">
        <w:t xml:space="preserve"> also correspond to the effects of observed endogenous outcomes on other endogenous outcomes, as shown within the far right box entitled “Main Outcomes”.</w:t>
      </w:r>
    </w:p>
    <w:p w14:paraId="5F787AF1" w14:textId="3ABFA248" w:rsidR="00917066" w:rsidRPr="00882FD5" w:rsidRDefault="00C3287C" w:rsidP="007D2D02">
      <w:pPr>
        <w:spacing w:before="0" w:line="240" w:lineRule="auto"/>
        <w:jc w:val="both"/>
      </w:pPr>
      <w:r w:rsidRPr="00882FD5">
        <w:t xml:space="preserve"> </w:t>
      </w:r>
    </w:p>
    <w:p w14:paraId="36C0459A" w14:textId="0F4179CC" w:rsidR="002C77E7" w:rsidRPr="00882FD5" w:rsidRDefault="00D61DD0" w:rsidP="00907D2E">
      <w:pPr>
        <w:spacing w:after="120" w:line="240" w:lineRule="auto"/>
      </w:pPr>
      <w:r>
        <w:rPr>
          <w:noProof/>
        </w:rPr>
        <w:drawing>
          <wp:inline distT="0" distB="0" distL="0" distR="0" wp14:anchorId="13DE045E" wp14:editId="1B284660">
            <wp:extent cx="6242685" cy="2489200"/>
            <wp:effectExtent l="0" t="0" r="571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1_final.JPG"/>
                    <pic:cNvPicPr/>
                  </pic:nvPicPr>
                  <pic:blipFill>
                    <a:blip r:embed="rId331">
                      <a:extLst>
                        <a:ext uri="{28A0092B-C50C-407E-A947-70E740481C1C}">
                          <a14:useLocalDpi xmlns:a14="http://schemas.microsoft.com/office/drawing/2010/main" val="0"/>
                        </a:ext>
                      </a:extLst>
                    </a:blip>
                    <a:stretch>
                      <a:fillRect/>
                    </a:stretch>
                  </pic:blipFill>
                  <pic:spPr>
                    <a:xfrm>
                      <a:off x="0" y="0"/>
                      <a:ext cx="6244739" cy="2490019"/>
                    </a:xfrm>
                    <a:prstGeom prst="rect">
                      <a:avLst/>
                    </a:prstGeom>
                  </pic:spPr>
                </pic:pic>
              </a:graphicData>
            </a:graphic>
          </wp:inline>
        </w:drawing>
      </w:r>
    </w:p>
    <w:p w14:paraId="13AF54ED" w14:textId="04CC4F7C" w:rsidR="00A64848" w:rsidRPr="00882FD5" w:rsidRDefault="0082193C" w:rsidP="007D2D02">
      <w:pPr>
        <w:spacing w:line="240" w:lineRule="auto"/>
        <w:jc w:val="both"/>
        <w:rPr>
          <w:b/>
          <w:noProof/>
        </w:rPr>
      </w:pPr>
      <w:r w:rsidRPr="00882FD5">
        <w:rPr>
          <w:b/>
          <w:noProof/>
        </w:rPr>
        <w:t>FIGURE 1  Analytical Framework</w:t>
      </w:r>
    </w:p>
    <w:p w14:paraId="2D120B2F" w14:textId="77777777" w:rsidR="0082193C" w:rsidRPr="00882FD5" w:rsidRDefault="0082193C" w:rsidP="00A64848">
      <w:pPr>
        <w:spacing w:before="0" w:line="240" w:lineRule="auto"/>
        <w:jc w:val="both"/>
        <w:rPr>
          <w:b/>
          <w:noProof/>
        </w:rPr>
      </w:pPr>
    </w:p>
    <w:p w14:paraId="631540E8" w14:textId="40EA7C27" w:rsidR="00A827DA" w:rsidRPr="00882FD5" w:rsidRDefault="00905D69" w:rsidP="00AE6910">
      <w:pPr>
        <w:pStyle w:val="Heading1"/>
        <w:numPr>
          <w:ilvl w:val="0"/>
          <w:numId w:val="20"/>
        </w:numPr>
        <w:spacing w:before="0" w:after="60" w:line="240" w:lineRule="auto"/>
        <w:ind w:left="360"/>
      </w:pPr>
      <w:r w:rsidRPr="00882FD5">
        <w:t>DATA AND SAMPLE DESCRIPTION</w:t>
      </w:r>
    </w:p>
    <w:p w14:paraId="1D1C3BA0" w14:textId="571EA50D" w:rsidR="00F2310B" w:rsidRPr="00882FD5" w:rsidRDefault="00F2310B" w:rsidP="00B574CA">
      <w:pPr>
        <w:pStyle w:val="Heading2"/>
        <w:numPr>
          <w:ilvl w:val="1"/>
          <w:numId w:val="19"/>
        </w:numPr>
        <w:spacing w:before="0" w:after="0" w:line="240" w:lineRule="auto"/>
        <w:ind w:left="450" w:hanging="450"/>
      </w:pPr>
      <w:r w:rsidRPr="00882FD5">
        <w:t>Survey</w:t>
      </w:r>
      <w:r w:rsidR="00741EBE" w:rsidRPr="00882FD5">
        <w:t xml:space="preserve"> </w:t>
      </w:r>
      <w:r w:rsidR="00BA428E" w:rsidRPr="00882FD5">
        <w:t xml:space="preserve">and </w:t>
      </w:r>
      <w:r w:rsidR="00B574CA" w:rsidRPr="00882FD5">
        <w:t>S</w:t>
      </w:r>
      <w:r w:rsidRPr="00882FD5">
        <w:t>ampl</w:t>
      </w:r>
      <w:r w:rsidR="00BA428E" w:rsidRPr="00882FD5">
        <w:t>e</w:t>
      </w:r>
    </w:p>
    <w:p w14:paraId="33AA64A7" w14:textId="060B5948" w:rsidR="00421225" w:rsidRPr="00882FD5" w:rsidRDefault="00756820" w:rsidP="007D2D02">
      <w:pPr>
        <w:spacing w:before="0" w:line="240" w:lineRule="auto"/>
        <w:jc w:val="both"/>
      </w:pPr>
      <w:r w:rsidRPr="00882FD5">
        <w:t xml:space="preserve">The data used in this </w:t>
      </w:r>
      <w:r w:rsidR="00281B18" w:rsidRPr="00882FD5">
        <w:t xml:space="preserve">study is </w:t>
      </w:r>
      <w:r w:rsidRPr="00882FD5">
        <w:t xml:space="preserve">drawn from the 2019 multi-city </w:t>
      </w:r>
      <w:r w:rsidR="009C38A4" w:rsidRPr="00882FD5">
        <w:t>“</w:t>
      </w:r>
      <w:r w:rsidRPr="00882FD5">
        <w:t>Transformative Technologies in Transportation (T4)</w:t>
      </w:r>
      <w:r w:rsidR="009C38A4" w:rsidRPr="00882FD5">
        <w:t>”</w:t>
      </w:r>
      <w:r w:rsidRPr="00882FD5">
        <w:t xml:space="preserve"> Survey</w:t>
      </w:r>
      <w:r w:rsidR="009C38A4" w:rsidRPr="00882FD5">
        <w:t xml:space="preserve"> (</w:t>
      </w:r>
      <w:r w:rsidR="006329B2" w:rsidRPr="00882FD5">
        <w:t>Asmussen et al., 2020</w:t>
      </w:r>
      <w:r w:rsidR="009C38A4" w:rsidRPr="00882FD5">
        <w:t>)</w:t>
      </w:r>
      <w:r w:rsidRPr="00882FD5">
        <w:t>. The T4 survey was conducted in Phoenix (Arizona), Atlanta (Georgia), Tampa (Florida)</w:t>
      </w:r>
      <w:r w:rsidR="00CE75C8" w:rsidRPr="00882FD5">
        <w:t>,</w:t>
      </w:r>
      <w:r w:rsidRPr="00882FD5">
        <w:t xml:space="preserve"> and Austin (Texas). </w:t>
      </w:r>
      <w:r w:rsidR="00DE7210" w:rsidRPr="00882FD5">
        <w:t>This survey was a general</w:t>
      </w:r>
      <w:r w:rsidR="00CE75C8" w:rsidRPr="00882FD5">
        <w:t>-</w:t>
      </w:r>
      <w:r w:rsidR="00DE7210" w:rsidRPr="00882FD5">
        <w:t>purpose survey</w:t>
      </w:r>
      <w:r w:rsidR="001D306E" w:rsidRPr="00882FD5">
        <w:t xml:space="preserve"> that collected information on a wide variety of emerging mobility options (including e-scooters, e-bikes, </w:t>
      </w:r>
      <w:r w:rsidR="00421225" w:rsidRPr="00882FD5">
        <w:t>sharing arrangements, autonomous vehicle adoption</w:t>
      </w:r>
      <w:r w:rsidR="00F34230" w:rsidRPr="00882FD5">
        <w:t>,</w:t>
      </w:r>
      <w:r w:rsidR="00421225" w:rsidRPr="00882FD5">
        <w:t xml:space="preserve"> and intended usage), general lifestyle attitudes, and current travel behaviors. F</w:t>
      </w:r>
      <w:r w:rsidR="00DE7210" w:rsidRPr="00882FD5">
        <w:t xml:space="preserve">ull details of </w:t>
      </w:r>
      <w:r w:rsidR="00421225" w:rsidRPr="00882FD5">
        <w:t xml:space="preserve">the survey design and administration procedures, and the survey instrument itself, </w:t>
      </w:r>
      <w:r w:rsidR="00DE7210" w:rsidRPr="00882FD5">
        <w:t xml:space="preserve">are available at </w:t>
      </w:r>
      <w:hyperlink r:id="rId332" w:history="1">
        <w:r w:rsidR="00DE7210" w:rsidRPr="00882FD5">
          <w:rPr>
            <w:rStyle w:val="Hyperlink"/>
            <w:rFonts w:eastAsiaTheme="majorEastAsia"/>
          </w:rPr>
          <w:t>https://tomnet-utc.engineering.asu.edu/data/t4-survey/</w:t>
        </w:r>
      </w:hyperlink>
      <w:r w:rsidR="00DE7210" w:rsidRPr="00882FD5">
        <w:t xml:space="preserve">. </w:t>
      </w:r>
    </w:p>
    <w:p w14:paraId="3BAE50F9" w14:textId="470BFD17" w:rsidR="00802D9F" w:rsidRPr="00882FD5" w:rsidRDefault="00421225" w:rsidP="007D2D02">
      <w:pPr>
        <w:spacing w:before="0" w:line="240" w:lineRule="auto"/>
        <w:ind w:firstLine="720"/>
        <w:jc w:val="both"/>
        <w:rPr>
          <w:color w:val="222222"/>
        </w:rPr>
      </w:pPr>
      <w:r w:rsidRPr="00882FD5">
        <w:t>For the analysis in</w:t>
      </w:r>
      <w:r w:rsidR="00802D9F" w:rsidRPr="00882FD5">
        <w:t xml:space="preserve"> the current paper, we focus on the data collected </w:t>
      </w:r>
      <w:r w:rsidR="001D306E" w:rsidRPr="00882FD5">
        <w:t xml:space="preserve">exclusively </w:t>
      </w:r>
      <w:r w:rsidR="00802D9F" w:rsidRPr="00882FD5">
        <w:t xml:space="preserve">from Austin. This was because, though </w:t>
      </w:r>
      <w:r w:rsidR="00802D9F" w:rsidRPr="00882FD5">
        <w:rPr>
          <w:color w:val="222222"/>
        </w:rPr>
        <w:t xml:space="preserve">the survey was conducted across the four cities, there was quite a bit of variation in the details of the survey design across the cities to accommodate for the current availability and extent of use of different travel modes. For example, </w:t>
      </w:r>
      <w:r w:rsidR="00FB22EF" w:rsidRPr="00882FD5">
        <w:rPr>
          <w:color w:val="222222"/>
        </w:rPr>
        <w:t>two</w:t>
      </w:r>
      <w:r w:rsidR="00802D9F" w:rsidRPr="00882FD5">
        <w:rPr>
          <w:color w:val="222222"/>
        </w:rPr>
        <w:t xml:space="preserve"> of the cities </w:t>
      </w:r>
      <w:r w:rsidR="001D306E" w:rsidRPr="00882FD5">
        <w:rPr>
          <w:color w:val="222222"/>
        </w:rPr>
        <w:t>(</w:t>
      </w:r>
      <w:r w:rsidR="00FB22EF" w:rsidRPr="00882FD5">
        <w:rPr>
          <w:color w:val="222222"/>
        </w:rPr>
        <w:t>Phoenix and Tampa</w:t>
      </w:r>
      <w:r w:rsidR="001D306E" w:rsidRPr="00882FD5">
        <w:rPr>
          <w:color w:val="222222"/>
        </w:rPr>
        <w:t xml:space="preserve">) </w:t>
      </w:r>
      <w:r w:rsidR="00802D9F" w:rsidRPr="00882FD5">
        <w:rPr>
          <w:color w:val="222222"/>
        </w:rPr>
        <w:t xml:space="preserve">did not have </w:t>
      </w:r>
      <w:r w:rsidR="00EA0AF4">
        <w:rPr>
          <w:color w:val="222222"/>
        </w:rPr>
        <w:t xml:space="preserve">a </w:t>
      </w:r>
      <w:r w:rsidR="00FB22EF" w:rsidRPr="00882FD5">
        <w:rPr>
          <w:color w:val="222222"/>
        </w:rPr>
        <w:t>pooled</w:t>
      </w:r>
      <w:r w:rsidR="00802D9F" w:rsidRPr="00882FD5">
        <w:rPr>
          <w:color w:val="222222"/>
        </w:rPr>
        <w:t xml:space="preserve"> ride-hailing service</w:t>
      </w:r>
      <w:r w:rsidR="00EA0AF4">
        <w:rPr>
          <w:color w:val="222222"/>
        </w:rPr>
        <w:t xml:space="preserve"> (one of the model alternatives in our empirical context; see </w:t>
      </w:r>
      <w:r w:rsidR="00B61E46">
        <w:rPr>
          <w:color w:val="222222"/>
        </w:rPr>
        <w:t>S</w:t>
      </w:r>
      <w:r w:rsidR="00EA0AF4">
        <w:rPr>
          <w:color w:val="222222"/>
        </w:rPr>
        <w:t>ection 3.3</w:t>
      </w:r>
      <w:r w:rsidR="00FD615C">
        <w:rPr>
          <w:color w:val="222222"/>
        </w:rPr>
        <w:t>.3</w:t>
      </w:r>
      <w:r w:rsidR="00EA0AF4">
        <w:rPr>
          <w:color w:val="222222"/>
        </w:rPr>
        <w:t>)</w:t>
      </w:r>
      <w:r w:rsidR="001D306E" w:rsidRPr="00882FD5">
        <w:rPr>
          <w:color w:val="222222"/>
        </w:rPr>
        <w:t xml:space="preserve"> at the time of the survey</w:t>
      </w:r>
      <w:r w:rsidR="00802D9F" w:rsidRPr="00882FD5">
        <w:rPr>
          <w:color w:val="222222"/>
        </w:rPr>
        <w:t xml:space="preserve">, and the cities </w:t>
      </w:r>
      <w:r w:rsidR="001D306E" w:rsidRPr="00882FD5">
        <w:rPr>
          <w:color w:val="222222"/>
        </w:rPr>
        <w:t xml:space="preserve">also </w:t>
      </w:r>
      <w:r w:rsidR="00802D9F" w:rsidRPr="00882FD5">
        <w:rPr>
          <w:color w:val="222222"/>
        </w:rPr>
        <w:t xml:space="preserve">varied considerably in the current provision of transit services and </w:t>
      </w:r>
      <w:r w:rsidRPr="00882FD5">
        <w:rPr>
          <w:color w:val="222222"/>
        </w:rPr>
        <w:t xml:space="preserve">travel </w:t>
      </w:r>
      <w:r w:rsidR="00802D9F" w:rsidRPr="00882FD5">
        <w:rPr>
          <w:color w:val="222222"/>
        </w:rPr>
        <w:t xml:space="preserve">modal shares. Also, the </w:t>
      </w:r>
      <w:r w:rsidR="00CE75C8" w:rsidRPr="00882FD5">
        <w:rPr>
          <w:color w:val="222222"/>
        </w:rPr>
        <w:t>Stated Preference (</w:t>
      </w:r>
      <w:r w:rsidR="00802D9F" w:rsidRPr="00882FD5">
        <w:rPr>
          <w:color w:val="222222"/>
        </w:rPr>
        <w:t>SP</w:t>
      </w:r>
      <w:r w:rsidR="00CE75C8" w:rsidRPr="00882FD5">
        <w:rPr>
          <w:color w:val="222222"/>
        </w:rPr>
        <w:t>)</w:t>
      </w:r>
      <w:r w:rsidR="00802D9F" w:rsidRPr="00882FD5">
        <w:rPr>
          <w:color w:val="222222"/>
        </w:rPr>
        <w:t xml:space="preserve"> travel attribute values were generated specific to the travel patterns for each city.</w:t>
      </w:r>
      <w:r w:rsidR="001D306E" w:rsidRPr="00882FD5">
        <w:rPr>
          <w:color w:val="222222"/>
        </w:rPr>
        <w:t xml:space="preserve"> </w:t>
      </w:r>
      <w:r w:rsidR="00802D9F" w:rsidRPr="00882FD5">
        <w:rPr>
          <w:color w:val="222222"/>
        </w:rPr>
        <w:t xml:space="preserve">For </w:t>
      </w:r>
      <w:r w:rsidR="001D306E" w:rsidRPr="00882FD5">
        <w:rPr>
          <w:color w:val="222222"/>
        </w:rPr>
        <w:t xml:space="preserve">all </w:t>
      </w:r>
      <w:r w:rsidR="00802D9F" w:rsidRPr="00882FD5">
        <w:rPr>
          <w:color w:val="222222"/>
        </w:rPr>
        <w:t>these reasons</w:t>
      </w:r>
      <w:r w:rsidR="001D306E" w:rsidRPr="00882FD5">
        <w:rPr>
          <w:color w:val="222222"/>
        </w:rPr>
        <w:t>,</w:t>
      </w:r>
      <w:r w:rsidR="00802D9F" w:rsidRPr="00882FD5">
        <w:rPr>
          <w:color w:val="222222"/>
        </w:rPr>
        <w:t xml:space="preserve"> we do not expect </w:t>
      </w:r>
      <w:r w:rsidR="001D306E" w:rsidRPr="00882FD5">
        <w:rPr>
          <w:color w:val="222222"/>
        </w:rPr>
        <w:t xml:space="preserve">travel-related </w:t>
      </w:r>
      <w:r w:rsidR="00802D9F" w:rsidRPr="00882FD5">
        <w:rPr>
          <w:color w:val="222222"/>
        </w:rPr>
        <w:t xml:space="preserve">behaviors and </w:t>
      </w:r>
      <w:r w:rsidR="001D306E" w:rsidRPr="00882FD5">
        <w:rPr>
          <w:color w:val="222222"/>
        </w:rPr>
        <w:t xml:space="preserve">lifestyles across the four cities </w:t>
      </w:r>
      <w:r w:rsidR="00802D9F" w:rsidRPr="00882FD5">
        <w:rPr>
          <w:color w:val="222222"/>
        </w:rPr>
        <w:t xml:space="preserve">to be related in the same fashion to exogenous variables. </w:t>
      </w:r>
    </w:p>
    <w:p w14:paraId="4167E949" w14:textId="02E02B51" w:rsidR="00281B18" w:rsidRPr="00882FD5" w:rsidRDefault="001D306E" w:rsidP="007D2D02">
      <w:pPr>
        <w:spacing w:before="0" w:line="240" w:lineRule="auto"/>
        <w:ind w:firstLine="720"/>
        <w:jc w:val="both"/>
        <w:rPr>
          <w:sz w:val="22"/>
          <w:szCs w:val="22"/>
        </w:rPr>
      </w:pPr>
      <w:r w:rsidRPr="00882FD5">
        <w:t>For the Austin survey, a</w:t>
      </w:r>
      <w:r w:rsidR="00802D9F" w:rsidRPr="00882FD5">
        <w:t xml:space="preserve"> financial incentive was provided in the form of $10 Amazon gift cards for the first 250 respondents, while the remaining respondents were entered into a drawing to win one of the remaining one hundred $10 Amazon gift cards. </w:t>
      </w:r>
      <w:r w:rsidR="00281B18" w:rsidRPr="00882FD5">
        <w:t xml:space="preserve">The </w:t>
      </w:r>
      <w:r w:rsidRPr="00882FD5">
        <w:t xml:space="preserve">ensuing </w:t>
      </w:r>
      <w:r w:rsidR="00457FD0" w:rsidRPr="00882FD5">
        <w:t xml:space="preserve">survey </w:t>
      </w:r>
      <w:r w:rsidR="00281B18" w:rsidRPr="00882FD5">
        <w:t>distribution effort resulted in a convenience sample of 1,127 respondents (for the city of Austin), which was</w:t>
      </w:r>
      <w:r w:rsidR="00F34230" w:rsidRPr="00882FD5">
        <w:t xml:space="preserve"> </w:t>
      </w:r>
      <w:r w:rsidR="00281B18" w:rsidRPr="00882FD5">
        <w:t>reduced to a final s</w:t>
      </w:r>
      <w:r w:rsidR="009C38A4" w:rsidRPr="00882FD5">
        <w:t>ample</w:t>
      </w:r>
      <w:r w:rsidR="00281B18" w:rsidRPr="00882FD5">
        <w:t xml:space="preserve"> of 928 individuals after removing 199 individuals who </w:t>
      </w:r>
      <w:r w:rsidR="009C38A4" w:rsidRPr="00882FD5">
        <w:t xml:space="preserve">provided clearly </w:t>
      </w:r>
      <w:r w:rsidR="009C38A4" w:rsidRPr="00882FD5">
        <w:lastRenderedPageBreak/>
        <w:t xml:space="preserve">inappropriate </w:t>
      </w:r>
      <w:r w:rsidR="00F34230" w:rsidRPr="00882FD5">
        <w:t xml:space="preserve">or incomplete </w:t>
      </w:r>
      <w:r w:rsidR="009C38A4" w:rsidRPr="00882FD5">
        <w:t xml:space="preserve">responses (such as </w:t>
      </w:r>
      <w:r w:rsidR="008C0B9D" w:rsidRPr="00882FD5">
        <w:t xml:space="preserve">inconsistent socio-demographic information, incomplete modal ranks, </w:t>
      </w:r>
      <w:r w:rsidR="00F34230" w:rsidRPr="00882FD5">
        <w:t xml:space="preserve">and </w:t>
      </w:r>
      <w:r w:rsidR="008C0B9D" w:rsidRPr="00882FD5">
        <w:t>missing information on residential location</w:t>
      </w:r>
      <w:r w:rsidR="00F34230" w:rsidRPr="00882FD5">
        <w:t xml:space="preserve">). </w:t>
      </w:r>
    </w:p>
    <w:p w14:paraId="3BBA3516" w14:textId="6FAC861C" w:rsidR="002C77E7" w:rsidRPr="00882FD5" w:rsidRDefault="00887A24" w:rsidP="007D2D02">
      <w:pPr>
        <w:spacing w:before="0" w:line="240" w:lineRule="auto"/>
        <w:ind w:firstLine="720"/>
        <w:jc w:val="both"/>
      </w:pPr>
      <w:r w:rsidRPr="00882FD5">
        <w:t>The survey elicited several user characteristics and choice</w:t>
      </w:r>
      <w:r w:rsidR="003F4EAF" w:rsidRPr="00882FD5">
        <w:t>s</w:t>
      </w:r>
      <w:r w:rsidR="0005211E" w:rsidRPr="00882FD5">
        <w:t xml:space="preserve">, which we discuss in </w:t>
      </w:r>
      <w:r w:rsidR="008C6D20" w:rsidRPr="00882FD5">
        <w:t>three</w:t>
      </w:r>
      <w:r w:rsidR="0005211E" w:rsidRPr="00882FD5">
        <w:t xml:space="preserve"> categories below: (a) those related to </w:t>
      </w:r>
      <w:r w:rsidR="00983AF9" w:rsidRPr="00882FD5">
        <w:t>transportation</w:t>
      </w:r>
      <w:r w:rsidR="003F4EAF" w:rsidRPr="00882FD5">
        <w:t>/technology</w:t>
      </w:r>
      <w:r w:rsidR="00983AF9" w:rsidRPr="00882FD5">
        <w:t xml:space="preserve"> </w:t>
      </w:r>
      <w:r w:rsidRPr="00882FD5">
        <w:t>attitud</w:t>
      </w:r>
      <w:r w:rsidR="0005211E" w:rsidRPr="00882FD5">
        <w:t xml:space="preserve">inal indicators and </w:t>
      </w:r>
      <w:r w:rsidR="00983AF9" w:rsidRPr="00882FD5">
        <w:t>lifestyle preferences</w:t>
      </w:r>
      <w:r w:rsidR="003F4EAF" w:rsidRPr="00882FD5">
        <w:t xml:space="preserve"> related to transportation, environment, and residential living space</w:t>
      </w:r>
      <w:r w:rsidR="0005211E" w:rsidRPr="00882FD5">
        <w:t xml:space="preserve"> (these form the indicators for the latent constructs, as discussed in Section 3.2 below)</w:t>
      </w:r>
      <w:r w:rsidR="003F4EAF" w:rsidRPr="00882FD5">
        <w:t xml:space="preserve">, </w:t>
      </w:r>
      <w:r w:rsidR="0005211E" w:rsidRPr="00882FD5">
        <w:t xml:space="preserve">(b) </w:t>
      </w:r>
      <w:r w:rsidR="003F4EAF" w:rsidRPr="00882FD5">
        <w:t>current residential neighborhood</w:t>
      </w:r>
      <w:r w:rsidR="0005211E" w:rsidRPr="00882FD5">
        <w:t xml:space="preserve">, </w:t>
      </w:r>
      <w:r w:rsidR="003F4EAF" w:rsidRPr="00882FD5">
        <w:t>auto-ownership levels, and</w:t>
      </w:r>
      <w:r w:rsidR="0005211E" w:rsidRPr="00882FD5">
        <w:t xml:space="preserve"> </w:t>
      </w:r>
      <w:r w:rsidR="003F4EAF" w:rsidRPr="00882FD5">
        <w:t xml:space="preserve">stated </w:t>
      </w:r>
      <w:r w:rsidRPr="00882FD5">
        <w:t xml:space="preserve">preferences </w:t>
      </w:r>
      <w:r w:rsidR="003F4EAF" w:rsidRPr="00882FD5">
        <w:t xml:space="preserve">for </w:t>
      </w:r>
      <w:r w:rsidRPr="00882FD5">
        <w:t xml:space="preserve">emerging mobility options </w:t>
      </w:r>
      <w:r w:rsidR="003F4EAF" w:rsidRPr="00882FD5">
        <w:t xml:space="preserve">of </w:t>
      </w:r>
      <w:r w:rsidRPr="00882FD5">
        <w:t xml:space="preserve">ride-hailing and autonomous vehicles (AV) </w:t>
      </w:r>
      <w:r w:rsidR="0005211E" w:rsidRPr="00882FD5">
        <w:t>(these constitute the endogenous outcomes of interest, as discussed in Section 3.3 below</w:t>
      </w:r>
      <w:r w:rsidR="00741EBE" w:rsidRPr="00882FD5">
        <w:t>; as part of this section, we also discuss the trip-level attributes presented in the experimental design, which constitute exogenous variables</w:t>
      </w:r>
      <w:r w:rsidR="0005211E" w:rsidRPr="00882FD5">
        <w:t xml:space="preserve">), and (c) </w:t>
      </w:r>
      <w:r w:rsidRPr="00882FD5">
        <w:t>individual</w:t>
      </w:r>
      <w:r w:rsidR="004C3C78" w:rsidRPr="00882FD5">
        <w:t xml:space="preserve"> </w:t>
      </w:r>
      <w:r w:rsidRPr="00882FD5">
        <w:t xml:space="preserve">and household </w:t>
      </w:r>
      <w:r w:rsidR="004C3C78" w:rsidRPr="00882FD5">
        <w:t>socio-demographics</w:t>
      </w:r>
      <w:r w:rsidR="0005211E" w:rsidRPr="00882FD5">
        <w:t xml:space="preserve"> (which</w:t>
      </w:r>
      <w:r w:rsidR="00741EBE" w:rsidRPr="00882FD5">
        <w:t xml:space="preserve">, along with the trip-level attributes discussed in Section 3.3, </w:t>
      </w:r>
      <w:r w:rsidR="004C3C78" w:rsidRPr="00882FD5">
        <w:t xml:space="preserve">form </w:t>
      </w:r>
      <w:r w:rsidR="0005211E" w:rsidRPr="00882FD5">
        <w:t>the exogenous variables, a</w:t>
      </w:r>
      <w:r w:rsidR="00741EBE" w:rsidRPr="00882FD5">
        <w:t xml:space="preserve">nd are </w:t>
      </w:r>
      <w:r w:rsidR="0005211E" w:rsidRPr="00882FD5">
        <w:t xml:space="preserve">discussed in Section 3.4 below). </w:t>
      </w:r>
    </w:p>
    <w:p w14:paraId="0AF979E7" w14:textId="77777777" w:rsidR="00B37617" w:rsidRPr="00882FD5" w:rsidRDefault="00B37617" w:rsidP="007D2D02">
      <w:pPr>
        <w:spacing w:before="0" w:line="240" w:lineRule="auto"/>
        <w:ind w:firstLine="720"/>
        <w:jc w:val="both"/>
      </w:pPr>
    </w:p>
    <w:p w14:paraId="75FF22E4" w14:textId="77777777" w:rsidR="00BA428E" w:rsidRPr="00882FD5" w:rsidRDefault="00BA428E" w:rsidP="007D2D02">
      <w:pPr>
        <w:pStyle w:val="Heading2"/>
        <w:numPr>
          <w:ilvl w:val="1"/>
          <w:numId w:val="19"/>
        </w:numPr>
        <w:spacing w:before="0" w:after="0" w:line="240" w:lineRule="auto"/>
        <w:ind w:left="450" w:hanging="450"/>
      </w:pPr>
      <w:r w:rsidRPr="00882FD5">
        <w:t>Latent Constructs</w:t>
      </w:r>
    </w:p>
    <w:p w14:paraId="57EA86C1" w14:textId="50E9D89A" w:rsidR="00BA428E" w:rsidRPr="00882FD5" w:rsidRDefault="00BA428E" w:rsidP="007D2D02">
      <w:pPr>
        <w:spacing w:before="0" w:line="240" w:lineRule="auto"/>
        <w:jc w:val="both"/>
      </w:pPr>
      <w:r w:rsidRPr="00882FD5">
        <w:t>In our empirical analysis, we consider two latent constructs: Green Lifestyle Propensity (GLP) and Luxury Lifestyle Propensity (LLP). [Note that additional latent constructs, including those associated with variety-seeking lifestyle, security concern, time sensitivity</w:t>
      </w:r>
      <w:r w:rsidR="00CE75C8" w:rsidRPr="00882FD5">
        <w:t>,</w:t>
      </w:r>
      <w:r w:rsidRPr="00882FD5">
        <w:t xml:space="preserve"> and tech-savviness were also constructed and tested in the model, but did not turn out to be statistically significant in explaining any of the main outcomes; this is because of correlation between these other constructs and the constructs already considered in this paper]. The stochastic latent constructs are not observed directly from the sample</w:t>
      </w:r>
      <w:r w:rsidR="00EA0AF4">
        <w:t>,</w:t>
      </w:r>
      <w:r w:rsidRPr="00882FD5">
        <w:t xml:space="preserve"> but are estimated based on attitudinal questions (indicators) capturing user preferences. A traditional confirmatory factor analysis determined the most suitable indicators for each of the selected two latent constructs, as discussed further below. </w:t>
      </w:r>
    </w:p>
    <w:p w14:paraId="5B4072C1" w14:textId="01A8BCFA" w:rsidR="00BA428E" w:rsidRPr="00882FD5" w:rsidRDefault="00BA428E" w:rsidP="007D2D02">
      <w:pPr>
        <w:spacing w:before="0" w:line="240" w:lineRule="auto"/>
        <w:ind w:firstLine="720"/>
        <w:jc w:val="both"/>
      </w:pPr>
      <w:r w:rsidRPr="00882FD5">
        <w:rPr>
          <w:color w:val="000000" w:themeColor="text1"/>
        </w:rPr>
        <w:t>The first latent construct, GLP (sometimes also termed Environmental Consciousness)</w:t>
      </w:r>
      <w:r w:rsidR="008C6D20" w:rsidRPr="00882FD5">
        <w:rPr>
          <w:color w:val="000000" w:themeColor="text1"/>
        </w:rPr>
        <w:t xml:space="preserve">, </w:t>
      </w:r>
      <w:r w:rsidRPr="00882FD5">
        <w:rPr>
          <w:color w:val="000000" w:themeColor="text1"/>
        </w:rPr>
        <w:t>refers to a general consciousness about the degrading quality of the environment and concerns about the personal carbon footprint on environmental quality. Several studies in the land use-travel behavior literature have established GLP (or Environmental Consciousness) as an important attitudinal factor impacting individuals’ travel decisions (</w:t>
      </w:r>
      <w:r w:rsidRPr="00882FD5">
        <w:t>see</w:t>
      </w:r>
      <w:r w:rsidR="00CE75C8" w:rsidRPr="00882FD5">
        <w:t>,</w:t>
      </w:r>
      <w:r w:rsidRPr="00882FD5">
        <w:t xml:space="preserve"> for example, Zhu et al.,</w:t>
      </w:r>
      <w:r w:rsidR="00CE75C8" w:rsidRPr="00882FD5">
        <w:t xml:space="preserve"> </w:t>
      </w:r>
      <w:r w:rsidRPr="00882FD5">
        <w:t>2020 and Blazanin et al., 2022).</w:t>
      </w:r>
      <w:r w:rsidRPr="00882FD5">
        <w:rPr>
          <w:color w:val="000000" w:themeColor="text1"/>
        </w:rPr>
        <w:t xml:space="preserve"> </w:t>
      </w:r>
      <w:r w:rsidRPr="00882FD5">
        <w:t>For this construct, we use the following three ordinal indicators (all collected on a five-point Likert scale from “Strongly Disagree” to “Strongly Agree”):</w:t>
      </w:r>
    </w:p>
    <w:p w14:paraId="527F2B62" w14:textId="77777777" w:rsidR="00BA428E" w:rsidRPr="00882FD5" w:rsidRDefault="00BA428E" w:rsidP="00A8346F">
      <w:pPr>
        <w:pStyle w:val="ListParagraph"/>
        <w:numPr>
          <w:ilvl w:val="0"/>
          <w:numId w:val="10"/>
        </w:numPr>
        <w:autoSpaceDE w:val="0"/>
        <w:autoSpaceDN w:val="0"/>
        <w:adjustRightInd w:val="0"/>
        <w:spacing w:line="240" w:lineRule="auto"/>
        <w:ind w:left="720"/>
        <w:contextualSpacing w:val="0"/>
        <w:jc w:val="both"/>
      </w:pPr>
      <w:r w:rsidRPr="00882FD5">
        <w:t xml:space="preserve">The government should raise the gas tax to help reduce the negative impacts of transportation on the environment. </w:t>
      </w:r>
    </w:p>
    <w:p w14:paraId="73B01D33" w14:textId="77777777" w:rsidR="00BA428E" w:rsidRPr="00882FD5" w:rsidRDefault="00BA428E" w:rsidP="00A8346F">
      <w:pPr>
        <w:pStyle w:val="ListParagraph"/>
        <w:numPr>
          <w:ilvl w:val="0"/>
          <w:numId w:val="10"/>
        </w:numPr>
        <w:autoSpaceDE w:val="0"/>
        <w:autoSpaceDN w:val="0"/>
        <w:adjustRightInd w:val="0"/>
        <w:spacing w:line="240" w:lineRule="auto"/>
        <w:ind w:left="720"/>
        <w:contextualSpacing w:val="0"/>
        <w:jc w:val="both"/>
      </w:pPr>
      <w:r w:rsidRPr="00882FD5">
        <w:t xml:space="preserve">I am committed to an environmentally-friendly lifestyle. </w:t>
      </w:r>
    </w:p>
    <w:p w14:paraId="465D1C1F" w14:textId="77777777" w:rsidR="00BA428E" w:rsidRPr="00882FD5" w:rsidRDefault="00BA428E" w:rsidP="00A8346F">
      <w:pPr>
        <w:pStyle w:val="ListParagraph"/>
        <w:numPr>
          <w:ilvl w:val="0"/>
          <w:numId w:val="10"/>
        </w:numPr>
        <w:autoSpaceDE w:val="0"/>
        <w:autoSpaceDN w:val="0"/>
        <w:adjustRightInd w:val="0"/>
        <w:spacing w:line="240" w:lineRule="auto"/>
        <w:ind w:left="720"/>
        <w:contextualSpacing w:val="0"/>
        <w:jc w:val="both"/>
      </w:pPr>
      <w:r w:rsidRPr="00882FD5">
        <w:t xml:space="preserve">I am committed to using a </w:t>
      </w:r>
      <w:proofErr w:type="gramStart"/>
      <w:r w:rsidRPr="00882FD5">
        <w:t>less</w:t>
      </w:r>
      <w:proofErr w:type="gramEnd"/>
      <w:r w:rsidRPr="00882FD5">
        <w:t xml:space="preserve"> polluting means of transportation (e.g., walking, biking, and public transit) as much as possible. </w:t>
      </w:r>
    </w:p>
    <w:p w14:paraId="3A8F31FA" w14:textId="77777777" w:rsidR="00AB3568" w:rsidRDefault="00AB3568" w:rsidP="00AB3568">
      <w:pPr>
        <w:spacing w:before="0" w:line="240" w:lineRule="auto"/>
        <w:ind w:firstLine="720"/>
        <w:jc w:val="both"/>
        <w:rPr>
          <w:color w:val="000000" w:themeColor="text1"/>
        </w:rPr>
      </w:pPr>
    </w:p>
    <w:p w14:paraId="7D0CAEFE" w14:textId="74E97089" w:rsidR="00BA428E" w:rsidRPr="00882FD5" w:rsidRDefault="00BA428E" w:rsidP="00AB3568">
      <w:pPr>
        <w:spacing w:before="0" w:line="240" w:lineRule="auto"/>
        <w:ind w:firstLine="720"/>
        <w:jc w:val="both"/>
      </w:pPr>
      <w:r w:rsidRPr="00882FD5">
        <w:rPr>
          <w:color w:val="000000" w:themeColor="text1"/>
        </w:rPr>
        <w:t>The second latent construct, Luxury Lifestyle Propensity or LLP</w:t>
      </w:r>
      <w:r w:rsidR="00E57AD5" w:rsidRPr="00882FD5">
        <w:rPr>
          <w:color w:val="000000" w:themeColor="text1"/>
        </w:rPr>
        <w:t>,</w:t>
      </w:r>
      <w:r w:rsidRPr="00882FD5">
        <w:rPr>
          <w:color w:val="000000" w:themeColor="text1"/>
        </w:rPr>
        <w:t xml:space="preserve"> is characterized by a </w:t>
      </w:r>
      <w:r w:rsidRPr="00882FD5">
        <w:t>penchant for consuming more, marked by a desire for privacy, spaciousness, and signaling exclusivity. Again, within the body of the land use-travel behavior literature, several studies have used luxury lifestyle propensity or similar attitudes indicative of a lavish lifestyle to understand their role in travel decisions (see</w:t>
      </w:r>
      <w:r w:rsidR="00CE75C8" w:rsidRPr="00882FD5">
        <w:t>,</w:t>
      </w:r>
      <w:r w:rsidRPr="00882FD5">
        <w:t xml:space="preserve"> for example</w:t>
      </w:r>
      <w:r w:rsidRPr="00882FD5">
        <w:rPr>
          <w:color w:val="222222"/>
          <w:shd w:val="clear" w:color="auto" w:fill="FFFFFF"/>
        </w:rPr>
        <w:t>, Lavieri and Bhat, 2019 and Kim et al., 2020). The LLP stochastic latent construct is based on three attitudinal indicators:</w:t>
      </w:r>
    </w:p>
    <w:p w14:paraId="6AA24F64" w14:textId="77777777" w:rsidR="00BA428E" w:rsidRPr="00882FD5" w:rsidRDefault="00BA428E">
      <w:pPr>
        <w:pStyle w:val="ListParagraph"/>
        <w:numPr>
          <w:ilvl w:val="0"/>
          <w:numId w:val="11"/>
        </w:numPr>
        <w:autoSpaceDE w:val="0"/>
        <w:autoSpaceDN w:val="0"/>
        <w:adjustRightInd w:val="0"/>
        <w:spacing w:line="240" w:lineRule="auto"/>
        <w:contextualSpacing w:val="0"/>
        <w:jc w:val="both"/>
      </w:pPr>
      <w:r w:rsidRPr="00882FD5">
        <w:t xml:space="preserve">I like to be among the first to have the latest technology. </w:t>
      </w:r>
    </w:p>
    <w:p w14:paraId="6FCC98C0" w14:textId="77777777" w:rsidR="00BA428E" w:rsidRPr="00882FD5" w:rsidRDefault="00BA428E">
      <w:pPr>
        <w:pStyle w:val="ListParagraph"/>
        <w:numPr>
          <w:ilvl w:val="0"/>
          <w:numId w:val="11"/>
        </w:numPr>
        <w:autoSpaceDE w:val="0"/>
        <w:autoSpaceDN w:val="0"/>
        <w:adjustRightInd w:val="0"/>
        <w:spacing w:line="240" w:lineRule="auto"/>
        <w:contextualSpacing w:val="0"/>
        <w:jc w:val="both"/>
      </w:pPr>
      <w:r w:rsidRPr="00882FD5">
        <w:lastRenderedPageBreak/>
        <w:t>I prefer to live in a spacious home, even if it is farther from public transportation or many places I go.</w:t>
      </w:r>
    </w:p>
    <w:p w14:paraId="170CED65" w14:textId="091DFF1D" w:rsidR="00BA428E" w:rsidRPr="00882FD5" w:rsidRDefault="00BA428E">
      <w:pPr>
        <w:pStyle w:val="ListParagraph"/>
        <w:numPr>
          <w:ilvl w:val="0"/>
          <w:numId w:val="11"/>
        </w:numPr>
        <w:autoSpaceDE w:val="0"/>
        <w:autoSpaceDN w:val="0"/>
        <w:adjustRightInd w:val="0"/>
        <w:spacing w:line="240" w:lineRule="auto"/>
        <w:contextualSpacing w:val="0"/>
        <w:jc w:val="both"/>
      </w:pPr>
      <w:r w:rsidRPr="00882FD5">
        <w:t xml:space="preserve">I  definitely like the idea of owning my own car. </w:t>
      </w:r>
    </w:p>
    <w:p w14:paraId="5ED0A8CA" w14:textId="58C537B1" w:rsidR="00BA428E" w:rsidRPr="00882FD5" w:rsidRDefault="00BA428E" w:rsidP="00A8346F">
      <w:pPr>
        <w:pStyle w:val="ListParagraph"/>
        <w:autoSpaceDE w:val="0"/>
        <w:autoSpaceDN w:val="0"/>
        <w:adjustRightInd w:val="0"/>
        <w:spacing w:line="240" w:lineRule="auto"/>
        <w:contextualSpacing w:val="0"/>
        <w:jc w:val="both"/>
      </w:pPr>
    </w:p>
    <w:p w14:paraId="40536A95" w14:textId="1946084B" w:rsidR="002C77E7" w:rsidRPr="00882FD5" w:rsidRDefault="00BA428E" w:rsidP="007D2D02">
      <w:pPr>
        <w:pStyle w:val="Heading2"/>
        <w:numPr>
          <w:ilvl w:val="1"/>
          <w:numId w:val="19"/>
        </w:numPr>
        <w:spacing w:before="0" w:after="0" w:line="240" w:lineRule="auto"/>
        <w:ind w:left="450" w:hanging="450"/>
      </w:pPr>
      <w:r w:rsidRPr="00882FD5">
        <w:t>Endogenous Outcomes</w:t>
      </w:r>
    </w:p>
    <w:p w14:paraId="09161EAB" w14:textId="4E9A4F79" w:rsidR="00BA428E" w:rsidRDefault="00CD1E89" w:rsidP="007D2D02">
      <w:pPr>
        <w:spacing w:before="0" w:line="240" w:lineRule="auto"/>
        <w:rPr>
          <w:lang w:eastAsia="en-IN"/>
        </w:rPr>
      </w:pPr>
      <w:r w:rsidRPr="00882FD5">
        <w:rPr>
          <w:lang w:eastAsia="en-IN"/>
        </w:rPr>
        <w:t>T</w:t>
      </w:r>
      <w:r w:rsidR="00BA428E" w:rsidRPr="00882FD5">
        <w:rPr>
          <w:lang w:eastAsia="en-IN"/>
        </w:rPr>
        <w:t>he three endogenous outcome</w:t>
      </w:r>
      <w:r w:rsidRPr="00882FD5">
        <w:rPr>
          <w:lang w:eastAsia="en-IN"/>
        </w:rPr>
        <w:t xml:space="preserve">s </w:t>
      </w:r>
      <w:r w:rsidR="00BA428E" w:rsidRPr="00882FD5">
        <w:rPr>
          <w:lang w:eastAsia="en-IN"/>
        </w:rPr>
        <w:t>for our study are</w:t>
      </w:r>
      <w:r w:rsidRPr="00882FD5">
        <w:rPr>
          <w:lang w:eastAsia="en-IN"/>
        </w:rPr>
        <w:t xml:space="preserve"> discussed in turn in the sections below.</w:t>
      </w:r>
    </w:p>
    <w:p w14:paraId="10E7A92E" w14:textId="77777777" w:rsidR="007D2D02" w:rsidRPr="00882FD5" w:rsidRDefault="007D2D02" w:rsidP="007D2D02">
      <w:pPr>
        <w:spacing w:before="0" w:line="240" w:lineRule="auto"/>
        <w:rPr>
          <w:lang w:eastAsia="en-IN"/>
        </w:rPr>
      </w:pPr>
    </w:p>
    <w:p w14:paraId="33506915" w14:textId="6F4E9C2A" w:rsidR="00170E0F" w:rsidRPr="00882FD5" w:rsidRDefault="00BA428E" w:rsidP="007D2D02">
      <w:pPr>
        <w:pStyle w:val="ListParagraph"/>
        <w:numPr>
          <w:ilvl w:val="2"/>
          <w:numId w:val="19"/>
        </w:numPr>
        <w:spacing w:before="0" w:line="240" w:lineRule="auto"/>
        <w:contextualSpacing w:val="0"/>
        <w:jc w:val="both"/>
        <w:rPr>
          <w:i/>
        </w:rPr>
      </w:pPr>
      <w:r w:rsidRPr="00882FD5">
        <w:rPr>
          <w:i/>
          <w:lang w:eastAsia="en-IN"/>
        </w:rPr>
        <w:t>High-</w:t>
      </w:r>
      <w:r w:rsidR="00EF31EC">
        <w:rPr>
          <w:i/>
          <w:lang w:eastAsia="en-IN"/>
        </w:rPr>
        <w:t>D</w:t>
      </w:r>
      <w:r w:rsidRPr="00882FD5">
        <w:rPr>
          <w:i/>
          <w:lang w:eastAsia="en-IN"/>
        </w:rPr>
        <w:t xml:space="preserve">ensity </w:t>
      </w:r>
      <w:r w:rsidR="00EF31EC">
        <w:rPr>
          <w:i/>
          <w:lang w:eastAsia="en-IN"/>
        </w:rPr>
        <w:t>N</w:t>
      </w:r>
      <w:r w:rsidRPr="00882FD5">
        <w:rPr>
          <w:i/>
          <w:lang w:eastAsia="en-IN"/>
        </w:rPr>
        <w:t xml:space="preserve">eighborhood (HDN) </w:t>
      </w:r>
      <w:r w:rsidR="00EF31EC">
        <w:rPr>
          <w:i/>
          <w:lang w:eastAsia="en-IN"/>
        </w:rPr>
        <w:t>L</w:t>
      </w:r>
      <w:r w:rsidRPr="00882FD5">
        <w:rPr>
          <w:i/>
          <w:lang w:eastAsia="en-IN"/>
        </w:rPr>
        <w:t>iving</w:t>
      </w:r>
    </w:p>
    <w:p w14:paraId="30A34DE7" w14:textId="3806C1A7" w:rsidR="00BA428E" w:rsidRDefault="00BA428E" w:rsidP="007D2D02">
      <w:pPr>
        <w:spacing w:before="0" w:line="240" w:lineRule="auto"/>
        <w:jc w:val="both"/>
        <w:rPr>
          <w:lang w:eastAsia="en-IN"/>
        </w:rPr>
      </w:pPr>
      <w:r w:rsidRPr="00882FD5">
        <w:rPr>
          <w:lang w:eastAsia="en-IN"/>
        </w:rPr>
        <w:t xml:space="preserve">This endogenous outcome is a binary variable indicating whether an individual resides in a dense neighborhood or not. Each individual’s residence </w:t>
      </w:r>
      <w:r w:rsidR="001C2C5E" w:rsidRPr="00882FD5">
        <w:rPr>
          <w:lang w:eastAsia="en-IN"/>
        </w:rPr>
        <w:t xml:space="preserve">address (closest cross-streets) </w:t>
      </w:r>
      <w:r w:rsidRPr="00882FD5">
        <w:rPr>
          <w:lang w:eastAsia="en-IN"/>
        </w:rPr>
        <w:t xml:space="preserve">is mapped to a Census Block Group (CBG), and </w:t>
      </w:r>
      <w:r w:rsidR="001C2C5E" w:rsidRPr="00882FD5">
        <w:rPr>
          <w:lang w:eastAsia="en-IN"/>
        </w:rPr>
        <w:t xml:space="preserve">the population density of the CBG (as extracted from the U.S. EPA Smart Location Database; see Ramsey and Bell, 2014) is attributed to </w:t>
      </w:r>
      <w:r w:rsidRPr="00882FD5">
        <w:rPr>
          <w:lang w:eastAsia="en-IN"/>
        </w:rPr>
        <w:t>the individual</w:t>
      </w:r>
      <w:r w:rsidR="001C2C5E" w:rsidRPr="00882FD5">
        <w:rPr>
          <w:lang w:eastAsia="en-IN"/>
        </w:rPr>
        <w:t>’s residence. Next, the individual</w:t>
      </w:r>
      <w:r w:rsidRPr="00882FD5">
        <w:rPr>
          <w:lang w:eastAsia="en-IN"/>
        </w:rPr>
        <w:t xml:space="preserve"> is designated as residing in an HDN if the residential CBG has a population density of more than 10 individuals/acre</w:t>
      </w:r>
      <w:r w:rsidR="007C4360" w:rsidRPr="00882FD5">
        <w:rPr>
          <w:lang w:eastAsia="en-IN"/>
        </w:rPr>
        <w:t xml:space="preserve"> </w:t>
      </w:r>
      <w:r w:rsidR="000E07A5">
        <w:rPr>
          <w:lang w:eastAsia="en-IN"/>
        </w:rPr>
        <w:t>(t</w:t>
      </w:r>
      <w:r w:rsidR="007C4360" w:rsidRPr="00882FD5">
        <w:rPr>
          <w:lang w:eastAsia="en-IN"/>
        </w:rPr>
        <w:t>he average population density of Austin is close to 5 individuals/acre</w:t>
      </w:r>
      <w:r w:rsidR="003534C0">
        <w:rPr>
          <w:lang w:eastAsia="en-IN"/>
        </w:rPr>
        <w:t xml:space="preserve"> (see City of Austin, 2021)).</w:t>
      </w:r>
      <w:r w:rsidR="001D39C5" w:rsidRPr="00882FD5">
        <w:rPr>
          <w:lang w:eastAsia="en-IN"/>
        </w:rPr>
        <w:t xml:space="preserve"> The most densely populated CBGs are found</w:t>
      </w:r>
      <w:r w:rsidR="00EE73F5" w:rsidRPr="00882FD5">
        <w:rPr>
          <w:lang w:eastAsia="en-IN"/>
        </w:rPr>
        <w:t xml:space="preserve"> </w:t>
      </w:r>
      <w:r w:rsidR="001D39C5" w:rsidRPr="00882FD5">
        <w:rPr>
          <w:lang w:eastAsia="en-IN"/>
        </w:rPr>
        <w:t>around the University of Texas</w:t>
      </w:r>
      <w:r w:rsidR="00EE73F5" w:rsidRPr="00882FD5">
        <w:rPr>
          <w:lang w:eastAsia="en-IN"/>
        </w:rPr>
        <w:t xml:space="preserve"> (Hyde Park, North University, West Campus) and in the Downtown region. Other pockets of high-density neighborhoods are located around the </w:t>
      </w:r>
      <w:r w:rsidR="00443BC8" w:rsidRPr="00882FD5">
        <w:rPr>
          <w:lang w:eastAsia="en-IN"/>
        </w:rPr>
        <w:t xml:space="preserve">areas of </w:t>
      </w:r>
      <w:r w:rsidR="003534C0">
        <w:rPr>
          <w:lang w:eastAsia="en-IN"/>
        </w:rPr>
        <w:t xml:space="preserve">the </w:t>
      </w:r>
      <w:r w:rsidR="00EE73F5" w:rsidRPr="00882FD5">
        <w:rPr>
          <w:lang w:eastAsia="en-IN"/>
        </w:rPr>
        <w:t>Domain,</w:t>
      </w:r>
      <w:r w:rsidR="00443BC8" w:rsidRPr="00882FD5">
        <w:rPr>
          <w:lang w:eastAsia="en-IN"/>
        </w:rPr>
        <w:t xml:space="preserve"> South Congress, North Lamar, East Riverside-</w:t>
      </w:r>
      <w:proofErr w:type="spellStart"/>
      <w:r w:rsidR="00443BC8" w:rsidRPr="00882FD5">
        <w:rPr>
          <w:lang w:eastAsia="en-IN"/>
        </w:rPr>
        <w:t>Oltorf</w:t>
      </w:r>
      <w:proofErr w:type="spellEnd"/>
      <w:r w:rsidR="00443BC8" w:rsidRPr="00882FD5">
        <w:rPr>
          <w:lang w:eastAsia="en-IN"/>
        </w:rPr>
        <w:t>, and Round Rock</w:t>
      </w:r>
      <w:r w:rsidR="003534C0">
        <w:rPr>
          <w:lang w:eastAsia="en-IN"/>
        </w:rPr>
        <w:t>, rounding out the multi-centric nature of the Austin metro area. 149 of the 967 CBGs in the Austin-Round Rock Metropolitan Statistical Area (MSA) are HDN.</w:t>
      </w:r>
      <w:r w:rsidR="00EE73F5" w:rsidRPr="00882FD5">
        <w:rPr>
          <w:lang w:eastAsia="en-IN"/>
        </w:rPr>
        <w:t xml:space="preserve"> </w:t>
      </w:r>
      <w:r w:rsidRPr="00882FD5">
        <w:rPr>
          <w:lang w:eastAsia="en-IN"/>
        </w:rPr>
        <w:t>In the sample used in this study, 228 individuals (24.5% of the sample) reside in an HDN, while the remaining individuals reside in non-HDNs.</w:t>
      </w:r>
    </w:p>
    <w:p w14:paraId="763FFF87" w14:textId="77777777" w:rsidR="007D2D02" w:rsidRPr="00882FD5" w:rsidRDefault="007D2D02" w:rsidP="007D2D02">
      <w:pPr>
        <w:spacing w:before="0" w:line="240" w:lineRule="auto"/>
        <w:jc w:val="both"/>
        <w:rPr>
          <w:lang w:eastAsia="en-IN"/>
        </w:rPr>
      </w:pPr>
    </w:p>
    <w:p w14:paraId="4A675C74" w14:textId="0FAA4729" w:rsidR="00170E0F" w:rsidRPr="00882FD5" w:rsidRDefault="00BA428E" w:rsidP="007D2D02">
      <w:pPr>
        <w:pStyle w:val="ListParagraph"/>
        <w:numPr>
          <w:ilvl w:val="2"/>
          <w:numId w:val="19"/>
        </w:numPr>
        <w:spacing w:before="0" w:line="240" w:lineRule="auto"/>
        <w:contextualSpacing w:val="0"/>
        <w:rPr>
          <w:i/>
        </w:rPr>
      </w:pPr>
      <w:r w:rsidRPr="00882FD5">
        <w:rPr>
          <w:i/>
          <w:lang w:eastAsia="en-IN"/>
        </w:rPr>
        <w:t>Auto-</w:t>
      </w:r>
      <w:r w:rsidR="00EF31EC">
        <w:rPr>
          <w:i/>
          <w:lang w:eastAsia="en-IN"/>
        </w:rPr>
        <w:t>O</w:t>
      </w:r>
      <w:r w:rsidRPr="00882FD5">
        <w:rPr>
          <w:i/>
          <w:lang w:eastAsia="en-IN"/>
        </w:rPr>
        <w:t xml:space="preserve">wnership </w:t>
      </w:r>
    </w:p>
    <w:p w14:paraId="69518B9C" w14:textId="77777777" w:rsidR="007D2D02" w:rsidRDefault="00BA428E" w:rsidP="007D2D02">
      <w:pPr>
        <w:spacing w:before="0" w:line="240" w:lineRule="auto"/>
        <w:jc w:val="both"/>
        <w:rPr>
          <w:color w:val="222222"/>
          <w:lang w:eastAsia="en-IN"/>
        </w:rPr>
      </w:pPr>
      <w:r w:rsidRPr="00882FD5">
        <w:rPr>
          <w:lang w:eastAsia="en-IN"/>
        </w:rPr>
        <w:t>The auto-ownership endogenous outcome</w:t>
      </w:r>
      <w:r w:rsidR="00C544B7" w:rsidRPr="00882FD5">
        <w:rPr>
          <w:lang w:eastAsia="en-IN"/>
        </w:rPr>
        <w:t xml:space="preserve"> corresponds to the number of motorized four-wheelers available to the household. This outcome </w:t>
      </w:r>
      <w:r w:rsidRPr="00882FD5">
        <w:rPr>
          <w:lang w:eastAsia="en-IN"/>
        </w:rPr>
        <w:t>is considered as an ordered variable (with levels of 0,1,2,3</w:t>
      </w:r>
      <w:r w:rsidR="00CE75C8" w:rsidRPr="00882FD5">
        <w:rPr>
          <w:lang w:eastAsia="en-IN"/>
        </w:rPr>
        <w:t>,</w:t>
      </w:r>
      <w:r w:rsidRPr="00882FD5">
        <w:rPr>
          <w:lang w:eastAsia="en-IN"/>
        </w:rPr>
        <w:t xml:space="preserve"> and 4</w:t>
      </w:r>
      <w:r w:rsidR="00C544B7" w:rsidRPr="00882FD5">
        <w:rPr>
          <w:lang w:eastAsia="en-IN"/>
        </w:rPr>
        <w:t>+</w:t>
      </w:r>
      <w:r w:rsidRPr="00882FD5">
        <w:rPr>
          <w:lang w:eastAsia="en-IN"/>
        </w:rPr>
        <w:t xml:space="preserve">). The </w:t>
      </w:r>
      <w:r w:rsidR="00C544B7" w:rsidRPr="00882FD5">
        <w:rPr>
          <w:lang w:eastAsia="en-IN"/>
        </w:rPr>
        <w:t xml:space="preserve">highest value for the </w:t>
      </w:r>
      <w:r w:rsidRPr="00882FD5">
        <w:rPr>
          <w:lang w:eastAsia="en-IN"/>
        </w:rPr>
        <w:t xml:space="preserve">variable was </w:t>
      </w:r>
      <w:r w:rsidR="00C544B7" w:rsidRPr="00882FD5">
        <w:rPr>
          <w:lang w:eastAsia="en-IN"/>
        </w:rPr>
        <w:t>considered as 4+</w:t>
      </w:r>
      <w:r w:rsidRPr="00882FD5">
        <w:rPr>
          <w:lang w:eastAsia="en-IN"/>
        </w:rPr>
        <w:t xml:space="preserve"> because </w:t>
      </w:r>
      <w:r w:rsidR="001C2C5E" w:rsidRPr="00882FD5">
        <w:rPr>
          <w:lang w:eastAsia="en-IN"/>
        </w:rPr>
        <w:t xml:space="preserve">only </w:t>
      </w:r>
      <w:r w:rsidR="00B94100" w:rsidRPr="00882FD5">
        <w:rPr>
          <w:lang w:eastAsia="en-IN"/>
        </w:rPr>
        <w:t>34</w:t>
      </w:r>
      <w:r w:rsidR="001C2C5E" w:rsidRPr="00882FD5">
        <w:rPr>
          <w:lang w:eastAsia="en-IN"/>
        </w:rPr>
        <w:t xml:space="preserve"> </w:t>
      </w:r>
      <w:r w:rsidRPr="00882FD5">
        <w:rPr>
          <w:lang w:eastAsia="en-IN"/>
        </w:rPr>
        <w:t xml:space="preserve">households </w:t>
      </w:r>
      <w:r w:rsidR="001C2C5E" w:rsidRPr="00882FD5">
        <w:rPr>
          <w:lang w:eastAsia="en-IN"/>
        </w:rPr>
        <w:t xml:space="preserve">(less than </w:t>
      </w:r>
      <w:r w:rsidR="00B94100" w:rsidRPr="00882FD5">
        <w:rPr>
          <w:lang w:eastAsia="en-IN"/>
        </w:rPr>
        <w:t>3.7</w:t>
      </w:r>
      <w:r w:rsidR="001C2C5E" w:rsidRPr="00882FD5">
        <w:rPr>
          <w:lang w:eastAsia="en-IN"/>
        </w:rPr>
        <w:t xml:space="preserve">% of the sample) </w:t>
      </w:r>
      <w:r w:rsidRPr="00882FD5">
        <w:rPr>
          <w:lang w:eastAsia="en-IN"/>
        </w:rPr>
        <w:t>owned more than four vehicles. For modeling such capped non-negative integer counts, the ordered-response is a particular</w:t>
      </w:r>
      <w:r w:rsidR="001C2C5E" w:rsidRPr="00882FD5">
        <w:rPr>
          <w:lang w:eastAsia="en-IN"/>
        </w:rPr>
        <w:t>ly</w:t>
      </w:r>
      <w:r w:rsidRPr="00882FD5">
        <w:rPr>
          <w:lang w:eastAsia="en-IN"/>
        </w:rPr>
        <w:t xml:space="preserve"> suitable framework (see Haddad et al., 2022 for further discussion). </w:t>
      </w:r>
      <w:r w:rsidRPr="00882FD5">
        <w:rPr>
          <w:color w:val="222222"/>
          <w:lang w:eastAsia="en-IN"/>
        </w:rPr>
        <w:t>Our sample statistics reveal the following distribution of household auto</w:t>
      </w:r>
      <w:r w:rsidR="0082193C" w:rsidRPr="00882FD5">
        <w:rPr>
          <w:color w:val="222222"/>
          <w:lang w:eastAsia="en-IN"/>
        </w:rPr>
        <w:t>-</w:t>
      </w:r>
      <w:r w:rsidRPr="00882FD5">
        <w:rPr>
          <w:color w:val="222222"/>
          <w:lang w:eastAsia="en-IN"/>
        </w:rPr>
        <w:t>ownership level among the respondents: 8% of individuals reside in zero-auto households; about 25% reside in single-auto households; a little under 34% reside in two-auto households, about 20% live in three-auto households, and the rest in 4+-auto households.</w:t>
      </w:r>
    </w:p>
    <w:p w14:paraId="3DB1303C" w14:textId="6E19A811" w:rsidR="00170E0F" w:rsidRPr="00882FD5" w:rsidRDefault="00BA428E" w:rsidP="007D2D02">
      <w:pPr>
        <w:spacing w:before="0" w:line="240" w:lineRule="auto"/>
        <w:jc w:val="both"/>
      </w:pPr>
      <w:r w:rsidRPr="00882FD5">
        <w:rPr>
          <w:color w:val="222222"/>
          <w:lang w:eastAsia="en-IN"/>
        </w:rPr>
        <w:t xml:space="preserve"> </w:t>
      </w:r>
    </w:p>
    <w:p w14:paraId="6F3AE894" w14:textId="7E0EFA14" w:rsidR="00C544B7" w:rsidRPr="00882FD5" w:rsidRDefault="00BA428E" w:rsidP="007D2D02">
      <w:pPr>
        <w:pStyle w:val="ListParagraph"/>
        <w:numPr>
          <w:ilvl w:val="2"/>
          <w:numId w:val="19"/>
        </w:numPr>
        <w:spacing w:before="0" w:line="240" w:lineRule="auto"/>
        <w:contextualSpacing w:val="0"/>
        <w:jc w:val="both"/>
        <w:rPr>
          <w:i/>
        </w:rPr>
      </w:pPr>
      <w:r w:rsidRPr="00882FD5">
        <w:rPr>
          <w:i/>
        </w:rPr>
        <w:t xml:space="preserve">Ranked </w:t>
      </w:r>
      <w:r w:rsidR="00EF31EC">
        <w:rPr>
          <w:i/>
        </w:rPr>
        <w:t>M</w:t>
      </w:r>
      <w:r w:rsidRPr="00882FD5">
        <w:rPr>
          <w:i/>
        </w:rPr>
        <w:t xml:space="preserve">ode </w:t>
      </w:r>
      <w:r w:rsidR="00EF31EC">
        <w:rPr>
          <w:i/>
        </w:rPr>
        <w:t>P</w:t>
      </w:r>
      <w:r w:rsidRPr="00882FD5">
        <w:rPr>
          <w:i/>
        </w:rPr>
        <w:t>reference</w:t>
      </w:r>
    </w:p>
    <w:p w14:paraId="609C0853" w14:textId="31A77754" w:rsidR="00C544B7" w:rsidRPr="00882FD5" w:rsidRDefault="00BA428E" w:rsidP="007D2D02">
      <w:pPr>
        <w:spacing w:before="0" w:line="240" w:lineRule="auto"/>
        <w:jc w:val="both"/>
      </w:pPr>
      <w:r w:rsidRPr="00882FD5">
        <w:t>The mode choice outcome is in the form of a rank-ordered multinomial choice variable. The survey elicited users</w:t>
      </w:r>
      <w:r w:rsidR="00CD1E89" w:rsidRPr="00882FD5">
        <w:t>’</w:t>
      </w:r>
      <w:r w:rsidRPr="00882FD5">
        <w:t xml:space="preserve"> modal preferences through the use of a stated preference (SP) question that asked respondents to rank, in the context of a future autonomous </w:t>
      </w:r>
      <w:r w:rsidR="00751AD6" w:rsidRPr="00882FD5">
        <w:t xml:space="preserve">vehicle </w:t>
      </w:r>
      <w:r w:rsidRPr="00882FD5">
        <w:t xml:space="preserve">environment, their mode choice preferences (from most preferred to least preferred) for non-work/non-mandatory trips. The mode choice alternatives were: private vehicle (human-driven or autonomous), bicycle, public transport (bus/rail), human-driven private ride-hailing (ride-hailing alone with a human driver), human-driven pooled ride-hailing (ride-hailing with others with a human driver), autonomous vehicle (AV) private ride-hailing (same as private ride-hailing, except the vehicle </w:t>
      </w:r>
      <w:r w:rsidR="00E22B0F" w:rsidRPr="00882FD5">
        <w:t>is</w:t>
      </w:r>
      <w:r w:rsidRPr="00882FD5">
        <w:t xml:space="preserve"> autonomous</w:t>
      </w:r>
      <w:r w:rsidR="00E22B0F" w:rsidRPr="00882FD5">
        <w:t xml:space="preserve"> without a human driver</w:t>
      </w:r>
      <w:r w:rsidRPr="00882FD5">
        <w:t xml:space="preserve">), and AV pooled ride-hailing (same as pooled ride-hailing, except the vehicle </w:t>
      </w:r>
      <w:r w:rsidR="00E22B0F" w:rsidRPr="00882FD5">
        <w:t>is</w:t>
      </w:r>
      <w:r w:rsidRPr="00882FD5">
        <w:t xml:space="preserve"> autonomous).</w:t>
      </w:r>
      <w:r w:rsidR="002F016B" w:rsidRPr="00882FD5">
        <w:t xml:space="preserve"> </w:t>
      </w:r>
      <w:r w:rsidR="00C544B7" w:rsidRPr="00882FD5">
        <w:t xml:space="preserve">In the rest of this paper, </w:t>
      </w:r>
      <w:r w:rsidR="00C544B7" w:rsidRPr="00882FD5">
        <w:rPr>
          <w:color w:val="222222"/>
          <w:lang w:eastAsia="en-IN"/>
        </w:rPr>
        <w:t>we will use the acronym “HD” for human</w:t>
      </w:r>
      <w:r w:rsidR="00CE75C8" w:rsidRPr="00882FD5">
        <w:rPr>
          <w:color w:val="222222"/>
          <w:lang w:eastAsia="en-IN"/>
        </w:rPr>
        <w:t>-</w:t>
      </w:r>
      <w:r w:rsidR="00C544B7" w:rsidRPr="00882FD5">
        <w:rPr>
          <w:color w:val="222222"/>
          <w:lang w:eastAsia="en-IN"/>
        </w:rPr>
        <w:t>driven and “RH” for ride-hailing. Therefore, the seven modes will be referred to as private vehicle, bicycle, public transport, HD private RH, HD pooled RH, AV private RH, and AV pooled RH.</w:t>
      </w:r>
      <w:r w:rsidR="00C544B7" w:rsidRPr="00882FD5">
        <w:t xml:space="preserve"> </w:t>
      </w:r>
    </w:p>
    <w:p w14:paraId="05ED48B8" w14:textId="00999794" w:rsidR="00C544B7" w:rsidRPr="00882FD5" w:rsidRDefault="00C544B7" w:rsidP="007D2D02">
      <w:pPr>
        <w:spacing w:before="0" w:line="240" w:lineRule="auto"/>
        <w:ind w:firstLine="720"/>
        <w:jc w:val="both"/>
      </w:pPr>
      <w:r w:rsidRPr="00882FD5">
        <w:lastRenderedPageBreak/>
        <w:t xml:space="preserve">Three trip attributes were used to characterize the SP experiment – wait time, in-vehicle travel time (IVTT), and total trip cost. The attribute levels for each attribute varied by travel mode, with 3 to 9 levels for wait time, 5 to 31 levels for IVTT, and 3 to 44 levels for total trip cost (see Appendix </w:t>
      </w:r>
      <w:r w:rsidR="008B4F68" w:rsidRPr="00882FD5">
        <w:t>B</w:t>
      </w:r>
      <w:r w:rsidRPr="00882FD5">
        <w:t xml:space="preserve"> for additional details). </w:t>
      </w:r>
    </w:p>
    <w:p w14:paraId="6E6F7F56" w14:textId="005B025A" w:rsidR="002F016B" w:rsidRPr="00882FD5" w:rsidRDefault="00C544B7" w:rsidP="007D2D02">
      <w:pPr>
        <w:spacing w:before="0" w:line="240" w:lineRule="auto"/>
        <w:ind w:firstLine="720"/>
        <w:jc w:val="both"/>
      </w:pPr>
      <w:bookmarkStart w:id="5" w:name="_Hlk120892832"/>
      <w:r w:rsidRPr="00882FD5">
        <w:t>A</w:t>
      </w:r>
      <w:r w:rsidR="009B240A" w:rsidRPr="00882FD5">
        <w:t xml:space="preserve"> </w:t>
      </w:r>
      <w:r w:rsidRPr="00882FD5">
        <w:t xml:space="preserve">note </w:t>
      </w:r>
      <w:r w:rsidR="009B240A" w:rsidRPr="00882FD5">
        <w:t xml:space="preserve">is in order </w:t>
      </w:r>
      <w:r w:rsidRPr="00882FD5">
        <w:t xml:space="preserve">here. </w:t>
      </w:r>
      <w:r w:rsidR="002F016B" w:rsidRPr="00882FD5">
        <w:t xml:space="preserve">The reader </w:t>
      </w:r>
      <w:r w:rsidR="009B240A" w:rsidRPr="00882FD5">
        <w:t xml:space="preserve">may have observed </w:t>
      </w:r>
      <w:r w:rsidR="002F016B" w:rsidRPr="00882FD5">
        <w:t>the conspicuous absence of the walk mode</w:t>
      </w:r>
      <w:r w:rsidRPr="00882FD5">
        <w:t>,</w:t>
      </w:r>
      <w:r w:rsidR="002F016B" w:rsidRPr="00882FD5">
        <w:t xml:space="preserve"> and the </w:t>
      </w:r>
      <w:r w:rsidR="009B240A" w:rsidRPr="00882FD5">
        <w:t xml:space="preserve">lack </w:t>
      </w:r>
      <w:r w:rsidR="002F016B" w:rsidRPr="00882FD5">
        <w:t xml:space="preserve">of distinction between the human-driven and AV </w:t>
      </w:r>
      <w:r w:rsidR="00AF2C56" w:rsidRPr="00882FD5">
        <w:t>variants</w:t>
      </w:r>
      <w:r w:rsidR="002F016B" w:rsidRPr="00882FD5">
        <w:t xml:space="preserve"> </w:t>
      </w:r>
      <w:r w:rsidR="00AF2C56" w:rsidRPr="00882FD5">
        <w:t>for</w:t>
      </w:r>
      <w:r w:rsidR="002F016B" w:rsidRPr="00882FD5">
        <w:t xml:space="preserve"> the private vehicle mode</w:t>
      </w:r>
      <w:r w:rsidRPr="00882FD5">
        <w:t xml:space="preserve">, in the list of modal alternatives identified </w:t>
      </w:r>
      <w:r w:rsidR="00AF2C56" w:rsidRPr="00882FD5">
        <w:t>earlier</w:t>
      </w:r>
      <w:r w:rsidR="002F016B" w:rsidRPr="00882FD5">
        <w:t xml:space="preserve">. </w:t>
      </w:r>
      <w:r w:rsidR="002F016B" w:rsidRPr="00882FD5">
        <w:rPr>
          <w:iCs/>
        </w:rPr>
        <w:t xml:space="preserve">The survey team initially had included the walk mode and also separated out the human-driven and private AV modes, but was concerned (and also received feedback </w:t>
      </w:r>
      <w:r w:rsidR="00CE75C8" w:rsidRPr="00882FD5">
        <w:rPr>
          <w:iCs/>
        </w:rPr>
        <w:t>from</w:t>
      </w:r>
      <w:r w:rsidR="002F016B" w:rsidRPr="00882FD5">
        <w:rPr>
          <w:iCs/>
        </w:rPr>
        <w:t xml:space="preserve"> pilots) that ranking </w:t>
      </w:r>
      <w:r w:rsidR="00CD1E89" w:rsidRPr="00882FD5">
        <w:rPr>
          <w:iCs/>
        </w:rPr>
        <w:t>nine</w:t>
      </w:r>
      <w:r w:rsidR="002F016B" w:rsidRPr="00882FD5">
        <w:rPr>
          <w:iCs/>
        </w:rPr>
        <w:t xml:space="preserve"> alternatives was a little much. So, in thinking through alternatives to cut down, we decided to drop the walk alternative, </w:t>
      </w:r>
      <w:r w:rsidR="00170E0F" w:rsidRPr="00882FD5">
        <w:rPr>
          <w:iCs/>
        </w:rPr>
        <w:t xml:space="preserve">supported by </w:t>
      </w:r>
      <w:r w:rsidRPr="00882FD5">
        <w:rPr>
          <w:iCs/>
        </w:rPr>
        <w:t xml:space="preserve">the </w:t>
      </w:r>
      <w:r w:rsidR="002F016B" w:rsidRPr="00882FD5">
        <w:rPr>
          <w:iCs/>
        </w:rPr>
        <w:t>difficulty in engendering sufficient variation in travel times within a compact walk distance threshold in the SP experiment, as well as the irrelevant nature of both wait time and cost for the walk mode.</w:t>
      </w:r>
      <w:r w:rsidR="00170E0F" w:rsidRPr="00882FD5">
        <w:rPr>
          <w:iCs/>
        </w:rPr>
        <w:t xml:space="preserve"> Additionally</w:t>
      </w:r>
      <w:r w:rsidR="002F016B" w:rsidRPr="00882FD5">
        <w:rPr>
          <w:iCs/>
        </w:rPr>
        <w:t>, the team</w:t>
      </w:r>
      <w:r w:rsidR="00170E0F" w:rsidRPr="00882FD5">
        <w:rPr>
          <w:iCs/>
        </w:rPr>
        <w:t xml:space="preserve"> </w:t>
      </w:r>
      <w:r w:rsidR="002F016B" w:rsidRPr="00882FD5">
        <w:rPr>
          <w:iCs/>
        </w:rPr>
        <w:t xml:space="preserve">decided not to separate out the private vehicle mode by human-driven versus AV, with the view that </w:t>
      </w:r>
      <w:r w:rsidR="00CE75C8" w:rsidRPr="00882FD5">
        <w:rPr>
          <w:iCs/>
        </w:rPr>
        <w:t xml:space="preserve">the </w:t>
      </w:r>
      <w:r w:rsidR="002F016B" w:rsidRPr="00882FD5">
        <w:rPr>
          <w:iCs/>
        </w:rPr>
        <w:t>private vehicle mode choice would be less impacted by the distinction, while earlier studies have strongly pointed to this distinction being important in the context of ride</w:t>
      </w:r>
      <w:r w:rsidRPr="00882FD5">
        <w:rPr>
          <w:iCs/>
        </w:rPr>
        <w:t>-</w:t>
      </w:r>
      <w:r w:rsidR="002F016B" w:rsidRPr="00882FD5">
        <w:rPr>
          <w:iCs/>
        </w:rPr>
        <w:t xml:space="preserve">hailing </w:t>
      </w:r>
      <w:bookmarkStart w:id="6" w:name="_Hlk121885672"/>
      <w:r w:rsidR="002F016B" w:rsidRPr="00882FD5">
        <w:rPr>
          <w:iCs/>
        </w:rPr>
        <w:t>(see, for example, Lavieri and Bhat,</w:t>
      </w:r>
      <w:r w:rsidR="00161759" w:rsidRPr="00882FD5">
        <w:rPr>
          <w:iCs/>
        </w:rPr>
        <w:t xml:space="preserve"> 2019,</w:t>
      </w:r>
      <w:r w:rsidR="002F016B" w:rsidRPr="00882FD5">
        <w:rPr>
          <w:iCs/>
        </w:rPr>
        <w:t xml:space="preserve"> </w:t>
      </w:r>
      <w:r w:rsidR="00161759" w:rsidRPr="00882FD5">
        <w:rPr>
          <w:iCs/>
        </w:rPr>
        <w:t>Menon et al., 2019</w:t>
      </w:r>
      <w:r w:rsidR="002F016B" w:rsidRPr="00882FD5">
        <w:rPr>
          <w:iCs/>
        </w:rPr>
        <w:t xml:space="preserve"> and </w:t>
      </w:r>
      <w:r w:rsidR="001707B9" w:rsidRPr="00882FD5">
        <w:rPr>
          <w:iCs/>
        </w:rPr>
        <w:t>Mo et al., 2022</w:t>
      </w:r>
      <w:bookmarkEnd w:id="6"/>
      <w:r w:rsidR="002F016B" w:rsidRPr="00882FD5">
        <w:rPr>
          <w:iCs/>
        </w:rPr>
        <w:t xml:space="preserve">). With these intentional (even if </w:t>
      </w:r>
      <w:r w:rsidR="00170E0F" w:rsidRPr="00882FD5">
        <w:rPr>
          <w:iCs/>
        </w:rPr>
        <w:t xml:space="preserve">admittedly </w:t>
      </w:r>
      <w:r w:rsidR="002F016B" w:rsidRPr="00882FD5">
        <w:rPr>
          <w:iCs/>
        </w:rPr>
        <w:t xml:space="preserve">semi-executive) decisions, the number of alternatives reduced to seven in the SP ranking exercise.  </w:t>
      </w:r>
    </w:p>
    <w:bookmarkEnd w:id="5"/>
    <w:p w14:paraId="3A33D360" w14:textId="555E99AD" w:rsidR="00BA428E" w:rsidRPr="00882FD5" w:rsidRDefault="00C544B7" w:rsidP="007D2D02">
      <w:pPr>
        <w:spacing w:before="0" w:line="240" w:lineRule="auto"/>
        <w:ind w:firstLine="720"/>
        <w:jc w:val="both"/>
      </w:pPr>
      <w:r w:rsidRPr="00882FD5">
        <w:t xml:space="preserve">The SP experimental procedure entailed </w:t>
      </w:r>
      <w:r w:rsidR="00BA428E" w:rsidRPr="00882FD5">
        <w:t>an orthogonal fractional factorial design</w:t>
      </w:r>
      <w:r w:rsidRPr="00882FD5">
        <w:t xml:space="preserve"> with the seven alternatives, three trip attributes of wait time, IVTT, and cost</w:t>
      </w:r>
      <w:r w:rsidR="00BA428E" w:rsidRPr="00882FD5">
        <w:t xml:space="preserve">, </w:t>
      </w:r>
      <w:r w:rsidRPr="00882FD5">
        <w:t>and the multiple levels for each trip attribute. Supplemented by a random blocking approach, a</w:t>
      </w:r>
      <w:r w:rsidR="00BA428E" w:rsidRPr="00882FD5">
        <w:t xml:space="preserve"> total of 36 scenarios were developed</w:t>
      </w:r>
      <w:r w:rsidRPr="00882FD5">
        <w:t>.</w:t>
      </w:r>
      <w:r w:rsidR="00BA428E" w:rsidRPr="00882FD5">
        <w:t xml:space="preserve"> A single scenario was randomly assigned for presentation to each respondent. Additionally, a non-mandatory trip purpose was also randomly assigned to this question (which varied across individuals); the trip purposes were “Shopping”, Airport-access”, “Socializing” and “Eating-out”; these were later used as exogenous variables in our model to recognize that mode choice may be purpose-specific. Figure </w:t>
      </w:r>
      <w:r w:rsidR="00917066" w:rsidRPr="00882FD5">
        <w:t>2</w:t>
      </w:r>
      <w:r w:rsidR="00BA428E" w:rsidRPr="00882FD5">
        <w:t xml:space="preserve"> provides a sample of </w:t>
      </w:r>
      <w:r w:rsidRPr="00882FD5">
        <w:t>the</w:t>
      </w:r>
      <w:r w:rsidR="00BA428E" w:rsidRPr="00882FD5">
        <w:t xml:space="preserve"> actual question presented to respondents.  </w:t>
      </w:r>
    </w:p>
    <w:p w14:paraId="7140CA89" w14:textId="496029B0" w:rsidR="00BA428E" w:rsidRPr="00882FD5" w:rsidRDefault="00BA428E" w:rsidP="007D2D02">
      <w:pPr>
        <w:spacing w:before="0" w:line="240" w:lineRule="auto"/>
        <w:ind w:firstLine="720"/>
        <w:jc w:val="both"/>
        <w:rPr>
          <w:color w:val="222222"/>
          <w:lang w:eastAsia="en-IN"/>
        </w:rPr>
      </w:pPr>
      <w:r w:rsidRPr="00882FD5">
        <w:rPr>
          <w:color w:val="222222"/>
          <w:lang w:eastAsia="en-IN"/>
        </w:rPr>
        <w:t xml:space="preserve">The descriptive statistics of the mode choice ranking indicate a strong preference for the use of private vehicles among the individuals in the dataset, with more than 70% assigning this mode the top rank. Interestingly, beyond the top-most rank, HD private RH turned out to be </w:t>
      </w:r>
      <w:r w:rsidR="00E22B0F" w:rsidRPr="00882FD5">
        <w:rPr>
          <w:color w:val="222222"/>
          <w:lang w:eastAsia="en-IN"/>
        </w:rPr>
        <w:t xml:space="preserve">the </w:t>
      </w:r>
      <w:r w:rsidRPr="00882FD5">
        <w:rPr>
          <w:color w:val="222222"/>
          <w:lang w:eastAsia="en-IN"/>
        </w:rPr>
        <w:t xml:space="preserve">second-most preferred mode, which suggests that a large fraction of the individuals who choose private vehicle as the top rank are also inclined toward the use of HD private RH. Additionally, the rank-preference distribution also suggests that private RH modes (HD or AV) are preferred to pooled RH modes, and human-driven RH modes are generally preferred over AV RH modes. </w:t>
      </w:r>
      <w:bookmarkStart w:id="7" w:name="_Hlk121048518"/>
      <w:r w:rsidR="00D220D7" w:rsidRPr="00882FD5">
        <w:rPr>
          <w:color w:val="222222"/>
          <w:lang w:eastAsia="en-IN"/>
        </w:rPr>
        <w:t xml:space="preserve">These results hint at the notion that in addition to the trip attributes presented in the SP experiment, and other sociodemographic and built environment contexts, modal familiarity (that is, the familiarity with human-driven private modes) appears to also play a role in modal rankings. </w:t>
      </w:r>
      <w:bookmarkEnd w:id="7"/>
      <w:r w:rsidRPr="00882FD5">
        <w:rPr>
          <w:color w:val="222222"/>
          <w:lang w:eastAsia="en-IN"/>
        </w:rPr>
        <w:t xml:space="preserve">Bicycling is the least preferred mode, with only about 36% of the </w:t>
      </w:r>
      <w:r w:rsidR="00003DCD" w:rsidRPr="00882FD5">
        <w:rPr>
          <w:color w:val="222222"/>
          <w:lang w:eastAsia="en-IN"/>
        </w:rPr>
        <w:t>survey respondents</w:t>
      </w:r>
      <w:r w:rsidRPr="00882FD5">
        <w:rPr>
          <w:color w:val="222222"/>
          <w:lang w:eastAsia="en-IN"/>
        </w:rPr>
        <w:t xml:space="preserve"> ranking it within the top five.</w:t>
      </w:r>
    </w:p>
    <w:p w14:paraId="096F569B" w14:textId="316D626F" w:rsidR="00907D2E" w:rsidRPr="00907D2E" w:rsidRDefault="00D61DD0" w:rsidP="00907D2E">
      <w:pPr>
        <w:spacing w:line="240" w:lineRule="auto"/>
        <w:jc w:val="center"/>
        <w:rPr>
          <w:b/>
          <w:bCs/>
          <w:noProof/>
        </w:rPr>
      </w:pPr>
      <w:r>
        <w:rPr>
          <w:b/>
          <w:bCs/>
          <w:noProof/>
        </w:rPr>
        <w:lastRenderedPageBreak/>
        <w:drawing>
          <wp:inline distT="0" distB="0" distL="0" distR="0" wp14:anchorId="34EDF5D4" wp14:editId="3C30640D">
            <wp:extent cx="5882640" cy="324612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urvey ques.JPG"/>
                    <pic:cNvPicPr/>
                  </pic:nvPicPr>
                  <pic:blipFill rotWithShape="1">
                    <a:blip r:embed="rId333">
                      <a:extLst>
                        <a:ext uri="{28A0092B-C50C-407E-A947-70E740481C1C}">
                          <a14:useLocalDpi xmlns:a14="http://schemas.microsoft.com/office/drawing/2010/main" val="0"/>
                        </a:ext>
                      </a:extLst>
                    </a:blip>
                    <a:srcRect l="342" r="683" b="811"/>
                    <a:stretch/>
                  </pic:blipFill>
                  <pic:spPr bwMode="auto">
                    <a:xfrm>
                      <a:off x="0" y="0"/>
                      <a:ext cx="5882640" cy="3246120"/>
                    </a:xfrm>
                    <a:prstGeom prst="rect">
                      <a:avLst/>
                    </a:prstGeom>
                    <a:ln>
                      <a:noFill/>
                    </a:ln>
                    <a:extLst>
                      <a:ext uri="{53640926-AAD7-44D8-BBD7-CCE9431645EC}">
                        <a14:shadowObscured xmlns:a14="http://schemas.microsoft.com/office/drawing/2010/main"/>
                      </a:ext>
                    </a:extLst>
                  </pic:spPr>
                </pic:pic>
              </a:graphicData>
            </a:graphic>
          </wp:inline>
        </w:drawing>
      </w:r>
    </w:p>
    <w:p w14:paraId="66037771" w14:textId="1C6C7FCB" w:rsidR="00BA428E" w:rsidRDefault="00BA428E" w:rsidP="00907D2E">
      <w:pPr>
        <w:pStyle w:val="ProFigure"/>
        <w:spacing w:before="120" w:after="0"/>
        <w:ind w:firstLine="0"/>
        <w:jc w:val="left"/>
      </w:pPr>
      <w:r w:rsidRPr="00882FD5">
        <w:t xml:space="preserve">FIGURE </w:t>
      </w:r>
      <w:r w:rsidR="00917066" w:rsidRPr="00882FD5">
        <w:t>2</w:t>
      </w:r>
      <w:r w:rsidRPr="00882FD5">
        <w:t xml:space="preserve">  Example of </w:t>
      </w:r>
      <w:r w:rsidR="00003DCD" w:rsidRPr="00882FD5">
        <w:t xml:space="preserve">the </w:t>
      </w:r>
      <w:r w:rsidR="00E57AD5" w:rsidRPr="00882FD5">
        <w:t>R</w:t>
      </w:r>
      <w:r w:rsidRPr="00882FD5">
        <w:t xml:space="preserve">anking </w:t>
      </w:r>
      <w:r w:rsidR="00E57AD5" w:rsidRPr="00882FD5">
        <w:t>Q</w:t>
      </w:r>
      <w:r w:rsidRPr="00882FD5">
        <w:t xml:space="preserve">uestion </w:t>
      </w:r>
      <w:r w:rsidR="00E57AD5" w:rsidRPr="00882FD5">
        <w:t>P</w:t>
      </w:r>
      <w:r w:rsidRPr="00882FD5">
        <w:t xml:space="preserve">resented to </w:t>
      </w:r>
      <w:r w:rsidR="00E57AD5" w:rsidRPr="00882FD5">
        <w:t>U</w:t>
      </w:r>
      <w:r w:rsidRPr="00882FD5">
        <w:t>sers (</w:t>
      </w:r>
      <w:r w:rsidR="00E57AD5" w:rsidRPr="00882FD5">
        <w:t>S</w:t>
      </w:r>
      <w:r w:rsidRPr="00882FD5">
        <w:t xml:space="preserve">hopping </w:t>
      </w:r>
      <w:r w:rsidR="00E57AD5" w:rsidRPr="00882FD5">
        <w:t>P</w:t>
      </w:r>
      <w:r w:rsidRPr="00882FD5">
        <w:t xml:space="preserve">urpose) </w:t>
      </w:r>
    </w:p>
    <w:p w14:paraId="5BDB4944" w14:textId="77777777" w:rsidR="00EF31EC" w:rsidRPr="00EF31EC" w:rsidRDefault="00EF31EC" w:rsidP="00EF31EC">
      <w:pPr>
        <w:pStyle w:val="Caption"/>
        <w:spacing w:before="0" w:after="0"/>
        <w:rPr>
          <w:lang w:eastAsia="zh-CN"/>
        </w:rPr>
      </w:pPr>
    </w:p>
    <w:p w14:paraId="1CE6574C" w14:textId="404E7F8A" w:rsidR="00E22B0F" w:rsidRPr="00882FD5" w:rsidRDefault="00E22B0F" w:rsidP="00EF31EC">
      <w:pPr>
        <w:pStyle w:val="Heading2"/>
        <w:numPr>
          <w:ilvl w:val="1"/>
          <w:numId w:val="19"/>
        </w:numPr>
        <w:spacing w:before="0" w:after="0" w:line="240" w:lineRule="auto"/>
        <w:ind w:left="450" w:hanging="450"/>
      </w:pPr>
      <w:r w:rsidRPr="00882FD5">
        <w:t>Individual and Household Demographics</w:t>
      </w:r>
    </w:p>
    <w:p w14:paraId="1D1F311E" w14:textId="4C5E1A05" w:rsidR="00255E50" w:rsidRPr="00882FD5" w:rsidRDefault="002F5CD0" w:rsidP="00EF31EC">
      <w:pPr>
        <w:spacing w:before="0" w:line="240" w:lineRule="auto"/>
        <w:jc w:val="both"/>
      </w:pPr>
      <w:r w:rsidRPr="00882FD5">
        <w:t xml:space="preserve">Table 1 provides a brief description of the individual and household characteristics of the 928 sample respondents. The table also presents statistics corresponding to the Austin </w:t>
      </w:r>
      <w:r w:rsidR="00CD1E89" w:rsidRPr="00882FD5">
        <w:t>m</w:t>
      </w:r>
      <w:r w:rsidRPr="00882FD5">
        <w:t xml:space="preserve">etropolitan </w:t>
      </w:r>
      <w:r w:rsidR="00CD1E89" w:rsidRPr="00882FD5">
        <w:t xml:space="preserve">statistical area </w:t>
      </w:r>
      <w:r w:rsidRPr="00882FD5">
        <w:t xml:space="preserve">(MSA) population demographics, which are obtained from </w:t>
      </w:r>
      <w:r w:rsidR="001707B9" w:rsidRPr="00882FD5">
        <w:t>the U.S. Census Bureau (2018).</w:t>
      </w:r>
      <w:r w:rsidRPr="00882FD5">
        <w:t xml:space="preserve"> In cases where the Austin MSA values are not readily available, there is a “</w:t>
      </w:r>
      <w:r w:rsidR="00E52DF7" w:rsidRPr="00882FD5">
        <w:t>-</w:t>
      </w:r>
      <w:r w:rsidRPr="00882FD5">
        <w:t xml:space="preserve">” in the table. </w:t>
      </w:r>
      <w:r w:rsidR="00D51568" w:rsidRPr="00882FD5">
        <w:t xml:space="preserve">As may be observed from the table, our sample </w:t>
      </w:r>
      <w:r w:rsidRPr="00882FD5">
        <w:t>shows a</w:t>
      </w:r>
      <w:r w:rsidR="00D51568" w:rsidRPr="00882FD5">
        <w:t xml:space="preserve">n overrepresentation of women, young adults (in the age group of 18-29 years), individuals </w:t>
      </w:r>
      <w:r w:rsidR="00E52DF7" w:rsidRPr="00882FD5">
        <w:t xml:space="preserve">who </w:t>
      </w:r>
      <w:r w:rsidR="008A1848" w:rsidRPr="00882FD5">
        <w:t>completed some college or</w:t>
      </w:r>
      <w:r w:rsidR="00E31F16" w:rsidRPr="00882FD5">
        <w:t xml:space="preserve"> a higher education level</w:t>
      </w:r>
      <w:r w:rsidR="00D51568" w:rsidRPr="00882FD5">
        <w:t>,</w:t>
      </w:r>
      <w:r w:rsidR="0041756C" w:rsidRPr="00882FD5">
        <w:t xml:space="preserve"> un</w:t>
      </w:r>
      <w:r w:rsidR="00D51568" w:rsidRPr="00882FD5">
        <w:t xml:space="preserve">employed </w:t>
      </w:r>
      <w:r w:rsidR="0041756C" w:rsidRPr="00882FD5">
        <w:t xml:space="preserve">individuals, </w:t>
      </w:r>
      <w:r w:rsidR="00EA0AF4">
        <w:t xml:space="preserve">individuals </w:t>
      </w:r>
      <w:r w:rsidR="00E135EA">
        <w:t xml:space="preserve">from multi-adult and </w:t>
      </w:r>
      <w:r w:rsidR="008A1848" w:rsidRPr="00882FD5">
        <w:t>zero-children households, and low-income households.</w:t>
      </w:r>
    </w:p>
    <w:p w14:paraId="7682002E" w14:textId="77777777" w:rsidR="003260D1" w:rsidRDefault="003260D1">
      <w:pPr>
        <w:spacing w:before="0" w:after="160" w:line="259" w:lineRule="auto"/>
        <w:rPr>
          <w:rFonts w:eastAsia="SimHei" w:cstheme="majorBidi"/>
          <w:b/>
          <w:color w:val="000000" w:themeColor="text1"/>
          <w:spacing w:val="-2"/>
          <w:kern w:val="2"/>
          <w:szCs w:val="20"/>
          <w:lang w:eastAsia="zh-CN"/>
        </w:rPr>
      </w:pPr>
      <w:bookmarkStart w:id="8" w:name="_Toc119458183"/>
      <w:r>
        <w:br w:type="page"/>
      </w:r>
    </w:p>
    <w:p w14:paraId="35533CC8" w14:textId="7CB2E82D" w:rsidR="00316D50" w:rsidRPr="00882FD5" w:rsidRDefault="00316D50" w:rsidP="00316D50">
      <w:pPr>
        <w:pStyle w:val="ProTable"/>
      </w:pPr>
      <w:r w:rsidRPr="00882FD5">
        <w:lastRenderedPageBreak/>
        <w:t>T</w:t>
      </w:r>
      <w:r w:rsidR="00051EDB" w:rsidRPr="00882FD5">
        <w:t>ABLE</w:t>
      </w:r>
      <w:r w:rsidRPr="00882FD5">
        <w:t xml:space="preserve"> 1</w:t>
      </w:r>
      <w:r w:rsidR="00051EDB" w:rsidRPr="00882FD5">
        <w:t xml:space="preserve"> </w:t>
      </w:r>
      <w:r w:rsidRPr="00882FD5">
        <w:t xml:space="preserve"> Sample </w:t>
      </w:r>
      <w:r w:rsidR="00E57AD5" w:rsidRPr="00882FD5">
        <w:t>D</w:t>
      </w:r>
      <w:r w:rsidRPr="00882FD5">
        <w:t>escription</w:t>
      </w:r>
      <w:bookmarkEnd w:id="8"/>
    </w:p>
    <w:tbl>
      <w:tblPr>
        <w:tblW w:w="4967"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109"/>
        <w:gridCol w:w="1724"/>
        <w:gridCol w:w="1599"/>
        <w:gridCol w:w="1836"/>
      </w:tblGrid>
      <w:tr w:rsidR="008A1848" w:rsidRPr="000D5E4F" w14:paraId="28FFFA3D" w14:textId="77777777" w:rsidTr="00EF31EC">
        <w:trPr>
          <w:trHeight w:val="259"/>
        </w:trPr>
        <w:tc>
          <w:tcPr>
            <w:tcW w:w="2080" w:type="pct"/>
            <w:vMerge w:val="restart"/>
            <w:tcBorders>
              <w:top w:val="double" w:sz="4" w:space="0" w:color="auto"/>
              <w:right w:val="double" w:sz="4" w:space="0" w:color="auto"/>
            </w:tcBorders>
            <w:shd w:val="clear" w:color="auto" w:fill="auto"/>
            <w:noWrap/>
            <w:vAlign w:val="center"/>
            <w:hideMark/>
          </w:tcPr>
          <w:p w14:paraId="554F97E7" w14:textId="77777777" w:rsidR="008A1848" w:rsidRPr="000D5E4F" w:rsidRDefault="008A1848" w:rsidP="00EF31EC">
            <w:pPr>
              <w:spacing w:before="0" w:line="240" w:lineRule="auto"/>
              <w:contextualSpacing/>
              <w:rPr>
                <w:b/>
                <w:bCs/>
                <w:color w:val="000000"/>
                <w:sz w:val="22"/>
                <w:szCs w:val="22"/>
                <w:lang w:eastAsia="en-IN"/>
              </w:rPr>
            </w:pPr>
            <w:r w:rsidRPr="000D5E4F">
              <w:rPr>
                <w:b/>
                <w:bCs/>
                <w:color w:val="000000"/>
                <w:sz w:val="22"/>
                <w:szCs w:val="22"/>
                <w:lang w:eastAsia="en-IN"/>
              </w:rPr>
              <w:t>Variable</w:t>
            </w:r>
          </w:p>
        </w:tc>
        <w:tc>
          <w:tcPr>
            <w:tcW w:w="1884" w:type="pct"/>
            <w:gridSpan w:val="2"/>
            <w:tcBorders>
              <w:top w:val="double" w:sz="4" w:space="0" w:color="auto"/>
              <w:left w:val="double" w:sz="4" w:space="0" w:color="auto"/>
              <w:bottom w:val="single" w:sz="4" w:space="0" w:color="auto"/>
              <w:right w:val="double" w:sz="4" w:space="0" w:color="auto"/>
            </w:tcBorders>
            <w:shd w:val="clear" w:color="auto" w:fill="auto"/>
            <w:vAlign w:val="center"/>
          </w:tcPr>
          <w:p w14:paraId="46DC86F8" w14:textId="1C71B097" w:rsidR="008A1848" w:rsidRPr="000D5E4F" w:rsidRDefault="00E52DF7" w:rsidP="00EF31EC">
            <w:pPr>
              <w:spacing w:before="0" w:line="240" w:lineRule="auto"/>
              <w:contextualSpacing/>
              <w:jc w:val="center"/>
              <w:rPr>
                <w:b/>
                <w:bCs/>
                <w:color w:val="000000"/>
                <w:sz w:val="22"/>
                <w:szCs w:val="22"/>
                <w:lang w:eastAsia="en-IN"/>
              </w:rPr>
            </w:pPr>
            <w:r w:rsidRPr="000D5E4F">
              <w:rPr>
                <w:b/>
                <w:bCs/>
                <w:color w:val="000000"/>
                <w:sz w:val="22"/>
                <w:szCs w:val="22"/>
                <w:lang w:eastAsia="en-IN"/>
              </w:rPr>
              <w:t>Sample</w:t>
            </w:r>
          </w:p>
        </w:tc>
        <w:tc>
          <w:tcPr>
            <w:tcW w:w="1035" w:type="pct"/>
            <w:tcBorders>
              <w:top w:val="double" w:sz="4" w:space="0" w:color="auto"/>
              <w:left w:val="double" w:sz="4" w:space="0" w:color="auto"/>
              <w:bottom w:val="single" w:sz="4" w:space="0" w:color="auto"/>
            </w:tcBorders>
            <w:shd w:val="clear" w:color="auto" w:fill="auto"/>
            <w:vAlign w:val="center"/>
          </w:tcPr>
          <w:p w14:paraId="6CE85B35" w14:textId="0AE5BD79" w:rsidR="008A1848" w:rsidRPr="000D5E4F" w:rsidRDefault="008A1848" w:rsidP="00EF31EC">
            <w:pPr>
              <w:spacing w:before="0" w:line="240" w:lineRule="auto"/>
              <w:contextualSpacing/>
              <w:jc w:val="center"/>
              <w:rPr>
                <w:b/>
                <w:bCs/>
                <w:color w:val="000000"/>
                <w:sz w:val="22"/>
                <w:szCs w:val="22"/>
                <w:lang w:eastAsia="en-IN"/>
              </w:rPr>
            </w:pPr>
            <w:r w:rsidRPr="000D5E4F">
              <w:rPr>
                <w:b/>
                <w:bCs/>
                <w:color w:val="000000"/>
                <w:sz w:val="22"/>
                <w:szCs w:val="22"/>
                <w:lang w:eastAsia="en-IN"/>
              </w:rPr>
              <w:t>Census</w:t>
            </w:r>
          </w:p>
        </w:tc>
      </w:tr>
      <w:tr w:rsidR="008A1848" w:rsidRPr="000D5E4F" w14:paraId="42449808" w14:textId="77777777" w:rsidTr="00EF31EC">
        <w:trPr>
          <w:trHeight w:val="259"/>
        </w:trPr>
        <w:tc>
          <w:tcPr>
            <w:tcW w:w="2080" w:type="pct"/>
            <w:vMerge/>
            <w:tcBorders>
              <w:bottom w:val="double" w:sz="4" w:space="0" w:color="auto"/>
              <w:right w:val="double" w:sz="4" w:space="0" w:color="auto"/>
            </w:tcBorders>
            <w:shd w:val="clear" w:color="auto" w:fill="auto"/>
            <w:noWrap/>
            <w:vAlign w:val="center"/>
          </w:tcPr>
          <w:p w14:paraId="3E912966" w14:textId="77777777" w:rsidR="008A1848" w:rsidRPr="000D5E4F" w:rsidRDefault="008A1848" w:rsidP="00EF31EC">
            <w:pPr>
              <w:spacing w:before="0" w:line="240" w:lineRule="auto"/>
              <w:contextualSpacing/>
              <w:rPr>
                <w:b/>
                <w:bCs/>
                <w:color w:val="000000"/>
                <w:sz w:val="22"/>
                <w:szCs w:val="22"/>
                <w:lang w:eastAsia="en-IN"/>
              </w:rPr>
            </w:pPr>
          </w:p>
        </w:tc>
        <w:tc>
          <w:tcPr>
            <w:tcW w:w="976" w:type="pct"/>
            <w:tcBorders>
              <w:top w:val="single" w:sz="4" w:space="0" w:color="auto"/>
              <w:left w:val="double" w:sz="4" w:space="0" w:color="auto"/>
              <w:bottom w:val="double" w:sz="4" w:space="0" w:color="auto"/>
              <w:right w:val="single" w:sz="4" w:space="0" w:color="auto"/>
            </w:tcBorders>
            <w:shd w:val="clear" w:color="auto" w:fill="auto"/>
            <w:vAlign w:val="center"/>
          </w:tcPr>
          <w:p w14:paraId="61EE06C5" w14:textId="1A5E1298" w:rsidR="008A1848" w:rsidRPr="000D5E4F" w:rsidRDefault="008A1848" w:rsidP="00EF31EC">
            <w:pPr>
              <w:spacing w:before="0" w:line="240" w:lineRule="auto"/>
              <w:contextualSpacing/>
              <w:jc w:val="right"/>
              <w:rPr>
                <w:b/>
                <w:bCs/>
                <w:color w:val="000000"/>
                <w:sz w:val="22"/>
                <w:szCs w:val="22"/>
                <w:lang w:eastAsia="en-IN"/>
              </w:rPr>
            </w:pPr>
            <w:r w:rsidRPr="000D5E4F">
              <w:rPr>
                <w:b/>
                <w:bCs/>
                <w:color w:val="000000"/>
                <w:sz w:val="22"/>
                <w:szCs w:val="22"/>
                <w:lang w:eastAsia="en-IN"/>
              </w:rPr>
              <w:t>Count</w:t>
            </w:r>
          </w:p>
        </w:tc>
        <w:tc>
          <w:tcPr>
            <w:tcW w:w="908" w:type="pct"/>
            <w:tcBorders>
              <w:top w:val="single" w:sz="4" w:space="0" w:color="auto"/>
              <w:left w:val="single" w:sz="4" w:space="0" w:color="auto"/>
              <w:bottom w:val="double" w:sz="4" w:space="0" w:color="auto"/>
              <w:right w:val="double" w:sz="4" w:space="0" w:color="auto"/>
            </w:tcBorders>
            <w:vAlign w:val="center"/>
          </w:tcPr>
          <w:p w14:paraId="03868FCF" w14:textId="7F4F1544" w:rsidR="008A1848" w:rsidRPr="000D5E4F" w:rsidRDefault="008A1848" w:rsidP="00EF31EC">
            <w:pPr>
              <w:spacing w:before="0" w:line="240" w:lineRule="auto"/>
              <w:contextualSpacing/>
              <w:jc w:val="right"/>
              <w:rPr>
                <w:b/>
                <w:bCs/>
                <w:color w:val="000000"/>
                <w:sz w:val="22"/>
                <w:szCs w:val="22"/>
                <w:lang w:eastAsia="en-IN"/>
              </w:rPr>
            </w:pPr>
            <w:r w:rsidRPr="000D5E4F">
              <w:rPr>
                <w:b/>
                <w:bCs/>
                <w:color w:val="000000"/>
                <w:sz w:val="22"/>
                <w:szCs w:val="22"/>
                <w:lang w:eastAsia="en-IN"/>
              </w:rPr>
              <w:t>Percentage</w:t>
            </w:r>
          </w:p>
        </w:tc>
        <w:tc>
          <w:tcPr>
            <w:tcW w:w="1035" w:type="pct"/>
            <w:tcBorders>
              <w:top w:val="single" w:sz="4" w:space="0" w:color="auto"/>
              <w:left w:val="double" w:sz="4" w:space="0" w:color="auto"/>
              <w:bottom w:val="double" w:sz="4" w:space="0" w:color="auto"/>
            </w:tcBorders>
            <w:shd w:val="clear" w:color="auto" w:fill="auto"/>
            <w:vAlign w:val="center"/>
          </w:tcPr>
          <w:p w14:paraId="5C479C50" w14:textId="3558695F" w:rsidR="008A1848" w:rsidRPr="000D5E4F" w:rsidRDefault="008A1848" w:rsidP="00EF31EC">
            <w:pPr>
              <w:spacing w:before="0" w:line="240" w:lineRule="auto"/>
              <w:contextualSpacing/>
              <w:jc w:val="right"/>
              <w:rPr>
                <w:b/>
                <w:bCs/>
                <w:color w:val="000000"/>
                <w:sz w:val="22"/>
                <w:szCs w:val="22"/>
                <w:lang w:eastAsia="en-IN"/>
              </w:rPr>
            </w:pPr>
            <w:r w:rsidRPr="000D5E4F">
              <w:rPr>
                <w:b/>
                <w:bCs/>
                <w:color w:val="000000"/>
                <w:sz w:val="22"/>
                <w:szCs w:val="22"/>
                <w:lang w:eastAsia="en-IN"/>
              </w:rPr>
              <w:t>Percentage</w:t>
            </w:r>
          </w:p>
        </w:tc>
      </w:tr>
      <w:tr w:rsidR="00C73BB1" w:rsidRPr="000D5E4F" w14:paraId="3483AD55" w14:textId="77777777" w:rsidTr="00EF31EC">
        <w:trPr>
          <w:trHeight w:val="259"/>
        </w:trPr>
        <w:tc>
          <w:tcPr>
            <w:tcW w:w="2080" w:type="pct"/>
            <w:tcBorders>
              <w:top w:val="nil"/>
              <w:right w:val="double" w:sz="4" w:space="0" w:color="auto"/>
            </w:tcBorders>
            <w:shd w:val="clear" w:color="auto" w:fill="auto"/>
            <w:noWrap/>
            <w:vAlign w:val="center"/>
          </w:tcPr>
          <w:p w14:paraId="7F2FC4E8" w14:textId="77777777" w:rsidR="00C73BB1" w:rsidRPr="000D5E4F" w:rsidRDefault="00C73BB1" w:rsidP="00EF31EC">
            <w:pPr>
              <w:spacing w:before="0" w:line="240" w:lineRule="auto"/>
              <w:contextualSpacing/>
              <w:rPr>
                <w:b/>
                <w:color w:val="000000"/>
                <w:sz w:val="22"/>
                <w:szCs w:val="22"/>
                <w:lang w:eastAsia="en-IN"/>
              </w:rPr>
            </w:pPr>
            <w:r w:rsidRPr="000D5E4F">
              <w:rPr>
                <w:b/>
                <w:color w:val="000000"/>
                <w:sz w:val="22"/>
                <w:szCs w:val="22"/>
                <w:lang w:eastAsia="en-IN"/>
              </w:rPr>
              <w:t>Gender</w:t>
            </w:r>
          </w:p>
        </w:tc>
        <w:tc>
          <w:tcPr>
            <w:tcW w:w="976" w:type="pct"/>
            <w:tcBorders>
              <w:top w:val="nil"/>
              <w:left w:val="double" w:sz="4" w:space="0" w:color="auto"/>
              <w:right w:val="single" w:sz="4" w:space="0" w:color="auto"/>
            </w:tcBorders>
            <w:shd w:val="clear" w:color="auto" w:fill="auto"/>
            <w:noWrap/>
            <w:vAlign w:val="center"/>
          </w:tcPr>
          <w:p w14:paraId="66A1F4CF" w14:textId="77777777" w:rsidR="00C73BB1" w:rsidRPr="000D5E4F" w:rsidRDefault="00C73BB1" w:rsidP="00EF31EC">
            <w:pPr>
              <w:spacing w:before="0" w:line="240" w:lineRule="auto"/>
              <w:contextualSpacing/>
              <w:jc w:val="right"/>
              <w:rPr>
                <w:color w:val="000000"/>
                <w:sz w:val="22"/>
                <w:szCs w:val="22"/>
                <w:lang w:eastAsia="en-IN"/>
              </w:rPr>
            </w:pPr>
          </w:p>
        </w:tc>
        <w:tc>
          <w:tcPr>
            <w:tcW w:w="908" w:type="pct"/>
            <w:tcBorders>
              <w:top w:val="nil"/>
              <w:left w:val="single" w:sz="4" w:space="0" w:color="auto"/>
              <w:right w:val="double" w:sz="4" w:space="0" w:color="auto"/>
            </w:tcBorders>
          </w:tcPr>
          <w:p w14:paraId="544E5617" w14:textId="77777777" w:rsidR="00C73BB1" w:rsidRPr="000D5E4F" w:rsidRDefault="00C73BB1" w:rsidP="00EF31EC">
            <w:pPr>
              <w:spacing w:before="0" w:line="240" w:lineRule="auto"/>
              <w:contextualSpacing/>
              <w:jc w:val="right"/>
              <w:rPr>
                <w:color w:val="000000"/>
                <w:sz w:val="22"/>
                <w:szCs w:val="22"/>
                <w:lang w:eastAsia="en-IN"/>
              </w:rPr>
            </w:pPr>
          </w:p>
        </w:tc>
        <w:tc>
          <w:tcPr>
            <w:tcW w:w="1035" w:type="pct"/>
            <w:tcBorders>
              <w:top w:val="nil"/>
              <w:left w:val="double" w:sz="4" w:space="0" w:color="auto"/>
            </w:tcBorders>
            <w:shd w:val="clear" w:color="auto" w:fill="auto"/>
            <w:noWrap/>
            <w:vAlign w:val="center"/>
          </w:tcPr>
          <w:p w14:paraId="6E39A534" w14:textId="1532AE1D" w:rsidR="00C73BB1" w:rsidRPr="000D5E4F" w:rsidRDefault="00C73BB1" w:rsidP="00EF31EC">
            <w:pPr>
              <w:spacing w:before="0" w:line="240" w:lineRule="auto"/>
              <w:contextualSpacing/>
              <w:jc w:val="right"/>
              <w:rPr>
                <w:color w:val="000000"/>
                <w:sz w:val="22"/>
                <w:szCs w:val="22"/>
                <w:lang w:eastAsia="en-IN"/>
              </w:rPr>
            </w:pPr>
          </w:p>
        </w:tc>
      </w:tr>
      <w:tr w:rsidR="003E4B4C" w:rsidRPr="000D5E4F" w14:paraId="3C616B01" w14:textId="77777777" w:rsidTr="00EF31EC">
        <w:trPr>
          <w:trHeight w:val="259"/>
        </w:trPr>
        <w:tc>
          <w:tcPr>
            <w:tcW w:w="2080" w:type="pct"/>
            <w:tcBorders>
              <w:top w:val="nil"/>
              <w:right w:val="double" w:sz="4" w:space="0" w:color="auto"/>
            </w:tcBorders>
            <w:shd w:val="clear" w:color="auto" w:fill="auto"/>
            <w:noWrap/>
            <w:vAlign w:val="center"/>
            <w:hideMark/>
          </w:tcPr>
          <w:p w14:paraId="3A9D7005" w14:textId="77777777" w:rsidR="003E4B4C" w:rsidRPr="000D5E4F" w:rsidRDefault="003E4B4C" w:rsidP="00EF31EC">
            <w:pPr>
              <w:spacing w:before="0" w:line="240" w:lineRule="auto"/>
              <w:contextualSpacing/>
              <w:rPr>
                <w:color w:val="000000"/>
                <w:sz w:val="22"/>
                <w:szCs w:val="22"/>
                <w:lang w:eastAsia="en-IN"/>
              </w:rPr>
            </w:pPr>
            <w:r w:rsidRPr="000D5E4F">
              <w:rPr>
                <w:color w:val="000000"/>
                <w:sz w:val="22"/>
                <w:szCs w:val="22"/>
                <w:lang w:eastAsia="en-IN"/>
              </w:rPr>
              <w:t>Male</w:t>
            </w:r>
          </w:p>
        </w:tc>
        <w:tc>
          <w:tcPr>
            <w:tcW w:w="976" w:type="pct"/>
            <w:tcBorders>
              <w:top w:val="nil"/>
              <w:left w:val="double" w:sz="4" w:space="0" w:color="auto"/>
              <w:right w:val="single" w:sz="4" w:space="0" w:color="auto"/>
            </w:tcBorders>
            <w:shd w:val="clear" w:color="auto" w:fill="auto"/>
            <w:noWrap/>
            <w:vAlign w:val="center"/>
            <w:hideMark/>
          </w:tcPr>
          <w:p w14:paraId="44DF3700" w14:textId="77777777" w:rsidR="003E4B4C" w:rsidRPr="000D5E4F" w:rsidRDefault="003E4B4C" w:rsidP="00EF31EC">
            <w:pPr>
              <w:spacing w:before="0" w:line="240" w:lineRule="auto"/>
              <w:contextualSpacing/>
              <w:jc w:val="right"/>
              <w:rPr>
                <w:color w:val="000000"/>
                <w:sz w:val="22"/>
                <w:szCs w:val="22"/>
                <w:lang w:eastAsia="en-IN"/>
              </w:rPr>
            </w:pPr>
            <w:r w:rsidRPr="000D5E4F">
              <w:rPr>
                <w:color w:val="000000"/>
                <w:sz w:val="22"/>
                <w:szCs w:val="22"/>
                <w:lang w:eastAsia="en-IN"/>
              </w:rPr>
              <w:t>331</w:t>
            </w:r>
          </w:p>
        </w:tc>
        <w:tc>
          <w:tcPr>
            <w:tcW w:w="908" w:type="pct"/>
            <w:tcBorders>
              <w:top w:val="nil"/>
              <w:left w:val="single" w:sz="4" w:space="0" w:color="auto"/>
              <w:right w:val="double" w:sz="4" w:space="0" w:color="auto"/>
            </w:tcBorders>
            <w:vAlign w:val="center"/>
          </w:tcPr>
          <w:p w14:paraId="0EF672EE" w14:textId="57B5A1A0" w:rsidR="003E4B4C" w:rsidRPr="000D5E4F" w:rsidRDefault="003E4B4C" w:rsidP="00EF31EC">
            <w:pPr>
              <w:spacing w:before="0" w:line="240" w:lineRule="auto"/>
              <w:contextualSpacing/>
              <w:jc w:val="right"/>
              <w:rPr>
                <w:color w:val="000000"/>
                <w:sz w:val="22"/>
                <w:szCs w:val="22"/>
                <w:lang w:eastAsia="en-IN"/>
              </w:rPr>
            </w:pPr>
            <w:r w:rsidRPr="000D5E4F">
              <w:rPr>
                <w:color w:val="000000"/>
                <w:sz w:val="22"/>
                <w:szCs w:val="22"/>
                <w:lang w:eastAsia="en-IN"/>
              </w:rPr>
              <w:t>35.7%</w:t>
            </w:r>
          </w:p>
        </w:tc>
        <w:tc>
          <w:tcPr>
            <w:tcW w:w="1035" w:type="pct"/>
            <w:tcBorders>
              <w:top w:val="nil"/>
              <w:left w:val="double" w:sz="4" w:space="0" w:color="auto"/>
            </w:tcBorders>
            <w:shd w:val="clear" w:color="auto" w:fill="auto"/>
            <w:noWrap/>
            <w:vAlign w:val="center"/>
          </w:tcPr>
          <w:p w14:paraId="424DC3E8" w14:textId="17FE9F05" w:rsidR="003E4B4C" w:rsidRPr="000D5E4F" w:rsidRDefault="009C5F3F" w:rsidP="00EF31EC">
            <w:pPr>
              <w:spacing w:before="0" w:line="240" w:lineRule="auto"/>
              <w:contextualSpacing/>
              <w:jc w:val="right"/>
              <w:rPr>
                <w:color w:val="000000"/>
                <w:sz w:val="22"/>
                <w:szCs w:val="22"/>
                <w:lang w:eastAsia="en-IN"/>
              </w:rPr>
            </w:pPr>
            <w:r w:rsidRPr="000D5E4F">
              <w:rPr>
                <w:color w:val="000000"/>
                <w:sz w:val="22"/>
                <w:szCs w:val="22"/>
                <w:lang w:eastAsia="en-IN"/>
              </w:rPr>
              <w:t>50.0%</w:t>
            </w:r>
          </w:p>
        </w:tc>
      </w:tr>
      <w:tr w:rsidR="003E4B4C" w:rsidRPr="000D5E4F" w14:paraId="3E92E192" w14:textId="77777777" w:rsidTr="00EF31EC">
        <w:trPr>
          <w:trHeight w:val="259"/>
        </w:trPr>
        <w:tc>
          <w:tcPr>
            <w:tcW w:w="2080" w:type="pct"/>
            <w:tcBorders>
              <w:bottom w:val="single" w:sz="4" w:space="0" w:color="auto"/>
              <w:right w:val="double" w:sz="4" w:space="0" w:color="auto"/>
            </w:tcBorders>
            <w:shd w:val="clear" w:color="auto" w:fill="auto"/>
            <w:noWrap/>
            <w:vAlign w:val="center"/>
            <w:hideMark/>
          </w:tcPr>
          <w:p w14:paraId="0052E966" w14:textId="77777777" w:rsidR="003E4B4C" w:rsidRPr="000D5E4F" w:rsidRDefault="003E4B4C" w:rsidP="00EF31EC">
            <w:pPr>
              <w:spacing w:before="0" w:line="240" w:lineRule="auto"/>
              <w:contextualSpacing/>
              <w:rPr>
                <w:color w:val="000000"/>
                <w:sz w:val="22"/>
                <w:szCs w:val="22"/>
                <w:lang w:eastAsia="en-IN"/>
              </w:rPr>
            </w:pPr>
            <w:r w:rsidRPr="000D5E4F">
              <w:rPr>
                <w:color w:val="000000"/>
                <w:sz w:val="22"/>
                <w:szCs w:val="22"/>
                <w:lang w:eastAsia="en-IN"/>
              </w:rPr>
              <w:t>Female</w:t>
            </w:r>
          </w:p>
        </w:tc>
        <w:tc>
          <w:tcPr>
            <w:tcW w:w="976" w:type="pct"/>
            <w:tcBorders>
              <w:left w:val="double" w:sz="4" w:space="0" w:color="auto"/>
              <w:bottom w:val="single" w:sz="4" w:space="0" w:color="auto"/>
              <w:right w:val="single" w:sz="4" w:space="0" w:color="auto"/>
            </w:tcBorders>
            <w:shd w:val="clear" w:color="auto" w:fill="auto"/>
            <w:noWrap/>
            <w:vAlign w:val="center"/>
            <w:hideMark/>
          </w:tcPr>
          <w:p w14:paraId="07D08DFA" w14:textId="77777777" w:rsidR="003E4B4C" w:rsidRPr="000D5E4F" w:rsidRDefault="003E4B4C" w:rsidP="00EF31EC">
            <w:pPr>
              <w:spacing w:before="0" w:line="240" w:lineRule="auto"/>
              <w:contextualSpacing/>
              <w:jc w:val="right"/>
              <w:rPr>
                <w:color w:val="000000"/>
                <w:sz w:val="22"/>
                <w:szCs w:val="22"/>
                <w:lang w:eastAsia="en-IN"/>
              </w:rPr>
            </w:pPr>
            <w:r w:rsidRPr="000D5E4F">
              <w:rPr>
                <w:color w:val="000000"/>
                <w:sz w:val="22"/>
                <w:szCs w:val="22"/>
                <w:lang w:eastAsia="en-IN"/>
              </w:rPr>
              <w:t>597</w:t>
            </w:r>
          </w:p>
        </w:tc>
        <w:tc>
          <w:tcPr>
            <w:tcW w:w="908" w:type="pct"/>
            <w:tcBorders>
              <w:left w:val="single" w:sz="4" w:space="0" w:color="auto"/>
              <w:bottom w:val="single" w:sz="4" w:space="0" w:color="auto"/>
              <w:right w:val="double" w:sz="4" w:space="0" w:color="auto"/>
            </w:tcBorders>
            <w:vAlign w:val="center"/>
          </w:tcPr>
          <w:p w14:paraId="6B08DF09" w14:textId="6E06602C" w:rsidR="003E4B4C" w:rsidRPr="000D5E4F" w:rsidRDefault="003E4B4C" w:rsidP="00EF31EC">
            <w:pPr>
              <w:spacing w:before="0" w:line="240" w:lineRule="auto"/>
              <w:contextualSpacing/>
              <w:jc w:val="right"/>
              <w:rPr>
                <w:color w:val="000000"/>
                <w:sz w:val="22"/>
                <w:szCs w:val="22"/>
                <w:lang w:eastAsia="en-IN"/>
              </w:rPr>
            </w:pPr>
            <w:r w:rsidRPr="000D5E4F">
              <w:rPr>
                <w:color w:val="000000"/>
                <w:sz w:val="22"/>
                <w:szCs w:val="22"/>
                <w:lang w:eastAsia="en-IN"/>
              </w:rPr>
              <w:t>64.3%</w:t>
            </w:r>
          </w:p>
        </w:tc>
        <w:tc>
          <w:tcPr>
            <w:tcW w:w="1035" w:type="pct"/>
            <w:tcBorders>
              <w:left w:val="double" w:sz="4" w:space="0" w:color="auto"/>
              <w:bottom w:val="single" w:sz="4" w:space="0" w:color="auto"/>
            </w:tcBorders>
            <w:shd w:val="clear" w:color="auto" w:fill="auto"/>
            <w:noWrap/>
            <w:vAlign w:val="center"/>
          </w:tcPr>
          <w:p w14:paraId="66E371D5" w14:textId="4B291BF4" w:rsidR="003E4B4C" w:rsidRPr="000D5E4F" w:rsidRDefault="009C5F3F" w:rsidP="00EF31EC">
            <w:pPr>
              <w:spacing w:before="0" w:line="240" w:lineRule="auto"/>
              <w:contextualSpacing/>
              <w:jc w:val="right"/>
              <w:rPr>
                <w:color w:val="000000"/>
                <w:sz w:val="22"/>
                <w:szCs w:val="22"/>
                <w:lang w:eastAsia="en-IN"/>
              </w:rPr>
            </w:pPr>
            <w:r w:rsidRPr="000D5E4F">
              <w:rPr>
                <w:color w:val="000000"/>
                <w:sz w:val="22"/>
                <w:szCs w:val="22"/>
                <w:lang w:eastAsia="en-IN"/>
              </w:rPr>
              <w:t>50.0%</w:t>
            </w:r>
          </w:p>
        </w:tc>
      </w:tr>
      <w:tr w:rsidR="003E4B4C" w:rsidRPr="000D5E4F" w14:paraId="68823410" w14:textId="77777777" w:rsidTr="00EF31EC">
        <w:trPr>
          <w:trHeight w:val="259"/>
        </w:trPr>
        <w:tc>
          <w:tcPr>
            <w:tcW w:w="2080" w:type="pct"/>
            <w:tcBorders>
              <w:top w:val="nil"/>
              <w:bottom w:val="nil"/>
              <w:right w:val="double" w:sz="4" w:space="0" w:color="auto"/>
            </w:tcBorders>
            <w:shd w:val="clear" w:color="auto" w:fill="auto"/>
            <w:noWrap/>
            <w:vAlign w:val="center"/>
          </w:tcPr>
          <w:p w14:paraId="23E4697E" w14:textId="77777777" w:rsidR="003E4B4C" w:rsidRPr="000D5E4F" w:rsidRDefault="003E4B4C" w:rsidP="00EF31EC">
            <w:pPr>
              <w:spacing w:before="0" w:line="240" w:lineRule="auto"/>
              <w:contextualSpacing/>
              <w:rPr>
                <w:b/>
                <w:color w:val="000000"/>
                <w:sz w:val="22"/>
                <w:szCs w:val="22"/>
                <w:lang w:eastAsia="en-IN"/>
              </w:rPr>
            </w:pPr>
            <w:r w:rsidRPr="000D5E4F">
              <w:rPr>
                <w:b/>
                <w:color w:val="000000"/>
                <w:sz w:val="22"/>
                <w:szCs w:val="22"/>
                <w:lang w:eastAsia="en-IN"/>
              </w:rPr>
              <w:t>Age</w:t>
            </w:r>
          </w:p>
        </w:tc>
        <w:tc>
          <w:tcPr>
            <w:tcW w:w="976" w:type="pct"/>
            <w:tcBorders>
              <w:top w:val="nil"/>
              <w:left w:val="double" w:sz="4" w:space="0" w:color="auto"/>
              <w:bottom w:val="nil"/>
              <w:right w:val="single" w:sz="4" w:space="0" w:color="auto"/>
            </w:tcBorders>
            <w:shd w:val="clear" w:color="auto" w:fill="auto"/>
            <w:noWrap/>
            <w:vAlign w:val="center"/>
          </w:tcPr>
          <w:p w14:paraId="0CAFDD3F" w14:textId="77777777" w:rsidR="003E4B4C" w:rsidRPr="000D5E4F" w:rsidRDefault="003E4B4C" w:rsidP="00EF31EC">
            <w:pPr>
              <w:spacing w:before="0" w:line="240" w:lineRule="auto"/>
              <w:contextualSpacing/>
              <w:jc w:val="right"/>
              <w:rPr>
                <w:color w:val="000000"/>
                <w:sz w:val="22"/>
                <w:szCs w:val="22"/>
                <w:lang w:eastAsia="en-IN"/>
              </w:rPr>
            </w:pPr>
          </w:p>
        </w:tc>
        <w:tc>
          <w:tcPr>
            <w:tcW w:w="908" w:type="pct"/>
            <w:tcBorders>
              <w:top w:val="nil"/>
              <w:left w:val="single" w:sz="4" w:space="0" w:color="auto"/>
              <w:bottom w:val="nil"/>
              <w:right w:val="double" w:sz="4" w:space="0" w:color="auto"/>
            </w:tcBorders>
            <w:vAlign w:val="center"/>
          </w:tcPr>
          <w:p w14:paraId="06621416" w14:textId="77777777" w:rsidR="003E4B4C" w:rsidRPr="000D5E4F" w:rsidRDefault="003E4B4C" w:rsidP="00EF31EC">
            <w:pPr>
              <w:spacing w:before="0" w:line="240" w:lineRule="auto"/>
              <w:contextualSpacing/>
              <w:jc w:val="right"/>
              <w:rPr>
                <w:color w:val="000000"/>
                <w:sz w:val="22"/>
                <w:szCs w:val="22"/>
                <w:lang w:eastAsia="en-IN"/>
              </w:rPr>
            </w:pPr>
          </w:p>
        </w:tc>
        <w:tc>
          <w:tcPr>
            <w:tcW w:w="1035" w:type="pct"/>
            <w:tcBorders>
              <w:top w:val="nil"/>
              <w:left w:val="double" w:sz="4" w:space="0" w:color="auto"/>
              <w:bottom w:val="nil"/>
            </w:tcBorders>
            <w:shd w:val="clear" w:color="auto" w:fill="auto"/>
            <w:noWrap/>
            <w:vAlign w:val="center"/>
          </w:tcPr>
          <w:p w14:paraId="51C75E87" w14:textId="4E6150B5" w:rsidR="003E4B4C" w:rsidRPr="000D5E4F" w:rsidRDefault="003E4B4C" w:rsidP="00EF31EC">
            <w:pPr>
              <w:spacing w:before="0" w:line="240" w:lineRule="auto"/>
              <w:contextualSpacing/>
              <w:jc w:val="right"/>
              <w:rPr>
                <w:color w:val="000000"/>
                <w:sz w:val="22"/>
                <w:szCs w:val="22"/>
                <w:lang w:eastAsia="en-IN"/>
              </w:rPr>
            </w:pPr>
          </w:p>
        </w:tc>
      </w:tr>
      <w:tr w:rsidR="003E4B4C" w:rsidRPr="000D5E4F" w14:paraId="7A6AC0A0" w14:textId="77777777" w:rsidTr="00EF31EC">
        <w:trPr>
          <w:trHeight w:val="259"/>
        </w:trPr>
        <w:tc>
          <w:tcPr>
            <w:tcW w:w="2080" w:type="pct"/>
            <w:tcBorders>
              <w:top w:val="nil"/>
              <w:bottom w:val="nil"/>
              <w:right w:val="double" w:sz="4" w:space="0" w:color="auto"/>
            </w:tcBorders>
            <w:shd w:val="clear" w:color="auto" w:fill="auto"/>
            <w:noWrap/>
            <w:vAlign w:val="center"/>
            <w:hideMark/>
          </w:tcPr>
          <w:p w14:paraId="66142D8A" w14:textId="3511AD7E" w:rsidR="003E4B4C" w:rsidRPr="000D5E4F" w:rsidRDefault="003E4B4C" w:rsidP="00EF31EC">
            <w:pPr>
              <w:spacing w:before="0" w:line="240" w:lineRule="auto"/>
              <w:contextualSpacing/>
              <w:rPr>
                <w:color w:val="000000"/>
                <w:sz w:val="22"/>
                <w:szCs w:val="22"/>
                <w:lang w:eastAsia="en-IN"/>
              </w:rPr>
            </w:pPr>
            <w:r w:rsidRPr="000D5E4F">
              <w:rPr>
                <w:color w:val="000000"/>
                <w:sz w:val="22"/>
                <w:szCs w:val="22"/>
                <w:lang w:eastAsia="en-IN"/>
              </w:rPr>
              <w:t xml:space="preserve">18 to </w:t>
            </w:r>
            <w:r w:rsidR="00E43309" w:rsidRPr="000D5E4F">
              <w:rPr>
                <w:color w:val="000000"/>
                <w:sz w:val="22"/>
                <w:szCs w:val="22"/>
                <w:lang w:eastAsia="en-IN"/>
              </w:rPr>
              <w:t>29</w:t>
            </w:r>
          </w:p>
        </w:tc>
        <w:tc>
          <w:tcPr>
            <w:tcW w:w="976" w:type="pct"/>
            <w:tcBorders>
              <w:top w:val="nil"/>
              <w:left w:val="double" w:sz="4" w:space="0" w:color="auto"/>
              <w:bottom w:val="nil"/>
              <w:right w:val="single" w:sz="4" w:space="0" w:color="auto"/>
            </w:tcBorders>
            <w:shd w:val="clear" w:color="auto" w:fill="auto"/>
            <w:noWrap/>
            <w:vAlign w:val="center"/>
            <w:hideMark/>
          </w:tcPr>
          <w:p w14:paraId="2F23FE45" w14:textId="77777777" w:rsidR="003E4B4C" w:rsidRPr="000D5E4F" w:rsidRDefault="003E4B4C" w:rsidP="00EF31EC">
            <w:pPr>
              <w:spacing w:before="0" w:line="240" w:lineRule="auto"/>
              <w:contextualSpacing/>
              <w:jc w:val="right"/>
              <w:rPr>
                <w:color w:val="000000"/>
                <w:sz w:val="22"/>
                <w:szCs w:val="22"/>
                <w:lang w:eastAsia="en-IN"/>
              </w:rPr>
            </w:pPr>
            <w:r w:rsidRPr="000D5E4F">
              <w:rPr>
                <w:color w:val="000000"/>
                <w:sz w:val="22"/>
                <w:szCs w:val="22"/>
                <w:lang w:eastAsia="en-IN"/>
              </w:rPr>
              <w:t>565</w:t>
            </w:r>
          </w:p>
        </w:tc>
        <w:tc>
          <w:tcPr>
            <w:tcW w:w="908" w:type="pct"/>
            <w:tcBorders>
              <w:top w:val="nil"/>
              <w:left w:val="single" w:sz="4" w:space="0" w:color="auto"/>
              <w:bottom w:val="nil"/>
              <w:right w:val="double" w:sz="4" w:space="0" w:color="auto"/>
            </w:tcBorders>
            <w:vAlign w:val="center"/>
          </w:tcPr>
          <w:p w14:paraId="28CD35EA" w14:textId="05A46B27" w:rsidR="003E4B4C" w:rsidRPr="000D5E4F" w:rsidRDefault="003E4B4C" w:rsidP="00EF31EC">
            <w:pPr>
              <w:spacing w:before="0" w:line="240" w:lineRule="auto"/>
              <w:contextualSpacing/>
              <w:jc w:val="right"/>
              <w:rPr>
                <w:color w:val="000000"/>
                <w:sz w:val="22"/>
                <w:szCs w:val="22"/>
                <w:lang w:eastAsia="en-IN"/>
              </w:rPr>
            </w:pPr>
            <w:r w:rsidRPr="000D5E4F">
              <w:rPr>
                <w:color w:val="000000"/>
                <w:sz w:val="22"/>
                <w:szCs w:val="22"/>
                <w:lang w:eastAsia="en-IN"/>
              </w:rPr>
              <w:t>60.9%</w:t>
            </w:r>
          </w:p>
        </w:tc>
        <w:tc>
          <w:tcPr>
            <w:tcW w:w="1035" w:type="pct"/>
            <w:tcBorders>
              <w:top w:val="nil"/>
              <w:left w:val="double" w:sz="4" w:space="0" w:color="auto"/>
              <w:bottom w:val="nil"/>
            </w:tcBorders>
            <w:shd w:val="clear" w:color="auto" w:fill="auto"/>
            <w:noWrap/>
            <w:vAlign w:val="center"/>
          </w:tcPr>
          <w:p w14:paraId="12DE6F91" w14:textId="3D3D7CE8" w:rsidR="003E4B4C" w:rsidRPr="000D5E4F" w:rsidRDefault="00256163" w:rsidP="00EF31EC">
            <w:pPr>
              <w:spacing w:before="0" w:line="240" w:lineRule="auto"/>
              <w:contextualSpacing/>
              <w:jc w:val="right"/>
              <w:rPr>
                <w:color w:val="000000"/>
                <w:sz w:val="22"/>
                <w:szCs w:val="22"/>
                <w:lang w:eastAsia="en-IN"/>
              </w:rPr>
            </w:pPr>
            <w:r w:rsidRPr="000D5E4F">
              <w:rPr>
                <w:color w:val="000000"/>
                <w:sz w:val="22"/>
                <w:szCs w:val="22"/>
                <w:lang w:eastAsia="en-IN"/>
              </w:rPr>
              <w:t>28.1%</w:t>
            </w:r>
            <w:r w:rsidR="004B0F97" w:rsidRPr="000D5E4F">
              <w:rPr>
                <w:color w:val="000000"/>
                <w:sz w:val="22"/>
                <w:szCs w:val="22"/>
                <w:lang w:eastAsia="en-IN"/>
              </w:rPr>
              <w:t>*</w:t>
            </w:r>
          </w:p>
        </w:tc>
      </w:tr>
      <w:tr w:rsidR="003E4B4C" w:rsidRPr="000D5E4F" w14:paraId="257616B8" w14:textId="77777777" w:rsidTr="00EF31EC">
        <w:trPr>
          <w:trHeight w:val="259"/>
        </w:trPr>
        <w:tc>
          <w:tcPr>
            <w:tcW w:w="2080" w:type="pct"/>
            <w:tcBorders>
              <w:top w:val="nil"/>
              <w:right w:val="double" w:sz="4" w:space="0" w:color="auto"/>
            </w:tcBorders>
            <w:shd w:val="clear" w:color="auto" w:fill="auto"/>
            <w:noWrap/>
            <w:vAlign w:val="center"/>
            <w:hideMark/>
          </w:tcPr>
          <w:p w14:paraId="6C6CA7BE" w14:textId="77777777" w:rsidR="003E4B4C" w:rsidRPr="000D5E4F" w:rsidRDefault="003E4B4C" w:rsidP="00EF31EC">
            <w:pPr>
              <w:spacing w:before="0" w:line="240" w:lineRule="auto"/>
              <w:contextualSpacing/>
              <w:rPr>
                <w:color w:val="000000"/>
                <w:sz w:val="22"/>
                <w:szCs w:val="22"/>
                <w:lang w:eastAsia="en-IN"/>
              </w:rPr>
            </w:pPr>
            <w:r w:rsidRPr="000D5E4F">
              <w:rPr>
                <w:color w:val="000000"/>
                <w:sz w:val="22"/>
                <w:szCs w:val="22"/>
                <w:lang w:eastAsia="en-IN"/>
              </w:rPr>
              <w:t>30 to 50</w:t>
            </w:r>
          </w:p>
        </w:tc>
        <w:tc>
          <w:tcPr>
            <w:tcW w:w="976" w:type="pct"/>
            <w:tcBorders>
              <w:top w:val="nil"/>
              <w:left w:val="double" w:sz="4" w:space="0" w:color="auto"/>
              <w:right w:val="single" w:sz="4" w:space="0" w:color="auto"/>
            </w:tcBorders>
            <w:shd w:val="clear" w:color="auto" w:fill="auto"/>
            <w:noWrap/>
            <w:vAlign w:val="center"/>
            <w:hideMark/>
          </w:tcPr>
          <w:p w14:paraId="1F6C1A56" w14:textId="77777777" w:rsidR="003E4B4C" w:rsidRPr="000D5E4F" w:rsidRDefault="003E4B4C" w:rsidP="00EF31EC">
            <w:pPr>
              <w:spacing w:before="0" w:line="240" w:lineRule="auto"/>
              <w:contextualSpacing/>
              <w:jc w:val="right"/>
              <w:rPr>
                <w:color w:val="000000"/>
                <w:sz w:val="22"/>
                <w:szCs w:val="22"/>
                <w:lang w:eastAsia="en-IN"/>
              </w:rPr>
            </w:pPr>
            <w:r w:rsidRPr="000D5E4F">
              <w:rPr>
                <w:color w:val="000000"/>
                <w:sz w:val="22"/>
                <w:szCs w:val="22"/>
                <w:lang w:eastAsia="en-IN"/>
              </w:rPr>
              <w:t>197</w:t>
            </w:r>
          </w:p>
        </w:tc>
        <w:tc>
          <w:tcPr>
            <w:tcW w:w="908" w:type="pct"/>
            <w:tcBorders>
              <w:top w:val="nil"/>
              <w:left w:val="single" w:sz="4" w:space="0" w:color="auto"/>
              <w:right w:val="double" w:sz="4" w:space="0" w:color="auto"/>
            </w:tcBorders>
            <w:vAlign w:val="center"/>
          </w:tcPr>
          <w:p w14:paraId="2732F353" w14:textId="0FAF71B1" w:rsidR="003E4B4C" w:rsidRPr="000D5E4F" w:rsidRDefault="003E4B4C" w:rsidP="00EF31EC">
            <w:pPr>
              <w:spacing w:before="0" w:line="240" w:lineRule="auto"/>
              <w:contextualSpacing/>
              <w:jc w:val="right"/>
              <w:rPr>
                <w:color w:val="000000"/>
                <w:sz w:val="22"/>
                <w:szCs w:val="22"/>
                <w:lang w:eastAsia="en-IN"/>
              </w:rPr>
            </w:pPr>
            <w:r w:rsidRPr="000D5E4F">
              <w:rPr>
                <w:color w:val="000000"/>
                <w:sz w:val="22"/>
                <w:szCs w:val="22"/>
                <w:lang w:eastAsia="en-IN"/>
              </w:rPr>
              <w:t>21.2%</w:t>
            </w:r>
          </w:p>
        </w:tc>
        <w:tc>
          <w:tcPr>
            <w:tcW w:w="1035" w:type="pct"/>
            <w:tcBorders>
              <w:top w:val="nil"/>
              <w:left w:val="double" w:sz="4" w:space="0" w:color="auto"/>
            </w:tcBorders>
            <w:shd w:val="clear" w:color="auto" w:fill="auto"/>
            <w:noWrap/>
            <w:vAlign w:val="center"/>
          </w:tcPr>
          <w:p w14:paraId="113B27E4" w14:textId="7AEDB80E" w:rsidR="003E4B4C" w:rsidRPr="000D5E4F" w:rsidRDefault="00256163" w:rsidP="00EF31EC">
            <w:pPr>
              <w:spacing w:before="0" w:line="240" w:lineRule="auto"/>
              <w:contextualSpacing/>
              <w:jc w:val="right"/>
              <w:rPr>
                <w:color w:val="000000"/>
                <w:sz w:val="22"/>
                <w:szCs w:val="22"/>
                <w:lang w:eastAsia="en-IN"/>
              </w:rPr>
            </w:pPr>
            <w:r w:rsidRPr="000D5E4F">
              <w:rPr>
                <w:color w:val="000000"/>
                <w:sz w:val="22"/>
                <w:szCs w:val="22"/>
                <w:lang w:eastAsia="en-IN"/>
              </w:rPr>
              <w:t>37.7%</w:t>
            </w:r>
            <w:r w:rsidR="004B0F97" w:rsidRPr="000D5E4F">
              <w:rPr>
                <w:color w:val="000000"/>
                <w:sz w:val="22"/>
                <w:szCs w:val="22"/>
                <w:lang w:eastAsia="en-IN"/>
              </w:rPr>
              <w:t>*</w:t>
            </w:r>
          </w:p>
        </w:tc>
      </w:tr>
      <w:tr w:rsidR="003E4B4C" w:rsidRPr="000D5E4F" w14:paraId="76A6E080" w14:textId="77777777" w:rsidTr="00EF31EC">
        <w:trPr>
          <w:trHeight w:val="259"/>
        </w:trPr>
        <w:tc>
          <w:tcPr>
            <w:tcW w:w="2080" w:type="pct"/>
            <w:tcBorders>
              <w:bottom w:val="single" w:sz="4" w:space="0" w:color="auto"/>
              <w:right w:val="double" w:sz="4" w:space="0" w:color="auto"/>
            </w:tcBorders>
            <w:shd w:val="clear" w:color="auto" w:fill="auto"/>
            <w:noWrap/>
            <w:vAlign w:val="center"/>
            <w:hideMark/>
          </w:tcPr>
          <w:p w14:paraId="3E524FDC" w14:textId="77777777" w:rsidR="003E4B4C" w:rsidRPr="000D5E4F" w:rsidRDefault="003E4B4C" w:rsidP="00EF31EC">
            <w:pPr>
              <w:spacing w:before="0" w:line="240" w:lineRule="auto"/>
              <w:contextualSpacing/>
              <w:rPr>
                <w:color w:val="000000"/>
                <w:sz w:val="22"/>
                <w:szCs w:val="22"/>
                <w:lang w:eastAsia="en-IN"/>
              </w:rPr>
            </w:pPr>
            <w:r w:rsidRPr="000D5E4F">
              <w:rPr>
                <w:color w:val="000000"/>
                <w:sz w:val="22"/>
                <w:szCs w:val="22"/>
                <w:lang w:eastAsia="en-IN"/>
              </w:rPr>
              <w:t>50+</w:t>
            </w:r>
          </w:p>
        </w:tc>
        <w:tc>
          <w:tcPr>
            <w:tcW w:w="976" w:type="pct"/>
            <w:tcBorders>
              <w:left w:val="double" w:sz="4" w:space="0" w:color="auto"/>
              <w:bottom w:val="single" w:sz="4" w:space="0" w:color="auto"/>
              <w:right w:val="single" w:sz="4" w:space="0" w:color="auto"/>
            </w:tcBorders>
            <w:shd w:val="clear" w:color="auto" w:fill="auto"/>
            <w:noWrap/>
            <w:vAlign w:val="center"/>
            <w:hideMark/>
          </w:tcPr>
          <w:p w14:paraId="76CE7B8B" w14:textId="77777777" w:rsidR="003E4B4C" w:rsidRPr="000D5E4F" w:rsidRDefault="003E4B4C" w:rsidP="00EF31EC">
            <w:pPr>
              <w:spacing w:before="0" w:line="240" w:lineRule="auto"/>
              <w:contextualSpacing/>
              <w:jc w:val="right"/>
              <w:rPr>
                <w:color w:val="000000"/>
                <w:sz w:val="22"/>
                <w:szCs w:val="22"/>
                <w:lang w:eastAsia="en-IN"/>
              </w:rPr>
            </w:pPr>
            <w:r w:rsidRPr="000D5E4F">
              <w:rPr>
                <w:color w:val="000000"/>
                <w:sz w:val="22"/>
                <w:szCs w:val="22"/>
                <w:lang w:eastAsia="en-IN"/>
              </w:rPr>
              <w:t>166</w:t>
            </w:r>
          </w:p>
        </w:tc>
        <w:tc>
          <w:tcPr>
            <w:tcW w:w="908" w:type="pct"/>
            <w:tcBorders>
              <w:left w:val="single" w:sz="4" w:space="0" w:color="auto"/>
              <w:bottom w:val="single" w:sz="4" w:space="0" w:color="auto"/>
              <w:right w:val="double" w:sz="4" w:space="0" w:color="auto"/>
            </w:tcBorders>
            <w:vAlign w:val="center"/>
          </w:tcPr>
          <w:p w14:paraId="61CEDDEA" w14:textId="58A94175" w:rsidR="003E4B4C" w:rsidRPr="000D5E4F" w:rsidRDefault="003E4B4C" w:rsidP="00EF31EC">
            <w:pPr>
              <w:spacing w:before="0" w:line="240" w:lineRule="auto"/>
              <w:contextualSpacing/>
              <w:jc w:val="right"/>
              <w:rPr>
                <w:color w:val="000000"/>
                <w:sz w:val="22"/>
                <w:szCs w:val="22"/>
                <w:lang w:eastAsia="en-IN"/>
              </w:rPr>
            </w:pPr>
            <w:r w:rsidRPr="000D5E4F">
              <w:rPr>
                <w:color w:val="000000"/>
                <w:sz w:val="22"/>
                <w:szCs w:val="22"/>
                <w:lang w:eastAsia="en-IN"/>
              </w:rPr>
              <w:t>17.9%</w:t>
            </w:r>
          </w:p>
        </w:tc>
        <w:tc>
          <w:tcPr>
            <w:tcW w:w="1035" w:type="pct"/>
            <w:tcBorders>
              <w:left w:val="double" w:sz="4" w:space="0" w:color="auto"/>
              <w:bottom w:val="single" w:sz="4" w:space="0" w:color="auto"/>
            </w:tcBorders>
            <w:shd w:val="clear" w:color="auto" w:fill="auto"/>
            <w:noWrap/>
            <w:vAlign w:val="center"/>
          </w:tcPr>
          <w:p w14:paraId="6A666E6B" w14:textId="0CBAE0E2" w:rsidR="003E4B4C" w:rsidRPr="000D5E4F" w:rsidRDefault="00256163" w:rsidP="00EF31EC">
            <w:pPr>
              <w:spacing w:before="0" w:line="240" w:lineRule="auto"/>
              <w:contextualSpacing/>
              <w:jc w:val="right"/>
              <w:rPr>
                <w:color w:val="000000"/>
                <w:sz w:val="22"/>
                <w:szCs w:val="22"/>
                <w:lang w:eastAsia="en-IN"/>
              </w:rPr>
            </w:pPr>
            <w:r w:rsidRPr="000D5E4F">
              <w:rPr>
                <w:color w:val="000000"/>
                <w:sz w:val="22"/>
                <w:szCs w:val="22"/>
                <w:lang w:eastAsia="en-IN"/>
              </w:rPr>
              <w:t>34.2%</w:t>
            </w:r>
            <w:r w:rsidR="004B0F97" w:rsidRPr="000D5E4F">
              <w:rPr>
                <w:color w:val="000000"/>
                <w:sz w:val="22"/>
                <w:szCs w:val="22"/>
                <w:lang w:eastAsia="en-IN"/>
              </w:rPr>
              <w:t>*</w:t>
            </w:r>
          </w:p>
        </w:tc>
      </w:tr>
      <w:tr w:rsidR="00973D1B" w:rsidRPr="000D5E4F" w14:paraId="2EC68610" w14:textId="77777777" w:rsidTr="00EF31EC">
        <w:trPr>
          <w:trHeight w:val="259"/>
        </w:trPr>
        <w:tc>
          <w:tcPr>
            <w:tcW w:w="2080" w:type="pct"/>
            <w:tcBorders>
              <w:top w:val="single" w:sz="4" w:space="0" w:color="auto"/>
              <w:bottom w:val="nil"/>
              <w:right w:val="double" w:sz="4" w:space="0" w:color="auto"/>
            </w:tcBorders>
            <w:shd w:val="clear" w:color="auto" w:fill="auto"/>
            <w:noWrap/>
            <w:vAlign w:val="center"/>
          </w:tcPr>
          <w:p w14:paraId="5CEE6649" w14:textId="18B6E750" w:rsidR="00973D1B" w:rsidRPr="000D5E4F" w:rsidRDefault="00973D1B" w:rsidP="00EF31EC">
            <w:pPr>
              <w:spacing w:before="0" w:line="240" w:lineRule="auto"/>
              <w:contextualSpacing/>
              <w:rPr>
                <w:color w:val="000000"/>
                <w:sz w:val="22"/>
                <w:szCs w:val="22"/>
                <w:lang w:eastAsia="en-IN"/>
              </w:rPr>
            </w:pPr>
            <w:r w:rsidRPr="000D5E4F">
              <w:rPr>
                <w:b/>
                <w:bCs/>
                <w:color w:val="000000"/>
                <w:sz w:val="22"/>
                <w:szCs w:val="22"/>
                <w:lang w:eastAsia="en-IN"/>
              </w:rPr>
              <w:t>Possession of Driving License</w:t>
            </w:r>
          </w:p>
        </w:tc>
        <w:tc>
          <w:tcPr>
            <w:tcW w:w="976" w:type="pct"/>
            <w:tcBorders>
              <w:top w:val="single" w:sz="4" w:space="0" w:color="auto"/>
              <w:left w:val="double" w:sz="4" w:space="0" w:color="auto"/>
              <w:bottom w:val="nil"/>
              <w:right w:val="single" w:sz="4" w:space="0" w:color="auto"/>
            </w:tcBorders>
            <w:shd w:val="clear" w:color="auto" w:fill="auto"/>
            <w:noWrap/>
            <w:vAlign w:val="center"/>
          </w:tcPr>
          <w:p w14:paraId="40D6EA57" w14:textId="77777777" w:rsidR="00973D1B" w:rsidRPr="000D5E4F" w:rsidRDefault="00973D1B" w:rsidP="00EF31EC">
            <w:pPr>
              <w:spacing w:before="0" w:line="240" w:lineRule="auto"/>
              <w:contextualSpacing/>
              <w:jc w:val="right"/>
              <w:rPr>
                <w:color w:val="000000"/>
                <w:sz w:val="22"/>
                <w:szCs w:val="22"/>
                <w:lang w:eastAsia="en-IN"/>
              </w:rPr>
            </w:pPr>
          </w:p>
        </w:tc>
        <w:tc>
          <w:tcPr>
            <w:tcW w:w="908" w:type="pct"/>
            <w:tcBorders>
              <w:top w:val="single" w:sz="4" w:space="0" w:color="auto"/>
              <w:left w:val="single" w:sz="4" w:space="0" w:color="auto"/>
              <w:bottom w:val="nil"/>
              <w:right w:val="double" w:sz="4" w:space="0" w:color="auto"/>
            </w:tcBorders>
            <w:vAlign w:val="center"/>
          </w:tcPr>
          <w:p w14:paraId="0FE8F40F" w14:textId="77777777" w:rsidR="00973D1B" w:rsidRPr="000D5E4F" w:rsidRDefault="00973D1B" w:rsidP="00EF31EC">
            <w:pPr>
              <w:spacing w:before="0" w:line="240" w:lineRule="auto"/>
              <w:contextualSpacing/>
              <w:jc w:val="right"/>
              <w:rPr>
                <w:color w:val="000000"/>
                <w:sz w:val="22"/>
                <w:szCs w:val="22"/>
                <w:lang w:eastAsia="en-IN"/>
              </w:rPr>
            </w:pPr>
          </w:p>
        </w:tc>
        <w:tc>
          <w:tcPr>
            <w:tcW w:w="1035" w:type="pct"/>
            <w:tcBorders>
              <w:top w:val="single" w:sz="4" w:space="0" w:color="auto"/>
              <w:left w:val="double" w:sz="4" w:space="0" w:color="auto"/>
              <w:bottom w:val="nil"/>
            </w:tcBorders>
            <w:shd w:val="clear" w:color="auto" w:fill="auto"/>
            <w:noWrap/>
            <w:vAlign w:val="center"/>
          </w:tcPr>
          <w:p w14:paraId="76E79EDD" w14:textId="77777777" w:rsidR="00973D1B" w:rsidRPr="000D5E4F" w:rsidRDefault="00973D1B" w:rsidP="00EF31EC">
            <w:pPr>
              <w:spacing w:before="0" w:line="240" w:lineRule="auto"/>
              <w:contextualSpacing/>
              <w:jc w:val="right"/>
              <w:rPr>
                <w:color w:val="000000"/>
                <w:sz w:val="22"/>
                <w:szCs w:val="22"/>
                <w:lang w:eastAsia="en-IN"/>
              </w:rPr>
            </w:pPr>
          </w:p>
        </w:tc>
      </w:tr>
      <w:tr w:rsidR="00973D1B" w:rsidRPr="000D5E4F" w14:paraId="24689915" w14:textId="77777777" w:rsidTr="00EF31EC">
        <w:trPr>
          <w:trHeight w:val="259"/>
        </w:trPr>
        <w:tc>
          <w:tcPr>
            <w:tcW w:w="2080" w:type="pct"/>
            <w:tcBorders>
              <w:top w:val="nil"/>
              <w:bottom w:val="nil"/>
              <w:right w:val="double" w:sz="4" w:space="0" w:color="auto"/>
            </w:tcBorders>
            <w:shd w:val="clear" w:color="auto" w:fill="auto"/>
            <w:noWrap/>
            <w:vAlign w:val="center"/>
          </w:tcPr>
          <w:p w14:paraId="210471AD" w14:textId="3BD49CD0" w:rsidR="00973D1B" w:rsidRPr="000D5E4F" w:rsidRDefault="00973D1B" w:rsidP="00EF31EC">
            <w:pPr>
              <w:spacing w:before="0" w:line="240" w:lineRule="auto"/>
              <w:contextualSpacing/>
              <w:rPr>
                <w:color w:val="000000"/>
                <w:sz w:val="22"/>
                <w:szCs w:val="22"/>
                <w:lang w:eastAsia="en-IN"/>
              </w:rPr>
            </w:pPr>
            <w:r w:rsidRPr="000D5E4F">
              <w:rPr>
                <w:color w:val="000000"/>
                <w:sz w:val="22"/>
                <w:szCs w:val="22"/>
                <w:lang w:eastAsia="en-IN"/>
              </w:rPr>
              <w:t>No</w:t>
            </w:r>
          </w:p>
        </w:tc>
        <w:tc>
          <w:tcPr>
            <w:tcW w:w="976" w:type="pct"/>
            <w:tcBorders>
              <w:top w:val="nil"/>
              <w:left w:val="double" w:sz="4" w:space="0" w:color="auto"/>
              <w:bottom w:val="nil"/>
              <w:right w:val="single" w:sz="4" w:space="0" w:color="auto"/>
            </w:tcBorders>
            <w:shd w:val="clear" w:color="auto" w:fill="auto"/>
            <w:noWrap/>
            <w:vAlign w:val="center"/>
          </w:tcPr>
          <w:p w14:paraId="4289B44B" w14:textId="6690AC9B" w:rsidR="00973D1B" w:rsidRPr="000D5E4F" w:rsidRDefault="00973D1B" w:rsidP="00EF31EC">
            <w:pPr>
              <w:spacing w:before="0" w:line="240" w:lineRule="auto"/>
              <w:contextualSpacing/>
              <w:jc w:val="right"/>
              <w:rPr>
                <w:color w:val="000000"/>
                <w:sz w:val="22"/>
                <w:szCs w:val="22"/>
                <w:lang w:eastAsia="en-IN"/>
              </w:rPr>
            </w:pPr>
            <w:r w:rsidRPr="000D5E4F">
              <w:rPr>
                <w:color w:val="000000"/>
                <w:sz w:val="22"/>
                <w:szCs w:val="22"/>
                <w:lang w:eastAsia="en-IN"/>
              </w:rPr>
              <w:t>113</w:t>
            </w:r>
          </w:p>
        </w:tc>
        <w:tc>
          <w:tcPr>
            <w:tcW w:w="908" w:type="pct"/>
            <w:tcBorders>
              <w:top w:val="nil"/>
              <w:left w:val="single" w:sz="4" w:space="0" w:color="auto"/>
              <w:bottom w:val="nil"/>
              <w:right w:val="double" w:sz="4" w:space="0" w:color="auto"/>
            </w:tcBorders>
            <w:vAlign w:val="center"/>
          </w:tcPr>
          <w:p w14:paraId="37D66ECC" w14:textId="573A965E" w:rsidR="00973D1B" w:rsidRPr="000D5E4F" w:rsidRDefault="00973D1B" w:rsidP="00EF31EC">
            <w:pPr>
              <w:spacing w:before="0" w:line="240" w:lineRule="auto"/>
              <w:contextualSpacing/>
              <w:jc w:val="right"/>
              <w:rPr>
                <w:color w:val="000000"/>
                <w:sz w:val="22"/>
                <w:szCs w:val="22"/>
                <w:lang w:eastAsia="en-IN"/>
              </w:rPr>
            </w:pPr>
            <w:r w:rsidRPr="000D5E4F">
              <w:rPr>
                <w:color w:val="000000"/>
                <w:sz w:val="22"/>
                <w:szCs w:val="22"/>
                <w:lang w:eastAsia="en-IN"/>
              </w:rPr>
              <w:t>12.0%</w:t>
            </w:r>
          </w:p>
        </w:tc>
        <w:tc>
          <w:tcPr>
            <w:tcW w:w="1035" w:type="pct"/>
            <w:tcBorders>
              <w:top w:val="nil"/>
              <w:left w:val="double" w:sz="4" w:space="0" w:color="auto"/>
              <w:bottom w:val="nil"/>
            </w:tcBorders>
            <w:shd w:val="clear" w:color="auto" w:fill="auto"/>
            <w:noWrap/>
            <w:vAlign w:val="center"/>
          </w:tcPr>
          <w:p w14:paraId="386561E0" w14:textId="7DA768BD" w:rsidR="00973D1B" w:rsidRPr="000D5E4F" w:rsidRDefault="00973D1B" w:rsidP="00EF31EC">
            <w:pPr>
              <w:spacing w:before="0" w:line="240" w:lineRule="auto"/>
              <w:contextualSpacing/>
              <w:jc w:val="right"/>
              <w:rPr>
                <w:color w:val="000000"/>
                <w:sz w:val="22"/>
                <w:szCs w:val="22"/>
                <w:lang w:eastAsia="en-IN"/>
              </w:rPr>
            </w:pPr>
            <w:r w:rsidRPr="000D5E4F">
              <w:rPr>
                <w:color w:val="000000"/>
                <w:sz w:val="22"/>
                <w:szCs w:val="22"/>
                <w:lang w:eastAsia="en-IN"/>
              </w:rPr>
              <w:t>-</w:t>
            </w:r>
          </w:p>
        </w:tc>
      </w:tr>
      <w:tr w:rsidR="00973D1B" w:rsidRPr="000D5E4F" w14:paraId="512988D9" w14:textId="77777777" w:rsidTr="00EF31EC">
        <w:trPr>
          <w:trHeight w:val="259"/>
        </w:trPr>
        <w:tc>
          <w:tcPr>
            <w:tcW w:w="2080" w:type="pct"/>
            <w:tcBorders>
              <w:top w:val="nil"/>
              <w:bottom w:val="single" w:sz="4" w:space="0" w:color="auto"/>
              <w:right w:val="double" w:sz="4" w:space="0" w:color="auto"/>
            </w:tcBorders>
            <w:shd w:val="clear" w:color="auto" w:fill="auto"/>
            <w:noWrap/>
            <w:vAlign w:val="center"/>
          </w:tcPr>
          <w:p w14:paraId="1F006B7D" w14:textId="1A6A1DA3" w:rsidR="00973D1B" w:rsidRPr="000D5E4F" w:rsidRDefault="00973D1B" w:rsidP="00EF31EC">
            <w:pPr>
              <w:spacing w:before="0" w:line="240" w:lineRule="auto"/>
              <w:contextualSpacing/>
              <w:rPr>
                <w:color w:val="000000"/>
                <w:sz w:val="22"/>
                <w:szCs w:val="22"/>
                <w:lang w:eastAsia="en-IN"/>
              </w:rPr>
            </w:pPr>
            <w:r w:rsidRPr="000D5E4F">
              <w:rPr>
                <w:color w:val="000000"/>
                <w:sz w:val="22"/>
                <w:szCs w:val="22"/>
                <w:lang w:eastAsia="en-IN"/>
              </w:rPr>
              <w:t>Yes</w:t>
            </w:r>
          </w:p>
        </w:tc>
        <w:tc>
          <w:tcPr>
            <w:tcW w:w="976" w:type="pct"/>
            <w:tcBorders>
              <w:top w:val="nil"/>
              <w:left w:val="double" w:sz="4" w:space="0" w:color="auto"/>
              <w:bottom w:val="single" w:sz="4" w:space="0" w:color="auto"/>
              <w:right w:val="single" w:sz="4" w:space="0" w:color="auto"/>
            </w:tcBorders>
            <w:shd w:val="clear" w:color="auto" w:fill="auto"/>
            <w:noWrap/>
            <w:vAlign w:val="center"/>
          </w:tcPr>
          <w:p w14:paraId="6E2853BA" w14:textId="73FFBD2B" w:rsidR="00973D1B" w:rsidRPr="000D5E4F" w:rsidRDefault="00973D1B" w:rsidP="00EF31EC">
            <w:pPr>
              <w:spacing w:before="0" w:line="240" w:lineRule="auto"/>
              <w:contextualSpacing/>
              <w:jc w:val="right"/>
              <w:rPr>
                <w:color w:val="000000"/>
                <w:sz w:val="22"/>
                <w:szCs w:val="22"/>
                <w:lang w:eastAsia="en-IN"/>
              </w:rPr>
            </w:pPr>
            <w:r w:rsidRPr="000D5E4F">
              <w:rPr>
                <w:color w:val="000000"/>
                <w:sz w:val="22"/>
                <w:szCs w:val="22"/>
                <w:lang w:eastAsia="en-IN"/>
              </w:rPr>
              <w:t>815</w:t>
            </w:r>
          </w:p>
        </w:tc>
        <w:tc>
          <w:tcPr>
            <w:tcW w:w="908" w:type="pct"/>
            <w:tcBorders>
              <w:top w:val="nil"/>
              <w:left w:val="single" w:sz="4" w:space="0" w:color="auto"/>
              <w:bottom w:val="single" w:sz="4" w:space="0" w:color="auto"/>
              <w:right w:val="double" w:sz="4" w:space="0" w:color="auto"/>
            </w:tcBorders>
            <w:vAlign w:val="center"/>
          </w:tcPr>
          <w:p w14:paraId="1C21050D" w14:textId="35091B59" w:rsidR="00973D1B" w:rsidRPr="000D5E4F" w:rsidRDefault="00973D1B" w:rsidP="00EF31EC">
            <w:pPr>
              <w:spacing w:before="0" w:line="240" w:lineRule="auto"/>
              <w:contextualSpacing/>
              <w:jc w:val="right"/>
              <w:rPr>
                <w:color w:val="000000"/>
                <w:sz w:val="22"/>
                <w:szCs w:val="22"/>
                <w:lang w:eastAsia="en-IN"/>
              </w:rPr>
            </w:pPr>
            <w:r w:rsidRPr="000D5E4F">
              <w:rPr>
                <w:color w:val="000000"/>
                <w:sz w:val="22"/>
                <w:szCs w:val="22"/>
                <w:lang w:eastAsia="en-IN"/>
              </w:rPr>
              <w:t>88.0%</w:t>
            </w:r>
          </w:p>
        </w:tc>
        <w:tc>
          <w:tcPr>
            <w:tcW w:w="1035" w:type="pct"/>
            <w:tcBorders>
              <w:top w:val="nil"/>
              <w:left w:val="double" w:sz="4" w:space="0" w:color="auto"/>
              <w:bottom w:val="single" w:sz="4" w:space="0" w:color="auto"/>
            </w:tcBorders>
            <w:shd w:val="clear" w:color="auto" w:fill="auto"/>
            <w:noWrap/>
            <w:vAlign w:val="center"/>
          </w:tcPr>
          <w:p w14:paraId="39CB8E94" w14:textId="396B0192" w:rsidR="00973D1B" w:rsidRPr="000D5E4F" w:rsidRDefault="00973D1B" w:rsidP="00EF31EC">
            <w:pPr>
              <w:spacing w:before="0" w:line="240" w:lineRule="auto"/>
              <w:contextualSpacing/>
              <w:jc w:val="right"/>
              <w:rPr>
                <w:color w:val="000000"/>
                <w:sz w:val="22"/>
                <w:szCs w:val="22"/>
                <w:lang w:eastAsia="en-IN"/>
              </w:rPr>
            </w:pPr>
            <w:r w:rsidRPr="000D5E4F">
              <w:rPr>
                <w:color w:val="000000"/>
                <w:sz w:val="22"/>
                <w:szCs w:val="22"/>
                <w:lang w:eastAsia="en-IN"/>
              </w:rPr>
              <w:t>-</w:t>
            </w:r>
          </w:p>
        </w:tc>
      </w:tr>
      <w:tr w:rsidR="00973D1B" w:rsidRPr="000D5E4F" w14:paraId="42E0003E" w14:textId="77777777" w:rsidTr="00EF31EC">
        <w:trPr>
          <w:trHeight w:val="259"/>
        </w:trPr>
        <w:tc>
          <w:tcPr>
            <w:tcW w:w="2080" w:type="pct"/>
            <w:tcBorders>
              <w:top w:val="single" w:sz="4" w:space="0" w:color="auto"/>
              <w:bottom w:val="nil"/>
              <w:right w:val="double" w:sz="4" w:space="0" w:color="auto"/>
            </w:tcBorders>
            <w:shd w:val="clear" w:color="auto" w:fill="auto"/>
            <w:noWrap/>
            <w:vAlign w:val="center"/>
          </w:tcPr>
          <w:p w14:paraId="46EE1811" w14:textId="13952047" w:rsidR="00973D1B" w:rsidRPr="000D5E4F" w:rsidRDefault="00973D1B" w:rsidP="00EF31EC">
            <w:pPr>
              <w:spacing w:before="0" w:line="240" w:lineRule="auto"/>
              <w:contextualSpacing/>
              <w:rPr>
                <w:color w:val="000000"/>
                <w:sz w:val="22"/>
                <w:szCs w:val="22"/>
                <w:lang w:eastAsia="en-IN"/>
              </w:rPr>
            </w:pPr>
            <w:r w:rsidRPr="000D5E4F">
              <w:rPr>
                <w:b/>
                <w:bCs/>
                <w:color w:val="000000"/>
                <w:sz w:val="22"/>
                <w:szCs w:val="22"/>
                <w:lang w:eastAsia="en-IN"/>
              </w:rPr>
              <w:t>Student</w:t>
            </w:r>
          </w:p>
        </w:tc>
        <w:tc>
          <w:tcPr>
            <w:tcW w:w="976" w:type="pct"/>
            <w:tcBorders>
              <w:top w:val="single" w:sz="4" w:space="0" w:color="auto"/>
              <w:left w:val="double" w:sz="4" w:space="0" w:color="auto"/>
              <w:bottom w:val="nil"/>
              <w:right w:val="single" w:sz="4" w:space="0" w:color="auto"/>
            </w:tcBorders>
            <w:shd w:val="clear" w:color="auto" w:fill="auto"/>
            <w:noWrap/>
            <w:vAlign w:val="center"/>
          </w:tcPr>
          <w:p w14:paraId="371E1792" w14:textId="77777777" w:rsidR="00973D1B" w:rsidRPr="000D5E4F" w:rsidRDefault="00973D1B" w:rsidP="00EF31EC">
            <w:pPr>
              <w:spacing w:before="0" w:line="240" w:lineRule="auto"/>
              <w:contextualSpacing/>
              <w:jc w:val="right"/>
              <w:rPr>
                <w:color w:val="000000"/>
                <w:sz w:val="22"/>
                <w:szCs w:val="22"/>
                <w:lang w:eastAsia="en-IN"/>
              </w:rPr>
            </w:pPr>
          </w:p>
        </w:tc>
        <w:tc>
          <w:tcPr>
            <w:tcW w:w="908" w:type="pct"/>
            <w:tcBorders>
              <w:top w:val="single" w:sz="4" w:space="0" w:color="auto"/>
              <w:left w:val="single" w:sz="4" w:space="0" w:color="auto"/>
              <w:bottom w:val="nil"/>
              <w:right w:val="double" w:sz="4" w:space="0" w:color="auto"/>
            </w:tcBorders>
            <w:vAlign w:val="center"/>
          </w:tcPr>
          <w:p w14:paraId="187B1C40" w14:textId="77777777" w:rsidR="00973D1B" w:rsidRPr="000D5E4F" w:rsidRDefault="00973D1B" w:rsidP="00EF31EC">
            <w:pPr>
              <w:spacing w:before="0" w:line="240" w:lineRule="auto"/>
              <w:contextualSpacing/>
              <w:jc w:val="right"/>
              <w:rPr>
                <w:color w:val="000000"/>
                <w:sz w:val="22"/>
                <w:szCs w:val="22"/>
                <w:lang w:eastAsia="en-IN"/>
              </w:rPr>
            </w:pPr>
          </w:p>
        </w:tc>
        <w:tc>
          <w:tcPr>
            <w:tcW w:w="1035" w:type="pct"/>
            <w:tcBorders>
              <w:top w:val="single" w:sz="4" w:space="0" w:color="auto"/>
              <w:left w:val="double" w:sz="4" w:space="0" w:color="auto"/>
              <w:bottom w:val="nil"/>
            </w:tcBorders>
            <w:shd w:val="clear" w:color="auto" w:fill="auto"/>
            <w:noWrap/>
            <w:vAlign w:val="center"/>
          </w:tcPr>
          <w:p w14:paraId="45F77F6B" w14:textId="77777777" w:rsidR="00973D1B" w:rsidRPr="000D5E4F" w:rsidRDefault="00973D1B" w:rsidP="00EF31EC">
            <w:pPr>
              <w:spacing w:before="0" w:line="240" w:lineRule="auto"/>
              <w:contextualSpacing/>
              <w:jc w:val="right"/>
              <w:rPr>
                <w:color w:val="000000"/>
                <w:sz w:val="22"/>
                <w:szCs w:val="22"/>
                <w:lang w:eastAsia="en-IN"/>
              </w:rPr>
            </w:pPr>
          </w:p>
        </w:tc>
      </w:tr>
      <w:tr w:rsidR="00973D1B" w:rsidRPr="000D5E4F" w14:paraId="32F8EE87" w14:textId="77777777" w:rsidTr="00EF31EC">
        <w:trPr>
          <w:trHeight w:val="259"/>
        </w:trPr>
        <w:tc>
          <w:tcPr>
            <w:tcW w:w="2080" w:type="pct"/>
            <w:tcBorders>
              <w:top w:val="nil"/>
              <w:bottom w:val="nil"/>
              <w:right w:val="double" w:sz="4" w:space="0" w:color="auto"/>
            </w:tcBorders>
            <w:shd w:val="clear" w:color="auto" w:fill="auto"/>
            <w:noWrap/>
            <w:vAlign w:val="center"/>
          </w:tcPr>
          <w:p w14:paraId="6A02FECB" w14:textId="5B0409B3" w:rsidR="00973D1B" w:rsidRPr="000D5E4F" w:rsidRDefault="00973D1B" w:rsidP="00EF31EC">
            <w:pPr>
              <w:spacing w:before="0" w:line="240" w:lineRule="auto"/>
              <w:contextualSpacing/>
              <w:rPr>
                <w:color w:val="000000"/>
                <w:sz w:val="22"/>
                <w:szCs w:val="22"/>
                <w:lang w:eastAsia="en-IN"/>
              </w:rPr>
            </w:pPr>
            <w:r w:rsidRPr="000D5E4F">
              <w:rPr>
                <w:color w:val="000000"/>
                <w:sz w:val="22"/>
                <w:szCs w:val="22"/>
                <w:lang w:eastAsia="en-IN"/>
              </w:rPr>
              <w:t>No</w:t>
            </w:r>
          </w:p>
        </w:tc>
        <w:tc>
          <w:tcPr>
            <w:tcW w:w="976" w:type="pct"/>
            <w:tcBorders>
              <w:top w:val="nil"/>
              <w:left w:val="double" w:sz="4" w:space="0" w:color="auto"/>
              <w:bottom w:val="nil"/>
              <w:right w:val="single" w:sz="4" w:space="0" w:color="auto"/>
            </w:tcBorders>
            <w:shd w:val="clear" w:color="auto" w:fill="auto"/>
            <w:noWrap/>
            <w:vAlign w:val="center"/>
          </w:tcPr>
          <w:p w14:paraId="0FF5A690" w14:textId="44F503ED" w:rsidR="00973D1B" w:rsidRPr="000D5E4F" w:rsidRDefault="00973D1B" w:rsidP="00EF31EC">
            <w:pPr>
              <w:spacing w:before="0" w:line="240" w:lineRule="auto"/>
              <w:contextualSpacing/>
              <w:jc w:val="right"/>
              <w:rPr>
                <w:color w:val="000000"/>
                <w:sz w:val="22"/>
                <w:szCs w:val="22"/>
                <w:lang w:eastAsia="en-IN"/>
              </w:rPr>
            </w:pPr>
            <w:r w:rsidRPr="000D5E4F">
              <w:rPr>
                <w:color w:val="000000"/>
                <w:sz w:val="22"/>
                <w:szCs w:val="22"/>
                <w:lang w:eastAsia="en-IN"/>
              </w:rPr>
              <w:t>462</w:t>
            </w:r>
          </w:p>
        </w:tc>
        <w:tc>
          <w:tcPr>
            <w:tcW w:w="908" w:type="pct"/>
            <w:tcBorders>
              <w:top w:val="nil"/>
              <w:left w:val="single" w:sz="4" w:space="0" w:color="auto"/>
              <w:bottom w:val="nil"/>
              <w:right w:val="double" w:sz="4" w:space="0" w:color="auto"/>
            </w:tcBorders>
            <w:vAlign w:val="center"/>
          </w:tcPr>
          <w:p w14:paraId="5E039C9B" w14:textId="06A46428" w:rsidR="00973D1B" w:rsidRPr="000D5E4F" w:rsidRDefault="00973D1B" w:rsidP="00EF31EC">
            <w:pPr>
              <w:spacing w:before="0" w:line="240" w:lineRule="auto"/>
              <w:contextualSpacing/>
              <w:jc w:val="right"/>
              <w:rPr>
                <w:color w:val="000000"/>
                <w:sz w:val="22"/>
                <w:szCs w:val="22"/>
                <w:lang w:eastAsia="en-IN"/>
              </w:rPr>
            </w:pPr>
            <w:r w:rsidRPr="000D5E4F">
              <w:rPr>
                <w:color w:val="000000"/>
                <w:sz w:val="22"/>
                <w:szCs w:val="22"/>
                <w:lang w:eastAsia="en-IN"/>
              </w:rPr>
              <w:t>49.8%</w:t>
            </w:r>
          </w:p>
        </w:tc>
        <w:tc>
          <w:tcPr>
            <w:tcW w:w="1035" w:type="pct"/>
            <w:tcBorders>
              <w:top w:val="nil"/>
              <w:left w:val="double" w:sz="4" w:space="0" w:color="auto"/>
              <w:bottom w:val="nil"/>
            </w:tcBorders>
            <w:shd w:val="clear" w:color="auto" w:fill="auto"/>
            <w:noWrap/>
            <w:vAlign w:val="center"/>
          </w:tcPr>
          <w:p w14:paraId="4B9BCC49" w14:textId="6BA309D3" w:rsidR="00973D1B" w:rsidRPr="000D5E4F" w:rsidRDefault="00973D1B" w:rsidP="00EF31EC">
            <w:pPr>
              <w:spacing w:before="0" w:line="240" w:lineRule="auto"/>
              <w:contextualSpacing/>
              <w:jc w:val="right"/>
              <w:rPr>
                <w:color w:val="000000"/>
                <w:sz w:val="22"/>
                <w:szCs w:val="22"/>
                <w:lang w:eastAsia="en-IN"/>
              </w:rPr>
            </w:pPr>
            <w:r w:rsidRPr="000D5E4F">
              <w:rPr>
                <w:color w:val="000000"/>
                <w:sz w:val="22"/>
                <w:szCs w:val="22"/>
                <w:lang w:eastAsia="en-IN"/>
              </w:rPr>
              <w:t>-</w:t>
            </w:r>
          </w:p>
        </w:tc>
      </w:tr>
      <w:tr w:rsidR="00973D1B" w:rsidRPr="000D5E4F" w14:paraId="25C03069" w14:textId="77777777" w:rsidTr="00EF31EC">
        <w:trPr>
          <w:trHeight w:val="259"/>
        </w:trPr>
        <w:tc>
          <w:tcPr>
            <w:tcW w:w="2080" w:type="pct"/>
            <w:tcBorders>
              <w:top w:val="nil"/>
              <w:bottom w:val="single" w:sz="4" w:space="0" w:color="auto"/>
              <w:right w:val="double" w:sz="4" w:space="0" w:color="auto"/>
            </w:tcBorders>
            <w:shd w:val="clear" w:color="auto" w:fill="auto"/>
            <w:noWrap/>
            <w:vAlign w:val="center"/>
          </w:tcPr>
          <w:p w14:paraId="345B2AE7" w14:textId="68BCE5CD" w:rsidR="00973D1B" w:rsidRPr="000D5E4F" w:rsidRDefault="00973D1B" w:rsidP="00EF31EC">
            <w:pPr>
              <w:spacing w:before="0" w:line="240" w:lineRule="auto"/>
              <w:contextualSpacing/>
              <w:rPr>
                <w:color w:val="000000"/>
                <w:sz w:val="22"/>
                <w:szCs w:val="22"/>
                <w:lang w:eastAsia="en-IN"/>
              </w:rPr>
            </w:pPr>
            <w:r w:rsidRPr="000D5E4F">
              <w:rPr>
                <w:color w:val="000000"/>
                <w:sz w:val="22"/>
                <w:szCs w:val="22"/>
                <w:lang w:eastAsia="en-IN"/>
              </w:rPr>
              <w:t>Yes</w:t>
            </w:r>
          </w:p>
        </w:tc>
        <w:tc>
          <w:tcPr>
            <w:tcW w:w="976" w:type="pct"/>
            <w:tcBorders>
              <w:top w:val="nil"/>
              <w:left w:val="double" w:sz="4" w:space="0" w:color="auto"/>
              <w:bottom w:val="single" w:sz="4" w:space="0" w:color="auto"/>
              <w:right w:val="single" w:sz="4" w:space="0" w:color="auto"/>
            </w:tcBorders>
            <w:shd w:val="clear" w:color="auto" w:fill="auto"/>
            <w:noWrap/>
            <w:vAlign w:val="center"/>
          </w:tcPr>
          <w:p w14:paraId="2889AF6B" w14:textId="31C8D6F2" w:rsidR="00973D1B" w:rsidRPr="000D5E4F" w:rsidRDefault="00973D1B" w:rsidP="00EF31EC">
            <w:pPr>
              <w:spacing w:before="0" w:line="240" w:lineRule="auto"/>
              <w:contextualSpacing/>
              <w:jc w:val="right"/>
              <w:rPr>
                <w:color w:val="000000"/>
                <w:sz w:val="22"/>
                <w:szCs w:val="22"/>
                <w:lang w:eastAsia="en-IN"/>
              </w:rPr>
            </w:pPr>
            <w:r w:rsidRPr="000D5E4F">
              <w:rPr>
                <w:color w:val="000000"/>
                <w:sz w:val="22"/>
                <w:szCs w:val="22"/>
                <w:lang w:eastAsia="en-IN"/>
              </w:rPr>
              <w:t>466</w:t>
            </w:r>
          </w:p>
        </w:tc>
        <w:tc>
          <w:tcPr>
            <w:tcW w:w="908" w:type="pct"/>
            <w:tcBorders>
              <w:top w:val="nil"/>
              <w:left w:val="single" w:sz="4" w:space="0" w:color="auto"/>
              <w:bottom w:val="single" w:sz="4" w:space="0" w:color="auto"/>
              <w:right w:val="double" w:sz="4" w:space="0" w:color="auto"/>
            </w:tcBorders>
            <w:vAlign w:val="center"/>
          </w:tcPr>
          <w:p w14:paraId="451B6AFF" w14:textId="00EAC3DB" w:rsidR="00973D1B" w:rsidRPr="000D5E4F" w:rsidRDefault="00973D1B" w:rsidP="00EF31EC">
            <w:pPr>
              <w:spacing w:before="0" w:line="240" w:lineRule="auto"/>
              <w:contextualSpacing/>
              <w:jc w:val="right"/>
              <w:rPr>
                <w:color w:val="000000"/>
                <w:sz w:val="22"/>
                <w:szCs w:val="22"/>
                <w:lang w:eastAsia="en-IN"/>
              </w:rPr>
            </w:pPr>
            <w:r w:rsidRPr="000D5E4F">
              <w:rPr>
                <w:color w:val="000000"/>
                <w:sz w:val="22"/>
                <w:szCs w:val="22"/>
                <w:lang w:eastAsia="en-IN"/>
              </w:rPr>
              <w:t>50.2%</w:t>
            </w:r>
          </w:p>
        </w:tc>
        <w:tc>
          <w:tcPr>
            <w:tcW w:w="1035" w:type="pct"/>
            <w:tcBorders>
              <w:top w:val="nil"/>
              <w:left w:val="double" w:sz="4" w:space="0" w:color="auto"/>
              <w:bottom w:val="single" w:sz="4" w:space="0" w:color="auto"/>
            </w:tcBorders>
            <w:shd w:val="clear" w:color="auto" w:fill="auto"/>
            <w:noWrap/>
            <w:vAlign w:val="center"/>
          </w:tcPr>
          <w:p w14:paraId="47E48B48" w14:textId="4968560A" w:rsidR="00973D1B" w:rsidRPr="000D5E4F" w:rsidRDefault="00973D1B" w:rsidP="00EF31EC">
            <w:pPr>
              <w:spacing w:before="0" w:line="240" w:lineRule="auto"/>
              <w:contextualSpacing/>
              <w:jc w:val="right"/>
              <w:rPr>
                <w:color w:val="000000"/>
                <w:sz w:val="22"/>
                <w:szCs w:val="22"/>
                <w:lang w:eastAsia="en-IN"/>
              </w:rPr>
            </w:pPr>
            <w:r w:rsidRPr="000D5E4F">
              <w:rPr>
                <w:color w:val="000000"/>
                <w:sz w:val="22"/>
                <w:szCs w:val="22"/>
                <w:lang w:eastAsia="en-IN"/>
              </w:rPr>
              <w:t>-</w:t>
            </w:r>
          </w:p>
        </w:tc>
      </w:tr>
      <w:tr w:rsidR="00973D1B" w:rsidRPr="000D5E4F" w14:paraId="2F63A750" w14:textId="77777777" w:rsidTr="00EF31EC">
        <w:trPr>
          <w:trHeight w:val="259"/>
        </w:trPr>
        <w:tc>
          <w:tcPr>
            <w:tcW w:w="2080" w:type="pct"/>
            <w:tcBorders>
              <w:top w:val="nil"/>
              <w:bottom w:val="nil"/>
              <w:right w:val="double" w:sz="4" w:space="0" w:color="auto"/>
            </w:tcBorders>
            <w:shd w:val="clear" w:color="auto" w:fill="auto"/>
            <w:noWrap/>
            <w:vAlign w:val="center"/>
          </w:tcPr>
          <w:p w14:paraId="7AFF8256" w14:textId="77777777" w:rsidR="00973D1B" w:rsidRPr="000D5E4F" w:rsidRDefault="00973D1B" w:rsidP="00EF31EC">
            <w:pPr>
              <w:spacing w:before="0" w:line="240" w:lineRule="auto"/>
              <w:contextualSpacing/>
              <w:rPr>
                <w:sz w:val="22"/>
                <w:szCs w:val="22"/>
              </w:rPr>
            </w:pPr>
            <w:r w:rsidRPr="000D5E4F">
              <w:rPr>
                <w:b/>
                <w:bCs/>
                <w:color w:val="000000"/>
                <w:sz w:val="22"/>
                <w:szCs w:val="22"/>
                <w:lang w:eastAsia="en-IN"/>
              </w:rPr>
              <w:t>Education Qualification</w:t>
            </w:r>
          </w:p>
        </w:tc>
        <w:tc>
          <w:tcPr>
            <w:tcW w:w="976" w:type="pct"/>
            <w:tcBorders>
              <w:top w:val="nil"/>
              <w:left w:val="double" w:sz="4" w:space="0" w:color="auto"/>
              <w:bottom w:val="nil"/>
              <w:right w:val="single" w:sz="4" w:space="0" w:color="auto"/>
            </w:tcBorders>
            <w:shd w:val="clear" w:color="auto" w:fill="auto"/>
            <w:noWrap/>
            <w:vAlign w:val="center"/>
          </w:tcPr>
          <w:p w14:paraId="3738168D" w14:textId="77777777" w:rsidR="00973D1B" w:rsidRPr="000D5E4F" w:rsidRDefault="00973D1B" w:rsidP="00EF31EC">
            <w:pPr>
              <w:spacing w:before="0" w:line="240" w:lineRule="auto"/>
              <w:contextualSpacing/>
              <w:jc w:val="right"/>
              <w:rPr>
                <w:color w:val="000000"/>
                <w:sz w:val="22"/>
                <w:szCs w:val="22"/>
                <w:lang w:eastAsia="en-IN"/>
              </w:rPr>
            </w:pPr>
          </w:p>
        </w:tc>
        <w:tc>
          <w:tcPr>
            <w:tcW w:w="908" w:type="pct"/>
            <w:tcBorders>
              <w:top w:val="nil"/>
              <w:left w:val="single" w:sz="4" w:space="0" w:color="auto"/>
              <w:bottom w:val="nil"/>
              <w:right w:val="double" w:sz="4" w:space="0" w:color="auto"/>
            </w:tcBorders>
            <w:vAlign w:val="center"/>
          </w:tcPr>
          <w:p w14:paraId="02D6FBA0" w14:textId="77777777" w:rsidR="00973D1B" w:rsidRPr="000D5E4F" w:rsidRDefault="00973D1B" w:rsidP="00EF31EC">
            <w:pPr>
              <w:spacing w:before="0" w:line="240" w:lineRule="auto"/>
              <w:contextualSpacing/>
              <w:jc w:val="right"/>
              <w:rPr>
                <w:color w:val="000000"/>
                <w:sz w:val="22"/>
                <w:szCs w:val="22"/>
                <w:lang w:eastAsia="en-IN"/>
              </w:rPr>
            </w:pPr>
          </w:p>
        </w:tc>
        <w:tc>
          <w:tcPr>
            <w:tcW w:w="1035" w:type="pct"/>
            <w:tcBorders>
              <w:top w:val="nil"/>
              <w:left w:val="double" w:sz="4" w:space="0" w:color="auto"/>
              <w:bottom w:val="nil"/>
            </w:tcBorders>
            <w:shd w:val="clear" w:color="auto" w:fill="auto"/>
            <w:noWrap/>
            <w:vAlign w:val="center"/>
          </w:tcPr>
          <w:p w14:paraId="7DC5FC0E" w14:textId="5824477A" w:rsidR="00973D1B" w:rsidRPr="000D5E4F" w:rsidRDefault="00973D1B" w:rsidP="00EF31EC">
            <w:pPr>
              <w:spacing w:before="0" w:line="240" w:lineRule="auto"/>
              <w:contextualSpacing/>
              <w:jc w:val="right"/>
              <w:rPr>
                <w:color w:val="000000"/>
                <w:sz w:val="22"/>
                <w:szCs w:val="22"/>
                <w:lang w:eastAsia="en-IN"/>
              </w:rPr>
            </w:pPr>
          </w:p>
        </w:tc>
      </w:tr>
      <w:tr w:rsidR="00973D1B" w:rsidRPr="000D5E4F" w14:paraId="5FFE5D7B" w14:textId="77777777" w:rsidTr="00EF31EC">
        <w:trPr>
          <w:trHeight w:val="259"/>
        </w:trPr>
        <w:tc>
          <w:tcPr>
            <w:tcW w:w="2080" w:type="pct"/>
            <w:tcBorders>
              <w:top w:val="nil"/>
              <w:bottom w:val="nil"/>
              <w:right w:val="double" w:sz="4" w:space="0" w:color="auto"/>
            </w:tcBorders>
            <w:shd w:val="clear" w:color="auto" w:fill="auto"/>
            <w:noWrap/>
            <w:vAlign w:val="center"/>
            <w:hideMark/>
          </w:tcPr>
          <w:p w14:paraId="1D167637" w14:textId="77777777" w:rsidR="00973D1B" w:rsidRPr="000D5E4F" w:rsidRDefault="00973D1B" w:rsidP="00EF31EC">
            <w:pPr>
              <w:spacing w:before="0" w:line="240" w:lineRule="auto"/>
              <w:contextualSpacing/>
              <w:rPr>
                <w:color w:val="000000"/>
                <w:sz w:val="22"/>
                <w:szCs w:val="22"/>
                <w:lang w:eastAsia="en-IN"/>
              </w:rPr>
            </w:pPr>
            <w:r w:rsidRPr="000D5E4F">
              <w:rPr>
                <w:sz w:val="22"/>
                <w:szCs w:val="22"/>
              </w:rPr>
              <w:t>Completed high-school or less</w:t>
            </w:r>
          </w:p>
        </w:tc>
        <w:tc>
          <w:tcPr>
            <w:tcW w:w="976" w:type="pct"/>
            <w:tcBorders>
              <w:top w:val="nil"/>
              <w:left w:val="double" w:sz="4" w:space="0" w:color="auto"/>
              <w:bottom w:val="nil"/>
              <w:right w:val="single" w:sz="4" w:space="0" w:color="auto"/>
            </w:tcBorders>
            <w:shd w:val="clear" w:color="auto" w:fill="auto"/>
            <w:noWrap/>
            <w:vAlign w:val="center"/>
            <w:hideMark/>
          </w:tcPr>
          <w:p w14:paraId="01C1E0C5" w14:textId="77777777" w:rsidR="00973D1B" w:rsidRPr="000D5E4F" w:rsidRDefault="00973D1B" w:rsidP="00EF31EC">
            <w:pPr>
              <w:spacing w:before="0" w:line="240" w:lineRule="auto"/>
              <w:contextualSpacing/>
              <w:jc w:val="right"/>
              <w:rPr>
                <w:color w:val="000000"/>
                <w:sz w:val="22"/>
                <w:szCs w:val="22"/>
                <w:lang w:eastAsia="en-IN"/>
              </w:rPr>
            </w:pPr>
            <w:r w:rsidRPr="000D5E4F">
              <w:rPr>
                <w:color w:val="000000"/>
                <w:sz w:val="22"/>
                <w:szCs w:val="22"/>
                <w:lang w:eastAsia="en-IN"/>
              </w:rPr>
              <w:t>120</w:t>
            </w:r>
          </w:p>
        </w:tc>
        <w:tc>
          <w:tcPr>
            <w:tcW w:w="908" w:type="pct"/>
            <w:tcBorders>
              <w:top w:val="nil"/>
              <w:left w:val="single" w:sz="4" w:space="0" w:color="auto"/>
              <w:bottom w:val="nil"/>
              <w:right w:val="double" w:sz="4" w:space="0" w:color="auto"/>
            </w:tcBorders>
            <w:vAlign w:val="center"/>
          </w:tcPr>
          <w:p w14:paraId="1F58DBF8" w14:textId="7040FB25" w:rsidR="00973D1B" w:rsidRPr="000D5E4F" w:rsidRDefault="00973D1B" w:rsidP="00EF31EC">
            <w:pPr>
              <w:spacing w:before="0" w:line="240" w:lineRule="auto"/>
              <w:contextualSpacing/>
              <w:jc w:val="right"/>
              <w:rPr>
                <w:color w:val="000000"/>
                <w:sz w:val="22"/>
                <w:szCs w:val="22"/>
                <w:lang w:eastAsia="en-IN"/>
              </w:rPr>
            </w:pPr>
            <w:r w:rsidRPr="000D5E4F">
              <w:rPr>
                <w:color w:val="000000"/>
                <w:sz w:val="22"/>
                <w:szCs w:val="22"/>
                <w:lang w:eastAsia="en-IN"/>
              </w:rPr>
              <w:t>12.9%</w:t>
            </w:r>
          </w:p>
        </w:tc>
        <w:tc>
          <w:tcPr>
            <w:tcW w:w="1035" w:type="pct"/>
            <w:tcBorders>
              <w:top w:val="nil"/>
              <w:left w:val="double" w:sz="4" w:space="0" w:color="auto"/>
              <w:bottom w:val="nil"/>
            </w:tcBorders>
            <w:shd w:val="clear" w:color="auto" w:fill="auto"/>
            <w:noWrap/>
            <w:vAlign w:val="center"/>
          </w:tcPr>
          <w:p w14:paraId="05D88F4E" w14:textId="69BCF55C" w:rsidR="00973D1B" w:rsidRPr="000D5E4F" w:rsidRDefault="00973D1B" w:rsidP="00EF31EC">
            <w:pPr>
              <w:spacing w:before="0" w:line="240" w:lineRule="auto"/>
              <w:contextualSpacing/>
              <w:jc w:val="right"/>
              <w:rPr>
                <w:color w:val="000000"/>
                <w:sz w:val="22"/>
                <w:szCs w:val="22"/>
                <w:lang w:eastAsia="en-IN"/>
              </w:rPr>
            </w:pPr>
            <w:r w:rsidRPr="000D5E4F">
              <w:rPr>
                <w:color w:val="000000"/>
                <w:sz w:val="22"/>
                <w:szCs w:val="22"/>
                <w:lang w:eastAsia="en-IN"/>
              </w:rPr>
              <w:t>26.0%</w:t>
            </w:r>
          </w:p>
        </w:tc>
      </w:tr>
      <w:tr w:rsidR="00973D1B" w:rsidRPr="000D5E4F" w14:paraId="5E91FADD" w14:textId="77777777" w:rsidTr="00EF31EC">
        <w:trPr>
          <w:trHeight w:val="259"/>
        </w:trPr>
        <w:tc>
          <w:tcPr>
            <w:tcW w:w="2080" w:type="pct"/>
            <w:tcBorders>
              <w:top w:val="nil"/>
              <w:right w:val="double" w:sz="4" w:space="0" w:color="auto"/>
            </w:tcBorders>
            <w:shd w:val="clear" w:color="auto" w:fill="auto"/>
            <w:noWrap/>
            <w:vAlign w:val="center"/>
            <w:hideMark/>
          </w:tcPr>
          <w:p w14:paraId="3C5526B8" w14:textId="77777777" w:rsidR="00973D1B" w:rsidRPr="000D5E4F" w:rsidRDefault="00973D1B" w:rsidP="00EF31EC">
            <w:pPr>
              <w:spacing w:before="0" w:line="240" w:lineRule="auto"/>
              <w:contextualSpacing/>
              <w:rPr>
                <w:color w:val="000000"/>
                <w:sz w:val="22"/>
                <w:szCs w:val="22"/>
                <w:lang w:eastAsia="en-IN"/>
              </w:rPr>
            </w:pPr>
            <w:r w:rsidRPr="000D5E4F">
              <w:rPr>
                <w:sz w:val="22"/>
                <w:szCs w:val="22"/>
              </w:rPr>
              <w:t>Completed some college or technical school</w:t>
            </w:r>
          </w:p>
        </w:tc>
        <w:tc>
          <w:tcPr>
            <w:tcW w:w="976" w:type="pct"/>
            <w:tcBorders>
              <w:top w:val="nil"/>
              <w:left w:val="double" w:sz="4" w:space="0" w:color="auto"/>
              <w:right w:val="single" w:sz="4" w:space="0" w:color="auto"/>
            </w:tcBorders>
            <w:shd w:val="clear" w:color="auto" w:fill="auto"/>
            <w:noWrap/>
            <w:vAlign w:val="center"/>
            <w:hideMark/>
          </w:tcPr>
          <w:p w14:paraId="29BB32BE" w14:textId="77777777" w:rsidR="00973D1B" w:rsidRPr="000D5E4F" w:rsidRDefault="00973D1B" w:rsidP="00EF31EC">
            <w:pPr>
              <w:spacing w:before="0" w:line="240" w:lineRule="auto"/>
              <w:contextualSpacing/>
              <w:jc w:val="right"/>
              <w:rPr>
                <w:color w:val="000000"/>
                <w:sz w:val="22"/>
                <w:szCs w:val="22"/>
                <w:lang w:eastAsia="en-IN"/>
              </w:rPr>
            </w:pPr>
            <w:r w:rsidRPr="000D5E4F">
              <w:rPr>
                <w:color w:val="000000"/>
                <w:sz w:val="22"/>
                <w:szCs w:val="22"/>
                <w:lang w:eastAsia="en-IN"/>
              </w:rPr>
              <w:t>323</w:t>
            </w:r>
          </w:p>
        </w:tc>
        <w:tc>
          <w:tcPr>
            <w:tcW w:w="908" w:type="pct"/>
            <w:tcBorders>
              <w:top w:val="nil"/>
              <w:left w:val="single" w:sz="4" w:space="0" w:color="auto"/>
              <w:right w:val="double" w:sz="4" w:space="0" w:color="auto"/>
            </w:tcBorders>
            <w:vAlign w:val="center"/>
          </w:tcPr>
          <w:p w14:paraId="7F8BE6B5" w14:textId="07EFABE3" w:rsidR="00973D1B" w:rsidRPr="000D5E4F" w:rsidRDefault="00973D1B" w:rsidP="00EF31EC">
            <w:pPr>
              <w:spacing w:before="0" w:line="240" w:lineRule="auto"/>
              <w:contextualSpacing/>
              <w:jc w:val="right"/>
              <w:rPr>
                <w:color w:val="000000"/>
                <w:sz w:val="22"/>
                <w:szCs w:val="22"/>
                <w:lang w:eastAsia="en-IN"/>
              </w:rPr>
            </w:pPr>
            <w:r w:rsidRPr="000D5E4F">
              <w:rPr>
                <w:color w:val="000000"/>
                <w:sz w:val="22"/>
                <w:szCs w:val="22"/>
                <w:lang w:eastAsia="en-IN"/>
              </w:rPr>
              <w:t>34.8%</w:t>
            </w:r>
          </w:p>
        </w:tc>
        <w:tc>
          <w:tcPr>
            <w:tcW w:w="1035" w:type="pct"/>
            <w:tcBorders>
              <w:top w:val="nil"/>
              <w:left w:val="double" w:sz="4" w:space="0" w:color="auto"/>
            </w:tcBorders>
            <w:shd w:val="clear" w:color="auto" w:fill="auto"/>
            <w:noWrap/>
            <w:vAlign w:val="center"/>
          </w:tcPr>
          <w:p w14:paraId="0D966AF5" w14:textId="4D6F3B72" w:rsidR="00973D1B" w:rsidRPr="000D5E4F" w:rsidRDefault="00973D1B" w:rsidP="00EF31EC">
            <w:pPr>
              <w:spacing w:before="0" w:line="240" w:lineRule="auto"/>
              <w:contextualSpacing/>
              <w:jc w:val="right"/>
              <w:rPr>
                <w:color w:val="000000"/>
                <w:sz w:val="22"/>
                <w:szCs w:val="22"/>
                <w:lang w:eastAsia="en-IN"/>
              </w:rPr>
            </w:pPr>
            <w:r w:rsidRPr="000D5E4F">
              <w:rPr>
                <w:color w:val="000000"/>
                <w:sz w:val="22"/>
                <w:szCs w:val="22"/>
                <w:lang w:eastAsia="en-IN"/>
              </w:rPr>
              <w:t>24.0%</w:t>
            </w:r>
          </w:p>
        </w:tc>
      </w:tr>
      <w:tr w:rsidR="00973D1B" w:rsidRPr="000D5E4F" w14:paraId="591D62F6" w14:textId="77777777" w:rsidTr="00EF31EC">
        <w:trPr>
          <w:trHeight w:val="259"/>
        </w:trPr>
        <w:tc>
          <w:tcPr>
            <w:tcW w:w="2080" w:type="pct"/>
            <w:tcBorders>
              <w:right w:val="double" w:sz="4" w:space="0" w:color="auto"/>
            </w:tcBorders>
            <w:shd w:val="clear" w:color="auto" w:fill="auto"/>
            <w:noWrap/>
            <w:vAlign w:val="center"/>
            <w:hideMark/>
          </w:tcPr>
          <w:p w14:paraId="2151E387" w14:textId="77777777" w:rsidR="00973D1B" w:rsidRPr="000D5E4F" w:rsidRDefault="00973D1B" w:rsidP="00EF31EC">
            <w:pPr>
              <w:spacing w:before="0" w:line="240" w:lineRule="auto"/>
              <w:contextualSpacing/>
              <w:rPr>
                <w:color w:val="000000"/>
                <w:sz w:val="22"/>
                <w:szCs w:val="22"/>
                <w:lang w:eastAsia="en-IN"/>
              </w:rPr>
            </w:pPr>
            <w:r w:rsidRPr="000D5E4F">
              <w:rPr>
                <w:sz w:val="22"/>
                <w:szCs w:val="22"/>
              </w:rPr>
              <w:t>Completed undergraduate degree</w:t>
            </w:r>
          </w:p>
        </w:tc>
        <w:tc>
          <w:tcPr>
            <w:tcW w:w="976" w:type="pct"/>
            <w:tcBorders>
              <w:left w:val="double" w:sz="4" w:space="0" w:color="auto"/>
              <w:right w:val="single" w:sz="4" w:space="0" w:color="auto"/>
            </w:tcBorders>
            <w:shd w:val="clear" w:color="auto" w:fill="auto"/>
            <w:noWrap/>
            <w:vAlign w:val="center"/>
            <w:hideMark/>
          </w:tcPr>
          <w:p w14:paraId="5D927374" w14:textId="77777777" w:rsidR="00973D1B" w:rsidRPr="000D5E4F" w:rsidRDefault="00973D1B" w:rsidP="00EF31EC">
            <w:pPr>
              <w:spacing w:before="0" w:line="240" w:lineRule="auto"/>
              <w:contextualSpacing/>
              <w:jc w:val="right"/>
              <w:rPr>
                <w:color w:val="000000"/>
                <w:sz w:val="22"/>
                <w:szCs w:val="22"/>
                <w:lang w:eastAsia="en-IN"/>
              </w:rPr>
            </w:pPr>
            <w:r w:rsidRPr="000D5E4F">
              <w:rPr>
                <w:color w:val="000000"/>
                <w:sz w:val="22"/>
                <w:szCs w:val="22"/>
                <w:lang w:eastAsia="en-IN"/>
              </w:rPr>
              <w:t>316</w:t>
            </w:r>
          </w:p>
        </w:tc>
        <w:tc>
          <w:tcPr>
            <w:tcW w:w="908" w:type="pct"/>
            <w:tcBorders>
              <w:left w:val="single" w:sz="4" w:space="0" w:color="auto"/>
              <w:right w:val="double" w:sz="4" w:space="0" w:color="auto"/>
            </w:tcBorders>
            <w:vAlign w:val="center"/>
          </w:tcPr>
          <w:p w14:paraId="7256D0A1" w14:textId="10A1D73E" w:rsidR="00973D1B" w:rsidRPr="000D5E4F" w:rsidRDefault="00973D1B" w:rsidP="00EF31EC">
            <w:pPr>
              <w:spacing w:before="0" w:line="240" w:lineRule="auto"/>
              <w:contextualSpacing/>
              <w:jc w:val="right"/>
              <w:rPr>
                <w:color w:val="000000"/>
                <w:sz w:val="22"/>
                <w:szCs w:val="22"/>
                <w:lang w:eastAsia="en-IN"/>
              </w:rPr>
            </w:pPr>
            <w:r w:rsidRPr="000D5E4F">
              <w:rPr>
                <w:color w:val="000000"/>
                <w:sz w:val="22"/>
                <w:szCs w:val="22"/>
                <w:lang w:eastAsia="en-IN"/>
              </w:rPr>
              <w:t>34.1%</w:t>
            </w:r>
          </w:p>
        </w:tc>
        <w:tc>
          <w:tcPr>
            <w:tcW w:w="1035" w:type="pct"/>
            <w:tcBorders>
              <w:left w:val="double" w:sz="4" w:space="0" w:color="auto"/>
            </w:tcBorders>
            <w:shd w:val="clear" w:color="auto" w:fill="auto"/>
            <w:noWrap/>
            <w:vAlign w:val="center"/>
          </w:tcPr>
          <w:p w14:paraId="566418EF" w14:textId="7D9B8CC4" w:rsidR="00973D1B" w:rsidRPr="000D5E4F" w:rsidRDefault="00973D1B" w:rsidP="00EF31EC">
            <w:pPr>
              <w:spacing w:before="0" w:line="240" w:lineRule="auto"/>
              <w:contextualSpacing/>
              <w:jc w:val="right"/>
              <w:rPr>
                <w:color w:val="000000"/>
                <w:sz w:val="22"/>
                <w:szCs w:val="22"/>
                <w:lang w:eastAsia="en-IN"/>
              </w:rPr>
            </w:pPr>
            <w:r w:rsidRPr="000D5E4F">
              <w:rPr>
                <w:color w:val="000000"/>
                <w:sz w:val="22"/>
                <w:szCs w:val="22"/>
                <w:lang w:eastAsia="en-IN"/>
              </w:rPr>
              <w:t>32.0%</w:t>
            </w:r>
          </w:p>
        </w:tc>
      </w:tr>
      <w:tr w:rsidR="00973D1B" w:rsidRPr="000D5E4F" w14:paraId="68C79EF6" w14:textId="77777777" w:rsidTr="00EF31EC">
        <w:trPr>
          <w:trHeight w:val="259"/>
        </w:trPr>
        <w:tc>
          <w:tcPr>
            <w:tcW w:w="2080" w:type="pct"/>
            <w:tcBorders>
              <w:bottom w:val="single" w:sz="4" w:space="0" w:color="auto"/>
              <w:right w:val="double" w:sz="4" w:space="0" w:color="auto"/>
            </w:tcBorders>
            <w:shd w:val="clear" w:color="auto" w:fill="auto"/>
            <w:noWrap/>
            <w:vAlign w:val="center"/>
            <w:hideMark/>
          </w:tcPr>
          <w:p w14:paraId="576A64E9" w14:textId="77777777" w:rsidR="00973D1B" w:rsidRPr="000D5E4F" w:rsidRDefault="00973D1B" w:rsidP="00EF31EC">
            <w:pPr>
              <w:spacing w:before="0" w:line="240" w:lineRule="auto"/>
              <w:contextualSpacing/>
              <w:rPr>
                <w:color w:val="000000"/>
                <w:sz w:val="22"/>
                <w:szCs w:val="22"/>
                <w:lang w:eastAsia="en-IN"/>
              </w:rPr>
            </w:pPr>
            <w:r w:rsidRPr="000D5E4F">
              <w:rPr>
                <w:sz w:val="22"/>
                <w:szCs w:val="22"/>
              </w:rPr>
              <w:t>Completed graduate degree</w:t>
            </w:r>
          </w:p>
        </w:tc>
        <w:tc>
          <w:tcPr>
            <w:tcW w:w="976" w:type="pct"/>
            <w:tcBorders>
              <w:left w:val="double" w:sz="4" w:space="0" w:color="auto"/>
              <w:bottom w:val="single" w:sz="4" w:space="0" w:color="auto"/>
              <w:right w:val="single" w:sz="4" w:space="0" w:color="auto"/>
            </w:tcBorders>
            <w:shd w:val="clear" w:color="auto" w:fill="auto"/>
            <w:noWrap/>
            <w:vAlign w:val="center"/>
            <w:hideMark/>
          </w:tcPr>
          <w:p w14:paraId="27AE2DEA" w14:textId="77777777" w:rsidR="00973D1B" w:rsidRPr="000D5E4F" w:rsidRDefault="00973D1B" w:rsidP="00EF31EC">
            <w:pPr>
              <w:spacing w:before="0" w:line="240" w:lineRule="auto"/>
              <w:contextualSpacing/>
              <w:jc w:val="right"/>
              <w:rPr>
                <w:color w:val="000000"/>
                <w:sz w:val="22"/>
                <w:szCs w:val="22"/>
                <w:lang w:eastAsia="en-IN"/>
              </w:rPr>
            </w:pPr>
            <w:r w:rsidRPr="000D5E4F">
              <w:rPr>
                <w:color w:val="000000"/>
                <w:sz w:val="22"/>
                <w:szCs w:val="22"/>
                <w:lang w:eastAsia="en-IN"/>
              </w:rPr>
              <w:t>169</w:t>
            </w:r>
          </w:p>
        </w:tc>
        <w:tc>
          <w:tcPr>
            <w:tcW w:w="908" w:type="pct"/>
            <w:tcBorders>
              <w:left w:val="single" w:sz="4" w:space="0" w:color="auto"/>
              <w:bottom w:val="single" w:sz="4" w:space="0" w:color="auto"/>
              <w:right w:val="double" w:sz="4" w:space="0" w:color="auto"/>
            </w:tcBorders>
            <w:vAlign w:val="center"/>
          </w:tcPr>
          <w:p w14:paraId="076DF004" w14:textId="2BCB2CB5" w:rsidR="00973D1B" w:rsidRPr="000D5E4F" w:rsidRDefault="00973D1B" w:rsidP="00EF31EC">
            <w:pPr>
              <w:spacing w:before="0" w:line="240" w:lineRule="auto"/>
              <w:contextualSpacing/>
              <w:jc w:val="right"/>
              <w:rPr>
                <w:color w:val="000000"/>
                <w:sz w:val="22"/>
                <w:szCs w:val="22"/>
                <w:lang w:eastAsia="en-IN"/>
              </w:rPr>
            </w:pPr>
            <w:r w:rsidRPr="000D5E4F">
              <w:rPr>
                <w:color w:val="000000"/>
                <w:sz w:val="22"/>
                <w:szCs w:val="22"/>
                <w:lang w:eastAsia="en-IN"/>
              </w:rPr>
              <w:t>18.2%</w:t>
            </w:r>
          </w:p>
        </w:tc>
        <w:tc>
          <w:tcPr>
            <w:tcW w:w="1035" w:type="pct"/>
            <w:tcBorders>
              <w:left w:val="double" w:sz="4" w:space="0" w:color="auto"/>
              <w:bottom w:val="single" w:sz="4" w:space="0" w:color="auto"/>
            </w:tcBorders>
            <w:shd w:val="clear" w:color="auto" w:fill="auto"/>
            <w:noWrap/>
            <w:vAlign w:val="center"/>
          </w:tcPr>
          <w:p w14:paraId="602439BB" w14:textId="1A8728F9" w:rsidR="00973D1B" w:rsidRPr="000D5E4F" w:rsidRDefault="00973D1B" w:rsidP="00EF31EC">
            <w:pPr>
              <w:spacing w:before="0" w:line="240" w:lineRule="auto"/>
              <w:contextualSpacing/>
              <w:jc w:val="right"/>
              <w:rPr>
                <w:color w:val="000000"/>
                <w:sz w:val="22"/>
                <w:szCs w:val="22"/>
                <w:lang w:eastAsia="en-IN"/>
              </w:rPr>
            </w:pPr>
            <w:r w:rsidRPr="000D5E4F">
              <w:rPr>
                <w:color w:val="000000"/>
                <w:sz w:val="22"/>
                <w:szCs w:val="22"/>
                <w:lang w:eastAsia="en-IN"/>
              </w:rPr>
              <w:t>18.0%</w:t>
            </w:r>
          </w:p>
        </w:tc>
      </w:tr>
      <w:tr w:rsidR="00973D1B" w:rsidRPr="000D5E4F" w14:paraId="4F25DE5D" w14:textId="77777777" w:rsidTr="00EF31EC">
        <w:trPr>
          <w:trHeight w:val="259"/>
        </w:trPr>
        <w:tc>
          <w:tcPr>
            <w:tcW w:w="2080" w:type="pct"/>
            <w:tcBorders>
              <w:top w:val="nil"/>
              <w:bottom w:val="nil"/>
              <w:right w:val="double" w:sz="4" w:space="0" w:color="auto"/>
            </w:tcBorders>
            <w:shd w:val="clear" w:color="auto" w:fill="auto"/>
            <w:noWrap/>
            <w:vAlign w:val="center"/>
          </w:tcPr>
          <w:p w14:paraId="73516D5A" w14:textId="77777777" w:rsidR="00973D1B" w:rsidRPr="000D5E4F" w:rsidRDefault="00973D1B" w:rsidP="00EF31EC">
            <w:pPr>
              <w:spacing w:before="0" w:line="240" w:lineRule="auto"/>
              <w:contextualSpacing/>
              <w:rPr>
                <w:color w:val="000000"/>
                <w:sz w:val="22"/>
                <w:szCs w:val="22"/>
              </w:rPr>
            </w:pPr>
            <w:r w:rsidRPr="000D5E4F">
              <w:rPr>
                <w:b/>
                <w:bCs/>
                <w:sz w:val="22"/>
                <w:szCs w:val="22"/>
              </w:rPr>
              <w:t>Employment Status</w:t>
            </w:r>
          </w:p>
        </w:tc>
        <w:tc>
          <w:tcPr>
            <w:tcW w:w="976" w:type="pct"/>
            <w:tcBorders>
              <w:top w:val="nil"/>
              <w:left w:val="double" w:sz="4" w:space="0" w:color="auto"/>
              <w:bottom w:val="nil"/>
              <w:right w:val="single" w:sz="4" w:space="0" w:color="auto"/>
            </w:tcBorders>
            <w:shd w:val="clear" w:color="auto" w:fill="auto"/>
            <w:noWrap/>
            <w:vAlign w:val="center"/>
          </w:tcPr>
          <w:p w14:paraId="15DD1740" w14:textId="77777777" w:rsidR="00973D1B" w:rsidRPr="000D5E4F" w:rsidRDefault="00973D1B" w:rsidP="00EF31EC">
            <w:pPr>
              <w:spacing w:before="0" w:line="240" w:lineRule="auto"/>
              <w:contextualSpacing/>
              <w:jc w:val="right"/>
              <w:rPr>
                <w:color w:val="000000"/>
                <w:sz w:val="22"/>
                <w:szCs w:val="22"/>
                <w:lang w:eastAsia="en-IN"/>
              </w:rPr>
            </w:pPr>
          </w:p>
        </w:tc>
        <w:tc>
          <w:tcPr>
            <w:tcW w:w="908" w:type="pct"/>
            <w:tcBorders>
              <w:top w:val="nil"/>
              <w:left w:val="single" w:sz="4" w:space="0" w:color="auto"/>
              <w:bottom w:val="nil"/>
              <w:right w:val="double" w:sz="4" w:space="0" w:color="auto"/>
            </w:tcBorders>
            <w:vAlign w:val="center"/>
          </w:tcPr>
          <w:p w14:paraId="002779D8" w14:textId="77777777" w:rsidR="00973D1B" w:rsidRPr="000D5E4F" w:rsidRDefault="00973D1B" w:rsidP="00EF31EC">
            <w:pPr>
              <w:spacing w:before="0" w:line="240" w:lineRule="auto"/>
              <w:contextualSpacing/>
              <w:jc w:val="right"/>
              <w:rPr>
                <w:color w:val="000000"/>
                <w:sz w:val="22"/>
                <w:szCs w:val="22"/>
                <w:lang w:eastAsia="en-IN"/>
              </w:rPr>
            </w:pPr>
          </w:p>
        </w:tc>
        <w:tc>
          <w:tcPr>
            <w:tcW w:w="1035" w:type="pct"/>
            <w:tcBorders>
              <w:top w:val="nil"/>
              <w:left w:val="double" w:sz="4" w:space="0" w:color="auto"/>
              <w:bottom w:val="nil"/>
            </w:tcBorders>
            <w:shd w:val="clear" w:color="auto" w:fill="auto"/>
            <w:noWrap/>
            <w:vAlign w:val="center"/>
          </w:tcPr>
          <w:p w14:paraId="5DD1A7F9" w14:textId="23654C29" w:rsidR="00973D1B" w:rsidRPr="000D5E4F" w:rsidRDefault="00973D1B" w:rsidP="00EF31EC">
            <w:pPr>
              <w:spacing w:before="0" w:line="240" w:lineRule="auto"/>
              <w:contextualSpacing/>
              <w:jc w:val="right"/>
              <w:rPr>
                <w:color w:val="000000"/>
                <w:sz w:val="22"/>
                <w:szCs w:val="22"/>
                <w:lang w:eastAsia="en-IN"/>
              </w:rPr>
            </w:pPr>
          </w:p>
        </w:tc>
      </w:tr>
      <w:tr w:rsidR="00973D1B" w:rsidRPr="000D5E4F" w14:paraId="08949123" w14:textId="77777777" w:rsidTr="00EF31EC">
        <w:trPr>
          <w:trHeight w:val="259"/>
        </w:trPr>
        <w:tc>
          <w:tcPr>
            <w:tcW w:w="2080" w:type="pct"/>
            <w:tcBorders>
              <w:top w:val="nil"/>
              <w:bottom w:val="nil"/>
              <w:right w:val="double" w:sz="4" w:space="0" w:color="auto"/>
            </w:tcBorders>
            <w:shd w:val="clear" w:color="auto" w:fill="auto"/>
            <w:noWrap/>
            <w:vAlign w:val="center"/>
            <w:hideMark/>
          </w:tcPr>
          <w:p w14:paraId="7AD066A1" w14:textId="77777777" w:rsidR="00973D1B" w:rsidRPr="000D5E4F" w:rsidRDefault="00973D1B" w:rsidP="00EF31EC">
            <w:pPr>
              <w:spacing w:before="0" w:line="240" w:lineRule="auto"/>
              <w:contextualSpacing/>
              <w:rPr>
                <w:color w:val="000000"/>
                <w:sz w:val="22"/>
                <w:szCs w:val="22"/>
                <w:lang w:eastAsia="en-IN"/>
              </w:rPr>
            </w:pPr>
            <w:r w:rsidRPr="000D5E4F">
              <w:rPr>
                <w:color w:val="000000"/>
                <w:sz w:val="22"/>
                <w:szCs w:val="22"/>
              </w:rPr>
              <w:t>Employed</w:t>
            </w:r>
          </w:p>
        </w:tc>
        <w:tc>
          <w:tcPr>
            <w:tcW w:w="976" w:type="pct"/>
            <w:tcBorders>
              <w:top w:val="nil"/>
              <w:left w:val="double" w:sz="4" w:space="0" w:color="auto"/>
              <w:bottom w:val="nil"/>
              <w:right w:val="single" w:sz="4" w:space="0" w:color="auto"/>
            </w:tcBorders>
            <w:shd w:val="clear" w:color="auto" w:fill="auto"/>
            <w:noWrap/>
            <w:vAlign w:val="center"/>
            <w:hideMark/>
          </w:tcPr>
          <w:p w14:paraId="27FE2E51" w14:textId="77777777" w:rsidR="00973D1B" w:rsidRPr="000D5E4F" w:rsidRDefault="00973D1B" w:rsidP="00EF31EC">
            <w:pPr>
              <w:spacing w:before="0" w:line="240" w:lineRule="auto"/>
              <w:contextualSpacing/>
              <w:jc w:val="right"/>
              <w:rPr>
                <w:color w:val="000000"/>
                <w:sz w:val="22"/>
                <w:szCs w:val="22"/>
                <w:lang w:eastAsia="en-IN"/>
              </w:rPr>
            </w:pPr>
            <w:r w:rsidRPr="000D5E4F">
              <w:rPr>
                <w:color w:val="000000"/>
                <w:sz w:val="22"/>
                <w:szCs w:val="22"/>
                <w:lang w:eastAsia="en-IN"/>
              </w:rPr>
              <w:t>359</w:t>
            </w:r>
          </w:p>
        </w:tc>
        <w:tc>
          <w:tcPr>
            <w:tcW w:w="908" w:type="pct"/>
            <w:tcBorders>
              <w:top w:val="nil"/>
              <w:left w:val="single" w:sz="4" w:space="0" w:color="auto"/>
              <w:bottom w:val="nil"/>
              <w:right w:val="double" w:sz="4" w:space="0" w:color="auto"/>
            </w:tcBorders>
            <w:vAlign w:val="center"/>
          </w:tcPr>
          <w:p w14:paraId="35AE407C" w14:textId="6DCCD665" w:rsidR="00973D1B" w:rsidRPr="000D5E4F" w:rsidRDefault="00973D1B" w:rsidP="00EF31EC">
            <w:pPr>
              <w:spacing w:before="0" w:line="240" w:lineRule="auto"/>
              <w:contextualSpacing/>
              <w:jc w:val="right"/>
              <w:rPr>
                <w:color w:val="000000"/>
                <w:sz w:val="22"/>
                <w:szCs w:val="22"/>
                <w:lang w:eastAsia="en-IN"/>
              </w:rPr>
            </w:pPr>
            <w:r w:rsidRPr="000D5E4F">
              <w:rPr>
                <w:color w:val="000000"/>
                <w:sz w:val="22"/>
                <w:szCs w:val="22"/>
                <w:lang w:eastAsia="en-IN"/>
              </w:rPr>
              <w:t>38.7%</w:t>
            </w:r>
          </w:p>
        </w:tc>
        <w:tc>
          <w:tcPr>
            <w:tcW w:w="1035" w:type="pct"/>
            <w:tcBorders>
              <w:top w:val="nil"/>
              <w:left w:val="double" w:sz="4" w:space="0" w:color="auto"/>
              <w:bottom w:val="nil"/>
            </w:tcBorders>
            <w:shd w:val="clear" w:color="auto" w:fill="auto"/>
            <w:noWrap/>
            <w:vAlign w:val="center"/>
          </w:tcPr>
          <w:p w14:paraId="5D43AEC5" w14:textId="4E2F5FCC" w:rsidR="00973D1B" w:rsidRPr="000D5E4F" w:rsidRDefault="00973D1B" w:rsidP="00EF31EC">
            <w:pPr>
              <w:spacing w:before="0" w:line="240" w:lineRule="auto"/>
              <w:contextualSpacing/>
              <w:jc w:val="right"/>
              <w:rPr>
                <w:color w:val="000000"/>
                <w:sz w:val="22"/>
                <w:szCs w:val="22"/>
                <w:lang w:eastAsia="en-IN"/>
              </w:rPr>
            </w:pPr>
            <w:r w:rsidRPr="000D5E4F">
              <w:rPr>
                <w:color w:val="000000"/>
                <w:sz w:val="22"/>
                <w:szCs w:val="22"/>
                <w:lang w:eastAsia="en-IN"/>
              </w:rPr>
              <w:t>68.5%</w:t>
            </w:r>
          </w:p>
        </w:tc>
      </w:tr>
      <w:tr w:rsidR="00973D1B" w:rsidRPr="000D5E4F" w14:paraId="10EF2C93" w14:textId="77777777" w:rsidTr="00EF31EC">
        <w:trPr>
          <w:trHeight w:val="259"/>
        </w:trPr>
        <w:tc>
          <w:tcPr>
            <w:tcW w:w="2080" w:type="pct"/>
            <w:tcBorders>
              <w:top w:val="nil"/>
              <w:bottom w:val="single" w:sz="4" w:space="0" w:color="auto"/>
              <w:right w:val="double" w:sz="4" w:space="0" w:color="auto"/>
            </w:tcBorders>
            <w:shd w:val="clear" w:color="auto" w:fill="auto"/>
            <w:noWrap/>
            <w:vAlign w:val="center"/>
            <w:hideMark/>
          </w:tcPr>
          <w:p w14:paraId="4690AFD3" w14:textId="77777777" w:rsidR="00973D1B" w:rsidRPr="000D5E4F" w:rsidRDefault="00973D1B" w:rsidP="00EF31EC">
            <w:pPr>
              <w:spacing w:before="0" w:line="240" w:lineRule="auto"/>
              <w:contextualSpacing/>
              <w:rPr>
                <w:color w:val="000000"/>
                <w:sz w:val="22"/>
                <w:szCs w:val="22"/>
                <w:lang w:eastAsia="en-IN"/>
              </w:rPr>
            </w:pPr>
            <w:r w:rsidRPr="000D5E4F">
              <w:rPr>
                <w:color w:val="000000"/>
                <w:sz w:val="22"/>
                <w:szCs w:val="22"/>
              </w:rPr>
              <w:t>Not Employed</w:t>
            </w:r>
          </w:p>
        </w:tc>
        <w:tc>
          <w:tcPr>
            <w:tcW w:w="976" w:type="pct"/>
            <w:tcBorders>
              <w:top w:val="nil"/>
              <w:left w:val="double" w:sz="4" w:space="0" w:color="auto"/>
              <w:bottom w:val="single" w:sz="4" w:space="0" w:color="auto"/>
              <w:right w:val="single" w:sz="4" w:space="0" w:color="auto"/>
            </w:tcBorders>
            <w:shd w:val="clear" w:color="auto" w:fill="auto"/>
            <w:noWrap/>
            <w:vAlign w:val="center"/>
            <w:hideMark/>
          </w:tcPr>
          <w:p w14:paraId="37B60FC3" w14:textId="77777777" w:rsidR="00973D1B" w:rsidRPr="000D5E4F" w:rsidRDefault="00973D1B" w:rsidP="00EF31EC">
            <w:pPr>
              <w:spacing w:before="0" w:line="240" w:lineRule="auto"/>
              <w:contextualSpacing/>
              <w:jc w:val="right"/>
              <w:rPr>
                <w:color w:val="000000"/>
                <w:sz w:val="22"/>
                <w:szCs w:val="22"/>
                <w:lang w:eastAsia="en-IN"/>
              </w:rPr>
            </w:pPr>
            <w:r w:rsidRPr="000D5E4F">
              <w:rPr>
                <w:color w:val="000000"/>
                <w:sz w:val="22"/>
                <w:szCs w:val="22"/>
                <w:lang w:eastAsia="en-IN"/>
              </w:rPr>
              <w:t>569</w:t>
            </w:r>
          </w:p>
        </w:tc>
        <w:tc>
          <w:tcPr>
            <w:tcW w:w="908" w:type="pct"/>
            <w:tcBorders>
              <w:top w:val="nil"/>
              <w:left w:val="single" w:sz="4" w:space="0" w:color="auto"/>
              <w:bottom w:val="single" w:sz="4" w:space="0" w:color="auto"/>
              <w:right w:val="double" w:sz="4" w:space="0" w:color="auto"/>
            </w:tcBorders>
            <w:vAlign w:val="center"/>
          </w:tcPr>
          <w:p w14:paraId="29C1506C" w14:textId="6649E1DE" w:rsidR="00973D1B" w:rsidRPr="000D5E4F" w:rsidRDefault="00973D1B" w:rsidP="00EF31EC">
            <w:pPr>
              <w:spacing w:before="0" w:line="240" w:lineRule="auto"/>
              <w:contextualSpacing/>
              <w:jc w:val="right"/>
              <w:rPr>
                <w:color w:val="000000"/>
                <w:sz w:val="22"/>
                <w:szCs w:val="22"/>
                <w:lang w:eastAsia="en-IN"/>
              </w:rPr>
            </w:pPr>
            <w:r w:rsidRPr="000D5E4F">
              <w:rPr>
                <w:color w:val="000000"/>
                <w:sz w:val="22"/>
                <w:szCs w:val="22"/>
                <w:lang w:eastAsia="en-IN"/>
              </w:rPr>
              <w:t>61.3%</w:t>
            </w:r>
          </w:p>
        </w:tc>
        <w:tc>
          <w:tcPr>
            <w:tcW w:w="1035" w:type="pct"/>
            <w:tcBorders>
              <w:top w:val="nil"/>
              <w:left w:val="double" w:sz="4" w:space="0" w:color="auto"/>
              <w:bottom w:val="single" w:sz="4" w:space="0" w:color="auto"/>
            </w:tcBorders>
            <w:shd w:val="clear" w:color="auto" w:fill="auto"/>
            <w:noWrap/>
            <w:vAlign w:val="center"/>
          </w:tcPr>
          <w:p w14:paraId="5E878B12" w14:textId="08AB0BFB" w:rsidR="00973D1B" w:rsidRPr="000D5E4F" w:rsidRDefault="00973D1B" w:rsidP="00EF31EC">
            <w:pPr>
              <w:spacing w:before="0" w:line="240" w:lineRule="auto"/>
              <w:contextualSpacing/>
              <w:jc w:val="right"/>
              <w:rPr>
                <w:color w:val="000000"/>
                <w:sz w:val="22"/>
                <w:szCs w:val="22"/>
                <w:lang w:eastAsia="en-IN"/>
              </w:rPr>
            </w:pPr>
            <w:r w:rsidRPr="000D5E4F">
              <w:rPr>
                <w:color w:val="000000"/>
                <w:sz w:val="22"/>
                <w:szCs w:val="22"/>
                <w:lang w:eastAsia="en-IN"/>
              </w:rPr>
              <w:t>31.5%</w:t>
            </w:r>
          </w:p>
        </w:tc>
      </w:tr>
      <w:tr w:rsidR="00973D1B" w:rsidRPr="000D5E4F" w14:paraId="4E05505B" w14:textId="77777777" w:rsidTr="00EF31EC">
        <w:trPr>
          <w:trHeight w:val="259"/>
        </w:trPr>
        <w:tc>
          <w:tcPr>
            <w:tcW w:w="2080" w:type="pct"/>
            <w:tcBorders>
              <w:top w:val="nil"/>
              <w:bottom w:val="nil"/>
              <w:right w:val="double" w:sz="4" w:space="0" w:color="auto"/>
            </w:tcBorders>
            <w:shd w:val="clear" w:color="auto" w:fill="auto"/>
            <w:noWrap/>
            <w:vAlign w:val="center"/>
          </w:tcPr>
          <w:p w14:paraId="428DC09E" w14:textId="1519EBFA" w:rsidR="00973D1B" w:rsidRPr="000D5E4F" w:rsidRDefault="00973D1B" w:rsidP="00EF31EC">
            <w:pPr>
              <w:spacing w:before="0" w:line="240" w:lineRule="auto"/>
              <w:contextualSpacing/>
              <w:rPr>
                <w:color w:val="000000"/>
                <w:sz w:val="22"/>
                <w:szCs w:val="22"/>
                <w:lang w:eastAsia="en-IN"/>
              </w:rPr>
            </w:pPr>
            <w:r w:rsidRPr="000D5E4F">
              <w:rPr>
                <w:b/>
                <w:bCs/>
                <w:color w:val="000000"/>
                <w:sz w:val="22"/>
                <w:szCs w:val="22"/>
                <w:lang w:eastAsia="en-IN"/>
              </w:rPr>
              <w:t xml:space="preserve">No. of </w:t>
            </w:r>
            <w:r w:rsidR="00003DCD" w:rsidRPr="000D5E4F">
              <w:rPr>
                <w:b/>
                <w:bCs/>
                <w:color w:val="000000"/>
                <w:sz w:val="22"/>
                <w:szCs w:val="22"/>
                <w:lang w:eastAsia="en-IN"/>
              </w:rPr>
              <w:t>A</w:t>
            </w:r>
            <w:r w:rsidRPr="000D5E4F">
              <w:rPr>
                <w:b/>
                <w:bCs/>
                <w:color w:val="000000"/>
                <w:sz w:val="22"/>
                <w:szCs w:val="22"/>
                <w:lang w:eastAsia="en-IN"/>
              </w:rPr>
              <w:t>dults</w:t>
            </w:r>
          </w:p>
        </w:tc>
        <w:tc>
          <w:tcPr>
            <w:tcW w:w="976" w:type="pct"/>
            <w:tcBorders>
              <w:top w:val="nil"/>
              <w:left w:val="double" w:sz="4" w:space="0" w:color="auto"/>
              <w:bottom w:val="nil"/>
              <w:right w:val="single" w:sz="4" w:space="0" w:color="auto"/>
            </w:tcBorders>
            <w:shd w:val="clear" w:color="auto" w:fill="auto"/>
            <w:noWrap/>
            <w:vAlign w:val="center"/>
          </w:tcPr>
          <w:p w14:paraId="53235699" w14:textId="77777777" w:rsidR="00973D1B" w:rsidRPr="000D5E4F" w:rsidRDefault="00973D1B" w:rsidP="00EF31EC">
            <w:pPr>
              <w:spacing w:before="0" w:line="240" w:lineRule="auto"/>
              <w:contextualSpacing/>
              <w:jc w:val="right"/>
              <w:rPr>
                <w:color w:val="000000"/>
                <w:sz w:val="22"/>
                <w:szCs w:val="22"/>
                <w:lang w:eastAsia="en-IN"/>
              </w:rPr>
            </w:pPr>
          </w:p>
        </w:tc>
        <w:tc>
          <w:tcPr>
            <w:tcW w:w="908" w:type="pct"/>
            <w:tcBorders>
              <w:top w:val="nil"/>
              <w:left w:val="single" w:sz="4" w:space="0" w:color="auto"/>
              <w:bottom w:val="nil"/>
              <w:right w:val="double" w:sz="4" w:space="0" w:color="auto"/>
            </w:tcBorders>
            <w:vAlign w:val="center"/>
          </w:tcPr>
          <w:p w14:paraId="715FE6E3" w14:textId="77777777" w:rsidR="00973D1B" w:rsidRPr="000D5E4F" w:rsidRDefault="00973D1B" w:rsidP="00EF31EC">
            <w:pPr>
              <w:spacing w:before="0" w:line="240" w:lineRule="auto"/>
              <w:contextualSpacing/>
              <w:jc w:val="right"/>
              <w:rPr>
                <w:color w:val="000000"/>
                <w:sz w:val="22"/>
                <w:szCs w:val="22"/>
                <w:lang w:eastAsia="en-IN"/>
              </w:rPr>
            </w:pPr>
          </w:p>
        </w:tc>
        <w:tc>
          <w:tcPr>
            <w:tcW w:w="1035" w:type="pct"/>
            <w:tcBorders>
              <w:top w:val="nil"/>
              <w:left w:val="double" w:sz="4" w:space="0" w:color="auto"/>
              <w:bottom w:val="nil"/>
            </w:tcBorders>
            <w:shd w:val="clear" w:color="auto" w:fill="auto"/>
            <w:noWrap/>
            <w:vAlign w:val="center"/>
          </w:tcPr>
          <w:p w14:paraId="0DBE0653" w14:textId="7837024B" w:rsidR="00973D1B" w:rsidRPr="000D5E4F" w:rsidRDefault="00973D1B" w:rsidP="00EF31EC">
            <w:pPr>
              <w:spacing w:before="0" w:line="240" w:lineRule="auto"/>
              <w:contextualSpacing/>
              <w:jc w:val="right"/>
              <w:rPr>
                <w:color w:val="000000"/>
                <w:sz w:val="22"/>
                <w:szCs w:val="22"/>
                <w:lang w:eastAsia="en-IN"/>
              </w:rPr>
            </w:pPr>
          </w:p>
        </w:tc>
      </w:tr>
      <w:tr w:rsidR="00973D1B" w:rsidRPr="000D5E4F" w14:paraId="22756CDE" w14:textId="77777777" w:rsidTr="00EF31EC">
        <w:trPr>
          <w:trHeight w:val="259"/>
        </w:trPr>
        <w:tc>
          <w:tcPr>
            <w:tcW w:w="2080" w:type="pct"/>
            <w:tcBorders>
              <w:top w:val="nil"/>
              <w:bottom w:val="nil"/>
              <w:right w:val="double" w:sz="4" w:space="0" w:color="auto"/>
            </w:tcBorders>
            <w:shd w:val="clear" w:color="auto" w:fill="auto"/>
            <w:noWrap/>
            <w:vAlign w:val="center"/>
            <w:hideMark/>
          </w:tcPr>
          <w:p w14:paraId="3CE8815C" w14:textId="77777777" w:rsidR="00973D1B" w:rsidRPr="000D5E4F" w:rsidRDefault="00973D1B" w:rsidP="00EF31EC">
            <w:pPr>
              <w:spacing w:before="0" w:line="240" w:lineRule="auto"/>
              <w:contextualSpacing/>
              <w:rPr>
                <w:color w:val="000000"/>
                <w:sz w:val="22"/>
                <w:szCs w:val="22"/>
                <w:lang w:eastAsia="en-IN"/>
              </w:rPr>
            </w:pPr>
            <w:r w:rsidRPr="000D5E4F">
              <w:rPr>
                <w:color w:val="000000"/>
                <w:sz w:val="22"/>
                <w:szCs w:val="22"/>
                <w:lang w:eastAsia="en-IN"/>
              </w:rPr>
              <w:t>1</w:t>
            </w:r>
          </w:p>
        </w:tc>
        <w:tc>
          <w:tcPr>
            <w:tcW w:w="976" w:type="pct"/>
            <w:tcBorders>
              <w:top w:val="nil"/>
              <w:left w:val="double" w:sz="4" w:space="0" w:color="auto"/>
              <w:bottom w:val="nil"/>
              <w:right w:val="single" w:sz="4" w:space="0" w:color="auto"/>
            </w:tcBorders>
            <w:shd w:val="clear" w:color="auto" w:fill="auto"/>
            <w:noWrap/>
            <w:vAlign w:val="center"/>
            <w:hideMark/>
          </w:tcPr>
          <w:p w14:paraId="3EB77925" w14:textId="77777777" w:rsidR="00973D1B" w:rsidRPr="000D5E4F" w:rsidRDefault="00973D1B" w:rsidP="00EF31EC">
            <w:pPr>
              <w:spacing w:before="0" w:line="240" w:lineRule="auto"/>
              <w:contextualSpacing/>
              <w:jc w:val="right"/>
              <w:rPr>
                <w:color w:val="000000"/>
                <w:sz w:val="22"/>
                <w:szCs w:val="22"/>
                <w:lang w:eastAsia="en-IN"/>
              </w:rPr>
            </w:pPr>
            <w:r w:rsidRPr="000D5E4F">
              <w:rPr>
                <w:color w:val="000000"/>
                <w:sz w:val="22"/>
                <w:szCs w:val="22"/>
                <w:lang w:eastAsia="en-IN"/>
              </w:rPr>
              <w:t>234</w:t>
            </w:r>
          </w:p>
        </w:tc>
        <w:tc>
          <w:tcPr>
            <w:tcW w:w="908" w:type="pct"/>
            <w:tcBorders>
              <w:top w:val="nil"/>
              <w:left w:val="single" w:sz="4" w:space="0" w:color="auto"/>
              <w:bottom w:val="nil"/>
              <w:right w:val="double" w:sz="4" w:space="0" w:color="auto"/>
            </w:tcBorders>
            <w:vAlign w:val="center"/>
          </w:tcPr>
          <w:p w14:paraId="5EE71325" w14:textId="3B6AE12F" w:rsidR="00973D1B" w:rsidRPr="000D5E4F" w:rsidRDefault="00973D1B" w:rsidP="00EF31EC">
            <w:pPr>
              <w:spacing w:before="0" w:line="240" w:lineRule="auto"/>
              <w:contextualSpacing/>
              <w:jc w:val="right"/>
              <w:rPr>
                <w:color w:val="000000"/>
                <w:sz w:val="22"/>
                <w:szCs w:val="22"/>
              </w:rPr>
            </w:pPr>
            <w:r w:rsidRPr="000D5E4F">
              <w:rPr>
                <w:color w:val="000000"/>
                <w:sz w:val="22"/>
                <w:szCs w:val="22"/>
              </w:rPr>
              <w:t>25.2%</w:t>
            </w:r>
          </w:p>
        </w:tc>
        <w:tc>
          <w:tcPr>
            <w:tcW w:w="1035" w:type="pct"/>
            <w:tcBorders>
              <w:top w:val="nil"/>
              <w:left w:val="double" w:sz="4" w:space="0" w:color="auto"/>
              <w:bottom w:val="nil"/>
            </w:tcBorders>
            <w:shd w:val="clear" w:color="auto" w:fill="auto"/>
            <w:noWrap/>
            <w:vAlign w:val="center"/>
          </w:tcPr>
          <w:p w14:paraId="1FAF484D" w14:textId="4DF1CA46" w:rsidR="00973D1B" w:rsidRPr="000D5E4F" w:rsidRDefault="00973D1B" w:rsidP="00EF31EC">
            <w:pPr>
              <w:spacing w:before="0" w:line="240" w:lineRule="auto"/>
              <w:contextualSpacing/>
              <w:jc w:val="right"/>
              <w:rPr>
                <w:color w:val="000000"/>
                <w:sz w:val="22"/>
                <w:szCs w:val="22"/>
                <w:lang w:eastAsia="en-IN"/>
              </w:rPr>
            </w:pPr>
            <w:r w:rsidRPr="000D5E4F">
              <w:rPr>
                <w:color w:val="000000"/>
                <w:sz w:val="22"/>
                <w:szCs w:val="22"/>
                <w:lang w:eastAsia="en-IN"/>
              </w:rPr>
              <w:t>32.8%</w:t>
            </w:r>
          </w:p>
        </w:tc>
      </w:tr>
      <w:tr w:rsidR="00973D1B" w:rsidRPr="000D5E4F" w14:paraId="3E10B01E" w14:textId="77777777" w:rsidTr="00EF31EC">
        <w:trPr>
          <w:trHeight w:val="259"/>
        </w:trPr>
        <w:tc>
          <w:tcPr>
            <w:tcW w:w="2080" w:type="pct"/>
            <w:tcBorders>
              <w:top w:val="nil"/>
              <w:bottom w:val="nil"/>
              <w:right w:val="double" w:sz="4" w:space="0" w:color="auto"/>
            </w:tcBorders>
            <w:shd w:val="clear" w:color="auto" w:fill="auto"/>
            <w:noWrap/>
            <w:vAlign w:val="center"/>
            <w:hideMark/>
          </w:tcPr>
          <w:p w14:paraId="0DDE51A6" w14:textId="20CF766A" w:rsidR="00973D1B" w:rsidRPr="000D5E4F" w:rsidRDefault="00973D1B" w:rsidP="00EF31EC">
            <w:pPr>
              <w:spacing w:before="0" w:line="240" w:lineRule="auto"/>
              <w:contextualSpacing/>
              <w:rPr>
                <w:color w:val="000000"/>
                <w:sz w:val="22"/>
                <w:szCs w:val="22"/>
                <w:lang w:eastAsia="en-IN"/>
              </w:rPr>
            </w:pPr>
            <w:r w:rsidRPr="000D5E4F">
              <w:rPr>
                <w:color w:val="000000"/>
                <w:sz w:val="22"/>
                <w:szCs w:val="22"/>
                <w:lang w:eastAsia="en-IN"/>
              </w:rPr>
              <w:t>2</w:t>
            </w:r>
            <w:r w:rsidR="00EA0AF4" w:rsidRPr="000D5E4F">
              <w:rPr>
                <w:color w:val="000000"/>
                <w:sz w:val="22"/>
                <w:szCs w:val="22"/>
                <w:lang w:eastAsia="en-IN"/>
              </w:rPr>
              <w:t>+</w:t>
            </w:r>
          </w:p>
        </w:tc>
        <w:tc>
          <w:tcPr>
            <w:tcW w:w="976" w:type="pct"/>
            <w:tcBorders>
              <w:top w:val="nil"/>
              <w:left w:val="double" w:sz="4" w:space="0" w:color="auto"/>
              <w:bottom w:val="nil"/>
              <w:right w:val="single" w:sz="4" w:space="0" w:color="auto"/>
            </w:tcBorders>
            <w:shd w:val="clear" w:color="auto" w:fill="auto"/>
            <w:noWrap/>
            <w:vAlign w:val="center"/>
            <w:hideMark/>
          </w:tcPr>
          <w:p w14:paraId="24EF0E58" w14:textId="369A3DE3" w:rsidR="00973D1B" w:rsidRPr="000D5E4F" w:rsidRDefault="00EA0AF4" w:rsidP="00EF31EC">
            <w:pPr>
              <w:spacing w:before="0" w:line="240" w:lineRule="auto"/>
              <w:contextualSpacing/>
              <w:jc w:val="right"/>
              <w:rPr>
                <w:color w:val="000000"/>
                <w:sz w:val="22"/>
                <w:szCs w:val="22"/>
                <w:lang w:eastAsia="en-IN"/>
              </w:rPr>
            </w:pPr>
            <w:r w:rsidRPr="000D5E4F">
              <w:rPr>
                <w:color w:val="000000"/>
                <w:sz w:val="22"/>
                <w:szCs w:val="22"/>
                <w:lang w:eastAsia="en-IN"/>
              </w:rPr>
              <w:t>694</w:t>
            </w:r>
          </w:p>
        </w:tc>
        <w:tc>
          <w:tcPr>
            <w:tcW w:w="908" w:type="pct"/>
            <w:tcBorders>
              <w:top w:val="nil"/>
              <w:left w:val="single" w:sz="4" w:space="0" w:color="auto"/>
              <w:bottom w:val="nil"/>
              <w:right w:val="double" w:sz="4" w:space="0" w:color="auto"/>
            </w:tcBorders>
            <w:vAlign w:val="center"/>
          </w:tcPr>
          <w:p w14:paraId="7821B654" w14:textId="56450641" w:rsidR="00973D1B" w:rsidRPr="000D5E4F" w:rsidRDefault="00EA0AF4" w:rsidP="00EF31EC">
            <w:pPr>
              <w:spacing w:before="0" w:line="240" w:lineRule="auto"/>
              <w:contextualSpacing/>
              <w:jc w:val="right"/>
              <w:rPr>
                <w:color w:val="000000"/>
                <w:sz w:val="22"/>
                <w:szCs w:val="22"/>
              </w:rPr>
            </w:pPr>
            <w:r w:rsidRPr="000D5E4F">
              <w:rPr>
                <w:color w:val="000000"/>
                <w:sz w:val="22"/>
                <w:szCs w:val="22"/>
              </w:rPr>
              <w:t>74.8</w:t>
            </w:r>
            <w:r w:rsidR="00973D1B" w:rsidRPr="000D5E4F">
              <w:rPr>
                <w:color w:val="000000"/>
                <w:sz w:val="22"/>
                <w:szCs w:val="22"/>
              </w:rPr>
              <w:t>%</w:t>
            </w:r>
          </w:p>
        </w:tc>
        <w:tc>
          <w:tcPr>
            <w:tcW w:w="1035" w:type="pct"/>
            <w:tcBorders>
              <w:top w:val="nil"/>
              <w:left w:val="double" w:sz="4" w:space="0" w:color="auto"/>
              <w:bottom w:val="nil"/>
            </w:tcBorders>
            <w:shd w:val="clear" w:color="auto" w:fill="auto"/>
            <w:noWrap/>
            <w:vAlign w:val="center"/>
          </w:tcPr>
          <w:p w14:paraId="020612ED" w14:textId="310DCED2" w:rsidR="00973D1B" w:rsidRPr="000D5E4F" w:rsidRDefault="00EA0AF4" w:rsidP="00EF31EC">
            <w:pPr>
              <w:spacing w:before="0" w:line="240" w:lineRule="auto"/>
              <w:contextualSpacing/>
              <w:jc w:val="right"/>
              <w:rPr>
                <w:color w:val="000000"/>
                <w:sz w:val="22"/>
                <w:szCs w:val="22"/>
                <w:lang w:eastAsia="en-IN"/>
              </w:rPr>
            </w:pPr>
            <w:r w:rsidRPr="000D5E4F">
              <w:rPr>
                <w:color w:val="000000"/>
                <w:sz w:val="22"/>
                <w:szCs w:val="22"/>
                <w:lang w:eastAsia="en-IN"/>
              </w:rPr>
              <w:t>67.2%</w:t>
            </w:r>
          </w:p>
        </w:tc>
      </w:tr>
      <w:tr w:rsidR="00973D1B" w:rsidRPr="000D5E4F" w14:paraId="212AC090" w14:textId="77777777" w:rsidTr="00EF31EC">
        <w:trPr>
          <w:trHeight w:val="259"/>
        </w:trPr>
        <w:tc>
          <w:tcPr>
            <w:tcW w:w="2080" w:type="pct"/>
            <w:tcBorders>
              <w:top w:val="single" w:sz="4" w:space="0" w:color="auto"/>
              <w:bottom w:val="nil"/>
              <w:right w:val="double" w:sz="4" w:space="0" w:color="auto"/>
            </w:tcBorders>
            <w:shd w:val="clear" w:color="auto" w:fill="auto"/>
            <w:noWrap/>
            <w:vAlign w:val="center"/>
          </w:tcPr>
          <w:p w14:paraId="0A9225E5" w14:textId="1E7E8819" w:rsidR="00973D1B" w:rsidRPr="000D5E4F" w:rsidRDefault="00973D1B" w:rsidP="00EF31EC">
            <w:pPr>
              <w:spacing w:before="0" w:line="240" w:lineRule="auto"/>
              <w:contextualSpacing/>
              <w:rPr>
                <w:b/>
                <w:color w:val="000000"/>
                <w:sz w:val="22"/>
                <w:szCs w:val="22"/>
                <w:lang w:eastAsia="en-IN"/>
              </w:rPr>
            </w:pPr>
            <w:r w:rsidRPr="000D5E4F">
              <w:rPr>
                <w:b/>
                <w:color w:val="000000"/>
                <w:sz w:val="22"/>
                <w:szCs w:val="22"/>
                <w:lang w:eastAsia="en-IN"/>
              </w:rPr>
              <w:t xml:space="preserve">No. of </w:t>
            </w:r>
            <w:r w:rsidR="00003DCD" w:rsidRPr="000D5E4F">
              <w:rPr>
                <w:b/>
                <w:color w:val="000000"/>
                <w:sz w:val="22"/>
                <w:szCs w:val="22"/>
                <w:lang w:eastAsia="en-IN"/>
              </w:rPr>
              <w:t>K</w:t>
            </w:r>
            <w:r w:rsidRPr="000D5E4F">
              <w:rPr>
                <w:b/>
                <w:color w:val="000000"/>
                <w:sz w:val="22"/>
                <w:szCs w:val="22"/>
                <w:lang w:eastAsia="en-IN"/>
              </w:rPr>
              <w:t>ids</w:t>
            </w:r>
          </w:p>
        </w:tc>
        <w:tc>
          <w:tcPr>
            <w:tcW w:w="976" w:type="pct"/>
            <w:tcBorders>
              <w:top w:val="single" w:sz="4" w:space="0" w:color="auto"/>
              <w:left w:val="double" w:sz="4" w:space="0" w:color="auto"/>
              <w:bottom w:val="nil"/>
              <w:right w:val="single" w:sz="4" w:space="0" w:color="auto"/>
            </w:tcBorders>
            <w:shd w:val="clear" w:color="auto" w:fill="auto"/>
            <w:noWrap/>
            <w:vAlign w:val="center"/>
          </w:tcPr>
          <w:p w14:paraId="23C47E49" w14:textId="77777777" w:rsidR="00973D1B" w:rsidRPr="000D5E4F" w:rsidRDefault="00973D1B" w:rsidP="00EF31EC">
            <w:pPr>
              <w:spacing w:before="0" w:line="240" w:lineRule="auto"/>
              <w:contextualSpacing/>
              <w:jc w:val="right"/>
              <w:rPr>
                <w:color w:val="000000"/>
                <w:sz w:val="22"/>
                <w:szCs w:val="22"/>
                <w:lang w:eastAsia="en-IN"/>
              </w:rPr>
            </w:pPr>
          </w:p>
        </w:tc>
        <w:tc>
          <w:tcPr>
            <w:tcW w:w="908" w:type="pct"/>
            <w:tcBorders>
              <w:top w:val="single" w:sz="4" w:space="0" w:color="auto"/>
              <w:left w:val="single" w:sz="4" w:space="0" w:color="auto"/>
              <w:bottom w:val="nil"/>
              <w:right w:val="double" w:sz="4" w:space="0" w:color="auto"/>
            </w:tcBorders>
            <w:vAlign w:val="center"/>
          </w:tcPr>
          <w:p w14:paraId="1EEA9A66" w14:textId="7EC0BACA" w:rsidR="00973D1B" w:rsidRPr="000D5E4F" w:rsidRDefault="00973D1B" w:rsidP="00EF31EC">
            <w:pPr>
              <w:spacing w:before="0" w:line="240" w:lineRule="auto"/>
              <w:contextualSpacing/>
              <w:jc w:val="right"/>
              <w:rPr>
                <w:color w:val="000000"/>
                <w:sz w:val="22"/>
                <w:szCs w:val="22"/>
              </w:rPr>
            </w:pPr>
            <w:r w:rsidRPr="000D5E4F">
              <w:rPr>
                <w:color w:val="000000"/>
                <w:sz w:val="22"/>
                <w:szCs w:val="22"/>
              </w:rPr>
              <w:t> </w:t>
            </w:r>
          </w:p>
        </w:tc>
        <w:tc>
          <w:tcPr>
            <w:tcW w:w="1035" w:type="pct"/>
            <w:tcBorders>
              <w:top w:val="single" w:sz="4" w:space="0" w:color="auto"/>
              <w:left w:val="double" w:sz="4" w:space="0" w:color="auto"/>
              <w:bottom w:val="nil"/>
            </w:tcBorders>
            <w:shd w:val="clear" w:color="auto" w:fill="auto"/>
            <w:noWrap/>
            <w:vAlign w:val="center"/>
          </w:tcPr>
          <w:p w14:paraId="442D83EC" w14:textId="79764AA9" w:rsidR="00973D1B" w:rsidRPr="000D5E4F" w:rsidRDefault="00973D1B" w:rsidP="00EF31EC">
            <w:pPr>
              <w:spacing w:before="0" w:line="240" w:lineRule="auto"/>
              <w:contextualSpacing/>
              <w:jc w:val="right"/>
              <w:rPr>
                <w:color w:val="000000"/>
                <w:sz w:val="22"/>
                <w:szCs w:val="22"/>
                <w:lang w:eastAsia="en-IN"/>
              </w:rPr>
            </w:pPr>
          </w:p>
        </w:tc>
      </w:tr>
      <w:tr w:rsidR="00973D1B" w:rsidRPr="000D5E4F" w14:paraId="79C6D62A" w14:textId="77777777" w:rsidTr="00EF31EC">
        <w:trPr>
          <w:trHeight w:val="259"/>
        </w:trPr>
        <w:tc>
          <w:tcPr>
            <w:tcW w:w="2080" w:type="pct"/>
            <w:tcBorders>
              <w:top w:val="nil"/>
              <w:bottom w:val="nil"/>
              <w:right w:val="double" w:sz="4" w:space="0" w:color="auto"/>
            </w:tcBorders>
            <w:shd w:val="clear" w:color="auto" w:fill="auto"/>
            <w:noWrap/>
            <w:vAlign w:val="center"/>
          </w:tcPr>
          <w:p w14:paraId="002A2743" w14:textId="77777777" w:rsidR="00973D1B" w:rsidRPr="000D5E4F" w:rsidRDefault="00973D1B" w:rsidP="00EF31EC">
            <w:pPr>
              <w:spacing w:before="0" w:line="240" w:lineRule="auto"/>
              <w:contextualSpacing/>
              <w:rPr>
                <w:color w:val="000000"/>
                <w:sz w:val="22"/>
                <w:szCs w:val="22"/>
                <w:lang w:eastAsia="en-IN"/>
              </w:rPr>
            </w:pPr>
            <w:r w:rsidRPr="000D5E4F">
              <w:rPr>
                <w:color w:val="000000"/>
                <w:sz w:val="22"/>
                <w:szCs w:val="22"/>
                <w:lang w:eastAsia="en-IN"/>
              </w:rPr>
              <w:t>0</w:t>
            </w:r>
          </w:p>
        </w:tc>
        <w:tc>
          <w:tcPr>
            <w:tcW w:w="976" w:type="pct"/>
            <w:tcBorders>
              <w:top w:val="nil"/>
              <w:left w:val="double" w:sz="4" w:space="0" w:color="auto"/>
              <w:bottom w:val="nil"/>
              <w:right w:val="single" w:sz="4" w:space="0" w:color="auto"/>
            </w:tcBorders>
            <w:shd w:val="clear" w:color="auto" w:fill="auto"/>
            <w:noWrap/>
            <w:vAlign w:val="center"/>
          </w:tcPr>
          <w:p w14:paraId="6C30EBBC" w14:textId="77777777" w:rsidR="00973D1B" w:rsidRPr="000D5E4F" w:rsidRDefault="00973D1B" w:rsidP="00EF31EC">
            <w:pPr>
              <w:spacing w:before="0" w:line="240" w:lineRule="auto"/>
              <w:contextualSpacing/>
              <w:jc w:val="right"/>
              <w:rPr>
                <w:color w:val="000000"/>
                <w:sz w:val="22"/>
                <w:szCs w:val="22"/>
                <w:lang w:eastAsia="en-IN"/>
              </w:rPr>
            </w:pPr>
            <w:r w:rsidRPr="000D5E4F">
              <w:rPr>
                <w:color w:val="000000"/>
                <w:sz w:val="22"/>
                <w:szCs w:val="22"/>
                <w:lang w:eastAsia="en-IN"/>
              </w:rPr>
              <w:t>788</w:t>
            </w:r>
          </w:p>
        </w:tc>
        <w:tc>
          <w:tcPr>
            <w:tcW w:w="908" w:type="pct"/>
            <w:tcBorders>
              <w:top w:val="nil"/>
              <w:left w:val="single" w:sz="4" w:space="0" w:color="auto"/>
              <w:bottom w:val="nil"/>
              <w:right w:val="double" w:sz="4" w:space="0" w:color="auto"/>
            </w:tcBorders>
            <w:vAlign w:val="center"/>
          </w:tcPr>
          <w:p w14:paraId="7D8432F6" w14:textId="42CAD09E" w:rsidR="00973D1B" w:rsidRPr="000D5E4F" w:rsidRDefault="00973D1B" w:rsidP="00EF31EC">
            <w:pPr>
              <w:spacing w:before="0" w:line="240" w:lineRule="auto"/>
              <w:contextualSpacing/>
              <w:jc w:val="right"/>
              <w:rPr>
                <w:color w:val="000000"/>
                <w:sz w:val="22"/>
                <w:szCs w:val="22"/>
              </w:rPr>
            </w:pPr>
            <w:r w:rsidRPr="000D5E4F">
              <w:rPr>
                <w:color w:val="000000"/>
                <w:sz w:val="22"/>
                <w:szCs w:val="22"/>
              </w:rPr>
              <w:t>84.9%</w:t>
            </w:r>
          </w:p>
        </w:tc>
        <w:tc>
          <w:tcPr>
            <w:tcW w:w="1035" w:type="pct"/>
            <w:tcBorders>
              <w:top w:val="nil"/>
              <w:left w:val="double" w:sz="4" w:space="0" w:color="auto"/>
              <w:bottom w:val="nil"/>
            </w:tcBorders>
            <w:shd w:val="clear" w:color="auto" w:fill="auto"/>
            <w:noWrap/>
            <w:vAlign w:val="center"/>
          </w:tcPr>
          <w:p w14:paraId="2BD0868F" w14:textId="6C80D2DA" w:rsidR="00973D1B" w:rsidRPr="000D5E4F" w:rsidRDefault="00973D1B" w:rsidP="00EF31EC">
            <w:pPr>
              <w:spacing w:before="0" w:line="240" w:lineRule="auto"/>
              <w:contextualSpacing/>
              <w:jc w:val="right"/>
              <w:rPr>
                <w:color w:val="000000"/>
                <w:sz w:val="22"/>
                <w:szCs w:val="22"/>
                <w:lang w:eastAsia="en-IN"/>
              </w:rPr>
            </w:pPr>
            <w:r w:rsidRPr="000D5E4F">
              <w:rPr>
                <w:color w:val="000000"/>
                <w:sz w:val="22"/>
                <w:szCs w:val="22"/>
                <w:lang w:eastAsia="en-IN"/>
              </w:rPr>
              <w:t>73.6%</w:t>
            </w:r>
          </w:p>
        </w:tc>
      </w:tr>
      <w:tr w:rsidR="00973D1B" w:rsidRPr="000D5E4F" w14:paraId="39C438E5" w14:textId="77777777" w:rsidTr="00EF31EC">
        <w:trPr>
          <w:trHeight w:val="259"/>
        </w:trPr>
        <w:tc>
          <w:tcPr>
            <w:tcW w:w="2080" w:type="pct"/>
            <w:tcBorders>
              <w:top w:val="nil"/>
              <w:bottom w:val="nil"/>
              <w:right w:val="double" w:sz="4" w:space="0" w:color="auto"/>
            </w:tcBorders>
            <w:shd w:val="clear" w:color="auto" w:fill="auto"/>
            <w:noWrap/>
            <w:vAlign w:val="center"/>
          </w:tcPr>
          <w:p w14:paraId="5C130EA1" w14:textId="77777777" w:rsidR="00973D1B" w:rsidRPr="000D5E4F" w:rsidRDefault="00973D1B" w:rsidP="00EF31EC">
            <w:pPr>
              <w:spacing w:before="0" w:line="240" w:lineRule="auto"/>
              <w:contextualSpacing/>
              <w:rPr>
                <w:color w:val="000000"/>
                <w:sz w:val="22"/>
                <w:szCs w:val="22"/>
                <w:lang w:eastAsia="en-IN"/>
              </w:rPr>
            </w:pPr>
            <w:r w:rsidRPr="000D5E4F">
              <w:rPr>
                <w:color w:val="000000"/>
                <w:sz w:val="22"/>
                <w:szCs w:val="22"/>
                <w:lang w:eastAsia="en-IN"/>
              </w:rPr>
              <w:t>1</w:t>
            </w:r>
          </w:p>
        </w:tc>
        <w:tc>
          <w:tcPr>
            <w:tcW w:w="976" w:type="pct"/>
            <w:tcBorders>
              <w:top w:val="nil"/>
              <w:left w:val="double" w:sz="4" w:space="0" w:color="auto"/>
              <w:bottom w:val="nil"/>
              <w:right w:val="single" w:sz="4" w:space="0" w:color="auto"/>
            </w:tcBorders>
            <w:shd w:val="clear" w:color="auto" w:fill="auto"/>
            <w:noWrap/>
            <w:vAlign w:val="center"/>
          </w:tcPr>
          <w:p w14:paraId="62251C9D" w14:textId="77777777" w:rsidR="00973D1B" w:rsidRPr="000D5E4F" w:rsidRDefault="00973D1B" w:rsidP="00EF31EC">
            <w:pPr>
              <w:spacing w:before="0" w:line="240" w:lineRule="auto"/>
              <w:contextualSpacing/>
              <w:jc w:val="right"/>
              <w:rPr>
                <w:color w:val="000000"/>
                <w:sz w:val="22"/>
                <w:szCs w:val="22"/>
                <w:lang w:eastAsia="en-IN"/>
              </w:rPr>
            </w:pPr>
            <w:r w:rsidRPr="000D5E4F">
              <w:rPr>
                <w:color w:val="000000"/>
                <w:sz w:val="22"/>
                <w:szCs w:val="22"/>
                <w:lang w:eastAsia="en-IN"/>
              </w:rPr>
              <w:t>81</w:t>
            </w:r>
          </w:p>
        </w:tc>
        <w:tc>
          <w:tcPr>
            <w:tcW w:w="908" w:type="pct"/>
            <w:tcBorders>
              <w:top w:val="nil"/>
              <w:left w:val="single" w:sz="4" w:space="0" w:color="auto"/>
              <w:bottom w:val="nil"/>
              <w:right w:val="double" w:sz="4" w:space="0" w:color="auto"/>
            </w:tcBorders>
            <w:vAlign w:val="center"/>
          </w:tcPr>
          <w:p w14:paraId="5492B6EE" w14:textId="79B21357" w:rsidR="00973D1B" w:rsidRPr="000D5E4F" w:rsidRDefault="00973D1B" w:rsidP="00EF31EC">
            <w:pPr>
              <w:spacing w:before="0" w:line="240" w:lineRule="auto"/>
              <w:contextualSpacing/>
              <w:jc w:val="right"/>
              <w:rPr>
                <w:color w:val="000000"/>
                <w:sz w:val="22"/>
                <w:szCs w:val="22"/>
              </w:rPr>
            </w:pPr>
            <w:r w:rsidRPr="000D5E4F">
              <w:rPr>
                <w:color w:val="000000"/>
                <w:sz w:val="22"/>
                <w:szCs w:val="22"/>
              </w:rPr>
              <w:t>8.8%</w:t>
            </w:r>
          </w:p>
        </w:tc>
        <w:tc>
          <w:tcPr>
            <w:tcW w:w="1035" w:type="pct"/>
            <w:tcBorders>
              <w:top w:val="nil"/>
              <w:left w:val="double" w:sz="4" w:space="0" w:color="auto"/>
              <w:bottom w:val="nil"/>
            </w:tcBorders>
            <w:shd w:val="clear" w:color="auto" w:fill="auto"/>
            <w:noWrap/>
            <w:vAlign w:val="center"/>
          </w:tcPr>
          <w:p w14:paraId="44C7A2FA" w14:textId="2525ECEF" w:rsidR="00973D1B" w:rsidRPr="000D5E4F" w:rsidRDefault="00973D1B" w:rsidP="00EF31EC">
            <w:pPr>
              <w:spacing w:before="0" w:line="240" w:lineRule="auto"/>
              <w:contextualSpacing/>
              <w:jc w:val="right"/>
              <w:rPr>
                <w:color w:val="000000"/>
                <w:sz w:val="22"/>
                <w:szCs w:val="22"/>
                <w:lang w:eastAsia="en-IN"/>
              </w:rPr>
            </w:pPr>
            <w:r w:rsidRPr="000D5E4F">
              <w:rPr>
                <w:color w:val="000000"/>
                <w:sz w:val="22"/>
                <w:szCs w:val="22"/>
                <w:lang w:eastAsia="en-IN"/>
              </w:rPr>
              <w:t>-</w:t>
            </w:r>
          </w:p>
        </w:tc>
      </w:tr>
      <w:tr w:rsidR="00973D1B" w:rsidRPr="000D5E4F" w14:paraId="23A4F9EE" w14:textId="77777777" w:rsidTr="00EF31EC">
        <w:trPr>
          <w:trHeight w:val="259"/>
        </w:trPr>
        <w:tc>
          <w:tcPr>
            <w:tcW w:w="2080" w:type="pct"/>
            <w:tcBorders>
              <w:top w:val="nil"/>
              <w:bottom w:val="nil"/>
              <w:right w:val="double" w:sz="4" w:space="0" w:color="auto"/>
            </w:tcBorders>
            <w:shd w:val="clear" w:color="auto" w:fill="auto"/>
            <w:noWrap/>
            <w:vAlign w:val="center"/>
          </w:tcPr>
          <w:p w14:paraId="37C78E7F" w14:textId="77777777" w:rsidR="00973D1B" w:rsidRPr="000D5E4F" w:rsidRDefault="00973D1B" w:rsidP="00EF31EC">
            <w:pPr>
              <w:spacing w:before="0" w:line="240" w:lineRule="auto"/>
              <w:contextualSpacing/>
              <w:rPr>
                <w:color w:val="000000"/>
                <w:sz w:val="22"/>
                <w:szCs w:val="22"/>
                <w:lang w:eastAsia="en-IN"/>
              </w:rPr>
            </w:pPr>
            <w:r w:rsidRPr="000D5E4F">
              <w:rPr>
                <w:color w:val="000000"/>
                <w:sz w:val="22"/>
                <w:szCs w:val="22"/>
                <w:lang w:eastAsia="en-IN"/>
              </w:rPr>
              <w:t>2</w:t>
            </w:r>
          </w:p>
        </w:tc>
        <w:tc>
          <w:tcPr>
            <w:tcW w:w="976" w:type="pct"/>
            <w:tcBorders>
              <w:top w:val="nil"/>
              <w:left w:val="double" w:sz="4" w:space="0" w:color="auto"/>
              <w:bottom w:val="nil"/>
              <w:right w:val="single" w:sz="4" w:space="0" w:color="auto"/>
            </w:tcBorders>
            <w:shd w:val="clear" w:color="auto" w:fill="auto"/>
            <w:noWrap/>
            <w:vAlign w:val="center"/>
          </w:tcPr>
          <w:p w14:paraId="7DB267CA" w14:textId="77777777" w:rsidR="00973D1B" w:rsidRPr="000D5E4F" w:rsidRDefault="00973D1B" w:rsidP="00EF31EC">
            <w:pPr>
              <w:spacing w:before="0" w:line="240" w:lineRule="auto"/>
              <w:contextualSpacing/>
              <w:jc w:val="right"/>
              <w:rPr>
                <w:color w:val="000000"/>
                <w:sz w:val="22"/>
                <w:szCs w:val="22"/>
                <w:lang w:eastAsia="en-IN"/>
              </w:rPr>
            </w:pPr>
            <w:r w:rsidRPr="000D5E4F">
              <w:rPr>
                <w:color w:val="000000"/>
                <w:sz w:val="22"/>
                <w:szCs w:val="22"/>
                <w:lang w:eastAsia="en-IN"/>
              </w:rPr>
              <w:t>43</w:t>
            </w:r>
          </w:p>
        </w:tc>
        <w:tc>
          <w:tcPr>
            <w:tcW w:w="908" w:type="pct"/>
            <w:tcBorders>
              <w:top w:val="nil"/>
              <w:left w:val="single" w:sz="4" w:space="0" w:color="auto"/>
              <w:bottom w:val="nil"/>
              <w:right w:val="double" w:sz="4" w:space="0" w:color="auto"/>
            </w:tcBorders>
            <w:vAlign w:val="center"/>
          </w:tcPr>
          <w:p w14:paraId="308059EA" w14:textId="3F9CD78F" w:rsidR="00973D1B" w:rsidRPr="000D5E4F" w:rsidRDefault="00973D1B" w:rsidP="00EF31EC">
            <w:pPr>
              <w:spacing w:before="0" w:line="240" w:lineRule="auto"/>
              <w:contextualSpacing/>
              <w:jc w:val="right"/>
              <w:rPr>
                <w:color w:val="000000"/>
                <w:sz w:val="22"/>
                <w:szCs w:val="22"/>
              </w:rPr>
            </w:pPr>
            <w:r w:rsidRPr="000D5E4F">
              <w:rPr>
                <w:color w:val="000000"/>
                <w:sz w:val="22"/>
                <w:szCs w:val="22"/>
              </w:rPr>
              <w:t>4.6%</w:t>
            </w:r>
          </w:p>
        </w:tc>
        <w:tc>
          <w:tcPr>
            <w:tcW w:w="1035" w:type="pct"/>
            <w:tcBorders>
              <w:top w:val="nil"/>
              <w:left w:val="double" w:sz="4" w:space="0" w:color="auto"/>
              <w:bottom w:val="nil"/>
            </w:tcBorders>
            <w:shd w:val="clear" w:color="auto" w:fill="auto"/>
            <w:noWrap/>
            <w:vAlign w:val="center"/>
          </w:tcPr>
          <w:p w14:paraId="40449F6D" w14:textId="3AFF4A7E" w:rsidR="00973D1B" w:rsidRPr="000D5E4F" w:rsidRDefault="00973D1B" w:rsidP="00EF31EC">
            <w:pPr>
              <w:spacing w:before="0" w:line="240" w:lineRule="auto"/>
              <w:contextualSpacing/>
              <w:jc w:val="right"/>
              <w:rPr>
                <w:color w:val="000000"/>
                <w:sz w:val="22"/>
                <w:szCs w:val="22"/>
                <w:lang w:eastAsia="en-IN"/>
              </w:rPr>
            </w:pPr>
            <w:r w:rsidRPr="000D5E4F">
              <w:rPr>
                <w:color w:val="000000"/>
                <w:sz w:val="22"/>
                <w:szCs w:val="22"/>
                <w:lang w:eastAsia="en-IN"/>
              </w:rPr>
              <w:t>-</w:t>
            </w:r>
          </w:p>
        </w:tc>
      </w:tr>
      <w:tr w:rsidR="00973D1B" w:rsidRPr="000D5E4F" w14:paraId="345D6D09" w14:textId="77777777" w:rsidTr="00EF31EC">
        <w:trPr>
          <w:trHeight w:val="259"/>
        </w:trPr>
        <w:tc>
          <w:tcPr>
            <w:tcW w:w="2080" w:type="pct"/>
            <w:tcBorders>
              <w:top w:val="nil"/>
              <w:bottom w:val="single" w:sz="4" w:space="0" w:color="auto"/>
              <w:right w:val="double" w:sz="4" w:space="0" w:color="auto"/>
            </w:tcBorders>
            <w:shd w:val="clear" w:color="auto" w:fill="auto"/>
            <w:noWrap/>
            <w:vAlign w:val="center"/>
          </w:tcPr>
          <w:p w14:paraId="0B14F76E" w14:textId="77777777" w:rsidR="00973D1B" w:rsidRPr="000D5E4F" w:rsidRDefault="00973D1B" w:rsidP="00EF31EC">
            <w:pPr>
              <w:spacing w:before="0" w:line="240" w:lineRule="auto"/>
              <w:contextualSpacing/>
              <w:rPr>
                <w:color w:val="000000"/>
                <w:sz w:val="22"/>
                <w:szCs w:val="22"/>
                <w:lang w:eastAsia="en-IN"/>
              </w:rPr>
            </w:pPr>
            <w:r w:rsidRPr="000D5E4F">
              <w:rPr>
                <w:color w:val="000000"/>
                <w:sz w:val="22"/>
                <w:szCs w:val="22"/>
                <w:lang w:eastAsia="en-IN"/>
              </w:rPr>
              <w:t>3+</w:t>
            </w:r>
          </w:p>
        </w:tc>
        <w:tc>
          <w:tcPr>
            <w:tcW w:w="976" w:type="pct"/>
            <w:tcBorders>
              <w:top w:val="nil"/>
              <w:left w:val="double" w:sz="4" w:space="0" w:color="auto"/>
              <w:bottom w:val="single" w:sz="4" w:space="0" w:color="auto"/>
              <w:right w:val="single" w:sz="4" w:space="0" w:color="auto"/>
            </w:tcBorders>
            <w:shd w:val="clear" w:color="auto" w:fill="auto"/>
            <w:noWrap/>
            <w:vAlign w:val="center"/>
          </w:tcPr>
          <w:p w14:paraId="3E64F3E1" w14:textId="77777777" w:rsidR="00973D1B" w:rsidRPr="000D5E4F" w:rsidRDefault="00973D1B" w:rsidP="00EF31EC">
            <w:pPr>
              <w:spacing w:before="0" w:line="240" w:lineRule="auto"/>
              <w:contextualSpacing/>
              <w:jc w:val="right"/>
              <w:rPr>
                <w:color w:val="000000"/>
                <w:sz w:val="22"/>
                <w:szCs w:val="22"/>
                <w:lang w:eastAsia="en-IN"/>
              </w:rPr>
            </w:pPr>
            <w:r w:rsidRPr="000D5E4F">
              <w:rPr>
                <w:color w:val="000000"/>
                <w:sz w:val="22"/>
                <w:szCs w:val="22"/>
                <w:lang w:eastAsia="en-IN"/>
              </w:rPr>
              <w:t>16</w:t>
            </w:r>
          </w:p>
        </w:tc>
        <w:tc>
          <w:tcPr>
            <w:tcW w:w="908" w:type="pct"/>
            <w:tcBorders>
              <w:top w:val="nil"/>
              <w:left w:val="single" w:sz="4" w:space="0" w:color="auto"/>
              <w:bottom w:val="single" w:sz="4" w:space="0" w:color="auto"/>
              <w:right w:val="double" w:sz="4" w:space="0" w:color="auto"/>
            </w:tcBorders>
            <w:vAlign w:val="center"/>
          </w:tcPr>
          <w:p w14:paraId="531D3869" w14:textId="7F06529A" w:rsidR="00973D1B" w:rsidRPr="000D5E4F" w:rsidRDefault="00973D1B" w:rsidP="00EF31EC">
            <w:pPr>
              <w:spacing w:before="0" w:line="240" w:lineRule="auto"/>
              <w:contextualSpacing/>
              <w:jc w:val="right"/>
              <w:rPr>
                <w:color w:val="000000"/>
                <w:sz w:val="22"/>
                <w:szCs w:val="22"/>
              </w:rPr>
            </w:pPr>
            <w:r w:rsidRPr="000D5E4F">
              <w:rPr>
                <w:color w:val="000000"/>
                <w:sz w:val="22"/>
                <w:szCs w:val="22"/>
              </w:rPr>
              <w:t>1.7%</w:t>
            </w:r>
          </w:p>
        </w:tc>
        <w:tc>
          <w:tcPr>
            <w:tcW w:w="1035" w:type="pct"/>
            <w:tcBorders>
              <w:top w:val="nil"/>
              <w:left w:val="double" w:sz="4" w:space="0" w:color="auto"/>
              <w:bottom w:val="single" w:sz="4" w:space="0" w:color="auto"/>
            </w:tcBorders>
            <w:shd w:val="clear" w:color="auto" w:fill="auto"/>
            <w:noWrap/>
            <w:vAlign w:val="center"/>
          </w:tcPr>
          <w:p w14:paraId="41ECCC11" w14:textId="6ED98A0E" w:rsidR="00973D1B" w:rsidRPr="000D5E4F" w:rsidRDefault="00973D1B" w:rsidP="00EF31EC">
            <w:pPr>
              <w:spacing w:before="0" w:line="240" w:lineRule="auto"/>
              <w:contextualSpacing/>
              <w:jc w:val="right"/>
              <w:rPr>
                <w:color w:val="000000"/>
                <w:sz w:val="22"/>
                <w:szCs w:val="22"/>
                <w:lang w:eastAsia="en-IN"/>
              </w:rPr>
            </w:pPr>
            <w:r w:rsidRPr="000D5E4F">
              <w:rPr>
                <w:color w:val="000000"/>
                <w:sz w:val="22"/>
                <w:szCs w:val="22"/>
                <w:lang w:eastAsia="en-IN"/>
              </w:rPr>
              <w:t>-</w:t>
            </w:r>
          </w:p>
        </w:tc>
      </w:tr>
      <w:tr w:rsidR="00973D1B" w:rsidRPr="000D5E4F" w14:paraId="62926097" w14:textId="77777777" w:rsidTr="00EF31EC">
        <w:trPr>
          <w:trHeight w:val="259"/>
        </w:trPr>
        <w:tc>
          <w:tcPr>
            <w:tcW w:w="2080" w:type="pct"/>
            <w:tcBorders>
              <w:top w:val="nil"/>
              <w:bottom w:val="nil"/>
              <w:right w:val="double" w:sz="4" w:space="0" w:color="auto"/>
            </w:tcBorders>
            <w:shd w:val="clear" w:color="auto" w:fill="auto"/>
            <w:noWrap/>
            <w:vAlign w:val="center"/>
          </w:tcPr>
          <w:p w14:paraId="7F2CC955" w14:textId="77777777" w:rsidR="00973D1B" w:rsidRPr="000D5E4F" w:rsidRDefault="00973D1B" w:rsidP="00EF31EC">
            <w:pPr>
              <w:spacing w:before="0" w:line="240" w:lineRule="auto"/>
              <w:contextualSpacing/>
              <w:rPr>
                <w:color w:val="000000"/>
                <w:sz w:val="22"/>
                <w:szCs w:val="22"/>
              </w:rPr>
            </w:pPr>
            <w:r w:rsidRPr="000D5E4F">
              <w:rPr>
                <w:b/>
                <w:bCs/>
                <w:sz w:val="22"/>
                <w:szCs w:val="22"/>
              </w:rPr>
              <w:t>Household Annual Income</w:t>
            </w:r>
          </w:p>
        </w:tc>
        <w:tc>
          <w:tcPr>
            <w:tcW w:w="976" w:type="pct"/>
            <w:tcBorders>
              <w:top w:val="nil"/>
              <w:left w:val="double" w:sz="4" w:space="0" w:color="auto"/>
              <w:bottom w:val="nil"/>
              <w:right w:val="single" w:sz="4" w:space="0" w:color="auto"/>
            </w:tcBorders>
            <w:shd w:val="clear" w:color="auto" w:fill="auto"/>
            <w:noWrap/>
            <w:vAlign w:val="center"/>
          </w:tcPr>
          <w:p w14:paraId="7434C4A0" w14:textId="77777777" w:rsidR="00973D1B" w:rsidRPr="000D5E4F" w:rsidRDefault="00973D1B" w:rsidP="00EF31EC">
            <w:pPr>
              <w:spacing w:before="0" w:line="240" w:lineRule="auto"/>
              <w:contextualSpacing/>
              <w:jc w:val="right"/>
              <w:rPr>
                <w:color w:val="000000"/>
                <w:sz w:val="22"/>
                <w:szCs w:val="22"/>
                <w:lang w:eastAsia="en-IN"/>
              </w:rPr>
            </w:pPr>
          </w:p>
        </w:tc>
        <w:tc>
          <w:tcPr>
            <w:tcW w:w="908" w:type="pct"/>
            <w:tcBorders>
              <w:top w:val="nil"/>
              <w:left w:val="single" w:sz="4" w:space="0" w:color="auto"/>
              <w:bottom w:val="nil"/>
              <w:right w:val="double" w:sz="4" w:space="0" w:color="auto"/>
            </w:tcBorders>
            <w:vAlign w:val="center"/>
          </w:tcPr>
          <w:p w14:paraId="52CA2260" w14:textId="77777777" w:rsidR="00973D1B" w:rsidRPr="000D5E4F" w:rsidRDefault="00973D1B" w:rsidP="00EF31EC">
            <w:pPr>
              <w:spacing w:before="0" w:line="240" w:lineRule="auto"/>
              <w:contextualSpacing/>
              <w:jc w:val="right"/>
              <w:rPr>
                <w:color w:val="000000"/>
                <w:sz w:val="22"/>
                <w:szCs w:val="22"/>
                <w:lang w:eastAsia="en-IN"/>
              </w:rPr>
            </w:pPr>
          </w:p>
        </w:tc>
        <w:tc>
          <w:tcPr>
            <w:tcW w:w="1035" w:type="pct"/>
            <w:tcBorders>
              <w:top w:val="nil"/>
              <w:left w:val="double" w:sz="4" w:space="0" w:color="auto"/>
              <w:bottom w:val="nil"/>
            </w:tcBorders>
            <w:shd w:val="clear" w:color="auto" w:fill="auto"/>
            <w:noWrap/>
            <w:vAlign w:val="center"/>
          </w:tcPr>
          <w:p w14:paraId="27682CFB" w14:textId="230A0763" w:rsidR="00973D1B" w:rsidRPr="000D5E4F" w:rsidRDefault="00973D1B" w:rsidP="00EF31EC">
            <w:pPr>
              <w:spacing w:before="0" w:line="240" w:lineRule="auto"/>
              <w:contextualSpacing/>
              <w:jc w:val="right"/>
              <w:rPr>
                <w:color w:val="000000"/>
                <w:sz w:val="22"/>
                <w:szCs w:val="22"/>
                <w:lang w:eastAsia="en-IN"/>
              </w:rPr>
            </w:pPr>
          </w:p>
        </w:tc>
      </w:tr>
      <w:tr w:rsidR="00973D1B" w:rsidRPr="000D5E4F" w14:paraId="1B5CABD3" w14:textId="77777777" w:rsidTr="00EF31EC">
        <w:trPr>
          <w:trHeight w:val="259"/>
        </w:trPr>
        <w:tc>
          <w:tcPr>
            <w:tcW w:w="2080" w:type="pct"/>
            <w:tcBorders>
              <w:top w:val="nil"/>
              <w:bottom w:val="nil"/>
              <w:right w:val="double" w:sz="4" w:space="0" w:color="auto"/>
            </w:tcBorders>
            <w:shd w:val="clear" w:color="auto" w:fill="auto"/>
            <w:noWrap/>
            <w:vAlign w:val="center"/>
            <w:hideMark/>
          </w:tcPr>
          <w:p w14:paraId="24905EAB" w14:textId="77777777" w:rsidR="00973D1B" w:rsidRPr="000D5E4F" w:rsidRDefault="00973D1B" w:rsidP="00EF31EC">
            <w:pPr>
              <w:spacing w:before="0" w:line="240" w:lineRule="auto"/>
              <w:contextualSpacing/>
              <w:rPr>
                <w:color w:val="000000"/>
                <w:sz w:val="22"/>
                <w:szCs w:val="22"/>
                <w:lang w:eastAsia="en-IN"/>
              </w:rPr>
            </w:pPr>
            <w:r w:rsidRPr="000D5E4F">
              <w:rPr>
                <w:color w:val="000000"/>
                <w:sz w:val="22"/>
                <w:szCs w:val="22"/>
              </w:rPr>
              <w:t>Less than $50,000</w:t>
            </w:r>
          </w:p>
        </w:tc>
        <w:tc>
          <w:tcPr>
            <w:tcW w:w="976" w:type="pct"/>
            <w:tcBorders>
              <w:top w:val="nil"/>
              <w:left w:val="double" w:sz="4" w:space="0" w:color="auto"/>
              <w:bottom w:val="nil"/>
              <w:right w:val="single" w:sz="4" w:space="0" w:color="auto"/>
            </w:tcBorders>
            <w:shd w:val="clear" w:color="auto" w:fill="auto"/>
            <w:noWrap/>
            <w:vAlign w:val="center"/>
            <w:hideMark/>
          </w:tcPr>
          <w:p w14:paraId="518C897B" w14:textId="77777777" w:rsidR="00973D1B" w:rsidRPr="000D5E4F" w:rsidRDefault="00973D1B" w:rsidP="00EF31EC">
            <w:pPr>
              <w:spacing w:before="0" w:line="240" w:lineRule="auto"/>
              <w:contextualSpacing/>
              <w:jc w:val="right"/>
              <w:rPr>
                <w:color w:val="000000"/>
                <w:sz w:val="22"/>
                <w:szCs w:val="22"/>
                <w:lang w:eastAsia="en-IN"/>
              </w:rPr>
            </w:pPr>
            <w:r w:rsidRPr="000D5E4F">
              <w:rPr>
                <w:color w:val="000000"/>
                <w:sz w:val="22"/>
                <w:szCs w:val="22"/>
                <w:lang w:eastAsia="en-IN"/>
              </w:rPr>
              <w:t>374</w:t>
            </w:r>
          </w:p>
        </w:tc>
        <w:tc>
          <w:tcPr>
            <w:tcW w:w="908" w:type="pct"/>
            <w:tcBorders>
              <w:top w:val="nil"/>
              <w:left w:val="single" w:sz="4" w:space="0" w:color="auto"/>
              <w:bottom w:val="nil"/>
              <w:right w:val="double" w:sz="4" w:space="0" w:color="auto"/>
            </w:tcBorders>
            <w:vAlign w:val="center"/>
          </w:tcPr>
          <w:p w14:paraId="1C0DF643" w14:textId="309BCCFE" w:rsidR="00973D1B" w:rsidRPr="000D5E4F" w:rsidRDefault="00973D1B" w:rsidP="00EF31EC">
            <w:pPr>
              <w:spacing w:before="0" w:line="240" w:lineRule="auto"/>
              <w:contextualSpacing/>
              <w:jc w:val="right"/>
              <w:rPr>
                <w:color w:val="000000"/>
                <w:sz w:val="22"/>
                <w:szCs w:val="22"/>
                <w:lang w:eastAsia="en-IN"/>
              </w:rPr>
            </w:pPr>
            <w:r w:rsidRPr="000D5E4F">
              <w:rPr>
                <w:color w:val="000000"/>
                <w:sz w:val="22"/>
                <w:szCs w:val="22"/>
                <w:lang w:eastAsia="en-IN"/>
              </w:rPr>
              <w:t>40.3%</w:t>
            </w:r>
          </w:p>
        </w:tc>
        <w:tc>
          <w:tcPr>
            <w:tcW w:w="1035" w:type="pct"/>
            <w:tcBorders>
              <w:top w:val="nil"/>
              <w:left w:val="double" w:sz="4" w:space="0" w:color="auto"/>
              <w:bottom w:val="nil"/>
            </w:tcBorders>
            <w:shd w:val="clear" w:color="auto" w:fill="auto"/>
            <w:noWrap/>
            <w:vAlign w:val="center"/>
          </w:tcPr>
          <w:p w14:paraId="178318D7" w14:textId="4C9E9933" w:rsidR="00973D1B" w:rsidRPr="000D5E4F" w:rsidRDefault="00973D1B" w:rsidP="00EF31EC">
            <w:pPr>
              <w:spacing w:before="0" w:line="240" w:lineRule="auto"/>
              <w:contextualSpacing/>
              <w:jc w:val="right"/>
              <w:rPr>
                <w:color w:val="000000"/>
                <w:sz w:val="22"/>
                <w:szCs w:val="22"/>
                <w:lang w:eastAsia="en-IN"/>
              </w:rPr>
            </w:pPr>
            <w:r w:rsidRPr="000D5E4F">
              <w:rPr>
                <w:color w:val="000000"/>
                <w:sz w:val="22"/>
                <w:szCs w:val="22"/>
                <w:lang w:eastAsia="en-IN"/>
              </w:rPr>
              <w:t>29.0%</w:t>
            </w:r>
          </w:p>
        </w:tc>
      </w:tr>
      <w:tr w:rsidR="00973D1B" w:rsidRPr="000D5E4F" w14:paraId="4B0358EE" w14:textId="77777777" w:rsidTr="00EF31EC">
        <w:trPr>
          <w:trHeight w:val="259"/>
        </w:trPr>
        <w:tc>
          <w:tcPr>
            <w:tcW w:w="2080" w:type="pct"/>
            <w:tcBorders>
              <w:top w:val="nil"/>
              <w:bottom w:val="nil"/>
              <w:right w:val="double" w:sz="4" w:space="0" w:color="auto"/>
            </w:tcBorders>
            <w:shd w:val="clear" w:color="auto" w:fill="auto"/>
            <w:noWrap/>
            <w:vAlign w:val="center"/>
            <w:hideMark/>
          </w:tcPr>
          <w:p w14:paraId="4D388E93" w14:textId="77777777" w:rsidR="00973D1B" w:rsidRPr="000D5E4F" w:rsidRDefault="00973D1B" w:rsidP="00EF31EC">
            <w:pPr>
              <w:spacing w:before="0" w:line="240" w:lineRule="auto"/>
              <w:contextualSpacing/>
              <w:rPr>
                <w:color w:val="000000"/>
                <w:sz w:val="22"/>
                <w:szCs w:val="22"/>
                <w:lang w:eastAsia="en-IN"/>
              </w:rPr>
            </w:pPr>
            <w:r w:rsidRPr="000D5E4F">
              <w:rPr>
                <w:color w:val="000000"/>
                <w:sz w:val="22"/>
                <w:szCs w:val="22"/>
              </w:rPr>
              <w:t>$50,000 - $99,999</w:t>
            </w:r>
          </w:p>
        </w:tc>
        <w:tc>
          <w:tcPr>
            <w:tcW w:w="976" w:type="pct"/>
            <w:tcBorders>
              <w:top w:val="nil"/>
              <w:left w:val="double" w:sz="4" w:space="0" w:color="auto"/>
              <w:bottom w:val="nil"/>
              <w:right w:val="single" w:sz="4" w:space="0" w:color="auto"/>
            </w:tcBorders>
            <w:shd w:val="clear" w:color="auto" w:fill="auto"/>
            <w:noWrap/>
            <w:vAlign w:val="center"/>
            <w:hideMark/>
          </w:tcPr>
          <w:p w14:paraId="0DC27DD7" w14:textId="77777777" w:rsidR="00973D1B" w:rsidRPr="000D5E4F" w:rsidRDefault="00973D1B" w:rsidP="00EF31EC">
            <w:pPr>
              <w:spacing w:before="0" w:line="240" w:lineRule="auto"/>
              <w:contextualSpacing/>
              <w:jc w:val="right"/>
              <w:rPr>
                <w:color w:val="000000"/>
                <w:sz w:val="22"/>
                <w:szCs w:val="22"/>
                <w:lang w:eastAsia="en-IN"/>
              </w:rPr>
            </w:pPr>
            <w:r w:rsidRPr="000D5E4F">
              <w:rPr>
                <w:color w:val="000000"/>
                <w:sz w:val="22"/>
                <w:szCs w:val="22"/>
                <w:lang w:eastAsia="en-IN"/>
              </w:rPr>
              <w:t>281</w:t>
            </w:r>
          </w:p>
        </w:tc>
        <w:tc>
          <w:tcPr>
            <w:tcW w:w="908" w:type="pct"/>
            <w:tcBorders>
              <w:top w:val="nil"/>
              <w:left w:val="single" w:sz="4" w:space="0" w:color="auto"/>
              <w:bottom w:val="nil"/>
              <w:right w:val="double" w:sz="4" w:space="0" w:color="auto"/>
            </w:tcBorders>
            <w:vAlign w:val="center"/>
          </w:tcPr>
          <w:p w14:paraId="3504F096" w14:textId="6413E73D" w:rsidR="00973D1B" w:rsidRPr="000D5E4F" w:rsidRDefault="00973D1B" w:rsidP="00EF31EC">
            <w:pPr>
              <w:spacing w:before="0" w:line="240" w:lineRule="auto"/>
              <w:contextualSpacing/>
              <w:jc w:val="right"/>
              <w:rPr>
                <w:color w:val="000000"/>
                <w:sz w:val="22"/>
                <w:szCs w:val="22"/>
                <w:lang w:eastAsia="en-IN"/>
              </w:rPr>
            </w:pPr>
            <w:r w:rsidRPr="000D5E4F">
              <w:rPr>
                <w:color w:val="000000"/>
                <w:sz w:val="22"/>
                <w:szCs w:val="22"/>
                <w:lang w:eastAsia="en-IN"/>
              </w:rPr>
              <w:t>30.3%</w:t>
            </w:r>
          </w:p>
        </w:tc>
        <w:tc>
          <w:tcPr>
            <w:tcW w:w="1035" w:type="pct"/>
            <w:tcBorders>
              <w:top w:val="nil"/>
              <w:left w:val="double" w:sz="4" w:space="0" w:color="auto"/>
              <w:bottom w:val="nil"/>
            </w:tcBorders>
            <w:shd w:val="clear" w:color="auto" w:fill="auto"/>
            <w:noWrap/>
            <w:vAlign w:val="center"/>
          </w:tcPr>
          <w:p w14:paraId="79624BD0" w14:textId="1E63A7D2" w:rsidR="00973D1B" w:rsidRPr="000D5E4F" w:rsidRDefault="00973D1B" w:rsidP="00EF31EC">
            <w:pPr>
              <w:spacing w:before="0" w:line="240" w:lineRule="auto"/>
              <w:contextualSpacing/>
              <w:jc w:val="right"/>
              <w:rPr>
                <w:color w:val="000000"/>
                <w:sz w:val="22"/>
                <w:szCs w:val="22"/>
                <w:lang w:eastAsia="en-IN"/>
              </w:rPr>
            </w:pPr>
            <w:r w:rsidRPr="000D5E4F">
              <w:rPr>
                <w:color w:val="000000"/>
                <w:sz w:val="22"/>
                <w:szCs w:val="22"/>
                <w:lang w:eastAsia="en-IN"/>
              </w:rPr>
              <w:t>28.0%</w:t>
            </w:r>
          </w:p>
        </w:tc>
      </w:tr>
      <w:tr w:rsidR="00973D1B" w:rsidRPr="000D5E4F" w14:paraId="32576B19" w14:textId="77777777" w:rsidTr="00EF31EC">
        <w:trPr>
          <w:trHeight w:val="259"/>
        </w:trPr>
        <w:tc>
          <w:tcPr>
            <w:tcW w:w="2080" w:type="pct"/>
            <w:tcBorders>
              <w:top w:val="nil"/>
              <w:bottom w:val="double" w:sz="4" w:space="0" w:color="auto"/>
              <w:right w:val="double" w:sz="4" w:space="0" w:color="auto"/>
            </w:tcBorders>
            <w:shd w:val="clear" w:color="auto" w:fill="auto"/>
            <w:noWrap/>
            <w:vAlign w:val="center"/>
            <w:hideMark/>
          </w:tcPr>
          <w:p w14:paraId="5A7791BA" w14:textId="77777777" w:rsidR="00973D1B" w:rsidRPr="000D5E4F" w:rsidRDefault="00973D1B" w:rsidP="00EF31EC">
            <w:pPr>
              <w:spacing w:before="0" w:line="240" w:lineRule="auto"/>
              <w:contextualSpacing/>
              <w:rPr>
                <w:color w:val="000000"/>
                <w:sz w:val="22"/>
                <w:szCs w:val="22"/>
                <w:lang w:eastAsia="en-IN"/>
              </w:rPr>
            </w:pPr>
            <w:r w:rsidRPr="000D5E4F">
              <w:rPr>
                <w:color w:val="000000"/>
                <w:sz w:val="22"/>
                <w:szCs w:val="22"/>
              </w:rPr>
              <w:t>≥ $100,000</w:t>
            </w:r>
          </w:p>
        </w:tc>
        <w:tc>
          <w:tcPr>
            <w:tcW w:w="976" w:type="pct"/>
            <w:tcBorders>
              <w:top w:val="nil"/>
              <w:left w:val="double" w:sz="4" w:space="0" w:color="auto"/>
              <w:bottom w:val="double" w:sz="4" w:space="0" w:color="auto"/>
              <w:right w:val="single" w:sz="4" w:space="0" w:color="auto"/>
            </w:tcBorders>
            <w:shd w:val="clear" w:color="auto" w:fill="auto"/>
            <w:noWrap/>
            <w:vAlign w:val="center"/>
            <w:hideMark/>
          </w:tcPr>
          <w:p w14:paraId="381E82A8" w14:textId="77777777" w:rsidR="00973D1B" w:rsidRPr="000D5E4F" w:rsidRDefault="00973D1B" w:rsidP="00EF31EC">
            <w:pPr>
              <w:spacing w:before="0" w:line="240" w:lineRule="auto"/>
              <w:contextualSpacing/>
              <w:jc w:val="right"/>
              <w:rPr>
                <w:color w:val="000000"/>
                <w:sz w:val="22"/>
                <w:szCs w:val="22"/>
                <w:lang w:eastAsia="en-IN"/>
              </w:rPr>
            </w:pPr>
            <w:r w:rsidRPr="000D5E4F">
              <w:rPr>
                <w:color w:val="000000"/>
                <w:sz w:val="22"/>
                <w:szCs w:val="22"/>
                <w:lang w:eastAsia="en-IN"/>
              </w:rPr>
              <w:t>273</w:t>
            </w:r>
          </w:p>
        </w:tc>
        <w:tc>
          <w:tcPr>
            <w:tcW w:w="908" w:type="pct"/>
            <w:tcBorders>
              <w:top w:val="nil"/>
              <w:left w:val="single" w:sz="4" w:space="0" w:color="auto"/>
              <w:bottom w:val="double" w:sz="4" w:space="0" w:color="auto"/>
              <w:right w:val="double" w:sz="4" w:space="0" w:color="auto"/>
            </w:tcBorders>
            <w:vAlign w:val="center"/>
          </w:tcPr>
          <w:p w14:paraId="09F37403" w14:textId="6A9B0D7D" w:rsidR="00973D1B" w:rsidRPr="000D5E4F" w:rsidRDefault="00973D1B" w:rsidP="00EF31EC">
            <w:pPr>
              <w:spacing w:before="0" w:line="240" w:lineRule="auto"/>
              <w:contextualSpacing/>
              <w:jc w:val="right"/>
              <w:rPr>
                <w:color w:val="000000"/>
                <w:sz w:val="22"/>
                <w:szCs w:val="22"/>
                <w:lang w:eastAsia="en-IN"/>
              </w:rPr>
            </w:pPr>
            <w:r w:rsidRPr="000D5E4F">
              <w:rPr>
                <w:color w:val="000000"/>
                <w:sz w:val="22"/>
                <w:szCs w:val="22"/>
                <w:lang w:eastAsia="en-IN"/>
              </w:rPr>
              <w:t>29.4%</w:t>
            </w:r>
          </w:p>
        </w:tc>
        <w:tc>
          <w:tcPr>
            <w:tcW w:w="1035" w:type="pct"/>
            <w:tcBorders>
              <w:top w:val="nil"/>
              <w:left w:val="double" w:sz="4" w:space="0" w:color="auto"/>
              <w:bottom w:val="double" w:sz="4" w:space="0" w:color="auto"/>
            </w:tcBorders>
            <w:shd w:val="clear" w:color="auto" w:fill="auto"/>
            <w:noWrap/>
            <w:vAlign w:val="center"/>
          </w:tcPr>
          <w:p w14:paraId="05874B10" w14:textId="49EB998B" w:rsidR="00973D1B" w:rsidRPr="000D5E4F" w:rsidRDefault="00973D1B" w:rsidP="00EF31EC">
            <w:pPr>
              <w:spacing w:before="0" w:line="240" w:lineRule="auto"/>
              <w:contextualSpacing/>
              <w:jc w:val="right"/>
              <w:rPr>
                <w:color w:val="000000"/>
                <w:sz w:val="22"/>
                <w:szCs w:val="22"/>
                <w:lang w:eastAsia="en-IN"/>
              </w:rPr>
            </w:pPr>
            <w:r w:rsidRPr="000D5E4F">
              <w:rPr>
                <w:color w:val="000000"/>
                <w:sz w:val="22"/>
                <w:szCs w:val="22"/>
                <w:lang w:eastAsia="en-IN"/>
              </w:rPr>
              <w:t>43.0%</w:t>
            </w:r>
          </w:p>
        </w:tc>
      </w:tr>
      <w:tr w:rsidR="004B0F97" w:rsidRPr="000D5E4F" w14:paraId="45DFECFC" w14:textId="77777777" w:rsidTr="00EF31EC">
        <w:trPr>
          <w:trHeight w:val="259"/>
        </w:trPr>
        <w:tc>
          <w:tcPr>
            <w:tcW w:w="5000" w:type="pct"/>
            <w:gridSpan w:val="4"/>
            <w:tcBorders>
              <w:top w:val="double" w:sz="4" w:space="0" w:color="auto"/>
              <w:left w:val="nil"/>
              <w:bottom w:val="nil"/>
              <w:right w:val="nil"/>
            </w:tcBorders>
            <w:shd w:val="clear" w:color="auto" w:fill="auto"/>
            <w:noWrap/>
            <w:vAlign w:val="center"/>
          </w:tcPr>
          <w:p w14:paraId="43E1BB6C" w14:textId="56F121BA" w:rsidR="004B0F97" w:rsidRPr="000D5E4F" w:rsidRDefault="004B0F97" w:rsidP="00EF31EC">
            <w:pPr>
              <w:spacing w:before="0" w:line="240" w:lineRule="auto"/>
              <w:contextualSpacing/>
              <w:rPr>
                <w:color w:val="000000"/>
                <w:sz w:val="22"/>
                <w:szCs w:val="22"/>
                <w:lang w:eastAsia="en-IN"/>
              </w:rPr>
            </w:pPr>
            <w:r w:rsidRPr="000D5E4F">
              <w:rPr>
                <w:color w:val="000000"/>
                <w:sz w:val="20"/>
                <w:szCs w:val="22"/>
                <w:lang w:eastAsia="en-IN"/>
              </w:rPr>
              <w:t>*</w:t>
            </w:r>
            <w:r w:rsidR="000D5E4F" w:rsidRPr="000D5E4F">
              <w:rPr>
                <w:color w:val="000000"/>
                <w:sz w:val="20"/>
                <w:szCs w:val="22"/>
                <w:lang w:eastAsia="en-IN"/>
              </w:rPr>
              <w:t xml:space="preserve"> P</w:t>
            </w:r>
            <w:r w:rsidRPr="000D5E4F">
              <w:rPr>
                <w:color w:val="000000"/>
                <w:sz w:val="20"/>
                <w:szCs w:val="22"/>
                <w:lang w:eastAsia="en-IN"/>
              </w:rPr>
              <w:t>ercentages are normalized (to add up to 100%) for the population above 18 years of age.</w:t>
            </w:r>
          </w:p>
        </w:tc>
      </w:tr>
    </w:tbl>
    <w:p w14:paraId="0CA87816" w14:textId="77777777" w:rsidR="000D5E4F" w:rsidRDefault="000D5E4F" w:rsidP="00EF31EC">
      <w:pPr>
        <w:spacing w:before="0" w:line="240" w:lineRule="auto"/>
        <w:ind w:firstLine="720"/>
        <w:jc w:val="both"/>
      </w:pPr>
    </w:p>
    <w:p w14:paraId="6620C9A5" w14:textId="4C69A9EB" w:rsidR="005C264D" w:rsidRPr="00882FD5" w:rsidRDefault="005C264D" w:rsidP="009B009F">
      <w:pPr>
        <w:spacing w:before="0" w:line="240" w:lineRule="auto"/>
        <w:ind w:firstLine="720"/>
        <w:jc w:val="both"/>
      </w:pPr>
      <w:r w:rsidRPr="00882FD5">
        <w:t>The sociodemographic differences between our sample and the Austin area population are not surprising, given that our survey was administered online and disseminated, in part, through social media outlets. Such an administration approach would naturally draw in individuals with advanced degrees and those who are technology-savvy. In fact, the very topic of autonomous vehicles would likely be of more interest to such individuals, contributing further to the sample bias. Besides, the financial incentives to participate in the survey would tend to attract students</w:t>
      </w:r>
      <w:r w:rsidR="00E135EA">
        <w:t>,</w:t>
      </w:r>
      <w:r w:rsidRPr="00882FD5">
        <w:t xml:space="preserve"> unemployed individuals</w:t>
      </w:r>
      <w:r w:rsidR="00E135EA">
        <w:t xml:space="preserve"> and those from low-income households. </w:t>
      </w:r>
      <w:r w:rsidRPr="00882FD5">
        <w:t xml:space="preserve">However,  these skews in the sample should not affect our investigation of individual-level causal relationships (that is, how changes in exogenous variables impact the endogenous variables of interest). This is because the basis for teasing out causal relationships does not hinge on having a representative sample, but </w:t>
      </w:r>
      <w:r w:rsidRPr="00882FD5">
        <w:lastRenderedPageBreak/>
        <w:t xml:space="preserve">only on good variation in the range of each exogenous variable (and, of course, good variation in the indicators and the outcomes in our GHDM framework). As our descriptive statistics above illustrate, we do have good variation within the sample in the exogenous sociodemographic variables. Also, because our sampling process is itself not based on any of the endogenous outcomes of the residential living environment, auto-ownership level, or travel mode preferences (that is, our data collection is based on exogenous sampling), an unweighted approach provides consistent estimates as well as yields more efficient estimates relative to a weighted procedure (see Wooldridge, 1995 and Solon et al., 2015 for an extensive discussion of this point).  </w:t>
      </w:r>
    </w:p>
    <w:p w14:paraId="4A5CAF37" w14:textId="77777777" w:rsidR="005C264D" w:rsidRPr="00882FD5" w:rsidRDefault="005C264D" w:rsidP="009B009F">
      <w:pPr>
        <w:spacing w:before="0" w:line="240" w:lineRule="auto"/>
      </w:pPr>
    </w:p>
    <w:p w14:paraId="54A84EC7" w14:textId="47A7FE17" w:rsidR="00834F12" w:rsidRPr="00882FD5" w:rsidRDefault="00905D69" w:rsidP="009B009F">
      <w:pPr>
        <w:pStyle w:val="Heading1"/>
        <w:numPr>
          <w:ilvl w:val="0"/>
          <w:numId w:val="19"/>
        </w:numPr>
        <w:spacing w:before="0" w:after="0" w:line="240" w:lineRule="auto"/>
      </w:pPr>
      <w:r w:rsidRPr="00882FD5">
        <w:t>MODEL RESULTS</w:t>
      </w:r>
    </w:p>
    <w:p w14:paraId="2FC4E1FB" w14:textId="312378D3" w:rsidR="00F91F3A" w:rsidRPr="00882FD5" w:rsidRDefault="009B009F" w:rsidP="009B009F">
      <w:pPr>
        <w:pStyle w:val="Heading2"/>
        <w:numPr>
          <w:ilvl w:val="0"/>
          <w:numId w:val="0"/>
        </w:numPr>
        <w:tabs>
          <w:tab w:val="left" w:pos="450"/>
        </w:tabs>
        <w:spacing w:before="60" w:after="0" w:line="240" w:lineRule="auto"/>
      </w:pPr>
      <w:bookmarkStart w:id="9" w:name="_Toc119458093"/>
      <w:r>
        <w:t xml:space="preserve">4.1. </w:t>
      </w:r>
      <w:r>
        <w:tab/>
      </w:r>
      <w:r w:rsidR="00F91F3A" w:rsidRPr="00882FD5">
        <w:t xml:space="preserve">Latent </w:t>
      </w:r>
      <w:r w:rsidR="000D5E4F">
        <w:t>C</w:t>
      </w:r>
      <w:r w:rsidR="00F91F3A" w:rsidRPr="00882FD5">
        <w:t xml:space="preserve">onstruct </w:t>
      </w:r>
      <w:r w:rsidR="000D5E4F">
        <w:t>R</w:t>
      </w:r>
      <w:r w:rsidR="00F91F3A" w:rsidRPr="00882FD5">
        <w:t>esults</w:t>
      </w:r>
      <w:bookmarkEnd w:id="9"/>
      <w:r w:rsidR="00F91F3A" w:rsidRPr="00882FD5">
        <w:t xml:space="preserve"> </w:t>
      </w:r>
    </w:p>
    <w:p w14:paraId="2E2CE13F" w14:textId="77777777" w:rsidR="00EF31EC" w:rsidRDefault="00F91F3A" w:rsidP="009B009F">
      <w:pPr>
        <w:spacing w:before="0" w:line="240" w:lineRule="auto"/>
        <w:jc w:val="both"/>
      </w:pPr>
      <w:r w:rsidRPr="00882FD5">
        <w:t xml:space="preserve">Table 2 provides the </w:t>
      </w:r>
      <w:r w:rsidR="00752B77" w:rsidRPr="00882FD5">
        <w:t xml:space="preserve">results for the </w:t>
      </w:r>
      <w:r w:rsidRPr="00882FD5">
        <w:t>latent construct indicator loadin</w:t>
      </w:r>
      <w:r w:rsidR="00752B77" w:rsidRPr="00882FD5">
        <w:t>gs</w:t>
      </w:r>
      <w:r w:rsidR="00A863A0" w:rsidRPr="00882FD5">
        <w:t xml:space="preserve"> (these are elements of the </w:t>
      </w:r>
      <w:r w:rsidR="00EF31EC" w:rsidRPr="00882FD5">
        <w:rPr>
          <w:position w:val="-6"/>
        </w:rPr>
        <w:object w:dxaOrig="220" w:dyaOrig="340" w14:anchorId="7854F945">
          <v:shape id="_x0000_i1191" type="#_x0000_t75" style="width:10.7pt;height:17.15pt" o:ole="" o:preferrelative="f">
            <v:imagedata r:id="rId322" o:title=""/>
            <o:lock v:ext="edit" aspectratio="f"/>
          </v:shape>
          <o:OLEObject Type="Embed" ProgID="Equation.DSMT4" ShapeID="_x0000_i1191" DrawAspect="Content" ObjectID="_1738155088" r:id="rId334"/>
        </w:object>
      </w:r>
      <w:r w:rsidR="00EF31EC">
        <w:t xml:space="preserve"> </w:t>
      </w:r>
      <w:r w:rsidR="00A863A0" w:rsidRPr="00882FD5">
        <w:t>matrix in Section 2)</w:t>
      </w:r>
      <w:r w:rsidRPr="00882FD5">
        <w:t xml:space="preserve">. All the indicator variables </w:t>
      </w:r>
      <w:r w:rsidR="00752B77" w:rsidRPr="00882FD5">
        <w:t xml:space="preserve">have the </w:t>
      </w:r>
      <w:r w:rsidRPr="00882FD5">
        <w:t>expected direction of loading</w:t>
      </w:r>
      <w:r w:rsidR="00752B77" w:rsidRPr="00882FD5">
        <w:t>s</w:t>
      </w:r>
      <w:r w:rsidRPr="00882FD5">
        <w:t xml:space="preserve"> on </w:t>
      </w:r>
      <w:r w:rsidR="00752B77" w:rsidRPr="00882FD5">
        <w:t>each of the two</w:t>
      </w:r>
      <w:r w:rsidRPr="00882FD5">
        <w:t xml:space="preserve"> latent construct</w:t>
      </w:r>
      <w:r w:rsidR="00752B77" w:rsidRPr="00882FD5">
        <w:t>s</w:t>
      </w:r>
      <w:r w:rsidRPr="00882FD5">
        <w:t>. This forms one component of the measurement equation in the GHDM framework.</w:t>
      </w:r>
    </w:p>
    <w:p w14:paraId="2F1E1FA5" w14:textId="0E45FDF9" w:rsidR="00F91F3A" w:rsidRPr="00882FD5" w:rsidRDefault="00F91F3A" w:rsidP="009B009F">
      <w:pPr>
        <w:spacing w:before="0" w:line="240" w:lineRule="auto"/>
        <w:jc w:val="both"/>
      </w:pPr>
      <w:r w:rsidRPr="00882FD5">
        <w:t xml:space="preserve"> </w:t>
      </w:r>
    </w:p>
    <w:p w14:paraId="59A0AC42" w14:textId="51F4ED04" w:rsidR="00D43F6D" w:rsidRPr="00882FD5" w:rsidRDefault="00D43F6D" w:rsidP="00EF31EC">
      <w:pPr>
        <w:pStyle w:val="ProTable"/>
        <w:spacing w:before="0"/>
      </w:pPr>
      <w:r w:rsidRPr="00882FD5">
        <w:t>TABLE 2  Latent construct indicator loadings</w:t>
      </w:r>
      <w:r w:rsidR="00E135EA">
        <w:t xml:space="preserve"> </w:t>
      </w:r>
      <w:r w:rsidR="00E135EA" w:rsidRPr="003260D1">
        <w:rPr>
          <w:b w:val="0"/>
        </w:rPr>
        <w:t xml:space="preserve">(elements of the </w:t>
      </w:r>
      <w:r w:rsidR="00EF31EC" w:rsidRPr="00CF76A5">
        <w:rPr>
          <w:b w:val="0"/>
          <w:position w:val="-6"/>
        </w:rPr>
        <w:object w:dxaOrig="220" w:dyaOrig="340" w14:anchorId="72D2EC35">
          <v:shape id="_x0000_i1192" type="#_x0000_t75" style="width:10.7pt;height:17.15pt" o:ole="" o:preferrelative="f">
            <v:imagedata r:id="rId322" o:title=""/>
            <o:lock v:ext="edit" aspectratio="f"/>
          </v:shape>
          <o:OLEObject Type="Embed" ProgID="Equation.DSMT4" ShapeID="_x0000_i1192" DrawAspect="Content" ObjectID="_1738155089" r:id="rId335"/>
        </w:object>
      </w:r>
      <w:r w:rsidR="00E135EA" w:rsidRPr="003260D1">
        <w:rPr>
          <w:b w:val="0"/>
        </w:rPr>
        <w:t>matrix)</w:t>
      </w:r>
    </w:p>
    <w:tbl>
      <w:tblPr>
        <w:tblW w:w="4964" w:type="pct"/>
        <w:tblLayout w:type="fixed"/>
        <w:tblLook w:val="04A0" w:firstRow="1" w:lastRow="0" w:firstColumn="1" w:lastColumn="0" w:noHBand="0" w:noVBand="1"/>
      </w:tblPr>
      <w:tblGrid>
        <w:gridCol w:w="5297"/>
        <w:gridCol w:w="991"/>
        <w:gridCol w:w="993"/>
        <w:gridCol w:w="991"/>
        <w:gridCol w:w="991"/>
      </w:tblGrid>
      <w:tr w:rsidR="00D43F6D" w:rsidRPr="000D5E4F" w14:paraId="2AFE5B0B" w14:textId="77777777" w:rsidTr="00907D2E">
        <w:trPr>
          <w:trHeight w:val="576"/>
        </w:trPr>
        <w:tc>
          <w:tcPr>
            <w:tcW w:w="2859" w:type="pct"/>
            <w:vMerge w:val="restart"/>
            <w:tcBorders>
              <w:top w:val="double" w:sz="4" w:space="0" w:color="auto"/>
              <w:left w:val="double" w:sz="4" w:space="0" w:color="auto"/>
              <w:bottom w:val="single" w:sz="4" w:space="0" w:color="auto"/>
              <w:right w:val="double" w:sz="4" w:space="0" w:color="auto"/>
            </w:tcBorders>
            <w:shd w:val="clear" w:color="auto" w:fill="auto"/>
            <w:vAlign w:val="center"/>
            <w:hideMark/>
          </w:tcPr>
          <w:p w14:paraId="03FD53D2" w14:textId="77777777" w:rsidR="00D43F6D" w:rsidRPr="000D5E4F" w:rsidRDefault="00D43F6D" w:rsidP="000D5E4F">
            <w:pPr>
              <w:spacing w:before="100" w:beforeAutospacing="1" w:line="240" w:lineRule="auto"/>
              <w:contextualSpacing/>
              <w:jc w:val="center"/>
              <w:rPr>
                <w:b/>
                <w:color w:val="000000"/>
                <w:sz w:val="22"/>
                <w:szCs w:val="20"/>
              </w:rPr>
            </w:pPr>
            <w:r w:rsidRPr="000D5E4F">
              <w:rPr>
                <w:b/>
                <w:color w:val="000000"/>
                <w:sz w:val="22"/>
                <w:szCs w:val="20"/>
              </w:rPr>
              <w:t>Indicators</w:t>
            </w:r>
          </w:p>
        </w:tc>
        <w:tc>
          <w:tcPr>
            <w:tcW w:w="1071" w:type="pct"/>
            <w:gridSpan w:val="2"/>
            <w:tcBorders>
              <w:top w:val="double" w:sz="4" w:space="0" w:color="auto"/>
              <w:left w:val="double" w:sz="4" w:space="0" w:color="auto"/>
              <w:bottom w:val="single" w:sz="4" w:space="0" w:color="auto"/>
              <w:right w:val="double" w:sz="4" w:space="0" w:color="auto"/>
            </w:tcBorders>
            <w:shd w:val="clear" w:color="auto" w:fill="auto"/>
            <w:vAlign w:val="center"/>
            <w:hideMark/>
          </w:tcPr>
          <w:p w14:paraId="28854BB9" w14:textId="77777777" w:rsidR="00D43F6D" w:rsidRPr="000D5E4F" w:rsidRDefault="00D43F6D" w:rsidP="000D5E4F">
            <w:pPr>
              <w:spacing w:before="100" w:beforeAutospacing="1" w:line="240" w:lineRule="auto"/>
              <w:contextualSpacing/>
              <w:jc w:val="center"/>
              <w:rPr>
                <w:b/>
                <w:bCs/>
                <w:color w:val="000000"/>
                <w:sz w:val="22"/>
                <w:szCs w:val="20"/>
              </w:rPr>
            </w:pPr>
            <w:r w:rsidRPr="000D5E4F">
              <w:rPr>
                <w:b/>
                <w:bCs/>
                <w:color w:val="000000"/>
                <w:sz w:val="22"/>
                <w:szCs w:val="20"/>
              </w:rPr>
              <w:t>Green Lifestyle Propensity (GLP)</w:t>
            </w:r>
          </w:p>
        </w:tc>
        <w:tc>
          <w:tcPr>
            <w:tcW w:w="1071" w:type="pct"/>
            <w:gridSpan w:val="2"/>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1CB6C709" w14:textId="77777777" w:rsidR="00D43F6D" w:rsidRPr="000D5E4F" w:rsidRDefault="00D43F6D" w:rsidP="000D5E4F">
            <w:pPr>
              <w:spacing w:before="100" w:beforeAutospacing="1" w:line="240" w:lineRule="auto"/>
              <w:contextualSpacing/>
              <w:jc w:val="center"/>
              <w:rPr>
                <w:b/>
                <w:bCs/>
                <w:color w:val="000000"/>
                <w:sz w:val="22"/>
                <w:szCs w:val="20"/>
              </w:rPr>
            </w:pPr>
            <w:r w:rsidRPr="000D5E4F">
              <w:rPr>
                <w:b/>
                <w:bCs/>
                <w:color w:val="000000"/>
                <w:sz w:val="22"/>
                <w:szCs w:val="20"/>
              </w:rPr>
              <w:t>Luxury Lifestyle Propensity (LLP)</w:t>
            </w:r>
          </w:p>
        </w:tc>
      </w:tr>
      <w:tr w:rsidR="00D43F6D" w:rsidRPr="000D5E4F" w14:paraId="7B0D20F8" w14:textId="77777777" w:rsidTr="00907D2E">
        <w:trPr>
          <w:trHeight w:val="288"/>
        </w:trPr>
        <w:tc>
          <w:tcPr>
            <w:tcW w:w="2859" w:type="pct"/>
            <w:vMerge/>
            <w:tcBorders>
              <w:top w:val="single" w:sz="4" w:space="0" w:color="auto"/>
              <w:left w:val="double" w:sz="4" w:space="0" w:color="auto"/>
              <w:bottom w:val="double" w:sz="4" w:space="0" w:color="auto"/>
              <w:right w:val="double" w:sz="4" w:space="0" w:color="auto"/>
            </w:tcBorders>
            <w:vAlign w:val="center"/>
            <w:hideMark/>
          </w:tcPr>
          <w:p w14:paraId="7AF7865D" w14:textId="77777777" w:rsidR="00D43F6D" w:rsidRPr="000D5E4F" w:rsidRDefault="00D43F6D" w:rsidP="000D5E4F">
            <w:pPr>
              <w:spacing w:before="100" w:beforeAutospacing="1" w:line="240" w:lineRule="auto"/>
              <w:contextualSpacing/>
              <w:jc w:val="center"/>
              <w:rPr>
                <w:b/>
                <w:color w:val="000000"/>
                <w:sz w:val="22"/>
                <w:szCs w:val="20"/>
              </w:rPr>
            </w:pPr>
          </w:p>
        </w:tc>
        <w:tc>
          <w:tcPr>
            <w:tcW w:w="535" w:type="pct"/>
            <w:tcBorders>
              <w:top w:val="nil"/>
              <w:left w:val="double" w:sz="4" w:space="0" w:color="auto"/>
              <w:bottom w:val="double" w:sz="4" w:space="0" w:color="auto"/>
              <w:right w:val="single" w:sz="4" w:space="0" w:color="auto"/>
            </w:tcBorders>
            <w:shd w:val="clear" w:color="auto" w:fill="auto"/>
            <w:vAlign w:val="center"/>
            <w:hideMark/>
          </w:tcPr>
          <w:p w14:paraId="04EAA808" w14:textId="77777777" w:rsidR="00D43F6D" w:rsidRPr="000D5E4F" w:rsidRDefault="00D43F6D" w:rsidP="000D5E4F">
            <w:pPr>
              <w:spacing w:before="100" w:beforeAutospacing="1" w:line="240" w:lineRule="auto"/>
              <w:contextualSpacing/>
              <w:jc w:val="center"/>
              <w:rPr>
                <w:b/>
                <w:color w:val="000000"/>
                <w:sz w:val="22"/>
                <w:szCs w:val="20"/>
              </w:rPr>
            </w:pPr>
            <w:r w:rsidRPr="000D5E4F">
              <w:rPr>
                <w:b/>
                <w:color w:val="000000"/>
                <w:sz w:val="22"/>
                <w:szCs w:val="20"/>
              </w:rPr>
              <w:t>Coef.</w:t>
            </w:r>
          </w:p>
        </w:tc>
        <w:tc>
          <w:tcPr>
            <w:tcW w:w="536" w:type="pct"/>
            <w:tcBorders>
              <w:top w:val="nil"/>
              <w:left w:val="nil"/>
              <w:bottom w:val="double" w:sz="4" w:space="0" w:color="auto"/>
              <w:right w:val="double" w:sz="4" w:space="0" w:color="auto"/>
            </w:tcBorders>
            <w:shd w:val="clear" w:color="auto" w:fill="auto"/>
            <w:vAlign w:val="center"/>
            <w:hideMark/>
          </w:tcPr>
          <w:p w14:paraId="393CF354" w14:textId="77777777" w:rsidR="00D43F6D" w:rsidRPr="000D5E4F" w:rsidRDefault="00D43F6D" w:rsidP="000D5E4F">
            <w:pPr>
              <w:spacing w:before="100" w:beforeAutospacing="1" w:line="240" w:lineRule="auto"/>
              <w:contextualSpacing/>
              <w:jc w:val="center"/>
              <w:rPr>
                <w:b/>
                <w:color w:val="000000"/>
                <w:sz w:val="22"/>
                <w:szCs w:val="20"/>
              </w:rPr>
            </w:pPr>
            <w:r w:rsidRPr="000D5E4F">
              <w:rPr>
                <w:b/>
                <w:color w:val="000000"/>
                <w:sz w:val="22"/>
                <w:szCs w:val="20"/>
              </w:rPr>
              <w:t>t-stat</w:t>
            </w:r>
          </w:p>
        </w:tc>
        <w:tc>
          <w:tcPr>
            <w:tcW w:w="535" w:type="pct"/>
            <w:tcBorders>
              <w:top w:val="nil"/>
              <w:left w:val="double" w:sz="4" w:space="0" w:color="auto"/>
              <w:bottom w:val="double" w:sz="4" w:space="0" w:color="auto"/>
              <w:right w:val="single" w:sz="4" w:space="0" w:color="auto"/>
            </w:tcBorders>
            <w:shd w:val="clear" w:color="auto" w:fill="auto"/>
            <w:vAlign w:val="center"/>
            <w:hideMark/>
          </w:tcPr>
          <w:p w14:paraId="724FAEBC" w14:textId="77777777" w:rsidR="00D43F6D" w:rsidRPr="000D5E4F" w:rsidRDefault="00D43F6D" w:rsidP="000D5E4F">
            <w:pPr>
              <w:spacing w:before="100" w:beforeAutospacing="1" w:line="240" w:lineRule="auto"/>
              <w:contextualSpacing/>
              <w:jc w:val="center"/>
              <w:rPr>
                <w:b/>
                <w:color w:val="000000"/>
                <w:sz w:val="22"/>
                <w:szCs w:val="20"/>
              </w:rPr>
            </w:pPr>
            <w:r w:rsidRPr="000D5E4F">
              <w:rPr>
                <w:b/>
                <w:color w:val="000000"/>
                <w:sz w:val="22"/>
                <w:szCs w:val="20"/>
              </w:rPr>
              <w:t>Coef.</w:t>
            </w:r>
          </w:p>
        </w:tc>
        <w:tc>
          <w:tcPr>
            <w:tcW w:w="536" w:type="pct"/>
            <w:tcBorders>
              <w:top w:val="nil"/>
              <w:left w:val="nil"/>
              <w:bottom w:val="double" w:sz="4" w:space="0" w:color="auto"/>
              <w:right w:val="double" w:sz="4" w:space="0" w:color="auto"/>
            </w:tcBorders>
            <w:shd w:val="clear" w:color="auto" w:fill="auto"/>
            <w:vAlign w:val="center"/>
            <w:hideMark/>
          </w:tcPr>
          <w:p w14:paraId="75EF5E9A" w14:textId="77777777" w:rsidR="00D43F6D" w:rsidRPr="000D5E4F" w:rsidRDefault="00D43F6D" w:rsidP="000D5E4F">
            <w:pPr>
              <w:spacing w:before="100" w:beforeAutospacing="1" w:line="240" w:lineRule="auto"/>
              <w:contextualSpacing/>
              <w:jc w:val="center"/>
              <w:rPr>
                <w:b/>
                <w:color w:val="000000"/>
                <w:sz w:val="22"/>
                <w:szCs w:val="20"/>
              </w:rPr>
            </w:pPr>
            <w:r w:rsidRPr="000D5E4F">
              <w:rPr>
                <w:b/>
                <w:color w:val="000000"/>
                <w:sz w:val="22"/>
                <w:szCs w:val="20"/>
              </w:rPr>
              <w:t>t-stat</w:t>
            </w:r>
          </w:p>
        </w:tc>
      </w:tr>
      <w:tr w:rsidR="00D43F6D" w:rsidRPr="000D5E4F" w14:paraId="30E57C56" w14:textId="77777777" w:rsidTr="00907D2E">
        <w:trPr>
          <w:trHeight w:val="432"/>
        </w:trPr>
        <w:tc>
          <w:tcPr>
            <w:tcW w:w="2859" w:type="pct"/>
            <w:tcBorders>
              <w:top w:val="double" w:sz="4" w:space="0" w:color="auto"/>
              <w:left w:val="double" w:sz="4" w:space="0" w:color="auto"/>
              <w:bottom w:val="single" w:sz="4" w:space="0" w:color="auto"/>
              <w:right w:val="double" w:sz="4" w:space="0" w:color="auto"/>
            </w:tcBorders>
            <w:shd w:val="clear" w:color="auto" w:fill="auto"/>
            <w:vAlign w:val="center"/>
            <w:hideMark/>
          </w:tcPr>
          <w:p w14:paraId="41B6C101" w14:textId="77777777" w:rsidR="00D43F6D" w:rsidRPr="000D5E4F" w:rsidRDefault="00D43F6D" w:rsidP="000D5E4F">
            <w:pPr>
              <w:spacing w:before="100" w:beforeAutospacing="1" w:line="240" w:lineRule="auto"/>
              <w:contextualSpacing/>
              <w:rPr>
                <w:color w:val="000000"/>
                <w:sz w:val="22"/>
                <w:szCs w:val="20"/>
              </w:rPr>
            </w:pPr>
            <w:r w:rsidRPr="000D5E4F">
              <w:rPr>
                <w:color w:val="000000"/>
                <w:sz w:val="22"/>
                <w:szCs w:val="20"/>
              </w:rPr>
              <w:t>The government should raise the gas tax to help reduce the negative impacts of transportation on the environment.</w:t>
            </w:r>
          </w:p>
        </w:tc>
        <w:tc>
          <w:tcPr>
            <w:tcW w:w="535" w:type="pct"/>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1B172765" w14:textId="77777777" w:rsidR="00D43F6D" w:rsidRPr="000D5E4F" w:rsidRDefault="00D43F6D" w:rsidP="000D5E4F">
            <w:pPr>
              <w:spacing w:before="100" w:beforeAutospacing="1" w:line="240" w:lineRule="auto"/>
              <w:contextualSpacing/>
              <w:jc w:val="right"/>
              <w:rPr>
                <w:color w:val="000000"/>
                <w:sz w:val="22"/>
                <w:szCs w:val="20"/>
              </w:rPr>
            </w:pPr>
            <w:r w:rsidRPr="000D5E4F">
              <w:rPr>
                <w:color w:val="000000"/>
                <w:sz w:val="22"/>
                <w:szCs w:val="20"/>
              </w:rPr>
              <w:t>0.594</w:t>
            </w:r>
          </w:p>
        </w:tc>
        <w:tc>
          <w:tcPr>
            <w:tcW w:w="536" w:type="pct"/>
            <w:tcBorders>
              <w:top w:val="double" w:sz="4" w:space="0" w:color="auto"/>
              <w:left w:val="nil"/>
              <w:bottom w:val="single" w:sz="4" w:space="0" w:color="auto"/>
              <w:right w:val="double" w:sz="4" w:space="0" w:color="auto"/>
            </w:tcBorders>
            <w:shd w:val="clear" w:color="auto" w:fill="auto"/>
            <w:vAlign w:val="center"/>
            <w:hideMark/>
          </w:tcPr>
          <w:p w14:paraId="624F13F9" w14:textId="77777777" w:rsidR="00D43F6D" w:rsidRPr="000D5E4F" w:rsidRDefault="00D43F6D" w:rsidP="000D5E4F">
            <w:pPr>
              <w:spacing w:before="100" w:beforeAutospacing="1" w:line="240" w:lineRule="auto"/>
              <w:contextualSpacing/>
              <w:jc w:val="right"/>
              <w:rPr>
                <w:color w:val="000000"/>
                <w:sz w:val="22"/>
                <w:szCs w:val="20"/>
              </w:rPr>
            </w:pPr>
            <w:r w:rsidRPr="000D5E4F">
              <w:rPr>
                <w:color w:val="000000"/>
                <w:sz w:val="22"/>
                <w:szCs w:val="20"/>
              </w:rPr>
              <w:t>25.40</w:t>
            </w:r>
          </w:p>
        </w:tc>
        <w:tc>
          <w:tcPr>
            <w:tcW w:w="535" w:type="pct"/>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0EBE1FD6" w14:textId="77777777" w:rsidR="00D43F6D" w:rsidRPr="000D5E4F" w:rsidRDefault="00D43F6D" w:rsidP="000D5E4F">
            <w:pPr>
              <w:spacing w:before="100" w:beforeAutospacing="1" w:line="240" w:lineRule="auto"/>
              <w:contextualSpacing/>
              <w:jc w:val="right"/>
              <w:rPr>
                <w:color w:val="000000"/>
                <w:sz w:val="22"/>
                <w:szCs w:val="20"/>
              </w:rPr>
            </w:pPr>
            <w:r w:rsidRPr="000D5E4F">
              <w:rPr>
                <w:color w:val="000000"/>
                <w:sz w:val="22"/>
                <w:szCs w:val="20"/>
              </w:rPr>
              <w:t> </w:t>
            </w:r>
          </w:p>
        </w:tc>
        <w:tc>
          <w:tcPr>
            <w:tcW w:w="536" w:type="pct"/>
            <w:tcBorders>
              <w:top w:val="double" w:sz="4" w:space="0" w:color="auto"/>
              <w:left w:val="nil"/>
              <w:bottom w:val="single" w:sz="4" w:space="0" w:color="auto"/>
              <w:right w:val="double" w:sz="4" w:space="0" w:color="auto"/>
            </w:tcBorders>
            <w:shd w:val="clear" w:color="auto" w:fill="auto"/>
            <w:noWrap/>
            <w:vAlign w:val="center"/>
            <w:hideMark/>
          </w:tcPr>
          <w:p w14:paraId="2ED80932" w14:textId="77777777" w:rsidR="00D43F6D" w:rsidRPr="000D5E4F" w:rsidRDefault="00D43F6D" w:rsidP="000D5E4F">
            <w:pPr>
              <w:spacing w:before="100" w:beforeAutospacing="1" w:line="240" w:lineRule="auto"/>
              <w:contextualSpacing/>
              <w:jc w:val="right"/>
              <w:rPr>
                <w:color w:val="000000"/>
                <w:sz w:val="22"/>
                <w:szCs w:val="20"/>
              </w:rPr>
            </w:pPr>
            <w:r w:rsidRPr="000D5E4F">
              <w:rPr>
                <w:color w:val="000000"/>
                <w:sz w:val="22"/>
                <w:szCs w:val="20"/>
              </w:rPr>
              <w:t> </w:t>
            </w:r>
          </w:p>
        </w:tc>
      </w:tr>
      <w:tr w:rsidR="00D43F6D" w:rsidRPr="000D5E4F" w14:paraId="434A5135" w14:textId="77777777" w:rsidTr="00907D2E">
        <w:trPr>
          <w:trHeight w:val="432"/>
        </w:trPr>
        <w:tc>
          <w:tcPr>
            <w:tcW w:w="2859" w:type="pct"/>
            <w:tcBorders>
              <w:top w:val="nil"/>
              <w:left w:val="double" w:sz="4" w:space="0" w:color="auto"/>
              <w:bottom w:val="single" w:sz="4" w:space="0" w:color="auto"/>
              <w:right w:val="double" w:sz="4" w:space="0" w:color="auto"/>
            </w:tcBorders>
            <w:shd w:val="clear" w:color="auto" w:fill="auto"/>
            <w:vAlign w:val="center"/>
            <w:hideMark/>
          </w:tcPr>
          <w:p w14:paraId="6EDFB96B" w14:textId="77777777" w:rsidR="00D43F6D" w:rsidRPr="000D5E4F" w:rsidRDefault="00D43F6D" w:rsidP="000D5E4F">
            <w:pPr>
              <w:spacing w:before="100" w:beforeAutospacing="1" w:line="240" w:lineRule="auto"/>
              <w:contextualSpacing/>
              <w:rPr>
                <w:color w:val="000000"/>
                <w:sz w:val="22"/>
                <w:szCs w:val="20"/>
              </w:rPr>
            </w:pPr>
            <w:r w:rsidRPr="000D5E4F">
              <w:rPr>
                <w:color w:val="000000"/>
                <w:sz w:val="22"/>
                <w:szCs w:val="20"/>
              </w:rPr>
              <w:t>I am committed to an environmentally-friendly lifestyle.</w:t>
            </w:r>
          </w:p>
        </w:tc>
        <w:tc>
          <w:tcPr>
            <w:tcW w:w="535" w:type="pct"/>
            <w:tcBorders>
              <w:top w:val="nil"/>
              <w:left w:val="double" w:sz="4" w:space="0" w:color="auto"/>
              <w:bottom w:val="single" w:sz="4" w:space="0" w:color="auto"/>
              <w:right w:val="single" w:sz="4" w:space="0" w:color="auto"/>
            </w:tcBorders>
            <w:shd w:val="clear" w:color="auto" w:fill="auto"/>
            <w:noWrap/>
            <w:vAlign w:val="center"/>
            <w:hideMark/>
          </w:tcPr>
          <w:p w14:paraId="17D93755" w14:textId="77777777" w:rsidR="00D43F6D" w:rsidRPr="000D5E4F" w:rsidRDefault="00D43F6D" w:rsidP="000D5E4F">
            <w:pPr>
              <w:spacing w:before="100" w:beforeAutospacing="1" w:line="240" w:lineRule="auto"/>
              <w:contextualSpacing/>
              <w:jc w:val="right"/>
              <w:rPr>
                <w:color w:val="000000"/>
                <w:sz w:val="22"/>
                <w:szCs w:val="20"/>
              </w:rPr>
            </w:pPr>
            <w:r w:rsidRPr="000D5E4F">
              <w:rPr>
                <w:color w:val="000000"/>
                <w:sz w:val="22"/>
                <w:szCs w:val="20"/>
              </w:rPr>
              <w:t>0.476</w:t>
            </w:r>
          </w:p>
        </w:tc>
        <w:tc>
          <w:tcPr>
            <w:tcW w:w="536" w:type="pct"/>
            <w:tcBorders>
              <w:top w:val="nil"/>
              <w:left w:val="nil"/>
              <w:bottom w:val="single" w:sz="4" w:space="0" w:color="auto"/>
              <w:right w:val="double" w:sz="4" w:space="0" w:color="auto"/>
            </w:tcBorders>
            <w:shd w:val="clear" w:color="auto" w:fill="auto"/>
            <w:vAlign w:val="center"/>
            <w:hideMark/>
          </w:tcPr>
          <w:p w14:paraId="032C7C4B" w14:textId="77777777" w:rsidR="00D43F6D" w:rsidRPr="000D5E4F" w:rsidRDefault="00D43F6D" w:rsidP="000D5E4F">
            <w:pPr>
              <w:spacing w:before="100" w:beforeAutospacing="1" w:line="240" w:lineRule="auto"/>
              <w:contextualSpacing/>
              <w:jc w:val="right"/>
              <w:rPr>
                <w:color w:val="000000"/>
                <w:sz w:val="22"/>
                <w:szCs w:val="20"/>
              </w:rPr>
            </w:pPr>
            <w:r w:rsidRPr="000D5E4F">
              <w:rPr>
                <w:color w:val="000000"/>
                <w:sz w:val="22"/>
                <w:szCs w:val="20"/>
              </w:rPr>
              <w:t>17.97</w:t>
            </w:r>
          </w:p>
        </w:tc>
        <w:tc>
          <w:tcPr>
            <w:tcW w:w="535" w:type="pct"/>
            <w:tcBorders>
              <w:top w:val="nil"/>
              <w:left w:val="double" w:sz="4" w:space="0" w:color="auto"/>
              <w:bottom w:val="single" w:sz="4" w:space="0" w:color="auto"/>
              <w:right w:val="single" w:sz="4" w:space="0" w:color="auto"/>
            </w:tcBorders>
            <w:shd w:val="clear" w:color="auto" w:fill="auto"/>
            <w:noWrap/>
            <w:vAlign w:val="center"/>
            <w:hideMark/>
          </w:tcPr>
          <w:p w14:paraId="5CA8F680" w14:textId="77777777" w:rsidR="00D43F6D" w:rsidRPr="000D5E4F" w:rsidRDefault="00D43F6D" w:rsidP="000D5E4F">
            <w:pPr>
              <w:spacing w:before="100" w:beforeAutospacing="1" w:line="240" w:lineRule="auto"/>
              <w:contextualSpacing/>
              <w:jc w:val="right"/>
              <w:rPr>
                <w:color w:val="000000"/>
                <w:sz w:val="22"/>
                <w:szCs w:val="20"/>
              </w:rPr>
            </w:pPr>
            <w:r w:rsidRPr="000D5E4F">
              <w:rPr>
                <w:color w:val="000000"/>
                <w:sz w:val="22"/>
                <w:szCs w:val="20"/>
              </w:rPr>
              <w:t> </w:t>
            </w:r>
          </w:p>
        </w:tc>
        <w:tc>
          <w:tcPr>
            <w:tcW w:w="536" w:type="pct"/>
            <w:tcBorders>
              <w:top w:val="nil"/>
              <w:left w:val="nil"/>
              <w:bottom w:val="single" w:sz="4" w:space="0" w:color="auto"/>
              <w:right w:val="double" w:sz="4" w:space="0" w:color="auto"/>
            </w:tcBorders>
            <w:shd w:val="clear" w:color="auto" w:fill="auto"/>
            <w:noWrap/>
            <w:vAlign w:val="center"/>
            <w:hideMark/>
          </w:tcPr>
          <w:p w14:paraId="5905819D" w14:textId="77777777" w:rsidR="00D43F6D" w:rsidRPr="000D5E4F" w:rsidRDefault="00D43F6D" w:rsidP="000D5E4F">
            <w:pPr>
              <w:spacing w:before="100" w:beforeAutospacing="1" w:line="240" w:lineRule="auto"/>
              <w:contextualSpacing/>
              <w:jc w:val="right"/>
              <w:rPr>
                <w:color w:val="000000"/>
                <w:sz w:val="22"/>
                <w:szCs w:val="20"/>
              </w:rPr>
            </w:pPr>
            <w:r w:rsidRPr="000D5E4F">
              <w:rPr>
                <w:color w:val="000000"/>
                <w:sz w:val="22"/>
                <w:szCs w:val="20"/>
              </w:rPr>
              <w:t> </w:t>
            </w:r>
          </w:p>
        </w:tc>
      </w:tr>
      <w:tr w:rsidR="00D43F6D" w:rsidRPr="000D5E4F" w14:paraId="40A59AD7" w14:textId="77777777" w:rsidTr="00907D2E">
        <w:trPr>
          <w:trHeight w:val="432"/>
        </w:trPr>
        <w:tc>
          <w:tcPr>
            <w:tcW w:w="2859" w:type="pct"/>
            <w:tcBorders>
              <w:top w:val="nil"/>
              <w:left w:val="double" w:sz="4" w:space="0" w:color="auto"/>
              <w:bottom w:val="single" w:sz="4" w:space="0" w:color="auto"/>
              <w:right w:val="double" w:sz="4" w:space="0" w:color="auto"/>
            </w:tcBorders>
            <w:shd w:val="clear" w:color="auto" w:fill="auto"/>
            <w:vAlign w:val="center"/>
            <w:hideMark/>
          </w:tcPr>
          <w:p w14:paraId="151A2AAF" w14:textId="77777777" w:rsidR="00D43F6D" w:rsidRPr="000D5E4F" w:rsidRDefault="00D43F6D" w:rsidP="000D5E4F">
            <w:pPr>
              <w:spacing w:before="100" w:beforeAutospacing="1" w:line="240" w:lineRule="auto"/>
              <w:contextualSpacing/>
              <w:rPr>
                <w:color w:val="000000"/>
                <w:sz w:val="22"/>
                <w:szCs w:val="20"/>
              </w:rPr>
            </w:pPr>
            <w:r w:rsidRPr="000D5E4F">
              <w:rPr>
                <w:color w:val="000000"/>
                <w:sz w:val="22"/>
                <w:szCs w:val="20"/>
              </w:rPr>
              <w:t xml:space="preserve">I am committed to using a </w:t>
            </w:r>
            <w:proofErr w:type="gramStart"/>
            <w:r w:rsidRPr="000D5E4F">
              <w:rPr>
                <w:color w:val="000000"/>
                <w:sz w:val="22"/>
                <w:szCs w:val="20"/>
              </w:rPr>
              <w:t>less</w:t>
            </w:r>
            <w:proofErr w:type="gramEnd"/>
            <w:r w:rsidRPr="000D5E4F">
              <w:rPr>
                <w:color w:val="000000"/>
                <w:sz w:val="22"/>
                <w:szCs w:val="20"/>
              </w:rPr>
              <w:t xml:space="preserve"> polluting means of transportation (e.g., walking, biking, and public transit) as much as possible.</w:t>
            </w:r>
          </w:p>
        </w:tc>
        <w:tc>
          <w:tcPr>
            <w:tcW w:w="535" w:type="pct"/>
            <w:tcBorders>
              <w:top w:val="nil"/>
              <w:left w:val="double" w:sz="4" w:space="0" w:color="auto"/>
              <w:bottom w:val="single" w:sz="4" w:space="0" w:color="auto"/>
              <w:right w:val="single" w:sz="4" w:space="0" w:color="auto"/>
            </w:tcBorders>
            <w:shd w:val="clear" w:color="auto" w:fill="auto"/>
            <w:noWrap/>
            <w:vAlign w:val="center"/>
            <w:hideMark/>
          </w:tcPr>
          <w:p w14:paraId="27E4398B" w14:textId="77777777" w:rsidR="00D43F6D" w:rsidRPr="000D5E4F" w:rsidRDefault="00D43F6D" w:rsidP="000D5E4F">
            <w:pPr>
              <w:spacing w:before="100" w:beforeAutospacing="1" w:line="240" w:lineRule="auto"/>
              <w:contextualSpacing/>
              <w:jc w:val="right"/>
              <w:rPr>
                <w:color w:val="000000"/>
                <w:sz w:val="22"/>
                <w:szCs w:val="20"/>
              </w:rPr>
            </w:pPr>
            <w:r w:rsidRPr="000D5E4F">
              <w:rPr>
                <w:color w:val="000000"/>
                <w:sz w:val="22"/>
                <w:szCs w:val="20"/>
              </w:rPr>
              <w:t>1.349</w:t>
            </w:r>
          </w:p>
        </w:tc>
        <w:tc>
          <w:tcPr>
            <w:tcW w:w="536" w:type="pct"/>
            <w:tcBorders>
              <w:top w:val="nil"/>
              <w:left w:val="nil"/>
              <w:bottom w:val="single" w:sz="4" w:space="0" w:color="auto"/>
              <w:right w:val="double" w:sz="4" w:space="0" w:color="auto"/>
            </w:tcBorders>
            <w:shd w:val="clear" w:color="auto" w:fill="auto"/>
            <w:vAlign w:val="center"/>
            <w:hideMark/>
          </w:tcPr>
          <w:p w14:paraId="79804549" w14:textId="77777777" w:rsidR="00D43F6D" w:rsidRPr="000D5E4F" w:rsidRDefault="00D43F6D" w:rsidP="000D5E4F">
            <w:pPr>
              <w:spacing w:before="100" w:beforeAutospacing="1" w:line="240" w:lineRule="auto"/>
              <w:contextualSpacing/>
              <w:jc w:val="right"/>
              <w:rPr>
                <w:color w:val="000000"/>
                <w:sz w:val="22"/>
                <w:szCs w:val="20"/>
              </w:rPr>
            </w:pPr>
            <w:r w:rsidRPr="000D5E4F">
              <w:rPr>
                <w:color w:val="000000"/>
                <w:sz w:val="22"/>
                <w:szCs w:val="20"/>
              </w:rPr>
              <w:t>19.77</w:t>
            </w:r>
          </w:p>
        </w:tc>
        <w:tc>
          <w:tcPr>
            <w:tcW w:w="535" w:type="pct"/>
            <w:tcBorders>
              <w:top w:val="nil"/>
              <w:left w:val="double" w:sz="4" w:space="0" w:color="auto"/>
              <w:bottom w:val="single" w:sz="4" w:space="0" w:color="auto"/>
              <w:right w:val="single" w:sz="4" w:space="0" w:color="auto"/>
            </w:tcBorders>
            <w:shd w:val="clear" w:color="auto" w:fill="auto"/>
            <w:noWrap/>
            <w:vAlign w:val="center"/>
            <w:hideMark/>
          </w:tcPr>
          <w:p w14:paraId="48EEFFC6" w14:textId="77777777" w:rsidR="00D43F6D" w:rsidRPr="000D5E4F" w:rsidRDefault="00D43F6D" w:rsidP="000D5E4F">
            <w:pPr>
              <w:spacing w:before="100" w:beforeAutospacing="1" w:line="240" w:lineRule="auto"/>
              <w:contextualSpacing/>
              <w:jc w:val="right"/>
              <w:rPr>
                <w:color w:val="000000"/>
                <w:sz w:val="22"/>
                <w:szCs w:val="20"/>
              </w:rPr>
            </w:pPr>
            <w:r w:rsidRPr="000D5E4F">
              <w:rPr>
                <w:color w:val="000000"/>
                <w:sz w:val="22"/>
                <w:szCs w:val="20"/>
              </w:rPr>
              <w:t> </w:t>
            </w:r>
          </w:p>
        </w:tc>
        <w:tc>
          <w:tcPr>
            <w:tcW w:w="536" w:type="pct"/>
            <w:tcBorders>
              <w:top w:val="nil"/>
              <w:left w:val="nil"/>
              <w:bottom w:val="single" w:sz="4" w:space="0" w:color="auto"/>
              <w:right w:val="double" w:sz="4" w:space="0" w:color="auto"/>
            </w:tcBorders>
            <w:shd w:val="clear" w:color="auto" w:fill="auto"/>
            <w:noWrap/>
            <w:vAlign w:val="center"/>
            <w:hideMark/>
          </w:tcPr>
          <w:p w14:paraId="13D72B52" w14:textId="77777777" w:rsidR="00D43F6D" w:rsidRPr="000D5E4F" w:rsidRDefault="00D43F6D" w:rsidP="000D5E4F">
            <w:pPr>
              <w:spacing w:before="100" w:beforeAutospacing="1" w:line="240" w:lineRule="auto"/>
              <w:contextualSpacing/>
              <w:jc w:val="right"/>
              <w:rPr>
                <w:color w:val="000000"/>
                <w:sz w:val="22"/>
                <w:szCs w:val="20"/>
              </w:rPr>
            </w:pPr>
            <w:r w:rsidRPr="000D5E4F">
              <w:rPr>
                <w:color w:val="000000"/>
                <w:sz w:val="22"/>
                <w:szCs w:val="20"/>
              </w:rPr>
              <w:t> </w:t>
            </w:r>
          </w:p>
        </w:tc>
      </w:tr>
      <w:tr w:rsidR="00D43F6D" w:rsidRPr="000D5E4F" w14:paraId="47C047F4" w14:textId="77777777" w:rsidTr="00907D2E">
        <w:trPr>
          <w:trHeight w:val="432"/>
        </w:trPr>
        <w:tc>
          <w:tcPr>
            <w:tcW w:w="2859" w:type="pct"/>
            <w:tcBorders>
              <w:top w:val="nil"/>
              <w:left w:val="double" w:sz="4" w:space="0" w:color="auto"/>
              <w:bottom w:val="single" w:sz="4" w:space="0" w:color="auto"/>
              <w:right w:val="double" w:sz="4" w:space="0" w:color="auto"/>
            </w:tcBorders>
            <w:shd w:val="clear" w:color="auto" w:fill="auto"/>
            <w:vAlign w:val="center"/>
            <w:hideMark/>
          </w:tcPr>
          <w:p w14:paraId="2C3210D5" w14:textId="77777777" w:rsidR="00D43F6D" w:rsidRPr="000D5E4F" w:rsidRDefault="00D43F6D" w:rsidP="000D5E4F">
            <w:pPr>
              <w:spacing w:before="100" w:beforeAutospacing="1" w:line="240" w:lineRule="auto"/>
              <w:contextualSpacing/>
              <w:rPr>
                <w:color w:val="000000"/>
                <w:sz w:val="22"/>
                <w:szCs w:val="20"/>
              </w:rPr>
            </w:pPr>
            <w:r w:rsidRPr="000D5E4F">
              <w:rPr>
                <w:color w:val="000000"/>
                <w:sz w:val="22"/>
                <w:szCs w:val="20"/>
              </w:rPr>
              <w:t>I like to be among the first to have the latest technology.</w:t>
            </w:r>
          </w:p>
        </w:tc>
        <w:tc>
          <w:tcPr>
            <w:tcW w:w="535" w:type="pct"/>
            <w:tcBorders>
              <w:top w:val="nil"/>
              <w:left w:val="double" w:sz="4" w:space="0" w:color="auto"/>
              <w:bottom w:val="single" w:sz="4" w:space="0" w:color="auto"/>
              <w:right w:val="single" w:sz="4" w:space="0" w:color="auto"/>
            </w:tcBorders>
            <w:shd w:val="clear" w:color="auto" w:fill="auto"/>
            <w:noWrap/>
            <w:vAlign w:val="center"/>
            <w:hideMark/>
          </w:tcPr>
          <w:p w14:paraId="17BC9658" w14:textId="77777777" w:rsidR="00D43F6D" w:rsidRPr="000D5E4F" w:rsidRDefault="00D43F6D" w:rsidP="000D5E4F">
            <w:pPr>
              <w:spacing w:before="100" w:beforeAutospacing="1" w:line="240" w:lineRule="auto"/>
              <w:contextualSpacing/>
              <w:jc w:val="right"/>
              <w:rPr>
                <w:color w:val="000000"/>
                <w:sz w:val="22"/>
                <w:szCs w:val="20"/>
              </w:rPr>
            </w:pPr>
            <w:r w:rsidRPr="000D5E4F">
              <w:rPr>
                <w:color w:val="000000"/>
                <w:sz w:val="22"/>
                <w:szCs w:val="20"/>
              </w:rPr>
              <w:t> </w:t>
            </w:r>
          </w:p>
        </w:tc>
        <w:tc>
          <w:tcPr>
            <w:tcW w:w="536" w:type="pct"/>
            <w:tcBorders>
              <w:top w:val="nil"/>
              <w:left w:val="nil"/>
              <w:bottom w:val="single" w:sz="4" w:space="0" w:color="auto"/>
              <w:right w:val="double" w:sz="4" w:space="0" w:color="auto"/>
            </w:tcBorders>
            <w:shd w:val="clear" w:color="auto" w:fill="auto"/>
            <w:noWrap/>
            <w:vAlign w:val="center"/>
            <w:hideMark/>
          </w:tcPr>
          <w:p w14:paraId="38E07514" w14:textId="77777777" w:rsidR="00D43F6D" w:rsidRPr="000D5E4F" w:rsidRDefault="00D43F6D" w:rsidP="000D5E4F">
            <w:pPr>
              <w:spacing w:before="100" w:beforeAutospacing="1" w:line="240" w:lineRule="auto"/>
              <w:contextualSpacing/>
              <w:jc w:val="right"/>
              <w:rPr>
                <w:color w:val="000000"/>
                <w:sz w:val="22"/>
                <w:szCs w:val="20"/>
              </w:rPr>
            </w:pPr>
            <w:r w:rsidRPr="000D5E4F">
              <w:rPr>
                <w:color w:val="000000"/>
                <w:sz w:val="22"/>
                <w:szCs w:val="20"/>
              </w:rPr>
              <w:t> </w:t>
            </w:r>
          </w:p>
        </w:tc>
        <w:tc>
          <w:tcPr>
            <w:tcW w:w="535" w:type="pct"/>
            <w:tcBorders>
              <w:top w:val="nil"/>
              <w:left w:val="double" w:sz="4" w:space="0" w:color="auto"/>
              <w:bottom w:val="single" w:sz="4" w:space="0" w:color="auto"/>
              <w:right w:val="single" w:sz="4" w:space="0" w:color="auto"/>
            </w:tcBorders>
            <w:shd w:val="clear" w:color="auto" w:fill="auto"/>
            <w:noWrap/>
            <w:vAlign w:val="center"/>
            <w:hideMark/>
          </w:tcPr>
          <w:p w14:paraId="15F84235" w14:textId="77777777" w:rsidR="00D43F6D" w:rsidRPr="000D5E4F" w:rsidRDefault="00D43F6D" w:rsidP="000D5E4F">
            <w:pPr>
              <w:spacing w:before="100" w:beforeAutospacing="1" w:line="240" w:lineRule="auto"/>
              <w:contextualSpacing/>
              <w:jc w:val="right"/>
              <w:rPr>
                <w:color w:val="000000"/>
                <w:sz w:val="22"/>
                <w:szCs w:val="20"/>
              </w:rPr>
            </w:pPr>
            <w:r w:rsidRPr="000D5E4F">
              <w:rPr>
                <w:color w:val="000000"/>
                <w:sz w:val="22"/>
                <w:szCs w:val="20"/>
              </w:rPr>
              <w:t>0.125</w:t>
            </w:r>
          </w:p>
        </w:tc>
        <w:tc>
          <w:tcPr>
            <w:tcW w:w="536" w:type="pct"/>
            <w:tcBorders>
              <w:top w:val="nil"/>
              <w:left w:val="nil"/>
              <w:bottom w:val="single" w:sz="4" w:space="0" w:color="auto"/>
              <w:right w:val="double" w:sz="4" w:space="0" w:color="auto"/>
            </w:tcBorders>
            <w:shd w:val="clear" w:color="auto" w:fill="auto"/>
            <w:noWrap/>
            <w:vAlign w:val="center"/>
            <w:hideMark/>
          </w:tcPr>
          <w:p w14:paraId="701098BC" w14:textId="77777777" w:rsidR="00D43F6D" w:rsidRPr="000D5E4F" w:rsidRDefault="00D43F6D" w:rsidP="000D5E4F">
            <w:pPr>
              <w:spacing w:before="100" w:beforeAutospacing="1" w:line="240" w:lineRule="auto"/>
              <w:contextualSpacing/>
              <w:jc w:val="right"/>
              <w:rPr>
                <w:color w:val="000000"/>
                <w:sz w:val="22"/>
                <w:szCs w:val="20"/>
              </w:rPr>
            </w:pPr>
            <w:r w:rsidRPr="000D5E4F">
              <w:rPr>
                <w:color w:val="000000"/>
                <w:sz w:val="22"/>
                <w:szCs w:val="20"/>
              </w:rPr>
              <w:t>7.85</w:t>
            </w:r>
          </w:p>
        </w:tc>
      </w:tr>
      <w:tr w:rsidR="00D43F6D" w:rsidRPr="000D5E4F" w14:paraId="18AF63B7" w14:textId="77777777" w:rsidTr="00907D2E">
        <w:trPr>
          <w:trHeight w:val="432"/>
        </w:trPr>
        <w:tc>
          <w:tcPr>
            <w:tcW w:w="2859" w:type="pct"/>
            <w:tcBorders>
              <w:top w:val="nil"/>
              <w:left w:val="double" w:sz="4" w:space="0" w:color="auto"/>
              <w:bottom w:val="single" w:sz="4" w:space="0" w:color="auto"/>
              <w:right w:val="double" w:sz="4" w:space="0" w:color="auto"/>
            </w:tcBorders>
            <w:shd w:val="clear" w:color="auto" w:fill="auto"/>
            <w:vAlign w:val="center"/>
            <w:hideMark/>
          </w:tcPr>
          <w:p w14:paraId="36952599" w14:textId="77777777" w:rsidR="00D43F6D" w:rsidRPr="000D5E4F" w:rsidRDefault="00D43F6D" w:rsidP="000D5E4F">
            <w:pPr>
              <w:spacing w:before="100" w:beforeAutospacing="1" w:line="240" w:lineRule="auto"/>
              <w:contextualSpacing/>
              <w:rPr>
                <w:color w:val="000000"/>
                <w:sz w:val="22"/>
                <w:szCs w:val="20"/>
              </w:rPr>
            </w:pPr>
            <w:r w:rsidRPr="000D5E4F">
              <w:rPr>
                <w:color w:val="000000"/>
                <w:sz w:val="22"/>
                <w:szCs w:val="20"/>
              </w:rPr>
              <w:t>I prefer to live in a spacious home, even if it is farther from public transportation or many places I go.</w:t>
            </w:r>
          </w:p>
        </w:tc>
        <w:tc>
          <w:tcPr>
            <w:tcW w:w="535" w:type="pct"/>
            <w:tcBorders>
              <w:top w:val="nil"/>
              <w:left w:val="double" w:sz="4" w:space="0" w:color="auto"/>
              <w:bottom w:val="single" w:sz="4" w:space="0" w:color="auto"/>
              <w:right w:val="single" w:sz="4" w:space="0" w:color="auto"/>
            </w:tcBorders>
            <w:shd w:val="clear" w:color="auto" w:fill="auto"/>
            <w:noWrap/>
            <w:vAlign w:val="center"/>
            <w:hideMark/>
          </w:tcPr>
          <w:p w14:paraId="12D01CC7" w14:textId="77777777" w:rsidR="00D43F6D" w:rsidRPr="000D5E4F" w:rsidRDefault="00D43F6D" w:rsidP="000D5E4F">
            <w:pPr>
              <w:spacing w:before="100" w:beforeAutospacing="1" w:line="240" w:lineRule="auto"/>
              <w:contextualSpacing/>
              <w:jc w:val="right"/>
              <w:rPr>
                <w:color w:val="000000"/>
                <w:sz w:val="22"/>
                <w:szCs w:val="20"/>
              </w:rPr>
            </w:pPr>
            <w:r w:rsidRPr="000D5E4F">
              <w:rPr>
                <w:color w:val="000000"/>
                <w:sz w:val="22"/>
                <w:szCs w:val="20"/>
              </w:rPr>
              <w:t> </w:t>
            </w:r>
          </w:p>
        </w:tc>
        <w:tc>
          <w:tcPr>
            <w:tcW w:w="536" w:type="pct"/>
            <w:tcBorders>
              <w:top w:val="nil"/>
              <w:left w:val="nil"/>
              <w:bottom w:val="single" w:sz="4" w:space="0" w:color="auto"/>
              <w:right w:val="double" w:sz="4" w:space="0" w:color="auto"/>
            </w:tcBorders>
            <w:shd w:val="clear" w:color="auto" w:fill="auto"/>
            <w:noWrap/>
            <w:vAlign w:val="center"/>
            <w:hideMark/>
          </w:tcPr>
          <w:p w14:paraId="54ECA8A0" w14:textId="77777777" w:rsidR="00D43F6D" w:rsidRPr="000D5E4F" w:rsidRDefault="00D43F6D" w:rsidP="000D5E4F">
            <w:pPr>
              <w:spacing w:before="100" w:beforeAutospacing="1" w:line="240" w:lineRule="auto"/>
              <w:contextualSpacing/>
              <w:jc w:val="right"/>
              <w:rPr>
                <w:color w:val="000000"/>
                <w:sz w:val="22"/>
                <w:szCs w:val="20"/>
              </w:rPr>
            </w:pPr>
            <w:r w:rsidRPr="000D5E4F">
              <w:rPr>
                <w:color w:val="000000"/>
                <w:sz w:val="22"/>
                <w:szCs w:val="20"/>
              </w:rPr>
              <w:t> </w:t>
            </w:r>
          </w:p>
        </w:tc>
        <w:tc>
          <w:tcPr>
            <w:tcW w:w="535" w:type="pct"/>
            <w:tcBorders>
              <w:top w:val="nil"/>
              <w:left w:val="double" w:sz="4" w:space="0" w:color="auto"/>
              <w:bottom w:val="single" w:sz="4" w:space="0" w:color="auto"/>
              <w:right w:val="single" w:sz="4" w:space="0" w:color="auto"/>
            </w:tcBorders>
            <w:shd w:val="clear" w:color="auto" w:fill="auto"/>
            <w:noWrap/>
            <w:vAlign w:val="center"/>
            <w:hideMark/>
          </w:tcPr>
          <w:p w14:paraId="160DF405" w14:textId="77777777" w:rsidR="00D43F6D" w:rsidRPr="000D5E4F" w:rsidRDefault="00D43F6D" w:rsidP="000D5E4F">
            <w:pPr>
              <w:spacing w:before="100" w:beforeAutospacing="1" w:line="240" w:lineRule="auto"/>
              <w:contextualSpacing/>
              <w:jc w:val="right"/>
              <w:rPr>
                <w:color w:val="000000"/>
                <w:sz w:val="22"/>
                <w:szCs w:val="20"/>
              </w:rPr>
            </w:pPr>
            <w:r w:rsidRPr="000D5E4F">
              <w:rPr>
                <w:color w:val="000000"/>
                <w:sz w:val="22"/>
                <w:szCs w:val="20"/>
              </w:rPr>
              <w:t>0.658</w:t>
            </w:r>
          </w:p>
        </w:tc>
        <w:tc>
          <w:tcPr>
            <w:tcW w:w="536" w:type="pct"/>
            <w:tcBorders>
              <w:top w:val="nil"/>
              <w:left w:val="nil"/>
              <w:bottom w:val="single" w:sz="4" w:space="0" w:color="auto"/>
              <w:right w:val="double" w:sz="4" w:space="0" w:color="auto"/>
            </w:tcBorders>
            <w:shd w:val="clear" w:color="auto" w:fill="auto"/>
            <w:noWrap/>
            <w:vAlign w:val="center"/>
            <w:hideMark/>
          </w:tcPr>
          <w:p w14:paraId="30571AE4" w14:textId="77777777" w:rsidR="00D43F6D" w:rsidRPr="000D5E4F" w:rsidRDefault="00D43F6D" w:rsidP="000D5E4F">
            <w:pPr>
              <w:spacing w:before="100" w:beforeAutospacing="1" w:line="240" w:lineRule="auto"/>
              <w:contextualSpacing/>
              <w:jc w:val="right"/>
              <w:rPr>
                <w:color w:val="000000"/>
                <w:sz w:val="22"/>
                <w:szCs w:val="20"/>
              </w:rPr>
            </w:pPr>
            <w:r w:rsidRPr="000D5E4F">
              <w:rPr>
                <w:color w:val="000000"/>
                <w:sz w:val="22"/>
                <w:szCs w:val="20"/>
              </w:rPr>
              <w:t>13.42</w:t>
            </w:r>
          </w:p>
        </w:tc>
      </w:tr>
      <w:tr w:rsidR="00D43F6D" w:rsidRPr="000D5E4F" w14:paraId="6CBB679B" w14:textId="77777777" w:rsidTr="00907D2E">
        <w:trPr>
          <w:trHeight w:val="432"/>
        </w:trPr>
        <w:tc>
          <w:tcPr>
            <w:tcW w:w="2859" w:type="pct"/>
            <w:tcBorders>
              <w:top w:val="nil"/>
              <w:left w:val="double" w:sz="4" w:space="0" w:color="auto"/>
              <w:bottom w:val="double" w:sz="4" w:space="0" w:color="auto"/>
              <w:right w:val="double" w:sz="4" w:space="0" w:color="auto"/>
            </w:tcBorders>
            <w:shd w:val="clear" w:color="auto" w:fill="auto"/>
            <w:vAlign w:val="center"/>
            <w:hideMark/>
          </w:tcPr>
          <w:p w14:paraId="1B911084" w14:textId="77777777" w:rsidR="00D43F6D" w:rsidRPr="000D5E4F" w:rsidRDefault="00D43F6D" w:rsidP="000D5E4F">
            <w:pPr>
              <w:spacing w:before="100" w:beforeAutospacing="1" w:line="240" w:lineRule="auto"/>
              <w:contextualSpacing/>
              <w:rPr>
                <w:color w:val="000000"/>
                <w:sz w:val="22"/>
                <w:szCs w:val="20"/>
              </w:rPr>
            </w:pPr>
            <w:r w:rsidRPr="000D5E4F">
              <w:rPr>
                <w:color w:val="000000"/>
                <w:sz w:val="22"/>
                <w:szCs w:val="20"/>
              </w:rPr>
              <w:t>I  definitely like the idea of owning my own car.</w:t>
            </w:r>
          </w:p>
        </w:tc>
        <w:tc>
          <w:tcPr>
            <w:tcW w:w="535" w:type="pct"/>
            <w:tcBorders>
              <w:top w:val="nil"/>
              <w:left w:val="double" w:sz="4" w:space="0" w:color="auto"/>
              <w:bottom w:val="double" w:sz="4" w:space="0" w:color="auto"/>
              <w:right w:val="single" w:sz="4" w:space="0" w:color="auto"/>
            </w:tcBorders>
            <w:shd w:val="clear" w:color="auto" w:fill="auto"/>
            <w:noWrap/>
            <w:vAlign w:val="center"/>
            <w:hideMark/>
          </w:tcPr>
          <w:p w14:paraId="273351CD" w14:textId="77777777" w:rsidR="00D43F6D" w:rsidRPr="000D5E4F" w:rsidRDefault="00D43F6D" w:rsidP="000D5E4F">
            <w:pPr>
              <w:spacing w:before="100" w:beforeAutospacing="1" w:line="240" w:lineRule="auto"/>
              <w:contextualSpacing/>
              <w:jc w:val="right"/>
              <w:rPr>
                <w:color w:val="000000"/>
                <w:sz w:val="22"/>
                <w:szCs w:val="20"/>
              </w:rPr>
            </w:pPr>
            <w:r w:rsidRPr="000D5E4F">
              <w:rPr>
                <w:color w:val="000000"/>
                <w:sz w:val="22"/>
                <w:szCs w:val="20"/>
              </w:rPr>
              <w:t> </w:t>
            </w:r>
          </w:p>
        </w:tc>
        <w:tc>
          <w:tcPr>
            <w:tcW w:w="536" w:type="pct"/>
            <w:tcBorders>
              <w:top w:val="nil"/>
              <w:left w:val="nil"/>
              <w:bottom w:val="double" w:sz="4" w:space="0" w:color="auto"/>
              <w:right w:val="double" w:sz="4" w:space="0" w:color="auto"/>
            </w:tcBorders>
            <w:shd w:val="clear" w:color="auto" w:fill="auto"/>
            <w:noWrap/>
            <w:vAlign w:val="center"/>
            <w:hideMark/>
          </w:tcPr>
          <w:p w14:paraId="76D5E1A3" w14:textId="77777777" w:rsidR="00D43F6D" w:rsidRPr="000D5E4F" w:rsidRDefault="00D43F6D" w:rsidP="000D5E4F">
            <w:pPr>
              <w:spacing w:before="100" w:beforeAutospacing="1" w:line="240" w:lineRule="auto"/>
              <w:contextualSpacing/>
              <w:jc w:val="right"/>
              <w:rPr>
                <w:color w:val="000000"/>
                <w:sz w:val="22"/>
                <w:szCs w:val="20"/>
              </w:rPr>
            </w:pPr>
            <w:r w:rsidRPr="000D5E4F">
              <w:rPr>
                <w:color w:val="000000"/>
                <w:sz w:val="22"/>
                <w:szCs w:val="20"/>
              </w:rPr>
              <w:t> </w:t>
            </w:r>
          </w:p>
        </w:tc>
        <w:tc>
          <w:tcPr>
            <w:tcW w:w="535" w:type="pct"/>
            <w:tcBorders>
              <w:top w:val="nil"/>
              <w:left w:val="double" w:sz="4" w:space="0" w:color="auto"/>
              <w:bottom w:val="double" w:sz="4" w:space="0" w:color="auto"/>
              <w:right w:val="single" w:sz="4" w:space="0" w:color="auto"/>
            </w:tcBorders>
            <w:shd w:val="clear" w:color="auto" w:fill="auto"/>
            <w:noWrap/>
            <w:vAlign w:val="center"/>
            <w:hideMark/>
          </w:tcPr>
          <w:p w14:paraId="063E24F4" w14:textId="77777777" w:rsidR="00D43F6D" w:rsidRPr="000D5E4F" w:rsidRDefault="00D43F6D" w:rsidP="000D5E4F">
            <w:pPr>
              <w:spacing w:before="100" w:beforeAutospacing="1" w:line="240" w:lineRule="auto"/>
              <w:contextualSpacing/>
              <w:jc w:val="right"/>
              <w:rPr>
                <w:color w:val="000000"/>
                <w:sz w:val="22"/>
                <w:szCs w:val="20"/>
              </w:rPr>
            </w:pPr>
            <w:r w:rsidRPr="000D5E4F">
              <w:rPr>
                <w:color w:val="000000"/>
                <w:sz w:val="22"/>
                <w:szCs w:val="20"/>
              </w:rPr>
              <w:t>1.050</w:t>
            </w:r>
          </w:p>
        </w:tc>
        <w:tc>
          <w:tcPr>
            <w:tcW w:w="536" w:type="pct"/>
            <w:tcBorders>
              <w:top w:val="nil"/>
              <w:left w:val="nil"/>
              <w:bottom w:val="double" w:sz="4" w:space="0" w:color="auto"/>
              <w:right w:val="double" w:sz="4" w:space="0" w:color="auto"/>
            </w:tcBorders>
            <w:shd w:val="clear" w:color="auto" w:fill="auto"/>
            <w:noWrap/>
            <w:vAlign w:val="center"/>
            <w:hideMark/>
          </w:tcPr>
          <w:p w14:paraId="191C4623" w14:textId="77777777" w:rsidR="00D43F6D" w:rsidRPr="000D5E4F" w:rsidRDefault="00D43F6D" w:rsidP="000D5E4F">
            <w:pPr>
              <w:spacing w:before="100" w:beforeAutospacing="1" w:line="240" w:lineRule="auto"/>
              <w:contextualSpacing/>
              <w:jc w:val="right"/>
              <w:rPr>
                <w:color w:val="000000"/>
                <w:sz w:val="22"/>
                <w:szCs w:val="20"/>
              </w:rPr>
            </w:pPr>
            <w:r w:rsidRPr="000D5E4F">
              <w:rPr>
                <w:color w:val="000000"/>
                <w:sz w:val="22"/>
                <w:szCs w:val="20"/>
              </w:rPr>
              <w:t>18.62</w:t>
            </w:r>
          </w:p>
        </w:tc>
      </w:tr>
    </w:tbl>
    <w:p w14:paraId="7A706EA6" w14:textId="77777777" w:rsidR="00EF31EC" w:rsidRDefault="00EF31EC" w:rsidP="00EF31EC">
      <w:pPr>
        <w:spacing w:before="0" w:line="240" w:lineRule="auto"/>
        <w:ind w:firstLine="720"/>
        <w:jc w:val="both"/>
      </w:pPr>
    </w:p>
    <w:p w14:paraId="556261D1" w14:textId="45E5F5B4" w:rsidR="00B46D10" w:rsidRDefault="00D43F6D" w:rsidP="00EF31EC">
      <w:pPr>
        <w:spacing w:before="0" w:line="240" w:lineRule="auto"/>
        <w:ind w:firstLine="720"/>
        <w:jc w:val="both"/>
      </w:pPr>
      <w:r w:rsidRPr="00882FD5">
        <w:t>Table 3 presents the structural equation model results that relate the latent construct</w:t>
      </w:r>
      <w:r w:rsidR="00E135EA">
        <w:t>s</w:t>
      </w:r>
      <w:r w:rsidRPr="00882FD5">
        <w:t xml:space="preserve"> to observed demographic variables</w:t>
      </w:r>
      <w:r w:rsidR="00A863A0" w:rsidRPr="00882FD5">
        <w:t xml:space="preserve"> (these effects represent the elements of the matrix </w:t>
      </w:r>
      <w:r w:rsidR="00A863A0" w:rsidRPr="00882FD5">
        <w:rPr>
          <w:position w:val="-6"/>
        </w:rPr>
        <w:object w:dxaOrig="220" w:dyaOrig="220" w14:anchorId="3BBD7B48">
          <v:shape id="_x0000_i1193" type="#_x0000_t75" style="width:12pt;height:12pt" o:ole="">
            <v:imagedata r:id="rId311" o:title=""/>
          </v:shape>
          <o:OLEObject Type="Embed" ProgID="Equation.DSMT4" ShapeID="_x0000_i1193" DrawAspect="Content" ObjectID="_1738155090" r:id="rId336"/>
        </w:object>
      </w:r>
      <w:r w:rsidR="00A863A0" w:rsidRPr="00882FD5">
        <w:t>)</w:t>
      </w:r>
      <w:r w:rsidRPr="00882FD5">
        <w:t>. The r</w:t>
      </w:r>
      <w:r w:rsidR="005211D5" w:rsidRPr="00882FD5">
        <w:t xml:space="preserve">esults indicate that there is </w:t>
      </w:r>
      <w:r w:rsidR="00B46D10" w:rsidRPr="00882FD5">
        <w:t>no statistically significant gender difference in green lifestyle propensity</w:t>
      </w:r>
      <w:r w:rsidR="00003DCD" w:rsidRPr="00882FD5">
        <w:t xml:space="preserve"> (GLP)</w:t>
      </w:r>
      <w:r w:rsidR="00B46D10" w:rsidRPr="00882FD5">
        <w:t xml:space="preserve">, consistent with the studies of </w:t>
      </w:r>
      <w:r w:rsidR="00A47299" w:rsidRPr="00882FD5">
        <w:t xml:space="preserve">Xiao and </w:t>
      </w:r>
      <w:proofErr w:type="spellStart"/>
      <w:r w:rsidR="00A47299" w:rsidRPr="00882FD5">
        <w:t>McCright</w:t>
      </w:r>
      <w:proofErr w:type="spellEnd"/>
      <w:r w:rsidR="00A47299" w:rsidRPr="00882FD5">
        <w:t xml:space="preserve"> </w:t>
      </w:r>
      <w:r w:rsidR="004B0F97" w:rsidRPr="00882FD5">
        <w:t>(</w:t>
      </w:r>
      <w:r w:rsidR="00A47299" w:rsidRPr="00882FD5">
        <w:t>2014</w:t>
      </w:r>
      <w:r w:rsidR="004B0F97" w:rsidRPr="00882FD5">
        <w:t>)</w:t>
      </w:r>
      <w:r w:rsidR="00A743C3" w:rsidRPr="00882FD5">
        <w:t xml:space="preserve"> and Blazanin et al.</w:t>
      </w:r>
      <w:r w:rsidR="004B0F97" w:rsidRPr="00882FD5">
        <w:t xml:space="preserve"> (</w:t>
      </w:r>
      <w:r w:rsidR="00A743C3" w:rsidRPr="00882FD5">
        <w:t>2022</w:t>
      </w:r>
      <w:r w:rsidR="004B0F97" w:rsidRPr="00882FD5">
        <w:t>)</w:t>
      </w:r>
      <w:r w:rsidR="00B46D10" w:rsidRPr="00882FD5">
        <w:t xml:space="preserve"> (</w:t>
      </w:r>
      <w:r w:rsidR="00A863A0" w:rsidRPr="00882FD5">
        <w:t>although</w:t>
      </w:r>
      <w:r w:rsidR="00B46D10" w:rsidRPr="00882FD5">
        <w:t xml:space="preserve"> contrary to the studies of </w:t>
      </w:r>
      <w:r w:rsidR="008A1848" w:rsidRPr="00882FD5">
        <w:t>Astroza et al., 2017</w:t>
      </w:r>
      <w:r w:rsidR="00DC5EDD" w:rsidRPr="00882FD5">
        <w:t xml:space="preserve"> and</w:t>
      </w:r>
      <w:r w:rsidR="008A1848" w:rsidRPr="00882FD5">
        <w:t xml:space="preserve"> </w:t>
      </w:r>
      <w:proofErr w:type="spellStart"/>
      <w:r w:rsidR="00DC5EDD" w:rsidRPr="00882FD5">
        <w:t>Strapko</w:t>
      </w:r>
      <w:proofErr w:type="spellEnd"/>
      <w:r w:rsidR="00DC5EDD" w:rsidRPr="00882FD5">
        <w:t xml:space="preserve"> et al., 2016</w:t>
      </w:r>
      <w:r w:rsidR="00B46D10" w:rsidRPr="00882FD5">
        <w:t xml:space="preserve"> that find women having a higher GLP). However, there is </w:t>
      </w:r>
      <w:r w:rsidR="005211D5" w:rsidRPr="00882FD5">
        <w:t>a significant gender</w:t>
      </w:r>
      <w:r w:rsidRPr="00882FD5">
        <w:t xml:space="preserve"> </w:t>
      </w:r>
      <w:r w:rsidR="005211D5" w:rsidRPr="00882FD5">
        <w:t xml:space="preserve">difference in Luxury Lifestyle Propensity (LLP); in particular, women have higher levels of LLP compared to men. </w:t>
      </w:r>
      <w:r w:rsidR="00B46D10" w:rsidRPr="00882FD5">
        <w:t xml:space="preserve">Indeed, </w:t>
      </w:r>
      <w:proofErr w:type="spellStart"/>
      <w:r w:rsidR="00B46D10" w:rsidRPr="00882FD5">
        <w:t>Stokburger</w:t>
      </w:r>
      <w:proofErr w:type="spellEnd"/>
      <w:r w:rsidR="00B46D10" w:rsidRPr="00882FD5">
        <w:t xml:space="preserve">-Sauer and </w:t>
      </w:r>
      <w:proofErr w:type="spellStart"/>
      <w:r w:rsidR="00B46D10" w:rsidRPr="00882FD5">
        <w:t>Teichman</w:t>
      </w:r>
      <w:proofErr w:type="spellEnd"/>
      <w:r w:rsidR="00B46D10" w:rsidRPr="00882FD5">
        <w:t xml:space="preserve"> (2013) found a </w:t>
      </w:r>
      <w:r w:rsidR="009017A7" w:rsidRPr="00882FD5">
        <w:t>general</w:t>
      </w:r>
      <w:r w:rsidRPr="00882FD5">
        <w:t>ly</w:t>
      </w:r>
      <w:r w:rsidR="009017A7" w:rsidRPr="00882FD5">
        <w:t xml:space="preserve"> </w:t>
      </w:r>
      <w:r w:rsidR="00B46D10" w:rsidRPr="00882FD5">
        <w:t xml:space="preserve">higher proclivity of women toward luxury </w:t>
      </w:r>
      <w:r w:rsidR="00061EF8" w:rsidRPr="00882FD5">
        <w:t>and exclusive items</w:t>
      </w:r>
      <w:r w:rsidR="009017A7" w:rsidRPr="00882FD5">
        <w:t>. Further,</w:t>
      </w:r>
      <w:r w:rsidR="00B46D10" w:rsidRPr="00882FD5">
        <w:t xml:space="preserve"> </w:t>
      </w:r>
      <w:r w:rsidR="00061EF8" w:rsidRPr="00882FD5">
        <w:t>women have been known to desire large spacious homes (an indicator of LLP in our model system) as a signaling mechanism</w:t>
      </w:r>
      <w:r w:rsidR="00146B36" w:rsidRPr="00882FD5">
        <w:t xml:space="preserve"> of (effectively a stage play to project) privileged motherhood to the wider social world (see </w:t>
      </w:r>
      <w:r w:rsidR="00553648" w:rsidRPr="00882FD5">
        <w:t xml:space="preserve">Mulder and </w:t>
      </w:r>
      <w:proofErr w:type="spellStart"/>
      <w:r w:rsidR="00553648" w:rsidRPr="00882FD5">
        <w:t>Lauster</w:t>
      </w:r>
      <w:proofErr w:type="spellEnd"/>
      <w:r w:rsidR="00146B36" w:rsidRPr="00882FD5">
        <w:t xml:space="preserve">, </w:t>
      </w:r>
      <w:r w:rsidR="00553648" w:rsidRPr="00882FD5">
        <w:t>2010</w:t>
      </w:r>
      <w:r w:rsidR="004B0F97" w:rsidRPr="00882FD5">
        <w:t xml:space="preserve"> and</w:t>
      </w:r>
      <w:r w:rsidR="00146B36" w:rsidRPr="00882FD5">
        <w:t xml:space="preserve"> Bhat, 2015</w:t>
      </w:r>
      <w:r w:rsidR="00575D15" w:rsidRPr="00882FD5">
        <w:t>b</w:t>
      </w:r>
      <w:r w:rsidR="00553648" w:rsidRPr="00882FD5">
        <w:t>)</w:t>
      </w:r>
      <w:r w:rsidR="00146B36" w:rsidRPr="00882FD5">
        <w:t xml:space="preserve">. </w:t>
      </w:r>
      <w:r w:rsidR="00553648" w:rsidRPr="00882FD5">
        <w:t xml:space="preserve"> </w:t>
      </w:r>
    </w:p>
    <w:p w14:paraId="051E49AB" w14:textId="15654762" w:rsidR="00782343" w:rsidRPr="00882FD5" w:rsidRDefault="00782343" w:rsidP="00782343">
      <w:pPr>
        <w:pStyle w:val="ProTable"/>
        <w:keepNext/>
        <w:keepLines/>
        <w:widowControl/>
        <w:spacing w:before="0"/>
      </w:pPr>
      <w:bookmarkStart w:id="10" w:name="_Toc119458185"/>
      <w:r w:rsidRPr="00882FD5">
        <w:lastRenderedPageBreak/>
        <w:t>TABLE 3  Determinants of Latent Constructs</w:t>
      </w:r>
      <w:bookmarkEnd w:id="10"/>
      <w:r>
        <w:t xml:space="preserve"> </w:t>
      </w:r>
      <w:r w:rsidRPr="003260D1">
        <w:rPr>
          <w:b w:val="0"/>
        </w:rPr>
        <w:t xml:space="preserve">(elements of the matrix </w:t>
      </w:r>
      <w:r w:rsidR="00907D2E" w:rsidRPr="00CF76A5">
        <w:rPr>
          <w:b w:val="0"/>
          <w:position w:val="-6"/>
        </w:rPr>
        <w:object w:dxaOrig="220" w:dyaOrig="220" w14:anchorId="55F68DF3">
          <v:shape id="_x0000_i1194" type="#_x0000_t75" style="width:10.7pt;height:10.7pt" o:ole="" o:preferrelative="f">
            <v:imagedata r:id="rId311" o:title=""/>
            <o:lock v:ext="edit" aspectratio="f"/>
          </v:shape>
          <o:OLEObject Type="Embed" ProgID="Equation.DSMT4" ShapeID="_x0000_i1194" DrawAspect="Content" ObjectID="_1738155091" r:id="rId337"/>
        </w:object>
      </w:r>
      <w:r w:rsidRPr="003260D1">
        <w:rPr>
          <w:b w:val="0"/>
        </w:rPr>
        <w:t>)</w:t>
      </w:r>
    </w:p>
    <w:tbl>
      <w:tblPr>
        <w:tblW w:w="5000" w:type="pct"/>
        <w:tblLook w:val="04A0" w:firstRow="1" w:lastRow="0" w:firstColumn="1" w:lastColumn="0" w:noHBand="0" w:noVBand="1"/>
      </w:tblPr>
      <w:tblGrid>
        <w:gridCol w:w="3604"/>
        <w:gridCol w:w="1810"/>
        <w:gridCol w:w="980"/>
        <w:gridCol w:w="980"/>
        <w:gridCol w:w="980"/>
        <w:gridCol w:w="976"/>
      </w:tblGrid>
      <w:tr w:rsidR="00782343" w:rsidRPr="000D5E4F" w14:paraId="6774478C" w14:textId="77777777" w:rsidTr="00907D2E">
        <w:trPr>
          <w:trHeight w:val="288"/>
        </w:trPr>
        <w:tc>
          <w:tcPr>
            <w:tcW w:w="2838" w:type="pct"/>
            <w:gridSpan w:val="2"/>
            <w:vMerge w:val="restart"/>
            <w:tcBorders>
              <w:top w:val="double" w:sz="4" w:space="0" w:color="auto"/>
              <w:left w:val="double" w:sz="4" w:space="0" w:color="auto"/>
              <w:bottom w:val="double" w:sz="6" w:space="0" w:color="000000"/>
              <w:right w:val="double" w:sz="4" w:space="0" w:color="auto"/>
            </w:tcBorders>
            <w:shd w:val="clear" w:color="auto" w:fill="auto"/>
            <w:vAlign w:val="center"/>
            <w:hideMark/>
          </w:tcPr>
          <w:p w14:paraId="75FCD00D" w14:textId="77777777" w:rsidR="00782343" w:rsidRPr="000D5E4F" w:rsidRDefault="00782343" w:rsidP="00852CF5">
            <w:pPr>
              <w:keepNext/>
              <w:keepLines/>
              <w:spacing w:before="0" w:line="240" w:lineRule="auto"/>
              <w:contextualSpacing/>
              <w:jc w:val="center"/>
              <w:rPr>
                <w:b/>
                <w:bCs/>
                <w:color w:val="000000"/>
                <w:sz w:val="22"/>
                <w:szCs w:val="22"/>
              </w:rPr>
            </w:pPr>
            <w:r w:rsidRPr="000D5E4F">
              <w:rPr>
                <w:b/>
                <w:bCs/>
                <w:color w:val="000000"/>
                <w:sz w:val="22"/>
                <w:szCs w:val="22"/>
              </w:rPr>
              <w:t>Variables (base category)</w:t>
            </w:r>
          </w:p>
        </w:tc>
        <w:tc>
          <w:tcPr>
            <w:tcW w:w="1082" w:type="pct"/>
            <w:gridSpan w:val="2"/>
            <w:tcBorders>
              <w:top w:val="double" w:sz="4" w:space="0" w:color="auto"/>
              <w:left w:val="double" w:sz="4" w:space="0" w:color="auto"/>
              <w:bottom w:val="single" w:sz="4" w:space="0" w:color="auto"/>
              <w:right w:val="double" w:sz="4" w:space="0" w:color="auto"/>
            </w:tcBorders>
            <w:shd w:val="clear" w:color="auto" w:fill="auto"/>
            <w:vAlign w:val="center"/>
            <w:hideMark/>
          </w:tcPr>
          <w:p w14:paraId="7EC685FE" w14:textId="77777777" w:rsidR="00782343" w:rsidRPr="000D5E4F" w:rsidRDefault="00782343" w:rsidP="00852CF5">
            <w:pPr>
              <w:keepNext/>
              <w:keepLines/>
              <w:spacing w:before="0" w:line="240" w:lineRule="auto"/>
              <w:contextualSpacing/>
              <w:jc w:val="center"/>
              <w:rPr>
                <w:b/>
                <w:bCs/>
                <w:color w:val="000000"/>
                <w:sz w:val="22"/>
                <w:szCs w:val="22"/>
              </w:rPr>
            </w:pPr>
            <w:r w:rsidRPr="000D5E4F">
              <w:rPr>
                <w:b/>
                <w:bCs/>
                <w:color w:val="000000"/>
                <w:sz w:val="22"/>
                <w:szCs w:val="22"/>
              </w:rPr>
              <w:t>Green Lifestyle Propensity (GLP)</w:t>
            </w:r>
          </w:p>
        </w:tc>
        <w:tc>
          <w:tcPr>
            <w:tcW w:w="1080" w:type="pct"/>
            <w:gridSpan w:val="2"/>
            <w:tcBorders>
              <w:top w:val="double" w:sz="4" w:space="0" w:color="auto"/>
              <w:left w:val="double" w:sz="4" w:space="0" w:color="auto"/>
              <w:bottom w:val="single" w:sz="4" w:space="0" w:color="auto"/>
              <w:right w:val="double" w:sz="4" w:space="0" w:color="auto"/>
            </w:tcBorders>
            <w:shd w:val="clear" w:color="auto" w:fill="auto"/>
            <w:vAlign w:val="center"/>
            <w:hideMark/>
          </w:tcPr>
          <w:p w14:paraId="210F6A78" w14:textId="77777777" w:rsidR="00782343" w:rsidRPr="000D5E4F" w:rsidRDefault="00782343" w:rsidP="00852CF5">
            <w:pPr>
              <w:keepNext/>
              <w:keepLines/>
              <w:spacing w:before="0" w:line="240" w:lineRule="auto"/>
              <w:contextualSpacing/>
              <w:jc w:val="center"/>
              <w:rPr>
                <w:b/>
                <w:bCs/>
                <w:color w:val="000000"/>
                <w:sz w:val="22"/>
                <w:szCs w:val="22"/>
              </w:rPr>
            </w:pPr>
            <w:r w:rsidRPr="000D5E4F">
              <w:rPr>
                <w:b/>
                <w:bCs/>
                <w:color w:val="000000"/>
                <w:sz w:val="22"/>
                <w:szCs w:val="22"/>
              </w:rPr>
              <w:t>Luxury Lifestyle Propensity (LLP)</w:t>
            </w:r>
          </w:p>
        </w:tc>
      </w:tr>
      <w:tr w:rsidR="00782343" w:rsidRPr="000D5E4F" w14:paraId="4401F19E" w14:textId="77777777" w:rsidTr="00907D2E">
        <w:trPr>
          <w:trHeight w:val="288"/>
        </w:trPr>
        <w:tc>
          <w:tcPr>
            <w:tcW w:w="2838" w:type="pct"/>
            <w:gridSpan w:val="2"/>
            <w:vMerge/>
            <w:tcBorders>
              <w:top w:val="double" w:sz="6" w:space="0" w:color="auto"/>
              <w:left w:val="double" w:sz="4" w:space="0" w:color="auto"/>
              <w:bottom w:val="double" w:sz="4" w:space="0" w:color="auto"/>
              <w:right w:val="double" w:sz="4" w:space="0" w:color="auto"/>
            </w:tcBorders>
            <w:vAlign w:val="center"/>
            <w:hideMark/>
          </w:tcPr>
          <w:p w14:paraId="72E9AA69" w14:textId="77777777" w:rsidR="00782343" w:rsidRPr="000D5E4F" w:rsidRDefault="00782343" w:rsidP="00852CF5">
            <w:pPr>
              <w:keepNext/>
              <w:keepLines/>
              <w:spacing w:before="0" w:line="240" w:lineRule="auto"/>
              <w:contextualSpacing/>
              <w:rPr>
                <w:b/>
                <w:bCs/>
                <w:color w:val="000000"/>
                <w:sz w:val="22"/>
                <w:szCs w:val="22"/>
              </w:rPr>
            </w:pPr>
          </w:p>
        </w:tc>
        <w:tc>
          <w:tcPr>
            <w:tcW w:w="541" w:type="pct"/>
            <w:tcBorders>
              <w:top w:val="single" w:sz="4" w:space="0" w:color="auto"/>
              <w:left w:val="double" w:sz="4" w:space="0" w:color="auto"/>
              <w:bottom w:val="double" w:sz="4" w:space="0" w:color="auto"/>
              <w:right w:val="single" w:sz="4" w:space="0" w:color="auto"/>
            </w:tcBorders>
            <w:shd w:val="clear" w:color="auto" w:fill="auto"/>
            <w:noWrap/>
            <w:vAlign w:val="center"/>
            <w:hideMark/>
          </w:tcPr>
          <w:p w14:paraId="093B7536" w14:textId="77777777" w:rsidR="00782343" w:rsidRPr="000D5E4F" w:rsidRDefault="00782343" w:rsidP="00852CF5">
            <w:pPr>
              <w:keepNext/>
              <w:keepLines/>
              <w:spacing w:before="0" w:line="240" w:lineRule="auto"/>
              <w:contextualSpacing/>
              <w:jc w:val="center"/>
              <w:rPr>
                <w:color w:val="000000"/>
                <w:sz w:val="22"/>
                <w:szCs w:val="22"/>
              </w:rPr>
            </w:pPr>
            <w:r w:rsidRPr="000D5E4F">
              <w:rPr>
                <w:color w:val="000000"/>
                <w:sz w:val="22"/>
                <w:szCs w:val="22"/>
              </w:rPr>
              <w:t>Coef.</w:t>
            </w:r>
          </w:p>
        </w:tc>
        <w:tc>
          <w:tcPr>
            <w:tcW w:w="541" w:type="pct"/>
            <w:tcBorders>
              <w:top w:val="single" w:sz="4" w:space="0" w:color="auto"/>
              <w:left w:val="single" w:sz="4" w:space="0" w:color="auto"/>
              <w:bottom w:val="double" w:sz="4" w:space="0" w:color="auto"/>
              <w:right w:val="double" w:sz="4" w:space="0" w:color="auto"/>
            </w:tcBorders>
            <w:shd w:val="clear" w:color="auto" w:fill="auto"/>
            <w:noWrap/>
            <w:vAlign w:val="center"/>
            <w:hideMark/>
          </w:tcPr>
          <w:p w14:paraId="490C3DDB" w14:textId="77777777" w:rsidR="00782343" w:rsidRPr="000D5E4F" w:rsidRDefault="00782343" w:rsidP="00852CF5">
            <w:pPr>
              <w:keepNext/>
              <w:keepLines/>
              <w:spacing w:before="0" w:line="240" w:lineRule="auto"/>
              <w:contextualSpacing/>
              <w:jc w:val="center"/>
              <w:rPr>
                <w:color w:val="000000"/>
                <w:sz w:val="22"/>
                <w:szCs w:val="22"/>
              </w:rPr>
            </w:pPr>
            <w:r w:rsidRPr="000D5E4F">
              <w:rPr>
                <w:color w:val="000000"/>
                <w:sz w:val="22"/>
                <w:szCs w:val="22"/>
              </w:rPr>
              <w:t>t-stat</w:t>
            </w:r>
          </w:p>
        </w:tc>
        <w:tc>
          <w:tcPr>
            <w:tcW w:w="541" w:type="pct"/>
            <w:tcBorders>
              <w:top w:val="single" w:sz="4" w:space="0" w:color="auto"/>
              <w:left w:val="double" w:sz="4" w:space="0" w:color="auto"/>
              <w:bottom w:val="double" w:sz="4" w:space="0" w:color="auto"/>
              <w:right w:val="single" w:sz="4" w:space="0" w:color="auto"/>
            </w:tcBorders>
            <w:shd w:val="clear" w:color="auto" w:fill="auto"/>
            <w:noWrap/>
            <w:vAlign w:val="center"/>
            <w:hideMark/>
          </w:tcPr>
          <w:p w14:paraId="75ADDEF6" w14:textId="77777777" w:rsidR="00782343" w:rsidRPr="000D5E4F" w:rsidRDefault="00782343" w:rsidP="00852CF5">
            <w:pPr>
              <w:keepNext/>
              <w:keepLines/>
              <w:spacing w:before="0" w:line="240" w:lineRule="auto"/>
              <w:contextualSpacing/>
              <w:jc w:val="center"/>
              <w:rPr>
                <w:color w:val="000000"/>
                <w:sz w:val="22"/>
                <w:szCs w:val="22"/>
              </w:rPr>
            </w:pPr>
            <w:r w:rsidRPr="000D5E4F">
              <w:rPr>
                <w:color w:val="000000"/>
                <w:sz w:val="22"/>
                <w:szCs w:val="22"/>
              </w:rPr>
              <w:t>Coef.</w:t>
            </w:r>
          </w:p>
        </w:tc>
        <w:tc>
          <w:tcPr>
            <w:tcW w:w="539" w:type="pct"/>
            <w:tcBorders>
              <w:top w:val="single" w:sz="4" w:space="0" w:color="auto"/>
              <w:left w:val="single" w:sz="4" w:space="0" w:color="auto"/>
              <w:bottom w:val="double" w:sz="4" w:space="0" w:color="auto"/>
              <w:right w:val="double" w:sz="4" w:space="0" w:color="auto"/>
            </w:tcBorders>
            <w:shd w:val="clear" w:color="auto" w:fill="auto"/>
            <w:noWrap/>
            <w:vAlign w:val="center"/>
            <w:hideMark/>
          </w:tcPr>
          <w:p w14:paraId="2A4F6C7E" w14:textId="77777777" w:rsidR="00782343" w:rsidRPr="000D5E4F" w:rsidRDefault="00782343" w:rsidP="00852CF5">
            <w:pPr>
              <w:keepNext/>
              <w:keepLines/>
              <w:spacing w:before="0" w:line="240" w:lineRule="auto"/>
              <w:contextualSpacing/>
              <w:jc w:val="center"/>
              <w:rPr>
                <w:color w:val="000000"/>
                <w:sz w:val="22"/>
                <w:szCs w:val="22"/>
              </w:rPr>
            </w:pPr>
            <w:r w:rsidRPr="000D5E4F">
              <w:rPr>
                <w:color w:val="000000"/>
                <w:sz w:val="22"/>
                <w:szCs w:val="22"/>
              </w:rPr>
              <w:t>t-stat</w:t>
            </w:r>
          </w:p>
        </w:tc>
      </w:tr>
      <w:tr w:rsidR="00782343" w:rsidRPr="000D5E4F" w14:paraId="3348BA39" w14:textId="77777777" w:rsidTr="00907D2E">
        <w:trPr>
          <w:trHeight w:val="288"/>
        </w:trPr>
        <w:tc>
          <w:tcPr>
            <w:tcW w:w="2838" w:type="pct"/>
            <w:gridSpan w:val="2"/>
            <w:tcBorders>
              <w:top w:val="double" w:sz="4" w:space="0" w:color="auto"/>
              <w:left w:val="double" w:sz="4" w:space="0" w:color="auto"/>
              <w:bottom w:val="nil"/>
              <w:right w:val="double" w:sz="4" w:space="0" w:color="auto"/>
            </w:tcBorders>
            <w:shd w:val="clear" w:color="auto" w:fill="auto"/>
            <w:noWrap/>
            <w:vAlign w:val="center"/>
            <w:hideMark/>
          </w:tcPr>
          <w:p w14:paraId="199F1E0E" w14:textId="77777777" w:rsidR="00782343" w:rsidRPr="000D5E4F" w:rsidRDefault="00782343" w:rsidP="00852CF5">
            <w:pPr>
              <w:keepNext/>
              <w:keepLines/>
              <w:spacing w:before="0" w:line="240" w:lineRule="auto"/>
              <w:contextualSpacing/>
              <w:rPr>
                <w:b/>
                <w:bCs/>
                <w:i/>
                <w:iCs/>
                <w:color w:val="000000"/>
                <w:sz w:val="22"/>
                <w:szCs w:val="22"/>
              </w:rPr>
            </w:pPr>
            <w:r w:rsidRPr="000D5E4F">
              <w:rPr>
                <w:b/>
                <w:bCs/>
                <w:i/>
                <w:iCs/>
                <w:color w:val="000000"/>
                <w:sz w:val="22"/>
                <w:szCs w:val="22"/>
              </w:rPr>
              <w:t>Individual-Level Characteristics</w:t>
            </w:r>
          </w:p>
        </w:tc>
        <w:tc>
          <w:tcPr>
            <w:tcW w:w="541" w:type="pct"/>
            <w:tcBorders>
              <w:top w:val="double" w:sz="4" w:space="0" w:color="auto"/>
              <w:left w:val="double" w:sz="4" w:space="0" w:color="auto"/>
              <w:bottom w:val="nil"/>
              <w:right w:val="single" w:sz="4" w:space="0" w:color="auto"/>
            </w:tcBorders>
            <w:shd w:val="clear" w:color="auto" w:fill="auto"/>
            <w:noWrap/>
            <w:vAlign w:val="center"/>
            <w:hideMark/>
          </w:tcPr>
          <w:p w14:paraId="0850C8E5" w14:textId="77777777" w:rsidR="00782343" w:rsidRPr="000D5E4F" w:rsidRDefault="00782343" w:rsidP="00852CF5">
            <w:pPr>
              <w:keepNext/>
              <w:keepLines/>
              <w:spacing w:before="0" w:line="240" w:lineRule="auto"/>
              <w:contextualSpacing/>
              <w:rPr>
                <w:b/>
                <w:bCs/>
                <w:i/>
                <w:iCs/>
                <w:color w:val="000000"/>
                <w:sz w:val="22"/>
                <w:szCs w:val="22"/>
              </w:rPr>
            </w:pPr>
          </w:p>
        </w:tc>
        <w:tc>
          <w:tcPr>
            <w:tcW w:w="541" w:type="pct"/>
            <w:tcBorders>
              <w:top w:val="double" w:sz="4" w:space="0" w:color="auto"/>
              <w:left w:val="single" w:sz="4" w:space="0" w:color="auto"/>
              <w:bottom w:val="nil"/>
              <w:right w:val="double" w:sz="4" w:space="0" w:color="auto"/>
            </w:tcBorders>
            <w:shd w:val="clear" w:color="auto" w:fill="auto"/>
            <w:noWrap/>
            <w:vAlign w:val="center"/>
            <w:hideMark/>
          </w:tcPr>
          <w:p w14:paraId="1E37A973" w14:textId="77777777" w:rsidR="00782343" w:rsidRPr="000D5E4F" w:rsidRDefault="00782343" w:rsidP="00852CF5">
            <w:pPr>
              <w:keepNext/>
              <w:keepLines/>
              <w:spacing w:before="0" w:line="240" w:lineRule="auto"/>
              <w:contextualSpacing/>
              <w:rPr>
                <w:color w:val="000000"/>
                <w:sz w:val="22"/>
                <w:szCs w:val="22"/>
              </w:rPr>
            </w:pPr>
            <w:r w:rsidRPr="000D5E4F">
              <w:rPr>
                <w:color w:val="000000"/>
                <w:sz w:val="22"/>
                <w:szCs w:val="22"/>
              </w:rPr>
              <w:t> </w:t>
            </w:r>
          </w:p>
        </w:tc>
        <w:tc>
          <w:tcPr>
            <w:tcW w:w="541" w:type="pct"/>
            <w:tcBorders>
              <w:top w:val="double" w:sz="4" w:space="0" w:color="auto"/>
              <w:left w:val="double" w:sz="4" w:space="0" w:color="auto"/>
              <w:bottom w:val="nil"/>
              <w:right w:val="single" w:sz="4" w:space="0" w:color="auto"/>
            </w:tcBorders>
            <w:shd w:val="clear" w:color="auto" w:fill="auto"/>
            <w:noWrap/>
            <w:vAlign w:val="center"/>
            <w:hideMark/>
          </w:tcPr>
          <w:p w14:paraId="586C535A" w14:textId="77777777" w:rsidR="00782343" w:rsidRPr="000D5E4F" w:rsidRDefault="00782343" w:rsidP="00852CF5">
            <w:pPr>
              <w:keepNext/>
              <w:keepLines/>
              <w:spacing w:before="0" w:line="240" w:lineRule="auto"/>
              <w:contextualSpacing/>
              <w:rPr>
                <w:color w:val="000000"/>
                <w:sz w:val="22"/>
                <w:szCs w:val="22"/>
              </w:rPr>
            </w:pPr>
          </w:p>
        </w:tc>
        <w:tc>
          <w:tcPr>
            <w:tcW w:w="539" w:type="pct"/>
            <w:tcBorders>
              <w:top w:val="double" w:sz="4" w:space="0" w:color="auto"/>
              <w:left w:val="single" w:sz="4" w:space="0" w:color="auto"/>
              <w:bottom w:val="nil"/>
              <w:right w:val="double" w:sz="4" w:space="0" w:color="auto"/>
            </w:tcBorders>
            <w:shd w:val="clear" w:color="auto" w:fill="auto"/>
            <w:noWrap/>
            <w:vAlign w:val="center"/>
            <w:hideMark/>
          </w:tcPr>
          <w:p w14:paraId="4EC694D6" w14:textId="77777777" w:rsidR="00782343" w:rsidRPr="000D5E4F" w:rsidRDefault="00782343" w:rsidP="00852CF5">
            <w:pPr>
              <w:keepNext/>
              <w:keepLines/>
              <w:spacing w:before="0" w:line="240" w:lineRule="auto"/>
              <w:contextualSpacing/>
              <w:rPr>
                <w:color w:val="000000"/>
                <w:sz w:val="22"/>
                <w:szCs w:val="22"/>
              </w:rPr>
            </w:pPr>
            <w:r w:rsidRPr="000D5E4F">
              <w:rPr>
                <w:color w:val="000000"/>
                <w:sz w:val="22"/>
                <w:szCs w:val="22"/>
              </w:rPr>
              <w:t> </w:t>
            </w:r>
          </w:p>
        </w:tc>
      </w:tr>
      <w:tr w:rsidR="00782343" w:rsidRPr="000D5E4F" w14:paraId="7680D3BA" w14:textId="77777777" w:rsidTr="00907D2E">
        <w:trPr>
          <w:trHeight w:val="288"/>
        </w:trPr>
        <w:tc>
          <w:tcPr>
            <w:tcW w:w="2838" w:type="pct"/>
            <w:gridSpan w:val="2"/>
            <w:tcBorders>
              <w:top w:val="nil"/>
              <w:left w:val="double" w:sz="4" w:space="0" w:color="auto"/>
              <w:bottom w:val="nil"/>
              <w:right w:val="double" w:sz="4" w:space="0" w:color="auto"/>
            </w:tcBorders>
            <w:shd w:val="clear" w:color="auto" w:fill="auto"/>
            <w:noWrap/>
            <w:vAlign w:val="center"/>
            <w:hideMark/>
          </w:tcPr>
          <w:p w14:paraId="081CE671" w14:textId="77777777" w:rsidR="00782343" w:rsidRPr="000D5E4F" w:rsidRDefault="00782343" w:rsidP="00852CF5">
            <w:pPr>
              <w:keepNext/>
              <w:keepLines/>
              <w:spacing w:before="0" w:line="240" w:lineRule="auto"/>
              <w:contextualSpacing/>
              <w:rPr>
                <w:color w:val="000000"/>
                <w:sz w:val="22"/>
                <w:szCs w:val="22"/>
              </w:rPr>
            </w:pPr>
            <w:r w:rsidRPr="000D5E4F">
              <w:rPr>
                <w:color w:val="000000"/>
                <w:sz w:val="22"/>
                <w:szCs w:val="22"/>
              </w:rPr>
              <w:t>Female (base: Male)</w:t>
            </w:r>
          </w:p>
        </w:tc>
        <w:tc>
          <w:tcPr>
            <w:tcW w:w="541" w:type="pct"/>
            <w:tcBorders>
              <w:top w:val="nil"/>
              <w:left w:val="double" w:sz="4" w:space="0" w:color="auto"/>
              <w:bottom w:val="nil"/>
              <w:right w:val="single" w:sz="4" w:space="0" w:color="auto"/>
            </w:tcBorders>
            <w:shd w:val="clear" w:color="auto" w:fill="auto"/>
            <w:noWrap/>
            <w:vAlign w:val="center"/>
            <w:hideMark/>
          </w:tcPr>
          <w:p w14:paraId="57C12656" w14:textId="77777777" w:rsidR="00782343" w:rsidRPr="000D5E4F" w:rsidRDefault="00782343" w:rsidP="00852CF5">
            <w:pPr>
              <w:keepNext/>
              <w:keepLines/>
              <w:spacing w:before="0" w:line="240" w:lineRule="auto"/>
              <w:contextualSpacing/>
              <w:jc w:val="right"/>
              <w:rPr>
                <w:color w:val="000000"/>
                <w:sz w:val="22"/>
                <w:szCs w:val="22"/>
              </w:rPr>
            </w:pPr>
            <w:r w:rsidRPr="000D5E4F">
              <w:rPr>
                <w:color w:val="000000"/>
                <w:sz w:val="22"/>
                <w:szCs w:val="22"/>
              </w:rPr>
              <w:t>-</w:t>
            </w:r>
          </w:p>
        </w:tc>
        <w:tc>
          <w:tcPr>
            <w:tcW w:w="541" w:type="pct"/>
            <w:tcBorders>
              <w:top w:val="nil"/>
              <w:left w:val="single" w:sz="4" w:space="0" w:color="auto"/>
              <w:bottom w:val="nil"/>
              <w:right w:val="double" w:sz="4" w:space="0" w:color="auto"/>
            </w:tcBorders>
            <w:shd w:val="clear" w:color="auto" w:fill="auto"/>
            <w:noWrap/>
            <w:vAlign w:val="center"/>
            <w:hideMark/>
          </w:tcPr>
          <w:p w14:paraId="27E88E4E" w14:textId="77777777" w:rsidR="00782343" w:rsidRPr="000D5E4F" w:rsidRDefault="00782343" w:rsidP="00852CF5">
            <w:pPr>
              <w:keepNext/>
              <w:keepLines/>
              <w:spacing w:before="0" w:line="240" w:lineRule="auto"/>
              <w:contextualSpacing/>
              <w:jc w:val="right"/>
              <w:rPr>
                <w:color w:val="000000"/>
                <w:sz w:val="22"/>
                <w:szCs w:val="22"/>
              </w:rPr>
            </w:pPr>
            <w:r w:rsidRPr="000D5E4F">
              <w:rPr>
                <w:color w:val="000000"/>
                <w:sz w:val="22"/>
                <w:szCs w:val="22"/>
              </w:rPr>
              <w:t>-</w:t>
            </w:r>
          </w:p>
        </w:tc>
        <w:tc>
          <w:tcPr>
            <w:tcW w:w="541" w:type="pct"/>
            <w:tcBorders>
              <w:top w:val="nil"/>
              <w:left w:val="double" w:sz="4" w:space="0" w:color="auto"/>
              <w:bottom w:val="nil"/>
              <w:right w:val="single" w:sz="4" w:space="0" w:color="auto"/>
            </w:tcBorders>
            <w:shd w:val="clear" w:color="auto" w:fill="auto"/>
            <w:noWrap/>
            <w:vAlign w:val="center"/>
            <w:hideMark/>
          </w:tcPr>
          <w:p w14:paraId="1FA810BE" w14:textId="77777777" w:rsidR="00782343" w:rsidRPr="000D5E4F" w:rsidRDefault="00782343" w:rsidP="00852CF5">
            <w:pPr>
              <w:keepNext/>
              <w:keepLines/>
              <w:spacing w:before="0" w:line="240" w:lineRule="auto"/>
              <w:contextualSpacing/>
              <w:jc w:val="right"/>
              <w:rPr>
                <w:color w:val="000000"/>
                <w:sz w:val="22"/>
                <w:szCs w:val="22"/>
              </w:rPr>
            </w:pPr>
            <w:r w:rsidRPr="000D5E4F">
              <w:rPr>
                <w:color w:val="000000"/>
                <w:sz w:val="22"/>
                <w:szCs w:val="22"/>
              </w:rPr>
              <w:t>0.148</w:t>
            </w:r>
          </w:p>
        </w:tc>
        <w:tc>
          <w:tcPr>
            <w:tcW w:w="539" w:type="pct"/>
            <w:tcBorders>
              <w:top w:val="nil"/>
              <w:left w:val="single" w:sz="4" w:space="0" w:color="auto"/>
              <w:bottom w:val="nil"/>
              <w:right w:val="double" w:sz="4" w:space="0" w:color="auto"/>
            </w:tcBorders>
            <w:shd w:val="clear" w:color="auto" w:fill="auto"/>
            <w:noWrap/>
            <w:vAlign w:val="center"/>
            <w:hideMark/>
          </w:tcPr>
          <w:p w14:paraId="0D970AAA" w14:textId="77777777" w:rsidR="00782343" w:rsidRPr="000D5E4F" w:rsidRDefault="00782343" w:rsidP="00852CF5">
            <w:pPr>
              <w:keepNext/>
              <w:keepLines/>
              <w:spacing w:before="0" w:line="240" w:lineRule="auto"/>
              <w:contextualSpacing/>
              <w:jc w:val="right"/>
              <w:rPr>
                <w:color w:val="000000"/>
                <w:sz w:val="22"/>
                <w:szCs w:val="22"/>
              </w:rPr>
            </w:pPr>
            <w:r w:rsidRPr="000D5E4F">
              <w:rPr>
                <w:color w:val="000000"/>
                <w:sz w:val="22"/>
                <w:szCs w:val="22"/>
              </w:rPr>
              <w:t>2.54</w:t>
            </w:r>
          </w:p>
        </w:tc>
      </w:tr>
      <w:tr w:rsidR="00782343" w:rsidRPr="000D5E4F" w14:paraId="4712BD1C" w14:textId="77777777" w:rsidTr="00907D2E">
        <w:trPr>
          <w:trHeight w:val="288"/>
        </w:trPr>
        <w:tc>
          <w:tcPr>
            <w:tcW w:w="2838" w:type="pct"/>
            <w:gridSpan w:val="2"/>
            <w:tcBorders>
              <w:top w:val="nil"/>
              <w:left w:val="double" w:sz="4" w:space="0" w:color="auto"/>
              <w:bottom w:val="nil"/>
              <w:right w:val="double" w:sz="4" w:space="0" w:color="auto"/>
            </w:tcBorders>
            <w:shd w:val="clear" w:color="auto" w:fill="auto"/>
            <w:noWrap/>
            <w:vAlign w:val="center"/>
            <w:hideMark/>
          </w:tcPr>
          <w:p w14:paraId="47477AB6" w14:textId="77777777" w:rsidR="00782343" w:rsidRPr="000D5E4F" w:rsidRDefault="00782343" w:rsidP="00852CF5">
            <w:pPr>
              <w:keepNext/>
              <w:keepLines/>
              <w:spacing w:before="0" w:line="240" w:lineRule="auto"/>
              <w:contextualSpacing/>
              <w:rPr>
                <w:color w:val="000000"/>
                <w:sz w:val="22"/>
                <w:szCs w:val="22"/>
              </w:rPr>
            </w:pPr>
            <w:r w:rsidRPr="000D5E4F">
              <w:rPr>
                <w:color w:val="000000"/>
                <w:sz w:val="22"/>
                <w:szCs w:val="22"/>
              </w:rPr>
              <w:t>Age 50 years or greater (base: below 50 years)</w:t>
            </w:r>
          </w:p>
        </w:tc>
        <w:tc>
          <w:tcPr>
            <w:tcW w:w="541" w:type="pct"/>
            <w:tcBorders>
              <w:top w:val="nil"/>
              <w:left w:val="double" w:sz="4" w:space="0" w:color="auto"/>
              <w:bottom w:val="nil"/>
              <w:right w:val="single" w:sz="4" w:space="0" w:color="auto"/>
            </w:tcBorders>
            <w:shd w:val="clear" w:color="auto" w:fill="auto"/>
            <w:noWrap/>
            <w:vAlign w:val="center"/>
            <w:hideMark/>
          </w:tcPr>
          <w:p w14:paraId="1C3B6093" w14:textId="77777777" w:rsidR="00782343" w:rsidRPr="000D5E4F" w:rsidRDefault="00782343" w:rsidP="00852CF5">
            <w:pPr>
              <w:keepNext/>
              <w:keepLines/>
              <w:spacing w:before="0" w:line="240" w:lineRule="auto"/>
              <w:contextualSpacing/>
              <w:jc w:val="right"/>
              <w:rPr>
                <w:color w:val="000000"/>
                <w:sz w:val="22"/>
                <w:szCs w:val="22"/>
              </w:rPr>
            </w:pPr>
            <w:r w:rsidRPr="000D5E4F">
              <w:rPr>
                <w:color w:val="000000"/>
                <w:sz w:val="22"/>
                <w:szCs w:val="22"/>
              </w:rPr>
              <w:t>-0.336</w:t>
            </w:r>
          </w:p>
        </w:tc>
        <w:tc>
          <w:tcPr>
            <w:tcW w:w="541" w:type="pct"/>
            <w:tcBorders>
              <w:top w:val="nil"/>
              <w:left w:val="single" w:sz="4" w:space="0" w:color="auto"/>
              <w:bottom w:val="nil"/>
              <w:right w:val="double" w:sz="4" w:space="0" w:color="auto"/>
            </w:tcBorders>
            <w:shd w:val="clear" w:color="auto" w:fill="auto"/>
            <w:noWrap/>
            <w:vAlign w:val="center"/>
            <w:hideMark/>
          </w:tcPr>
          <w:p w14:paraId="2CF4B3AE" w14:textId="77777777" w:rsidR="00782343" w:rsidRPr="000D5E4F" w:rsidRDefault="00782343" w:rsidP="00852CF5">
            <w:pPr>
              <w:keepNext/>
              <w:keepLines/>
              <w:spacing w:before="0" w:line="240" w:lineRule="auto"/>
              <w:contextualSpacing/>
              <w:jc w:val="right"/>
              <w:rPr>
                <w:color w:val="000000"/>
                <w:sz w:val="22"/>
                <w:szCs w:val="22"/>
              </w:rPr>
            </w:pPr>
            <w:r w:rsidRPr="000D5E4F">
              <w:rPr>
                <w:color w:val="000000"/>
                <w:sz w:val="22"/>
                <w:szCs w:val="22"/>
              </w:rPr>
              <w:t>-7.56</w:t>
            </w:r>
          </w:p>
        </w:tc>
        <w:tc>
          <w:tcPr>
            <w:tcW w:w="541" w:type="pct"/>
            <w:tcBorders>
              <w:top w:val="nil"/>
              <w:left w:val="double" w:sz="4" w:space="0" w:color="auto"/>
              <w:bottom w:val="nil"/>
              <w:right w:val="single" w:sz="4" w:space="0" w:color="auto"/>
            </w:tcBorders>
            <w:shd w:val="clear" w:color="auto" w:fill="auto"/>
            <w:noWrap/>
            <w:vAlign w:val="center"/>
            <w:hideMark/>
          </w:tcPr>
          <w:p w14:paraId="429DF09A" w14:textId="77777777" w:rsidR="00782343" w:rsidRPr="000D5E4F" w:rsidRDefault="00782343" w:rsidP="00852CF5">
            <w:pPr>
              <w:keepNext/>
              <w:keepLines/>
              <w:spacing w:before="0" w:line="240" w:lineRule="auto"/>
              <w:contextualSpacing/>
              <w:jc w:val="right"/>
              <w:rPr>
                <w:color w:val="000000"/>
                <w:sz w:val="22"/>
                <w:szCs w:val="22"/>
              </w:rPr>
            </w:pPr>
            <w:r w:rsidRPr="000D5E4F">
              <w:rPr>
                <w:color w:val="000000"/>
                <w:sz w:val="22"/>
                <w:szCs w:val="22"/>
              </w:rPr>
              <w:t>0.268</w:t>
            </w:r>
          </w:p>
        </w:tc>
        <w:tc>
          <w:tcPr>
            <w:tcW w:w="539" w:type="pct"/>
            <w:tcBorders>
              <w:top w:val="nil"/>
              <w:left w:val="single" w:sz="4" w:space="0" w:color="auto"/>
              <w:bottom w:val="nil"/>
              <w:right w:val="double" w:sz="4" w:space="0" w:color="auto"/>
            </w:tcBorders>
            <w:shd w:val="clear" w:color="auto" w:fill="auto"/>
            <w:noWrap/>
            <w:vAlign w:val="center"/>
            <w:hideMark/>
          </w:tcPr>
          <w:p w14:paraId="40242E58" w14:textId="77777777" w:rsidR="00782343" w:rsidRPr="000D5E4F" w:rsidRDefault="00782343" w:rsidP="00852CF5">
            <w:pPr>
              <w:keepNext/>
              <w:keepLines/>
              <w:spacing w:before="0" w:line="240" w:lineRule="auto"/>
              <w:contextualSpacing/>
              <w:jc w:val="right"/>
              <w:rPr>
                <w:color w:val="000000"/>
                <w:sz w:val="22"/>
                <w:szCs w:val="22"/>
              </w:rPr>
            </w:pPr>
            <w:r w:rsidRPr="000D5E4F">
              <w:rPr>
                <w:color w:val="000000"/>
                <w:sz w:val="22"/>
                <w:szCs w:val="22"/>
              </w:rPr>
              <w:t>4.33</w:t>
            </w:r>
          </w:p>
        </w:tc>
      </w:tr>
      <w:tr w:rsidR="00782343" w:rsidRPr="000D5E4F" w14:paraId="241FEDE7" w14:textId="77777777" w:rsidTr="00907D2E">
        <w:trPr>
          <w:trHeight w:val="288"/>
        </w:trPr>
        <w:tc>
          <w:tcPr>
            <w:tcW w:w="2838" w:type="pct"/>
            <w:gridSpan w:val="2"/>
            <w:tcBorders>
              <w:top w:val="nil"/>
              <w:left w:val="double" w:sz="4" w:space="0" w:color="auto"/>
              <w:right w:val="double" w:sz="4" w:space="0" w:color="auto"/>
            </w:tcBorders>
            <w:shd w:val="clear" w:color="auto" w:fill="auto"/>
            <w:noWrap/>
            <w:vAlign w:val="center"/>
          </w:tcPr>
          <w:p w14:paraId="34EDBE87" w14:textId="77777777" w:rsidR="00782343" w:rsidRPr="000D5E4F" w:rsidRDefault="00782343" w:rsidP="00852CF5">
            <w:pPr>
              <w:keepNext/>
              <w:keepLines/>
              <w:spacing w:before="0" w:line="240" w:lineRule="auto"/>
              <w:contextualSpacing/>
              <w:rPr>
                <w:color w:val="000000"/>
                <w:sz w:val="22"/>
                <w:szCs w:val="22"/>
              </w:rPr>
            </w:pPr>
            <w:r w:rsidRPr="000D5E4F">
              <w:rPr>
                <w:color w:val="000000"/>
                <w:sz w:val="22"/>
                <w:szCs w:val="22"/>
              </w:rPr>
              <w:t>Student (base: not student)</w:t>
            </w:r>
          </w:p>
        </w:tc>
        <w:tc>
          <w:tcPr>
            <w:tcW w:w="541" w:type="pct"/>
            <w:tcBorders>
              <w:top w:val="nil"/>
              <w:left w:val="double" w:sz="4" w:space="0" w:color="auto"/>
              <w:right w:val="single" w:sz="4" w:space="0" w:color="auto"/>
            </w:tcBorders>
            <w:shd w:val="clear" w:color="auto" w:fill="auto"/>
            <w:noWrap/>
            <w:vAlign w:val="center"/>
          </w:tcPr>
          <w:p w14:paraId="1FB31557" w14:textId="77777777" w:rsidR="00782343" w:rsidRPr="000D5E4F" w:rsidRDefault="00782343" w:rsidP="00852CF5">
            <w:pPr>
              <w:keepNext/>
              <w:keepLines/>
              <w:spacing w:before="0" w:line="240" w:lineRule="auto"/>
              <w:contextualSpacing/>
              <w:jc w:val="right"/>
              <w:rPr>
                <w:color w:val="000000"/>
                <w:sz w:val="22"/>
                <w:szCs w:val="22"/>
              </w:rPr>
            </w:pPr>
            <w:r w:rsidRPr="000D5E4F">
              <w:rPr>
                <w:color w:val="000000"/>
                <w:sz w:val="22"/>
                <w:szCs w:val="22"/>
              </w:rPr>
              <w:t>- </w:t>
            </w:r>
          </w:p>
        </w:tc>
        <w:tc>
          <w:tcPr>
            <w:tcW w:w="541" w:type="pct"/>
            <w:tcBorders>
              <w:top w:val="nil"/>
              <w:left w:val="single" w:sz="4" w:space="0" w:color="auto"/>
              <w:right w:val="double" w:sz="4" w:space="0" w:color="auto"/>
            </w:tcBorders>
            <w:shd w:val="clear" w:color="auto" w:fill="auto"/>
            <w:noWrap/>
            <w:vAlign w:val="center"/>
          </w:tcPr>
          <w:p w14:paraId="34466B58" w14:textId="77777777" w:rsidR="00782343" w:rsidRPr="000D5E4F" w:rsidRDefault="00782343" w:rsidP="00852CF5">
            <w:pPr>
              <w:keepNext/>
              <w:keepLines/>
              <w:spacing w:before="0" w:line="240" w:lineRule="auto"/>
              <w:contextualSpacing/>
              <w:jc w:val="right"/>
              <w:rPr>
                <w:color w:val="000000"/>
                <w:sz w:val="22"/>
                <w:szCs w:val="22"/>
              </w:rPr>
            </w:pPr>
            <w:r w:rsidRPr="000D5E4F">
              <w:rPr>
                <w:color w:val="000000"/>
                <w:sz w:val="22"/>
                <w:szCs w:val="22"/>
              </w:rPr>
              <w:t>-</w:t>
            </w:r>
          </w:p>
        </w:tc>
        <w:tc>
          <w:tcPr>
            <w:tcW w:w="541" w:type="pct"/>
            <w:tcBorders>
              <w:top w:val="nil"/>
              <w:left w:val="double" w:sz="4" w:space="0" w:color="auto"/>
              <w:right w:val="single" w:sz="4" w:space="0" w:color="auto"/>
            </w:tcBorders>
            <w:shd w:val="clear" w:color="auto" w:fill="auto"/>
            <w:noWrap/>
            <w:vAlign w:val="center"/>
          </w:tcPr>
          <w:p w14:paraId="0C90E66A" w14:textId="77777777" w:rsidR="00782343" w:rsidRPr="000D5E4F" w:rsidRDefault="00782343" w:rsidP="00852CF5">
            <w:pPr>
              <w:keepNext/>
              <w:keepLines/>
              <w:spacing w:before="0" w:line="240" w:lineRule="auto"/>
              <w:contextualSpacing/>
              <w:jc w:val="right"/>
              <w:rPr>
                <w:color w:val="000000"/>
                <w:sz w:val="22"/>
                <w:szCs w:val="22"/>
              </w:rPr>
            </w:pPr>
            <w:r w:rsidRPr="000D5E4F">
              <w:rPr>
                <w:color w:val="000000"/>
                <w:sz w:val="22"/>
                <w:szCs w:val="22"/>
              </w:rPr>
              <w:t>-0.151</w:t>
            </w:r>
          </w:p>
        </w:tc>
        <w:tc>
          <w:tcPr>
            <w:tcW w:w="539" w:type="pct"/>
            <w:tcBorders>
              <w:top w:val="nil"/>
              <w:left w:val="single" w:sz="4" w:space="0" w:color="auto"/>
              <w:right w:val="double" w:sz="4" w:space="0" w:color="auto"/>
            </w:tcBorders>
            <w:shd w:val="clear" w:color="auto" w:fill="auto"/>
            <w:noWrap/>
            <w:vAlign w:val="center"/>
          </w:tcPr>
          <w:p w14:paraId="2DE42303" w14:textId="77777777" w:rsidR="00782343" w:rsidRPr="000D5E4F" w:rsidRDefault="00782343" w:rsidP="00852CF5">
            <w:pPr>
              <w:keepNext/>
              <w:keepLines/>
              <w:spacing w:before="0" w:line="240" w:lineRule="auto"/>
              <w:contextualSpacing/>
              <w:jc w:val="right"/>
              <w:rPr>
                <w:color w:val="000000"/>
                <w:sz w:val="22"/>
                <w:szCs w:val="22"/>
              </w:rPr>
            </w:pPr>
            <w:r w:rsidRPr="000D5E4F">
              <w:rPr>
                <w:color w:val="000000"/>
                <w:sz w:val="22"/>
                <w:szCs w:val="22"/>
              </w:rPr>
              <w:t>-2.04</w:t>
            </w:r>
          </w:p>
        </w:tc>
      </w:tr>
      <w:tr w:rsidR="00782343" w:rsidRPr="000D5E4F" w14:paraId="12426D49" w14:textId="77777777" w:rsidTr="00907D2E">
        <w:trPr>
          <w:trHeight w:val="288"/>
        </w:trPr>
        <w:tc>
          <w:tcPr>
            <w:tcW w:w="2838" w:type="pct"/>
            <w:gridSpan w:val="2"/>
            <w:tcBorders>
              <w:top w:val="nil"/>
              <w:left w:val="double" w:sz="4" w:space="0" w:color="auto"/>
              <w:bottom w:val="single" w:sz="4" w:space="0" w:color="auto"/>
              <w:right w:val="double" w:sz="4" w:space="0" w:color="auto"/>
            </w:tcBorders>
            <w:shd w:val="clear" w:color="auto" w:fill="auto"/>
            <w:noWrap/>
            <w:vAlign w:val="center"/>
            <w:hideMark/>
          </w:tcPr>
          <w:p w14:paraId="77F67927" w14:textId="77777777" w:rsidR="00782343" w:rsidRPr="000D5E4F" w:rsidRDefault="00782343" w:rsidP="00852CF5">
            <w:pPr>
              <w:keepNext/>
              <w:keepLines/>
              <w:spacing w:before="0" w:line="240" w:lineRule="auto"/>
              <w:contextualSpacing/>
              <w:rPr>
                <w:color w:val="000000"/>
                <w:sz w:val="22"/>
                <w:szCs w:val="22"/>
              </w:rPr>
            </w:pPr>
            <w:r w:rsidRPr="000D5E4F">
              <w:rPr>
                <w:color w:val="000000"/>
                <w:sz w:val="22"/>
                <w:szCs w:val="22"/>
              </w:rPr>
              <w:t>Graduate or higher (base: less than Graduate)</w:t>
            </w:r>
          </w:p>
        </w:tc>
        <w:tc>
          <w:tcPr>
            <w:tcW w:w="541" w:type="pct"/>
            <w:tcBorders>
              <w:top w:val="nil"/>
              <w:left w:val="double" w:sz="4" w:space="0" w:color="auto"/>
              <w:bottom w:val="single" w:sz="4" w:space="0" w:color="auto"/>
              <w:right w:val="single" w:sz="4" w:space="0" w:color="auto"/>
            </w:tcBorders>
            <w:shd w:val="clear" w:color="auto" w:fill="auto"/>
            <w:noWrap/>
            <w:vAlign w:val="center"/>
            <w:hideMark/>
          </w:tcPr>
          <w:p w14:paraId="4592BCE3" w14:textId="77777777" w:rsidR="00782343" w:rsidRPr="000D5E4F" w:rsidRDefault="00782343" w:rsidP="00852CF5">
            <w:pPr>
              <w:keepNext/>
              <w:keepLines/>
              <w:spacing w:before="0" w:line="240" w:lineRule="auto"/>
              <w:contextualSpacing/>
              <w:jc w:val="right"/>
              <w:rPr>
                <w:color w:val="000000"/>
                <w:sz w:val="22"/>
                <w:szCs w:val="22"/>
              </w:rPr>
            </w:pPr>
            <w:r w:rsidRPr="000D5E4F">
              <w:rPr>
                <w:color w:val="000000"/>
                <w:sz w:val="22"/>
                <w:szCs w:val="22"/>
              </w:rPr>
              <w:t>0.349</w:t>
            </w:r>
          </w:p>
        </w:tc>
        <w:tc>
          <w:tcPr>
            <w:tcW w:w="541" w:type="pct"/>
            <w:tcBorders>
              <w:top w:val="nil"/>
              <w:left w:val="single" w:sz="4" w:space="0" w:color="auto"/>
              <w:bottom w:val="single" w:sz="4" w:space="0" w:color="auto"/>
              <w:right w:val="double" w:sz="4" w:space="0" w:color="auto"/>
            </w:tcBorders>
            <w:shd w:val="clear" w:color="auto" w:fill="auto"/>
            <w:noWrap/>
            <w:vAlign w:val="center"/>
            <w:hideMark/>
          </w:tcPr>
          <w:p w14:paraId="296523B6" w14:textId="77777777" w:rsidR="00782343" w:rsidRPr="000D5E4F" w:rsidRDefault="00782343" w:rsidP="00852CF5">
            <w:pPr>
              <w:keepNext/>
              <w:keepLines/>
              <w:spacing w:before="0" w:line="240" w:lineRule="auto"/>
              <w:contextualSpacing/>
              <w:jc w:val="right"/>
              <w:rPr>
                <w:color w:val="000000"/>
                <w:sz w:val="22"/>
                <w:szCs w:val="22"/>
              </w:rPr>
            </w:pPr>
            <w:r w:rsidRPr="000D5E4F">
              <w:rPr>
                <w:color w:val="000000"/>
                <w:sz w:val="22"/>
                <w:szCs w:val="22"/>
              </w:rPr>
              <w:t>3.45</w:t>
            </w:r>
          </w:p>
        </w:tc>
        <w:tc>
          <w:tcPr>
            <w:tcW w:w="541" w:type="pct"/>
            <w:tcBorders>
              <w:top w:val="nil"/>
              <w:left w:val="double" w:sz="4" w:space="0" w:color="auto"/>
              <w:bottom w:val="single" w:sz="4" w:space="0" w:color="auto"/>
              <w:right w:val="single" w:sz="4" w:space="0" w:color="auto"/>
            </w:tcBorders>
            <w:shd w:val="clear" w:color="auto" w:fill="auto"/>
            <w:noWrap/>
            <w:vAlign w:val="center"/>
            <w:hideMark/>
          </w:tcPr>
          <w:p w14:paraId="2817CF64" w14:textId="77777777" w:rsidR="00782343" w:rsidRPr="000D5E4F" w:rsidRDefault="00782343" w:rsidP="00852CF5">
            <w:pPr>
              <w:keepNext/>
              <w:keepLines/>
              <w:spacing w:before="0" w:line="240" w:lineRule="auto"/>
              <w:contextualSpacing/>
              <w:jc w:val="right"/>
              <w:rPr>
                <w:color w:val="000000"/>
                <w:sz w:val="22"/>
                <w:szCs w:val="22"/>
              </w:rPr>
            </w:pPr>
            <w:r w:rsidRPr="000D5E4F">
              <w:rPr>
                <w:color w:val="000000"/>
                <w:sz w:val="22"/>
                <w:szCs w:val="22"/>
              </w:rPr>
              <w:t>-</w:t>
            </w:r>
          </w:p>
        </w:tc>
        <w:tc>
          <w:tcPr>
            <w:tcW w:w="539" w:type="pct"/>
            <w:tcBorders>
              <w:top w:val="nil"/>
              <w:left w:val="single" w:sz="4" w:space="0" w:color="auto"/>
              <w:bottom w:val="single" w:sz="4" w:space="0" w:color="auto"/>
              <w:right w:val="double" w:sz="4" w:space="0" w:color="auto"/>
            </w:tcBorders>
            <w:shd w:val="clear" w:color="auto" w:fill="auto"/>
            <w:noWrap/>
            <w:vAlign w:val="center"/>
            <w:hideMark/>
          </w:tcPr>
          <w:p w14:paraId="347BF3BD" w14:textId="77777777" w:rsidR="00782343" w:rsidRPr="000D5E4F" w:rsidRDefault="00782343" w:rsidP="00852CF5">
            <w:pPr>
              <w:keepNext/>
              <w:keepLines/>
              <w:spacing w:before="0" w:line="240" w:lineRule="auto"/>
              <w:contextualSpacing/>
              <w:jc w:val="right"/>
              <w:rPr>
                <w:color w:val="000000"/>
                <w:sz w:val="22"/>
                <w:szCs w:val="22"/>
              </w:rPr>
            </w:pPr>
            <w:r w:rsidRPr="000D5E4F">
              <w:rPr>
                <w:color w:val="000000"/>
                <w:sz w:val="22"/>
                <w:szCs w:val="22"/>
              </w:rPr>
              <w:t>-</w:t>
            </w:r>
          </w:p>
        </w:tc>
      </w:tr>
      <w:tr w:rsidR="00782343" w:rsidRPr="000D5E4F" w14:paraId="0BEE02EE" w14:textId="77777777" w:rsidTr="00907D2E">
        <w:trPr>
          <w:trHeight w:val="288"/>
        </w:trPr>
        <w:tc>
          <w:tcPr>
            <w:tcW w:w="2838" w:type="pct"/>
            <w:gridSpan w:val="2"/>
            <w:tcBorders>
              <w:top w:val="single" w:sz="4" w:space="0" w:color="auto"/>
              <w:left w:val="double" w:sz="4" w:space="0" w:color="auto"/>
              <w:bottom w:val="nil"/>
              <w:right w:val="double" w:sz="4" w:space="0" w:color="auto"/>
            </w:tcBorders>
            <w:shd w:val="clear" w:color="auto" w:fill="auto"/>
            <w:noWrap/>
            <w:vAlign w:val="center"/>
            <w:hideMark/>
          </w:tcPr>
          <w:p w14:paraId="196731E9" w14:textId="77777777" w:rsidR="00782343" w:rsidRPr="000D5E4F" w:rsidRDefault="00782343" w:rsidP="00852CF5">
            <w:pPr>
              <w:keepNext/>
              <w:keepLines/>
              <w:spacing w:before="0" w:line="240" w:lineRule="auto"/>
              <w:contextualSpacing/>
              <w:rPr>
                <w:b/>
                <w:bCs/>
                <w:i/>
                <w:iCs/>
                <w:color w:val="000000"/>
                <w:sz w:val="22"/>
                <w:szCs w:val="22"/>
              </w:rPr>
            </w:pPr>
            <w:r w:rsidRPr="000D5E4F">
              <w:rPr>
                <w:b/>
                <w:bCs/>
                <w:i/>
                <w:iCs/>
                <w:color w:val="000000"/>
                <w:sz w:val="22"/>
                <w:szCs w:val="22"/>
              </w:rPr>
              <w:t>Household-Level Characteristics</w:t>
            </w:r>
          </w:p>
        </w:tc>
        <w:tc>
          <w:tcPr>
            <w:tcW w:w="541" w:type="pct"/>
            <w:tcBorders>
              <w:top w:val="single" w:sz="4" w:space="0" w:color="auto"/>
              <w:left w:val="double" w:sz="4" w:space="0" w:color="auto"/>
              <w:bottom w:val="nil"/>
              <w:right w:val="single" w:sz="4" w:space="0" w:color="auto"/>
            </w:tcBorders>
            <w:shd w:val="clear" w:color="auto" w:fill="auto"/>
            <w:noWrap/>
            <w:vAlign w:val="center"/>
            <w:hideMark/>
          </w:tcPr>
          <w:p w14:paraId="26F26773" w14:textId="77777777" w:rsidR="00782343" w:rsidRPr="000D5E4F" w:rsidRDefault="00782343" w:rsidP="00852CF5">
            <w:pPr>
              <w:keepNext/>
              <w:keepLines/>
              <w:spacing w:before="0" w:line="240" w:lineRule="auto"/>
              <w:contextualSpacing/>
              <w:jc w:val="right"/>
              <w:rPr>
                <w:b/>
                <w:bCs/>
                <w:i/>
                <w:iCs/>
                <w:color w:val="000000"/>
                <w:sz w:val="22"/>
                <w:szCs w:val="22"/>
              </w:rPr>
            </w:pPr>
          </w:p>
        </w:tc>
        <w:tc>
          <w:tcPr>
            <w:tcW w:w="541" w:type="pct"/>
            <w:tcBorders>
              <w:top w:val="single" w:sz="4" w:space="0" w:color="auto"/>
              <w:left w:val="single" w:sz="4" w:space="0" w:color="auto"/>
              <w:bottom w:val="nil"/>
              <w:right w:val="double" w:sz="4" w:space="0" w:color="auto"/>
            </w:tcBorders>
            <w:shd w:val="clear" w:color="auto" w:fill="auto"/>
            <w:noWrap/>
            <w:vAlign w:val="center"/>
            <w:hideMark/>
          </w:tcPr>
          <w:p w14:paraId="3C777C45" w14:textId="77777777" w:rsidR="00782343" w:rsidRPr="000D5E4F" w:rsidRDefault="00782343" w:rsidP="00852CF5">
            <w:pPr>
              <w:keepNext/>
              <w:keepLines/>
              <w:spacing w:before="0" w:line="240" w:lineRule="auto"/>
              <w:contextualSpacing/>
              <w:jc w:val="right"/>
              <w:rPr>
                <w:color w:val="000000"/>
                <w:sz w:val="22"/>
                <w:szCs w:val="22"/>
              </w:rPr>
            </w:pPr>
            <w:r w:rsidRPr="000D5E4F">
              <w:rPr>
                <w:color w:val="000000"/>
                <w:sz w:val="22"/>
                <w:szCs w:val="22"/>
              </w:rPr>
              <w:t> </w:t>
            </w:r>
          </w:p>
        </w:tc>
        <w:tc>
          <w:tcPr>
            <w:tcW w:w="541" w:type="pct"/>
            <w:tcBorders>
              <w:top w:val="single" w:sz="4" w:space="0" w:color="auto"/>
              <w:left w:val="double" w:sz="4" w:space="0" w:color="auto"/>
              <w:bottom w:val="nil"/>
              <w:right w:val="single" w:sz="4" w:space="0" w:color="auto"/>
            </w:tcBorders>
            <w:shd w:val="clear" w:color="auto" w:fill="auto"/>
            <w:noWrap/>
            <w:vAlign w:val="center"/>
            <w:hideMark/>
          </w:tcPr>
          <w:p w14:paraId="4EE74692" w14:textId="77777777" w:rsidR="00782343" w:rsidRPr="000D5E4F" w:rsidRDefault="00782343" w:rsidP="00852CF5">
            <w:pPr>
              <w:keepNext/>
              <w:keepLines/>
              <w:spacing w:before="0" w:line="240" w:lineRule="auto"/>
              <w:contextualSpacing/>
              <w:jc w:val="right"/>
              <w:rPr>
                <w:color w:val="000000"/>
                <w:sz w:val="22"/>
                <w:szCs w:val="22"/>
              </w:rPr>
            </w:pPr>
          </w:p>
        </w:tc>
        <w:tc>
          <w:tcPr>
            <w:tcW w:w="539" w:type="pct"/>
            <w:tcBorders>
              <w:top w:val="single" w:sz="4" w:space="0" w:color="auto"/>
              <w:left w:val="single" w:sz="4" w:space="0" w:color="auto"/>
              <w:bottom w:val="nil"/>
              <w:right w:val="double" w:sz="4" w:space="0" w:color="auto"/>
            </w:tcBorders>
            <w:shd w:val="clear" w:color="auto" w:fill="auto"/>
            <w:noWrap/>
            <w:vAlign w:val="center"/>
            <w:hideMark/>
          </w:tcPr>
          <w:p w14:paraId="198B3146" w14:textId="77777777" w:rsidR="00782343" w:rsidRPr="000D5E4F" w:rsidRDefault="00782343" w:rsidP="00852CF5">
            <w:pPr>
              <w:keepNext/>
              <w:keepLines/>
              <w:spacing w:before="0" w:line="240" w:lineRule="auto"/>
              <w:contextualSpacing/>
              <w:jc w:val="right"/>
              <w:rPr>
                <w:color w:val="000000"/>
                <w:sz w:val="22"/>
                <w:szCs w:val="22"/>
              </w:rPr>
            </w:pPr>
            <w:r w:rsidRPr="000D5E4F">
              <w:rPr>
                <w:color w:val="000000"/>
                <w:sz w:val="22"/>
                <w:szCs w:val="22"/>
              </w:rPr>
              <w:t> </w:t>
            </w:r>
          </w:p>
        </w:tc>
      </w:tr>
      <w:tr w:rsidR="00782343" w:rsidRPr="000D5E4F" w14:paraId="34539E40" w14:textId="77777777" w:rsidTr="00907D2E">
        <w:trPr>
          <w:trHeight w:val="288"/>
        </w:trPr>
        <w:tc>
          <w:tcPr>
            <w:tcW w:w="2838" w:type="pct"/>
            <w:gridSpan w:val="2"/>
            <w:tcBorders>
              <w:top w:val="nil"/>
              <w:left w:val="double" w:sz="4" w:space="0" w:color="auto"/>
              <w:bottom w:val="nil"/>
              <w:right w:val="double" w:sz="4" w:space="0" w:color="auto"/>
            </w:tcBorders>
            <w:shd w:val="clear" w:color="auto" w:fill="auto"/>
            <w:noWrap/>
            <w:vAlign w:val="center"/>
            <w:hideMark/>
          </w:tcPr>
          <w:p w14:paraId="44F3164A" w14:textId="77777777" w:rsidR="00782343" w:rsidRPr="000D5E4F" w:rsidRDefault="00782343" w:rsidP="00852CF5">
            <w:pPr>
              <w:keepNext/>
              <w:keepLines/>
              <w:spacing w:before="0" w:line="240" w:lineRule="auto"/>
              <w:contextualSpacing/>
              <w:rPr>
                <w:color w:val="000000"/>
                <w:sz w:val="22"/>
                <w:szCs w:val="22"/>
              </w:rPr>
            </w:pPr>
            <w:r w:rsidRPr="000D5E4F">
              <w:rPr>
                <w:color w:val="000000"/>
                <w:sz w:val="22"/>
                <w:szCs w:val="22"/>
              </w:rPr>
              <w:t>Presence of child below 18 years (base: not present)</w:t>
            </w:r>
          </w:p>
        </w:tc>
        <w:tc>
          <w:tcPr>
            <w:tcW w:w="541" w:type="pct"/>
            <w:tcBorders>
              <w:top w:val="nil"/>
              <w:left w:val="double" w:sz="4" w:space="0" w:color="auto"/>
              <w:bottom w:val="nil"/>
              <w:right w:val="single" w:sz="4" w:space="0" w:color="auto"/>
            </w:tcBorders>
            <w:shd w:val="clear" w:color="auto" w:fill="auto"/>
            <w:noWrap/>
            <w:vAlign w:val="center"/>
            <w:hideMark/>
          </w:tcPr>
          <w:p w14:paraId="3CAAE6B4" w14:textId="77777777" w:rsidR="00782343" w:rsidRPr="000D5E4F" w:rsidRDefault="00782343" w:rsidP="00852CF5">
            <w:pPr>
              <w:keepNext/>
              <w:keepLines/>
              <w:spacing w:before="0" w:line="240" w:lineRule="auto"/>
              <w:contextualSpacing/>
              <w:jc w:val="right"/>
              <w:rPr>
                <w:color w:val="000000"/>
                <w:sz w:val="22"/>
                <w:szCs w:val="22"/>
              </w:rPr>
            </w:pPr>
            <w:r w:rsidRPr="000D5E4F">
              <w:rPr>
                <w:color w:val="000000"/>
                <w:sz w:val="22"/>
                <w:szCs w:val="22"/>
              </w:rPr>
              <w:t>-0.202</w:t>
            </w:r>
          </w:p>
        </w:tc>
        <w:tc>
          <w:tcPr>
            <w:tcW w:w="541" w:type="pct"/>
            <w:tcBorders>
              <w:top w:val="nil"/>
              <w:left w:val="single" w:sz="4" w:space="0" w:color="auto"/>
              <w:bottom w:val="nil"/>
              <w:right w:val="double" w:sz="4" w:space="0" w:color="auto"/>
            </w:tcBorders>
            <w:shd w:val="clear" w:color="auto" w:fill="auto"/>
            <w:noWrap/>
            <w:vAlign w:val="center"/>
            <w:hideMark/>
          </w:tcPr>
          <w:p w14:paraId="03616EB9" w14:textId="77777777" w:rsidR="00782343" w:rsidRPr="000D5E4F" w:rsidRDefault="00782343" w:rsidP="00852CF5">
            <w:pPr>
              <w:keepNext/>
              <w:keepLines/>
              <w:spacing w:before="0" w:line="240" w:lineRule="auto"/>
              <w:contextualSpacing/>
              <w:jc w:val="right"/>
              <w:rPr>
                <w:color w:val="000000"/>
                <w:sz w:val="22"/>
                <w:szCs w:val="22"/>
              </w:rPr>
            </w:pPr>
            <w:r w:rsidRPr="000D5E4F">
              <w:rPr>
                <w:color w:val="000000"/>
                <w:sz w:val="22"/>
                <w:szCs w:val="22"/>
              </w:rPr>
              <w:t>-4.54</w:t>
            </w:r>
          </w:p>
        </w:tc>
        <w:tc>
          <w:tcPr>
            <w:tcW w:w="541" w:type="pct"/>
            <w:tcBorders>
              <w:top w:val="nil"/>
              <w:left w:val="double" w:sz="4" w:space="0" w:color="auto"/>
              <w:bottom w:val="nil"/>
              <w:right w:val="single" w:sz="4" w:space="0" w:color="auto"/>
            </w:tcBorders>
            <w:shd w:val="clear" w:color="auto" w:fill="auto"/>
            <w:noWrap/>
            <w:vAlign w:val="center"/>
            <w:hideMark/>
          </w:tcPr>
          <w:p w14:paraId="4BE14ED4" w14:textId="77777777" w:rsidR="00782343" w:rsidRPr="000D5E4F" w:rsidRDefault="00782343" w:rsidP="00852CF5">
            <w:pPr>
              <w:keepNext/>
              <w:keepLines/>
              <w:spacing w:before="0" w:line="240" w:lineRule="auto"/>
              <w:contextualSpacing/>
              <w:jc w:val="right"/>
              <w:rPr>
                <w:color w:val="000000"/>
                <w:sz w:val="22"/>
                <w:szCs w:val="22"/>
              </w:rPr>
            </w:pPr>
            <w:r w:rsidRPr="000D5E4F">
              <w:rPr>
                <w:color w:val="000000"/>
                <w:sz w:val="22"/>
                <w:szCs w:val="22"/>
              </w:rPr>
              <w:t>0.326</w:t>
            </w:r>
          </w:p>
        </w:tc>
        <w:tc>
          <w:tcPr>
            <w:tcW w:w="539" w:type="pct"/>
            <w:tcBorders>
              <w:top w:val="nil"/>
              <w:left w:val="single" w:sz="4" w:space="0" w:color="auto"/>
              <w:bottom w:val="nil"/>
              <w:right w:val="double" w:sz="4" w:space="0" w:color="auto"/>
            </w:tcBorders>
            <w:shd w:val="clear" w:color="auto" w:fill="auto"/>
            <w:noWrap/>
            <w:vAlign w:val="center"/>
            <w:hideMark/>
          </w:tcPr>
          <w:p w14:paraId="1D99E785" w14:textId="77777777" w:rsidR="00782343" w:rsidRPr="000D5E4F" w:rsidRDefault="00782343" w:rsidP="00852CF5">
            <w:pPr>
              <w:keepNext/>
              <w:keepLines/>
              <w:spacing w:before="0" w:line="240" w:lineRule="auto"/>
              <w:contextualSpacing/>
              <w:jc w:val="right"/>
              <w:rPr>
                <w:color w:val="000000"/>
                <w:sz w:val="22"/>
                <w:szCs w:val="22"/>
              </w:rPr>
            </w:pPr>
            <w:r w:rsidRPr="000D5E4F">
              <w:rPr>
                <w:color w:val="000000"/>
                <w:sz w:val="22"/>
                <w:szCs w:val="22"/>
              </w:rPr>
              <w:t>4.13</w:t>
            </w:r>
          </w:p>
        </w:tc>
      </w:tr>
      <w:tr w:rsidR="00782343" w:rsidRPr="000D5E4F" w14:paraId="080105F4" w14:textId="77777777" w:rsidTr="00907D2E">
        <w:trPr>
          <w:trHeight w:val="288"/>
        </w:trPr>
        <w:tc>
          <w:tcPr>
            <w:tcW w:w="2838" w:type="pct"/>
            <w:gridSpan w:val="2"/>
            <w:tcBorders>
              <w:top w:val="nil"/>
              <w:left w:val="double" w:sz="4" w:space="0" w:color="auto"/>
              <w:bottom w:val="nil"/>
              <w:right w:val="double" w:sz="4" w:space="0" w:color="auto"/>
            </w:tcBorders>
            <w:shd w:val="clear" w:color="auto" w:fill="auto"/>
            <w:noWrap/>
            <w:vAlign w:val="center"/>
            <w:hideMark/>
          </w:tcPr>
          <w:p w14:paraId="06EADB4A" w14:textId="77777777" w:rsidR="00782343" w:rsidRPr="000D5E4F" w:rsidRDefault="00782343" w:rsidP="00852CF5">
            <w:pPr>
              <w:spacing w:before="0" w:line="240" w:lineRule="auto"/>
              <w:contextualSpacing/>
              <w:rPr>
                <w:color w:val="000000"/>
                <w:sz w:val="22"/>
                <w:szCs w:val="22"/>
              </w:rPr>
            </w:pPr>
            <w:r w:rsidRPr="000D5E4F">
              <w:rPr>
                <w:color w:val="000000"/>
                <w:sz w:val="22"/>
                <w:szCs w:val="22"/>
              </w:rPr>
              <w:t>Annual household income (base: less than $50,000)</w:t>
            </w:r>
          </w:p>
        </w:tc>
        <w:tc>
          <w:tcPr>
            <w:tcW w:w="541" w:type="pct"/>
            <w:tcBorders>
              <w:top w:val="nil"/>
              <w:left w:val="double" w:sz="4" w:space="0" w:color="auto"/>
              <w:bottom w:val="nil"/>
              <w:right w:val="single" w:sz="4" w:space="0" w:color="auto"/>
            </w:tcBorders>
            <w:shd w:val="clear" w:color="auto" w:fill="auto"/>
            <w:noWrap/>
            <w:vAlign w:val="bottom"/>
            <w:hideMark/>
          </w:tcPr>
          <w:p w14:paraId="7AEB57C8" w14:textId="77777777" w:rsidR="00782343" w:rsidRPr="000D5E4F" w:rsidRDefault="00782343" w:rsidP="00852CF5">
            <w:pPr>
              <w:spacing w:before="0" w:line="240" w:lineRule="auto"/>
              <w:contextualSpacing/>
              <w:jc w:val="right"/>
              <w:rPr>
                <w:color w:val="000000"/>
                <w:sz w:val="22"/>
                <w:szCs w:val="22"/>
              </w:rPr>
            </w:pPr>
          </w:p>
        </w:tc>
        <w:tc>
          <w:tcPr>
            <w:tcW w:w="541" w:type="pct"/>
            <w:tcBorders>
              <w:top w:val="nil"/>
              <w:left w:val="single" w:sz="4" w:space="0" w:color="auto"/>
              <w:right w:val="double" w:sz="4" w:space="0" w:color="auto"/>
            </w:tcBorders>
            <w:shd w:val="clear" w:color="auto" w:fill="auto"/>
            <w:noWrap/>
            <w:vAlign w:val="center"/>
            <w:hideMark/>
          </w:tcPr>
          <w:p w14:paraId="319392D0" w14:textId="77777777" w:rsidR="00782343" w:rsidRPr="000D5E4F" w:rsidRDefault="00782343" w:rsidP="00852CF5">
            <w:pPr>
              <w:spacing w:before="0" w:line="240" w:lineRule="auto"/>
              <w:contextualSpacing/>
              <w:jc w:val="right"/>
              <w:rPr>
                <w:color w:val="000000"/>
                <w:sz w:val="22"/>
                <w:szCs w:val="22"/>
              </w:rPr>
            </w:pPr>
            <w:r w:rsidRPr="000D5E4F">
              <w:rPr>
                <w:color w:val="000000"/>
                <w:sz w:val="22"/>
                <w:szCs w:val="22"/>
              </w:rPr>
              <w:t> </w:t>
            </w:r>
          </w:p>
        </w:tc>
        <w:tc>
          <w:tcPr>
            <w:tcW w:w="541" w:type="pct"/>
            <w:tcBorders>
              <w:top w:val="nil"/>
              <w:left w:val="double" w:sz="4" w:space="0" w:color="auto"/>
              <w:bottom w:val="nil"/>
              <w:right w:val="single" w:sz="4" w:space="0" w:color="auto"/>
            </w:tcBorders>
            <w:shd w:val="clear" w:color="auto" w:fill="auto"/>
            <w:noWrap/>
            <w:vAlign w:val="center"/>
            <w:hideMark/>
          </w:tcPr>
          <w:p w14:paraId="0573F27C" w14:textId="77777777" w:rsidR="00782343" w:rsidRPr="000D5E4F" w:rsidRDefault="00782343" w:rsidP="00852CF5">
            <w:pPr>
              <w:spacing w:before="0" w:line="240" w:lineRule="auto"/>
              <w:contextualSpacing/>
              <w:jc w:val="right"/>
              <w:rPr>
                <w:color w:val="000000"/>
                <w:sz w:val="22"/>
                <w:szCs w:val="22"/>
              </w:rPr>
            </w:pPr>
          </w:p>
        </w:tc>
        <w:tc>
          <w:tcPr>
            <w:tcW w:w="539" w:type="pct"/>
            <w:tcBorders>
              <w:top w:val="nil"/>
              <w:left w:val="single" w:sz="4" w:space="0" w:color="auto"/>
              <w:bottom w:val="nil"/>
              <w:right w:val="double" w:sz="4" w:space="0" w:color="auto"/>
            </w:tcBorders>
            <w:shd w:val="clear" w:color="auto" w:fill="auto"/>
            <w:noWrap/>
            <w:vAlign w:val="center"/>
            <w:hideMark/>
          </w:tcPr>
          <w:p w14:paraId="4C2A2602" w14:textId="77777777" w:rsidR="00782343" w:rsidRPr="000D5E4F" w:rsidRDefault="00782343" w:rsidP="00852CF5">
            <w:pPr>
              <w:spacing w:before="0" w:line="240" w:lineRule="auto"/>
              <w:contextualSpacing/>
              <w:jc w:val="right"/>
              <w:rPr>
                <w:color w:val="000000"/>
                <w:sz w:val="22"/>
                <w:szCs w:val="22"/>
              </w:rPr>
            </w:pPr>
            <w:r w:rsidRPr="000D5E4F">
              <w:rPr>
                <w:color w:val="000000"/>
                <w:sz w:val="22"/>
                <w:szCs w:val="22"/>
              </w:rPr>
              <w:t> </w:t>
            </w:r>
          </w:p>
        </w:tc>
      </w:tr>
      <w:tr w:rsidR="00782343" w:rsidRPr="000D5E4F" w14:paraId="60C3DE63" w14:textId="77777777" w:rsidTr="00907D2E">
        <w:trPr>
          <w:trHeight w:val="288"/>
        </w:trPr>
        <w:tc>
          <w:tcPr>
            <w:tcW w:w="2838" w:type="pct"/>
            <w:gridSpan w:val="2"/>
            <w:tcBorders>
              <w:top w:val="nil"/>
              <w:left w:val="double" w:sz="4" w:space="0" w:color="auto"/>
              <w:right w:val="double" w:sz="4" w:space="0" w:color="auto"/>
            </w:tcBorders>
            <w:shd w:val="clear" w:color="auto" w:fill="auto"/>
            <w:noWrap/>
            <w:vAlign w:val="center"/>
            <w:hideMark/>
          </w:tcPr>
          <w:p w14:paraId="2A4E1258" w14:textId="77777777" w:rsidR="00782343" w:rsidRPr="000D5E4F" w:rsidRDefault="00782343" w:rsidP="00852CF5">
            <w:pPr>
              <w:spacing w:before="0" w:line="240" w:lineRule="auto"/>
              <w:contextualSpacing/>
              <w:rPr>
                <w:color w:val="000000"/>
                <w:sz w:val="22"/>
                <w:szCs w:val="22"/>
              </w:rPr>
            </w:pPr>
            <w:r w:rsidRPr="000D5E4F">
              <w:rPr>
                <w:color w:val="000000"/>
                <w:sz w:val="22"/>
                <w:szCs w:val="22"/>
              </w:rPr>
              <w:t xml:space="preserve">    $50,000-$100,000</w:t>
            </w:r>
          </w:p>
        </w:tc>
        <w:tc>
          <w:tcPr>
            <w:tcW w:w="541" w:type="pct"/>
            <w:tcBorders>
              <w:top w:val="nil"/>
              <w:left w:val="double" w:sz="4" w:space="0" w:color="auto"/>
              <w:right w:val="single" w:sz="4" w:space="0" w:color="auto"/>
            </w:tcBorders>
            <w:shd w:val="clear" w:color="auto" w:fill="auto"/>
            <w:noWrap/>
            <w:vAlign w:val="center"/>
            <w:hideMark/>
          </w:tcPr>
          <w:p w14:paraId="1022965C" w14:textId="77777777" w:rsidR="00782343" w:rsidRPr="000D5E4F" w:rsidRDefault="00782343" w:rsidP="00852CF5">
            <w:pPr>
              <w:spacing w:before="0" w:line="240" w:lineRule="auto"/>
              <w:contextualSpacing/>
              <w:jc w:val="right"/>
              <w:rPr>
                <w:color w:val="000000"/>
                <w:sz w:val="22"/>
                <w:szCs w:val="22"/>
              </w:rPr>
            </w:pPr>
            <w:r w:rsidRPr="000D5E4F">
              <w:rPr>
                <w:color w:val="000000"/>
                <w:sz w:val="22"/>
                <w:szCs w:val="22"/>
              </w:rPr>
              <w:t>-0.214</w:t>
            </w:r>
          </w:p>
        </w:tc>
        <w:tc>
          <w:tcPr>
            <w:tcW w:w="541" w:type="pct"/>
            <w:tcBorders>
              <w:top w:val="nil"/>
              <w:left w:val="single" w:sz="4" w:space="0" w:color="auto"/>
              <w:right w:val="double" w:sz="4" w:space="0" w:color="auto"/>
            </w:tcBorders>
            <w:shd w:val="clear" w:color="auto" w:fill="auto"/>
            <w:noWrap/>
            <w:vAlign w:val="center"/>
            <w:hideMark/>
          </w:tcPr>
          <w:p w14:paraId="19EEF97A" w14:textId="77777777" w:rsidR="00782343" w:rsidRPr="000D5E4F" w:rsidRDefault="00782343" w:rsidP="00852CF5">
            <w:pPr>
              <w:spacing w:before="0" w:line="240" w:lineRule="auto"/>
              <w:contextualSpacing/>
              <w:jc w:val="right"/>
              <w:rPr>
                <w:color w:val="000000"/>
                <w:sz w:val="22"/>
                <w:szCs w:val="22"/>
              </w:rPr>
            </w:pPr>
            <w:r w:rsidRPr="000D5E4F">
              <w:rPr>
                <w:color w:val="000000"/>
                <w:sz w:val="22"/>
                <w:szCs w:val="22"/>
              </w:rPr>
              <w:t>-5.43</w:t>
            </w:r>
          </w:p>
        </w:tc>
        <w:tc>
          <w:tcPr>
            <w:tcW w:w="541" w:type="pct"/>
            <w:tcBorders>
              <w:top w:val="nil"/>
              <w:left w:val="double" w:sz="4" w:space="0" w:color="auto"/>
              <w:right w:val="single" w:sz="4" w:space="0" w:color="auto"/>
            </w:tcBorders>
            <w:shd w:val="clear" w:color="auto" w:fill="auto"/>
            <w:noWrap/>
            <w:vAlign w:val="center"/>
            <w:hideMark/>
          </w:tcPr>
          <w:p w14:paraId="7FE57DAE" w14:textId="77777777" w:rsidR="00782343" w:rsidRPr="000D5E4F" w:rsidRDefault="00782343" w:rsidP="00852CF5">
            <w:pPr>
              <w:spacing w:before="0" w:line="240" w:lineRule="auto"/>
              <w:contextualSpacing/>
              <w:jc w:val="right"/>
              <w:rPr>
                <w:color w:val="000000"/>
                <w:sz w:val="22"/>
                <w:szCs w:val="22"/>
              </w:rPr>
            </w:pPr>
            <w:r w:rsidRPr="000D5E4F">
              <w:rPr>
                <w:color w:val="000000"/>
                <w:sz w:val="22"/>
                <w:szCs w:val="22"/>
              </w:rPr>
              <w:t>-</w:t>
            </w:r>
          </w:p>
        </w:tc>
        <w:tc>
          <w:tcPr>
            <w:tcW w:w="539" w:type="pct"/>
            <w:tcBorders>
              <w:top w:val="nil"/>
              <w:left w:val="single" w:sz="4" w:space="0" w:color="auto"/>
              <w:right w:val="double" w:sz="4" w:space="0" w:color="auto"/>
            </w:tcBorders>
            <w:shd w:val="clear" w:color="auto" w:fill="auto"/>
            <w:noWrap/>
            <w:vAlign w:val="center"/>
            <w:hideMark/>
          </w:tcPr>
          <w:p w14:paraId="22137D8A" w14:textId="77777777" w:rsidR="00782343" w:rsidRPr="000D5E4F" w:rsidRDefault="00782343" w:rsidP="00852CF5">
            <w:pPr>
              <w:spacing w:before="0" w:line="240" w:lineRule="auto"/>
              <w:contextualSpacing/>
              <w:jc w:val="right"/>
              <w:rPr>
                <w:color w:val="000000"/>
                <w:sz w:val="22"/>
                <w:szCs w:val="22"/>
              </w:rPr>
            </w:pPr>
            <w:r w:rsidRPr="000D5E4F">
              <w:rPr>
                <w:color w:val="000000"/>
                <w:sz w:val="22"/>
                <w:szCs w:val="22"/>
              </w:rPr>
              <w:t>-</w:t>
            </w:r>
          </w:p>
        </w:tc>
      </w:tr>
      <w:tr w:rsidR="00782343" w:rsidRPr="000D5E4F" w14:paraId="3402BA68" w14:textId="77777777" w:rsidTr="00907D2E">
        <w:trPr>
          <w:trHeight w:val="288"/>
        </w:trPr>
        <w:tc>
          <w:tcPr>
            <w:tcW w:w="2838" w:type="pct"/>
            <w:gridSpan w:val="2"/>
            <w:tcBorders>
              <w:top w:val="nil"/>
              <w:left w:val="double" w:sz="4" w:space="0" w:color="auto"/>
              <w:bottom w:val="double" w:sz="4" w:space="0" w:color="auto"/>
              <w:right w:val="double" w:sz="4" w:space="0" w:color="auto"/>
            </w:tcBorders>
            <w:shd w:val="clear" w:color="auto" w:fill="auto"/>
            <w:noWrap/>
            <w:vAlign w:val="center"/>
            <w:hideMark/>
          </w:tcPr>
          <w:p w14:paraId="55377233" w14:textId="77777777" w:rsidR="00782343" w:rsidRPr="000D5E4F" w:rsidRDefault="00782343" w:rsidP="00852CF5">
            <w:pPr>
              <w:spacing w:before="0" w:line="240" w:lineRule="auto"/>
              <w:contextualSpacing/>
              <w:rPr>
                <w:color w:val="000000"/>
                <w:sz w:val="22"/>
                <w:szCs w:val="22"/>
              </w:rPr>
            </w:pPr>
            <w:r w:rsidRPr="000D5E4F">
              <w:rPr>
                <w:color w:val="000000"/>
                <w:sz w:val="22"/>
                <w:szCs w:val="22"/>
              </w:rPr>
              <w:t xml:space="preserve">    Greater than $100,000</w:t>
            </w:r>
          </w:p>
        </w:tc>
        <w:tc>
          <w:tcPr>
            <w:tcW w:w="541" w:type="pct"/>
            <w:tcBorders>
              <w:top w:val="nil"/>
              <w:left w:val="double" w:sz="4" w:space="0" w:color="auto"/>
              <w:bottom w:val="double" w:sz="4" w:space="0" w:color="auto"/>
              <w:right w:val="single" w:sz="4" w:space="0" w:color="auto"/>
            </w:tcBorders>
            <w:shd w:val="clear" w:color="auto" w:fill="auto"/>
            <w:noWrap/>
            <w:vAlign w:val="center"/>
            <w:hideMark/>
          </w:tcPr>
          <w:p w14:paraId="4B25007E" w14:textId="77777777" w:rsidR="00782343" w:rsidRPr="000D5E4F" w:rsidRDefault="00782343" w:rsidP="00852CF5">
            <w:pPr>
              <w:spacing w:before="0" w:line="240" w:lineRule="auto"/>
              <w:contextualSpacing/>
              <w:jc w:val="right"/>
              <w:rPr>
                <w:color w:val="000000"/>
                <w:sz w:val="22"/>
                <w:szCs w:val="22"/>
              </w:rPr>
            </w:pPr>
            <w:r w:rsidRPr="000D5E4F">
              <w:rPr>
                <w:color w:val="000000"/>
                <w:sz w:val="22"/>
                <w:szCs w:val="22"/>
              </w:rPr>
              <w:t>-0.214</w:t>
            </w:r>
          </w:p>
        </w:tc>
        <w:tc>
          <w:tcPr>
            <w:tcW w:w="541" w:type="pct"/>
            <w:tcBorders>
              <w:left w:val="single" w:sz="4" w:space="0" w:color="auto"/>
              <w:bottom w:val="double" w:sz="4" w:space="0" w:color="auto"/>
              <w:right w:val="double" w:sz="4" w:space="0" w:color="auto"/>
            </w:tcBorders>
            <w:shd w:val="clear" w:color="auto" w:fill="auto"/>
            <w:noWrap/>
            <w:vAlign w:val="center"/>
            <w:hideMark/>
          </w:tcPr>
          <w:p w14:paraId="6590C62D" w14:textId="77777777" w:rsidR="00782343" w:rsidRPr="000D5E4F" w:rsidRDefault="00782343" w:rsidP="00852CF5">
            <w:pPr>
              <w:spacing w:before="0" w:line="240" w:lineRule="auto"/>
              <w:contextualSpacing/>
              <w:jc w:val="right"/>
              <w:rPr>
                <w:color w:val="000000"/>
                <w:sz w:val="22"/>
                <w:szCs w:val="22"/>
              </w:rPr>
            </w:pPr>
            <w:r w:rsidRPr="000D5E4F">
              <w:rPr>
                <w:color w:val="000000"/>
                <w:sz w:val="22"/>
                <w:szCs w:val="22"/>
              </w:rPr>
              <w:t>-5.43</w:t>
            </w:r>
          </w:p>
        </w:tc>
        <w:tc>
          <w:tcPr>
            <w:tcW w:w="541" w:type="pct"/>
            <w:tcBorders>
              <w:top w:val="nil"/>
              <w:left w:val="double" w:sz="4" w:space="0" w:color="auto"/>
              <w:bottom w:val="double" w:sz="4" w:space="0" w:color="auto"/>
              <w:right w:val="single" w:sz="4" w:space="0" w:color="auto"/>
            </w:tcBorders>
            <w:shd w:val="clear" w:color="auto" w:fill="auto"/>
            <w:noWrap/>
            <w:vAlign w:val="center"/>
            <w:hideMark/>
          </w:tcPr>
          <w:p w14:paraId="7E0F9578" w14:textId="77777777" w:rsidR="00782343" w:rsidRPr="000D5E4F" w:rsidRDefault="00782343" w:rsidP="00852CF5">
            <w:pPr>
              <w:spacing w:before="0" w:line="240" w:lineRule="auto"/>
              <w:contextualSpacing/>
              <w:jc w:val="right"/>
              <w:rPr>
                <w:color w:val="000000"/>
                <w:sz w:val="22"/>
                <w:szCs w:val="22"/>
              </w:rPr>
            </w:pPr>
            <w:r w:rsidRPr="000D5E4F">
              <w:rPr>
                <w:color w:val="000000"/>
                <w:sz w:val="22"/>
                <w:szCs w:val="22"/>
              </w:rPr>
              <w:t>0.181</w:t>
            </w:r>
          </w:p>
        </w:tc>
        <w:tc>
          <w:tcPr>
            <w:tcW w:w="539" w:type="pct"/>
            <w:tcBorders>
              <w:top w:val="nil"/>
              <w:left w:val="single" w:sz="4" w:space="0" w:color="auto"/>
              <w:bottom w:val="double" w:sz="4" w:space="0" w:color="auto"/>
              <w:right w:val="double" w:sz="4" w:space="0" w:color="auto"/>
            </w:tcBorders>
            <w:shd w:val="clear" w:color="auto" w:fill="auto"/>
            <w:noWrap/>
            <w:vAlign w:val="center"/>
            <w:hideMark/>
          </w:tcPr>
          <w:p w14:paraId="36E616BA" w14:textId="77777777" w:rsidR="00782343" w:rsidRPr="000D5E4F" w:rsidRDefault="00782343" w:rsidP="00852CF5">
            <w:pPr>
              <w:spacing w:before="0" w:line="240" w:lineRule="auto"/>
              <w:contextualSpacing/>
              <w:jc w:val="right"/>
              <w:rPr>
                <w:color w:val="000000"/>
                <w:sz w:val="22"/>
                <w:szCs w:val="22"/>
              </w:rPr>
            </w:pPr>
            <w:r w:rsidRPr="000D5E4F">
              <w:rPr>
                <w:color w:val="000000"/>
                <w:sz w:val="22"/>
                <w:szCs w:val="22"/>
              </w:rPr>
              <w:t>2.33</w:t>
            </w:r>
          </w:p>
        </w:tc>
      </w:tr>
      <w:tr w:rsidR="00782343" w:rsidRPr="000D5E4F" w14:paraId="34B5A4F2" w14:textId="77777777" w:rsidTr="00907D2E">
        <w:trPr>
          <w:trHeight w:val="288"/>
        </w:trPr>
        <w:tc>
          <w:tcPr>
            <w:tcW w:w="1852" w:type="pct"/>
            <w:vMerge w:val="restart"/>
            <w:tcBorders>
              <w:top w:val="double" w:sz="4" w:space="0" w:color="auto"/>
              <w:left w:val="double" w:sz="4" w:space="0" w:color="auto"/>
              <w:right w:val="double" w:sz="4" w:space="0" w:color="auto"/>
            </w:tcBorders>
            <w:shd w:val="clear" w:color="auto" w:fill="auto"/>
            <w:noWrap/>
            <w:vAlign w:val="center"/>
            <w:hideMark/>
          </w:tcPr>
          <w:p w14:paraId="67B603A4" w14:textId="77777777" w:rsidR="00782343" w:rsidRPr="000D5E4F" w:rsidRDefault="00782343" w:rsidP="00852CF5">
            <w:pPr>
              <w:spacing w:before="0" w:line="240" w:lineRule="auto"/>
              <w:contextualSpacing/>
              <w:rPr>
                <w:color w:val="000000"/>
                <w:sz w:val="22"/>
                <w:szCs w:val="22"/>
              </w:rPr>
            </w:pPr>
            <w:r w:rsidRPr="000D5E4F">
              <w:rPr>
                <w:color w:val="000000"/>
                <w:sz w:val="22"/>
                <w:szCs w:val="22"/>
              </w:rPr>
              <w:t xml:space="preserve">Correlation </w:t>
            </w:r>
            <w:r w:rsidRPr="000D5E4F">
              <w:rPr>
                <w:position w:val="-4"/>
                <w:sz w:val="22"/>
                <w:szCs w:val="22"/>
              </w:rPr>
              <w:object w:dxaOrig="240" w:dyaOrig="260" w14:anchorId="6EB08654">
                <v:shape id="_x0000_i1195" type="#_x0000_t75" style="width:12pt;height:12pt" o:ole="">
                  <v:imagedata r:id="rId338" o:title=""/>
                </v:shape>
                <o:OLEObject Type="Embed" ProgID="Equation.DSMT4" ShapeID="_x0000_i1195" DrawAspect="Content" ObjectID="_1738155092" r:id="rId339"/>
              </w:object>
            </w:r>
            <w:r w:rsidRPr="000D5E4F">
              <w:rPr>
                <w:color w:val="000000"/>
                <w:sz w:val="22"/>
                <w:szCs w:val="22"/>
              </w:rPr>
              <w:t>among latent constructs</w:t>
            </w:r>
          </w:p>
        </w:tc>
        <w:tc>
          <w:tcPr>
            <w:tcW w:w="986" w:type="pct"/>
            <w:tcBorders>
              <w:top w:val="double" w:sz="4" w:space="0" w:color="auto"/>
              <w:left w:val="double" w:sz="4" w:space="0" w:color="auto"/>
              <w:bottom w:val="single" w:sz="4" w:space="0" w:color="auto"/>
              <w:right w:val="double" w:sz="4" w:space="0" w:color="auto"/>
            </w:tcBorders>
            <w:shd w:val="clear" w:color="auto" w:fill="auto"/>
            <w:vAlign w:val="center"/>
          </w:tcPr>
          <w:p w14:paraId="4CB69EF1" w14:textId="77777777" w:rsidR="00782343" w:rsidRPr="000D5E4F" w:rsidRDefault="00782343" w:rsidP="00852CF5">
            <w:pPr>
              <w:spacing w:before="0" w:line="240" w:lineRule="auto"/>
              <w:contextualSpacing/>
              <w:rPr>
                <w:b/>
                <w:color w:val="000000"/>
                <w:sz w:val="22"/>
                <w:szCs w:val="22"/>
              </w:rPr>
            </w:pPr>
            <w:r w:rsidRPr="000D5E4F">
              <w:rPr>
                <w:b/>
                <w:color w:val="000000"/>
                <w:sz w:val="22"/>
                <w:szCs w:val="22"/>
              </w:rPr>
              <w:t>GLP</w:t>
            </w:r>
          </w:p>
        </w:tc>
        <w:tc>
          <w:tcPr>
            <w:tcW w:w="541" w:type="pct"/>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14FC60C4" w14:textId="77777777" w:rsidR="00782343" w:rsidRPr="000D5E4F" w:rsidRDefault="00782343" w:rsidP="00852CF5">
            <w:pPr>
              <w:spacing w:before="0" w:line="240" w:lineRule="auto"/>
              <w:contextualSpacing/>
              <w:jc w:val="right"/>
              <w:rPr>
                <w:color w:val="000000"/>
                <w:sz w:val="22"/>
                <w:szCs w:val="22"/>
              </w:rPr>
            </w:pPr>
            <w:r w:rsidRPr="000D5E4F">
              <w:rPr>
                <w:color w:val="000000"/>
                <w:sz w:val="22"/>
                <w:szCs w:val="22"/>
              </w:rPr>
              <w:t>1.000</w:t>
            </w:r>
          </w:p>
        </w:tc>
        <w:tc>
          <w:tcPr>
            <w:tcW w:w="541" w:type="pct"/>
            <w:tcBorders>
              <w:top w:val="double" w:sz="4" w:space="0" w:color="auto"/>
              <w:left w:val="single" w:sz="4" w:space="0" w:color="auto"/>
              <w:bottom w:val="single" w:sz="4" w:space="0" w:color="auto"/>
              <w:right w:val="double" w:sz="4" w:space="0" w:color="auto"/>
            </w:tcBorders>
            <w:shd w:val="clear" w:color="auto" w:fill="auto"/>
            <w:vAlign w:val="center"/>
            <w:hideMark/>
          </w:tcPr>
          <w:p w14:paraId="3118F12E" w14:textId="77777777" w:rsidR="00782343" w:rsidRPr="000D5E4F" w:rsidRDefault="00782343" w:rsidP="00852CF5">
            <w:pPr>
              <w:spacing w:before="0" w:line="240" w:lineRule="auto"/>
              <w:contextualSpacing/>
              <w:jc w:val="right"/>
              <w:rPr>
                <w:color w:val="000000"/>
                <w:sz w:val="22"/>
                <w:szCs w:val="22"/>
              </w:rPr>
            </w:pPr>
            <w:r w:rsidRPr="000D5E4F">
              <w:rPr>
                <w:color w:val="000000"/>
                <w:sz w:val="22"/>
                <w:szCs w:val="22"/>
              </w:rPr>
              <w:t>NA</w:t>
            </w:r>
          </w:p>
        </w:tc>
        <w:tc>
          <w:tcPr>
            <w:tcW w:w="541" w:type="pct"/>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24E95179" w14:textId="77777777" w:rsidR="00782343" w:rsidRPr="000D5E4F" w:rsidRDefault="00782343" w:rsidP="00852CF5">
            <w:pPr>
              <w:spacing w:before="0" w:line="240" w:lineRule="auto"/>
              <w:contextualSpacing/>
              <w:jc w:val="right"/>
              <w:rPr>
                <w:color w:val="000000"/>
                <w:sz w:val="22"/>
                <w:szCs w:val="22"/>
              </w:rPr>
            </w:pPr>
            <w:r w:rsidRPr="000D5E4F">
              <w:rPr>
                <w:color w:val="000000"/>
                <w:sz w:val="22"/>
                <w:szCs w:val="22"/>
              </w:rPr>
              <w:t>-0.489</w:t>
            </w:r>
          </w:p>
        </w:tc>
        <w:tc>
          <w:tcPr>
            <w:tcW w:w="539" w:type="pct"/>
            <w:tcBorders>
              <w:top w:val="double" w:sz="4" w:space="0" w:color="auto"/>
              <w:left w:val="single" w:sz="4" w:space="0" w:color="auto"/>
              <w:bottom w:val="single" w:sz="4" w:space="0" w:color="auto"/>
              <w:right w:val="double" w:sz="4" w:space="0" w:color="auto"/>
            </w:tcBorders>
            <w:shd w:val="clear" w:color="auto" w:fill="auto"/>
            <w:vAlign w:val="center"/>
            <w:hideMark/>
          </w:tcPr>
          <w:p w14:paraId="25E747AE" w14:textId="77777777" w:rsidR="00782343" w:rsidRPr="000D5E4F" w:rsidRDefault="00782343" w:rsidP="00852CF5">
            <w:pPr>
              <w:spacing w:before="0" w:line="240" w:lineRule="auto"/>
              <w:contextualSpacing/>
              <w:jc w:val="right"/>
              <w:rPr>
                <w:color w:val="000000"/>
                <w:sz w:val="22"/>
                <w:szCs w:val="22"/>
              </w:rPr>
            </w:pPr>
            <w:r w:rsidRPr="000D5E4F">
              <w:rPr>
                <w:color w:val="000000"/>
                <w:sz w:val="22"/>
                <w:szCs w:val="22"/>
              </w:rPr>
              <w:t>-4.04</w:t>
            </w:r>
          </w:p>
        </w:tc>
      </w:tr>
      <w:tr w:rsidR="00782343" w:rsidRPr="000D5E4F" w14:paraId="1789E9F4" w14:textId="77777777" w:rsidTr="00907D2E">
        <w:trPr>
          <w:trHeight w:val="288"/>
        </w:trPr>
        <w:tc>
          <w:tcPr>
            <w:tcW w:w="1852" w:type="pct"/>
            <w:vMerge/>
            <w:tcBorders>
              <w:left w:val="double" w:sz="4" w:space="0" w:color="auto"/>
              <w:bottom w:val="double" w:sz="4" w:space="0" w:color="auto"/>
              <w:right w:val="double" w:sz="4" w:space="0" w:color="auto"/>
            </w:tcBorders>
            <w:shd w:val="clear" w:color="auto" w:fill="auto"/>
            <w:noWrap/>
            <w:vAlign w:val="bottom"/>
            <w:hideMark/>
          </w:tcPr>
          <w:p w14:paraId="37859D60" w14:textId="77777777" w:rsidR="00782343" w:rsidRPr="000D5E4F" w:rsidRDefault="00782343" w:rsidP="00852CF5">
            <w:pPr>
              <w:spacing w:before="0" w:line="240" w:lineRule="auto"/>
              <w:contextualSpacing/>
              <w:jc w:val="right"/>
              <w:rPr>
                <w:color w:val="000000"/>
                <w:sz w:val="22"/>
                <w:szCs w:val="22"/>
              </w:rPr>
            </w:pPr>
          </w:p>
        </w:tc>
        <w:tc>
          <w:tcPr>
            <w:tcW w:w="986" w:type="pct"/>
            <w:tcBorders>
              <w:top w:val="single" w:sz="4" w:space="0" w:color="auto"/>
              <w:left w:val="double" w:sz="4" w:space="0" w:color="auto"/>
              <w:bottom w:val="double" w:sz="4" w:space="0" w:color="auto"/>
              <w:right w:val="double" w:sz="4" w:space="0" w:color="auto"/>
            </w:tcBorders>
            <w:shd w:val="clear" w:color="auto" w:fill="auto"/>
            <w:vAlign w:val="bottom"/>
          </w:tcPr>
          <w:p w14:paraId="1BF32DF7" w14:textId="77777777" w:rsidR="00782343" w:rsidRPr="000D5E4F" w:rsidRDefault="00782343" w:rsidP="00852CF5">
            <w:pPr>
              <w:spacing w:before="0" w:line="240" w:lineRule="auto"/>
              <w:contextualSpacing/>
              <w:rPr>
                <w:b/>
                <w:color w:val="000000"/>
                <w:sz w:val="22"/>
                <w:szCs w:val="22"/>
              </w:rPr>
            </w:pPr>
            <w:r w:rsidRPr="000D5E4F">
              <w:rPr>
                <w:b/>
                <w:color w:val="000000"/>
                <w:sz w:val="22"/>
                <w:szCs w:val="22"/>
              </w:rPr>
              <w:t>LLP</w:t>
            </w:r>
          </w:p>
        </w:tc>
        <w:tc>
          <w:tcPr>
            <w:tcW w:w="541" w:type="pct"/>
            <w:tcBorders>
              <w:top w:val="single" w:sz="4" w:space="0" w:color="auto"/>
              <w:left w:val="double" w:sz="4" w:space="0" w:color="auto"/>
              <w:bottom w:val="double" w:sz="4" w:space="0" w:color="auto"/>
              <w:right w:val="single" w:sz="4" w:space="0" w:color="auto"/>
            </w:tcBorders>
            <w:shd w:val="clear" w:color="auto" w:fill="auto"/>
            <w:noWrap/>
            <w:vAlign w:val="center"/>
            <w:hideMark/>
          </w:tcPr>
          <w:p w14:paraId="5B371826" w14:textId="77777777" w:rsidR="00782343" w:rsidRPr="000D5E4F" w:rsidRDefault="00782343" w:rsidP="00852CF5">
            <w:pPr>
              <w:spacing w:before="0" w:line="240" w:lineRule="auto"/>
              <w:contextualSpacing/>
              <w:jc w:val="right"/>
              <w:rPr>
                <w:color w:val="000000"/>
                <w:sz w:val="22"/>
                <w:szCs w:val="22"/>
              </w:rPr>
            </w:pPr>
            <w:r w:rsidRPr="000D5E4F">
              <w:rPr>
                <w:color w:val="000000"/>
                <w:sz w:val="22"/>
                <w:szCs w:val="22"/>
              </w:rPr>
              <w:t xml:space="preserve">  -0.489</w:t>
            </w:r>
          </w:p>
        </w:tc>
        <w:tc>
          <w:tcPr>
            <w:tcW w:w="541" w:type="pct"/>
            <w:tcBorders>
              <w:top w:val="single" w:sz="4" w:space="0" w:color="auto"/>
              <w:left w:val="single" w:sz="4" w:space="0" w:color="auto"/>
              <w:bottom w:val="double" w:sz="4" w:space="0" w:color="auto"/>
              <w:right w:val="double" w:sz="4" w:space="0" w:color="auto"/>
            </w:tcBorders>
            <w:shd w:val="clear" w:color="auto" w:fill="auto"/>
            <w:vAlign w:val="center"/>
            <w:hideMark/>
          </w:tcPr>
          <w:p w14:paraId="6BA64537" w14:textId="77777777" w:rsidR="00782343" w:rsidRPr="000D5E4F" w:rsidRDefault="00782343" w:rsidP="00852CF5">
            <w:pPr>
              <w:spacing w:before="0" w:line="240" w:lineRule="auto"/>
              <w:contextualSpacing/>
              <w:jc w:val="right"/>
              <w:rPr>
                <w:color w:val="000000"/>
                <w:sz w:val="22"/>
                <w:szCs w:val="22"/>
              </w:rPr>
            </w:pPr>
            <w:r w:rsidRPr="000D5E4F">
              <w:rPr>
                <w:color w:val="000000"/>
                <w:sz w:val="22"/>
                <w:szCs w:val="22"/>
              </w:rPr>
              <w:t>-4.04</w:t>
            </w:r>
          </w:p>
        </w:tc>
        <w:tc>
          <w:tcPr>
            <w:tcW w:w="541" w:type="pct"/>
            <w:tcBorders>
              <w:top w:val="single" w:sz="4" w:space="0" w:color="auto"/>
              <w:left w:val="double" w:sz="4" w:space="0" w:color="auto"/>
              <w:bottom w:val="double" w:sz="4" w:space="0" w:color="auto"/>
              <w:right w:val="single" w:sz="4" w:space="0" w:color="auto"/>
            </w:tcBorders>
            <w:shd w:val="clear" w:color="auto" w:fill="auto"/>
            <w:noWrap/>
            <w:vAlign w:val="center"/>
            <w:hideMark/>
          </w:tcPr>
          <w:p w14:paraId="64BA3FE5" w14:textId="77777777" w:rsidR="00782343" w:rsidRPr="000D5E4F" w:rsidRDefault="00782343" w:rsidP="00852CF5">
            <w:pPr>
              <w:spacing w:before="0" w:line="240" w:lineRule="auto"/>
              <w:contextualSpacing/>
              <w:jc w:val="right"/>
              <w:rPr>
                <w:color w:val="000000"/>
                <w:sz w:val="22"/>
                <w:szCs w:val="22"/>
              </w:rPr>
            </w:pPr>
            <w:r w:rsidRPr="000D5E4F">
              <w:rPr>
                <w:color w:val="000000"/>
                <w:sz w:val="22"/>
                <w:szCs w:val="22"/>
              </w:rPr>
              <w:t>1.000</w:t>
            </w:r>
          </w:p>
        </w:tc>
        <w:tc>
          <w:tcPr>
            <w:tcW w:w="539" w:type="pct"/>
            <w:tcBorders>
              <w:top w:val="single" w:sz="4" w:space="0" w:color="auto"/>
              <w:left w:val="single" w:sz="4" w:space="0" w:color="auto"/>
              <w:bottom w:val="double" w:sz="4" w:space="0" w:color="auto"/>
              <w:right w:val="double" w:sz="4" w:space="0" w:color="auto"/>
            </w:tcBorders>
            <w:shd w:val="clear" w:color="auto" w:fill="auto"/>
            <w:vAlign w:val="center"/>
            <w:hideMark/>
          </w:tcPr>
          <w:p w14:paraId="58322A34" w14:textId="77777777" w:rsidR="00782343" w:rsidRPr="000D5E4F" w:rsidRDefault="00782343" w:rsidP="00852CF5">
            <w:pPr>
              <w:spacing w:before="0" w:line="240" w:lineRule="auto"/>
              <w:contextualSpacing/>
              <w:jc w:val="right"/>
              <w:rPr>
                <w:color w:val="000000"/>
                <w:sz w:val="22"/>
                <w:szCs w:val="22"/>
              </w:rPr>
            </w:pPr>
            <w:r w:rsidRPr="000D5E4F">
              <w:rPr>
                <w:color w:val="000000"/>
                <w:sz w:val="22"/>
                <w:szCs w:val="22"/>
              </w:rPr>
              <w:t>NA</w:t>
            </w:r>
          </w:p>
        </w:tc>
      </w:tr>
    </w:tbl>
    <w:p w14:paraId="20E1000C" w14:textId="77777777" w:rsidR="00782343" w:rsidRPr="000D5E4F" w:rsidRDefault="00782343" w:rsidP="00782343">
      <w:pPr>
        <w:spacing w:before="0" w:line="240" w:lineRule="auto"/>
        <w:jc w:val="both"/>
        <w:rPr>
          <w:sz w:val="20"/>
          <w:szCs w:val="20"/>
        </w:rPr>
      </w:pPr>
      <w:r w:rsidRPr="000D5E4F">
        <w:rPr>
          <w:b/>
          <w:sz w:val="20"/>
          <w:szCs w:val="20"/>
        </w:rPr>
        <w:t>NOTE:</w:t>
      </w:r>
      <w:r w:rsidRPr="000D5E4F">
        <w:rPr>
          <w:sz w:val="20"/>
          <w:szCs w:val="20"/>
        </w:rPr>
        <w:t xml:space="preserve"> ‘-’ indicates that the variable was not found to be statistically significant.</w:t>
      </w:r>
    </w:p>
    <w:p w14:paraId="735AEB39" w14:textId="77777777" w:rsidR="00782343" w:rsidRPr="00882FD5" w:rsidRDefault="00782343" w:rsidP="00782343">
      <w:pPr>
        <w:spacing w:before="0" w:line="240" w:lineRule="auto"/>
        <w:jc w:val="both"/>
      </w:pPr>
    </w:p>
    <w:p w14:paraId="1A4B51BA" w14:textId="7214DBA0" w:rsidR="005211D5" w:rsidRPr="00882FD5" w:rsidRDefault="00B46D10" w:rsidP="00EF31EC">
      <w:pPr>
        <w:spacing w:before="0" w:line="240" w:lineRule="auto"/>
        <w:ind w:firstLine="720"/>
        <w:jc w:val="both"/>
      </w:pPr>
      <w:r w:rsidRPr="00882FD5">
        <w:t>Age appears to be a key determinant of both GLP and LLP. In particular, older individuals (age 50 or above) exhibit lower levels of “pro-environmental” inclination as compared to their younger counterparts, an observation which is corroborated by several earlier studies in the field of gerontology, environmental science</w:t>
      </w:r>
      <w:r w:rsidR="005E4C51" w:rsidRPr="00882FD5">
        <w:t>,</w:t>
      </w:r>
      <w:r w:rsidRPr="00882FD5">
        <w:t xml:space="preserve"> </w:t>
      </w:r>
      <w:r w:rsidR="005E4C51" w:rsidRPr="00882FD5">
        <w:t>and</w:t>
      </w:r>
      <w:r w:rsidRPr="00882FD5">
        <w:t xml:space="preserve"> transportation-land use (for example, see Liu et al., 2014</w:t>
      </w:r>
      <w:r w:rsidR="005E4C51" w:rsidRPr="00882FD5">
        <w:t xml:space="preserve"> and </w:t>
      </w:r>
      <w:r w:rsidRPr="00882FD5">
        <w:t xml:space="preserve">Clements, 2012). The younger generation has grown up in an era of </w:t>
      </w:r>
      <w:r w:rsidR="00003DCD" w:rsidRPr="00882FD5">
        <w:t xml:space="preserve">an </w:t>
      </w:r>
      <w:r w:rsidRPr="00882FD5">
        <w:t xml:space="preserve">information-rich environment that appears to have made them more knowledgeable about environmental and climate change issues, thereby encouraging them to adopt a </w:t>
      </w:r>
      <w:proofErr w:type="gramStart"/>
      <w:r w:rsidRPr="00882FD5">
        <w:t>more environmental-friendly</w:t>
      </w:r>
      <w:proofErr w:type="gramEnd"/>
      <w:r w:rsidRPr="00882FD5">
        <w:t xml:space="preserve"> lifestyle </w:t>
      </w:r>
      <w:r w:rsidRPr="00882FD5">
        <w:rPr>
          <w:shd w:val="clear" w:color="auto" w:fill="FFFFFF"/>
        </w:rPr>
        <w:t xml:space="preserve">(Hassim, 2021). </w:t>
      </w:r>
      <w:r w:rsidR="00354EAD" w:rsidRPr="00882FD5">
        <w:t xml:space="preserve">Further, and not inconsistent with the finding that older individuals have a lower GLP, </w:t>
      </w:r>
      <w:r w:rsidR="005211D5" w:rsidRPr="00882FD5">
        <w:t>older individu</w:t>
      </w:r>
      <w:r w:rsidR="00354EAD" w:rsidRPr="00882FD5">
        <w:t xml:space="preserve">als </w:t>
      </w:r>
      <w:r w:rsidR="005211D5" w:rsidRPr="00882FD5">
        <w:t xml:space="preserve">have </w:t>
      </w:r>
      <w:r w:rsidR="00354EAD" w:rsidRPr="00882FD5">
        <w:t xml:space="preserve">a </w:t>
      </w:r>
      <w:r w:rsidR="005211D5" w:rsidRPr="00882FD5">
        <w:t xml:space="preserve">higher </w:t>
      </w:r>
      <w:r w:rsidR="00354EAD" w:rsidRPr="00882FD5">
        <w:t xml:space="preserve">LLP </w:t>
      </w:r>
      <w:r w:rsidR="005211D5" w:rsidRPr="00882FD5">
        <w:t xml:space="preserve">compared to their younger peers. This </w:t>
      </w:r>
      <w:r w:rsidR="00354EAD" w:rsidRPr="00882FD5">
        <w:t xml:space="preserve">may be attributed to a generally higher level of financial security and a lower need to “save for the future” as one ages, while younger individuals show more </w:t>
      </w:r>
      <w:r w:rsidR="00015BAD" w:rsidRPr="00882FD5">
        <w:t xml:space="preserve">restraint </w:t>
      </w:r>
      <w:r w:rsidR="00354EAD" w:rsidRPr="00882FD5">
        <w:t xml:space="preserve">in spending during </w:t>
      </w:r>
      <w:r w:rsidR="005211D5" w:rsidRPr="00882FD5">
        <w:t>their formative years of asset-building</w:t>
      </w:r>
      <w:r w:rsidR="00354EAD" w:rsidRPr="00882FD5">
        <w:t xml:space="preserve"> (see </w:t>
      </w:r>
      <w:r w:rsidR="00104722" w:rsidRPr="00882FD5">
        <w:t xml:space="preserve">Kahn, 2018, and </w:t>
      </w:r>
      <w:proofErr w:type="spellStart"/>
      <w:r w:rsidR="00E7442B" w:rsidRPr="00882FD5">
        <w:t>Henager</w:t>
      </w:r>
      <w:proofErr w:type="spellEnd"/>
      <w:r w:rsidR="00E7442B" w:rsidRPr="00882FD5">
        <w:t xml:space="preserve"> and </w:t>
      </w:r>
      <w:proofErr w:type="spellStart"/>
      <w:r w:rsidR="00E7442B" w:rsidRPr="00882FD5">
        <w:t>Cude</w:t>
      </w:r>
      <w:proofErr w:type="spellEnd"/>
      <w:r w:rsidR="00E7442B" w:rsidRPr="00882FD5">
        <w:t>, 2016</w:t>
      </w:r>
      <w:r w:rsidR="00354EAD" w:rsidRPr="00882FD5">
        <w:t>)</w:t>
      </w:r>
      <w:r w:rsidR="005211D5" w:rsidRPr="00882FD5">
        <w:t xml:space="preserve">. </w:t>
      </w:r>
      <w:r w:rsidR="004221A4" w:rsidRPr="00882FD5">
        <w:t>F</w:t>
      </w:r>
      <w:r w:rsidR="005211D5" w:rsidRPr="00882FD5">
        <w:t xml:space="preserve">or similar reasons, </w:t>
      </w:r>
      <w:r w:rsidR="004221A4" w:rsidRPr="00882FD5">
        <w:t xml:space="preserve">it is not surprising to find in our results that </w:t>
      </w:r>
      <w:r w:rsidR="005211D5" w:rsidRPr="00882FD5">
        <w:t xml:space="preserve">students </w:t>
      </w:r>
      <w:r w:rsidR="004221A4" w:rsidRPr="00882FD5">
        <w:t xml:space="preserve">are </w:t>
      </w:r>
      <w:r w:rsidR="005211D5" w:rsidRPr="00882FD5">
        <w:t>low on LLP.</w:t>
      </w:r>
    </w:p>
    <w:p w14:paraId="05629687" w14:textId="52BBA15D" w:rsidR="004221A4" w:rsidRPr="00882FD5" w:rsidRDefault="004221A4" w:rsidP="00EF31EC">
      <w:pPr>
        <w:spacing w:before="0" w:line="240" w:lineRule="auto"/>
        <w:ind w:firstLine="720"/>
        <w:jc w:val="both"/>
        <w:rPr>
          <w:shd w:val="clear" w:color="auto" w:fill="FFFFFF"/>
        </w:rPr>
      </w:pPr>
      <w:r w:rsidRPr="00882FD5">
        <w:rPr>
          <w:shd w:val="clear" w:color="auto" w:fill="FFFFFF"/>
        </w:rPr>
        <w:t>Higher education levels (Graduate or higher) are positively associated with GLP, a result that has also been found in many earlier studies (</w:t>
      </w:r>
      <w:r w:rsidRPr="00882FD5">
        <w:t xml:space="preserve">see, for example, Fisher et al., 2012; Franzen and </w:t>
      </w:r>
      <w:proofErr w:type="spellStart"/>
      <w:r w:rsidRPr="00882FD5">
        <w:t>Vogl</w:t>
      </w:r>
      <w:proofErr w:type="spellEnd"/>
      <w:r w:rsidRPr="00882FD5">
        <w:t>, 2013</w:t>
      </w:r>
      <w:r w:rsidR="00003DCD" w:rsidRPr="00882FD5">
        <w:t>;</w:t>
      </w:r>
      <w:r w:rsidRPr="00882FD5">
        <w:t xml:space="preserve"> and Blazanin et al., 2022</w:t>
      </w:r>
      <w:r w:rsidRPr="00882FD5">
        <w:rPr>
          <w:shd w:val="clear" w:color="auto" w:fill="FFFFFF"/>
        </w:rPr>
        <w:t xml:space="preserve">). Educated individuals are more likely to appreciate </w:t>
      </w:r>
      <w:r w:rsidR="00003DCD" w:rsidRPr="00882FD5">
        <w:rPr>
          <w:shd w:val="clear" w:color="auto" w:fill="FFFFFF"/>
        </w:rPr>
        <w:t xml:space="preserve">the </w:t>
      </w:r>
      <w:r w:rsidRPr="00882FD5">
        <w:rPr>
          <w:shd w:val="clear" w:color="auto" w:fill="FFFFFF"/>
        </w:rPr>
        <w:t>human impact on natural resource degradation and hence more likely to be environment-friendly  (</w:t>
      </w:r>
      <w:proofErr w:type="spellStart"/>
      <w:r w:rsidRPr="00882FD5">
        <w:rPr>
          <w:shd w:val="clear" w:color="auto" w:fill="FFFFFF"/>
        </w:rPr>
        <w:t>Philippssen</w:t>
      </w:r>
      <w:proofErr w:type="spellEnd"/>
      <w:r w:rsidRPr="00882FD5">
        <w:rPr>
          <w:shd w:val="clear" w:color="auto" w:fill="FFFFFF"/>
        </w:rPr>
        <w:t xml:space="preserve"> et al., 2017). </w:t>
      </w:r>
    </w:p>
    <w:p w14:paraId="50B9D490" w14:textId="6443B609" w:rsidR="009017A7" w:rsidRPr="00882FD5" w:rsidRDefault="004221A4" w:rsidP="00EF31EC">
      <w:pPr>
        <w:spacing w:before="0" w:line="240" w:lineRule="auto"/>
        <w:ind w:firstLine="720"/>
        <w:jc w:val="both"/>
      </w:pPr>
      <w:r w:rsidRPr="00882FD5">
        <w:t xml:space="preserve">The results also suggest that individuals with children in their household have lower levels of GLP </w:t>
      </w:r>
      <w:r w:rsidR="00751A2C" w:rsidRPr="00882FD5">
        <w:t xml:space="preserve">and higher levels of LLP </w:t>
      </w:r>
      <w:r w:rsidRPr="00882FD5">
        <w:t>than other individuals. As opposed to the legacy hypothesis wh</w:t>
      </w:r>
      <w:r w:rsidR="00751A2C" w:rsidRPr="00882FD5">
        <w:t>ich</w:t>
      </w:r>
      <w:r w:rsidRPr="00882FD5">
        <w:t xml:space="preserve"> suggests that parents are likely to be more concerned about the future quality of the environment that they leave behind for their children, Thomas et al. (2018) found that the immediate </w:t>
      </w:r>
      <w:r w:rsidR="00751A2C" w:rsidRPr="00882FD5">
        <w:t xml:space="preserve">short-term </w:t>
      </w:r>
      <w:r w:rsidRPr="00882FD5">
        <w:t xml:space="preserve">well-being </w:t>
      </w:r>
      <w:r w:rsidR="00751A2C" w:rsidRPr="00882FD5">
        <w:t xml:space="preserve">and comfort </w:t>
      </w:r>
      <w:r w:rsidRPr="00882FD5">
        <w:t xml:space="preserve">of </w:t>
      </w:r>
      <w:r w:rsidR="00751A2C" w:rsidRPr="00882FD5">
        <w:t xml:space="preserve">their </w:t>
      </w:r>
      <w:r w:rsidRPr="00882FD5">
        <w:t xml:space="preserve">children </w:t>
      </w:r>
      <w:r w:rsidR="00751A2C" w:rsidRPr="00882FD5">
        <w:t>is</w:t>
      </w:r>
      <w:r w:rsidRPr="00882FD5">
        <w:t xml:space="preserve"> of far greater importance to parents than any future environmental threats</w:t>
      </w:r>
      <w:r w:rsidR="00751A2C" w:rsidRPr="00882FD5">
        <w:t>.  Add to that the time-pressure faced by parents, it leaves little time for them to adopt time-consuming sustainable practices, leading to an under-emphasis o</w:t>
      </w:r>
      <w:r w:rsidR="00003DCD" w:rsidRPr="00882FD5">
        <w:t>n</w:t>
      </w:r>
      <w:r w:rsidR="00751A2C" w:rsidRPr="00882FD5">
        <w:t xml:space="preserve"> </w:t>
      </w:r>
      <w:r w:rsidRPr="00882FD5">
        <w:t xml:space="preserve">environmental issues to manage </w:t>
      </w:r>
      <w:r w:rsidR="00751A2C" w:rsidRPr="00882FD5">
        <w:t xml:space="preserve">the resulting </w:t>
      </w:r>
      <w:r w:rsidRPr="00882FD5">
        <w:t>dissonance</w:t>
      </w:r>
      <w:r w:rsidR="00751A2C" w:rsidRPr="00882FD5">
        <w:t xml:space="preserve"> (</w:t>
      </w:r>
      <w:r w:rsidR="004B0F97" w:rsidRPr="00882FD5">
        <w:t xml:space="preserve">see for example, </w:t>
      </w:r>
      <w:proofErr w:type="spellStart"/>
      <w:r w:rsidR="00EA6B9D" w:rsidRPr="00882FD5">
        <w:rPr>
          <w:color w:val="222222"/>
          <w:shd w:val="clear" w:color="auto" w:fill="FFFFFF"/>
        </w:rPr>
        <w:t>Strazdins</w:t>
      </w:r>
      <w:proofErr w:type="spellEnd"/>
      <w:r w:rsidR="00EA6B9D" w:rsidRPr="00882FD5">
        <w:rPr>
          <w:color w:val="222222"/>
          <w:shd w:val="clear" w:color="auto" w:fill="FFFFFF"/>
        </w:rPr>
        <w:t xml:space="preserve"> and </w:t>
      </w:r>
      <w:proofErr w:type="spellStart"/>
      <w:r w:rsidR="00EA6B9D" w:rsidRPr="00882FD5">
        <w:rPr>
          <w:color w:val="222222"/>
          <w:shd w:val="clear" w:color="auto" w:fill="FFFFFF"/>
        </w:rPr>
        <w:t>Loughrey</w:t>
      </w:r>
      <w:proofErr w:type="spellEnd"/>
      <w:r w:rsidR="00EA6B9D" w:rsidRPr="00882FD5">
        <w:rPr>
          <w:color w:val="222222"/>
          <w:shd w:val="clear" w:color="auto" w:fill="FFFFFF"/>
        </w:rPr>
        <w:t>, 2007</w:t>
      </w:r>
      <w:r w:rsidR="00751A2C" w:rsidRPr="00882FD5">
        <w:t>)</w:t>
      </w:r>
      <w:r w:rsidR="00061EF8" w:rsidRPr="00882FD5">
        <w:t xml:space="preserve">. The higher LLP among parents is similarly not surprising, given the strong need to provide a </w:t>
      </w:r>
      <w:r w:rsidR="00061EF8" w:rsidRPr="00882FD5">
        <w:lastRenderedPageBreak/>
        <w:t xml:space="preserve">comfortable living environment for the children (especially given that the LLP indicators include a preference for </w:t>
      </w:r>
      <w:r w:rsidR="00015BAD" w:rsidRPr="00882FD5">
        <w:t xml:space="preserve">a </w:t>
      </w:r>
      <w:r w:rsidR="00061EF8" w:rsidRPr="00882FD5">
        <w:t xml:space="preserve">large home and to own a car). </w:t>
      </w:r>
    </w:p>
    <w:p w14:paraId="31539B47" w14:textId="01B2245C" w:rsidR="004221A4" w:rsidRPr="00882FD5" w:rsidRDefault="00753D78" w:rsidP="00EF31EC">
      <w:pPr>
        <w:spacing w:before="0" w:line="240" w:lineRule="auto"/>
        <w:ind w:firstLine="720"/>
        <w:jc w:val="both"/>
      </w:pPr>
      <w:r w:rsidRPr="00882FD5">
        <w:t xml:space="preserve">As per </w:t>
      </w:r>
      <w:r w:rsidR="00146B36" w:rsidRPr="00882FD5">
        <w:t>our results in Table 3</w:t>
      </w:r>
      <w:r w:rsidRPr="00882FD5">
        <w:t>, i</w:t>
      </w:r>
      <w:r w:rsidR="004221A4" w:rsidRPr="00882FD5">
        <w:t xml:space="preserve">ndividuals from </w:t>
      </w:r>
      <w:r w:rsidR="009017A7" w:rsidRPr="00882FD5">
        <w:t>non-low</w:t>
      </w:r>
      <w:r w:rsidR="00003DCD" w:rsidRPr="00882FD5">
        <w:t>-</w:t>
      </w:r>
      <w:r w:rsidR="004221A4" w:rsidRPr="00882FD5">
        <w:t xml:space="preserve">income households (annual income </w:t>
      </w:r>
      <w:r w:rsidR="009017A7" w:rsidRPr="00882FD5">
        <w:t>higher</w:t>
      </w:r>
      <w:r w:rsidR="004221A4" w:rsidRPr="00882FD5">
        <w:t xml:space="preserve"> than $</w:t>
      </w:r>
      <w:r w:rsidR="009017A7" w:rsidRPr="00882FD5">
        <w:t>5</w:t>
      </w:r>
      <w:r w:rsidR="004221A4" w:rsidRPr="00882FD5">
        <w:t>0,000) are found to score low on GLP</w:t>
      </w:r>
      <w:r w:rsidR="009017A7" w:rsidRPr="00882FD5">
        <w:t>, while those from high</w:t>
      </w:r>
      <w:r w:rsidR="00003DCD" w:rsidRPr="00882FD5">
        <w:t>-</w:t>
      </w:r>
      <w:r w:rsidR="009017A7" w:rsidRPr="00882FD5">
        <w:t>income households (annual income higher than $100,000) have a high LLP</w:t>
      </w:r>
      <w:r w:rsidR="004221A4" w:rsidRPr="00882FD5">
        <w:t xml:space="preserve">. Although a few earlier studies associate higher income with greater levels of environmental awareness (Awan and Abbasi, 2013, </w:t>
      </w:r>
      <w:bookmarkStart w:id="11" w:name="_Hlk101225322"/>
      <w:proofErr w:type="spellStart"/>
      <w:r w:rsidR="009F2901" w:rsidRPr="00882FD5">
        <w:rPr>
          <w:color w:val="222222"/>
          <w:shd w:val="clear" w:color="auto" w:fill="FFFFFF"/>
        </w:rPr>
        <w:t>Bülbül</w:t>
      </w:r>
      <w:bookmarkEnd w:id="11"/>
      <w:proofErr w:type="spellEnd"/>
      <w:r w:rsidR="009F2901" w:rsidRPr="00882FD5" w:rsidDel="009F2901">
        <w:t xml:space="preserve"> </w:t>
      </w:r>
      <w:r w:rsidR="004221A4" w:rsidRPr="00882FD5">
        <w:t xml:space="preserve">et al., 2020), </w:t>
      </w:r>
      <w:r w:rsidR="009017A7" w:rsidRPr="00882FD5">
        <w:t>many recent studies have found that lower</w:t>
      </w:r>
      <w:r w:rsidR="00003DCD" w:rsidRPr="00882FD5">
        <w:t>-</w:t>
      </w:r>
      <w:r w:rsidR="009017A7" w:rsidRPr="00882FD5">
        <w:t xml:space="preserve">income individuals are more likely to have witnessed first-hand the negative impacts of </w:t>
      </w:r>
      <w:r w:rsidR="004221A4" w:rsidRPr="00882FD5">
        <w:t xml:space="preserve">environmental degradation and climate change issues, </w:t>
      </w:r>
      <w:r w:rsidR="00D43F6D" w:rsidRPr="00882FD5">
        <w:t xml:space="preserve">resulting in a higher GLP </w:t>
      </w:r>
      <w:r w:rsidR="004221A4" w:rsidRPr="00882FD5">
        <w:t>(</w:t>
      </w:r>
      <w:r w:rsidR="00D43F6D" w:rsidRPr="00882FD5">
        <w:t xml:space="preserve">see, for example, </w:t>
      </w:r>
      <w:r w:rsidR="004221A4" w:rsidRPr="00882FD5">
        <w:t>Pearson et al., 2018</w:t>
      </w:r>
      <w:r w:rsidR="00D43F6D" w:rsidRPr="00882FD5">
        <w:t xml:space="preserve">, </w:t>
      </w:r>
      <w:r w:rsidR="00F23C7C" w:rsidRPr="00882FD5">
        <w:t>Wenz</w:t>
      </w:r>
      <w:r w:rsidR="00D43F6D" w:rsidRPr="00882FD5">
        <w:t>,</w:t>
      </w:r>
      <w:r w:rsidR="00F23C7C" w:rsidRPr="00882FD5">
        <w:t xml:space="preserve"> 2015</w:t>
      </w:r>
      <w:r w:rsidR="00D43F6D" w:rsidRPr="00882FD5">
        <w:t xml:space="preserve"> and </w:t>
      </w:r>
      <w:r w:rsidR="00F23C7C" w:rsidRPr="00882FD5">
        <w:t>Banzhaf et al., 2019</w:t>
      </w:r>
      <w:r w:rsidR="004221A4" w:rsidRPr="00882FD5">
        <w:t>).</w:t>
      </w:r>
    </w:p>
    <w:p w14:paraId="47F9A2C2" w14:textId="54A8E2F9" w:rsidR="00EF31EC" w:rsidRPr="00882FD5" w:rsidRDefault="005C264D" w:rsidP="00782343">
      <w:pPr>
        <w:spacing w:before="0" w:line="240" w:lineRule="auto"/>
        <w:ind w:firstLine="720"/>
        <w:jc w:val="both"/>
      </w:pPr>
      <w:r w:rsidRPr="00882FD5">
        <w:t>Finally, as one might expect, there is a significant negative correlation (-0.489) between the GLP and LLP constructs (see the bottom row panel of Table 3); unobserved factors that increase GLP</w:t>
      </w:r>
      <w:r w:rsidR="004B0F97" w:rsidRPr="00882FD5">
        <w:t>,</w:t>
      </w:r>
      <w:r w:rsidRPr="00882FD5">
        <w:t xml:space="preserve"> decrease LLP.  After all, while a green lifestyle is associated with careful and conservative consumption of resources, a luxury lifestyle correlates with extravagant living and indulgence beyond an “indispensable minimum”.</w:t>
      </w:r>
    </w:p>
    <w:p w14:paraId="12CBA408" w14:textId="7DD5AC52" w:rsidR="00316D50" w:rsidRPr="00882FD5" w:rsidRDefault="00F91F3A" w:rsidP="00EF31EC">
      <w:pPr>
        <w:spacing w:before="0" w:line="240" w:lineRule="auto"/>
        <w:jc w:val="both"/>
      </w:pPr>
      <w:r w:rsidRPr="00882FD5">
        <w:tab/>
      </w:r>
      <w:bookmarkStart w:id="12" w:name="_Hlk109875985"/>
      <w:r w:rsidRPr="00882FD5">
        <w:t xml:space="preserve"> </w:t>
      </w:r>
      <w:bookmarkEnd w:id="12"/>
    </w:p>
    <w:p w14:paraId="2EC19693" w14:textId="34DE7A60" w:rsidR="00834F12" w:rsidRPr="009B009F" w:rsidRDefault="00834F12" w:rsidP="009B009F">
      <w:pPr>
        <w:pStyle w:val="ListParagraph"/>
        <w:numPr>
          <w:ilvl w:val="1"/>
          <w:numId w:val="25"/>
        </w:numPr>
        <w:spacing w:before="0" w:line="240" w:lineRule="auto"/>
        <w:ind w:left="450" w:hanging="450"/>
        <w:jc w:val="both"/>
        <w:rPr>
          <w:b/>
          <w:bCs/>
          <w:iCs/>
        </w:rPr>
      </w:pPr>
      <w:r w:rsidRPr="009B009F">
        <w:rPr>
          <w:b/>
          <w:bCs/>
          <w:iCs/>
        </w:rPr>
        <w:t xml:space="preserve">Main </w:t>
      </w:r>
      <w:r w:rsidR="00A64848" w:rsidRPr="009B009F">
        <w:rPr>
          <w:b/>
          <w:bCs/>
          <w:iCs/>
        </w:rPr>
        <w:t>O</w:t>
      </w:r>
      <w:r w:rsidRPr="009B009F">
        <w:rPr>
          <w:b/>
          <w:bCs/>
          <w:iCs/>
        </w:rPr>
        <w:t xml:space="preserve">utcome </w:t>
      </w:r>
      <w:r w:rsidR="00A64848" w:rsidRPr="009B009F">
        <w:rPr>
          <w:b/>
          <w:bCs/>
          <w:iCs/>
        </w:rPr>
        <w:t>R</w:t>
      </w:r>
      <w:r w:rsidRPr="009B009F">
        <w:rPr>
          <w:b/>
          <w:bCs/>
          <w:iCs/>
        </w:rPr>
        <w:t xml:space="preserve">esults </w:t>
      </w:r>
    </w:p>
    <w:p w14:paraId="232B09CB" w14:textId="77777777" w:rsidR="00EF31EC" w:rsidRDefault="00834F12" w:rsidP="00EF31EC">
      <w:pPr>
        <w:spacing w:before="0" w:line="240" w:lineRule="auto"/>
        <w:jc w:val="both"/>
      </w:pPr>
      <w:r w:rsidRPr="00882FD5">
        <w:t xml:space="preserve">Table </w:t>
      </w:r>
      <w:r w:rsidR="00051EDB" w:rsidRPr="00882FD5">
        <w:t>4</w:t>
      </w:r>
      <w:r w:rsidR="0006764D" w:rsidRPr="00882FD5">
        <w:t xml:space="preserve"> </w:t>
      </w:r>
      <w:r w:rsidRPr="00882FD5">
        <w:t>provide</w:t>
      </w:r>
      <w:r w:rsidR="00015BAD" w:rsidRPr="00882FD5">
        <w:t>s</w:t>
      </w:r>
      <w:r w:rsidRPr="00882FD5">
        <w:t xml:space="preserve"> </w:t>
      </w:r>
      <w:r w:rsidR="00015BAD" w:rsidRPr="00882FD5">
        <w:t xml:space="preserve">the </w:t>
      </w:r>
      <w:r w:rsidRPr="00882FD5">
        <w:t>results</w:t>
      </w:r>
      <w:r w:rsidR="00015BAD" w:rsidRPr="00882FD5">
        <w:t xml:space="preserve"> for the HDN/auto</w:t>
      </w:r>
      <w:r w:rsidR="0082193C" w:rsidRPr="00882FD5">
        <w:t>-</w:t>
      </w:r>
      <w:r w:rsidR="00015BAD" w:rsidRPr="00882FD5">
        <w:t>ownership outcome (Section 4.2.1), and Table 5 presents the results for the mode choice outcome (Section 4.2.2)</w:t>
      </w:r>
      <w:r w:rsidRPr="00882FD5">
        <w:t xml:space="preserve">. </w:t>
      </w:r>
      <w:r w:rsidR="00015BAD" w:rsidRPr="00882FD5">
        <w:t>For each table, w</w:t>
      </w:r>
      <w:r w:rsidRPr="00882FD5">
        <w:t xml:space="preserve">e discuss, in turn, the latent construct effects, the individual </w:t>
      </w:r>
      <w:r w:rsidR="00015BAD" w:rsidRPr="00882FD5">
        <w:t xml:space="preserve">and household </w:t>
      </w:r>
      <w:r w:rsidRPr="00882FD5">
        <w:t xml:space="preserve">effects, </w:t>
      </w:r>
      <w:r w:rsidR="009F4BA7" w:rsidRPr="00882FD5">
        <w:t xml:space="preserve">the trip variable effects (only for Table 5), </w:t>
      </w:r>
      <w:r w:rsidR="00015BAD" w:rsidRPr="00882FD5">
        <w:t xml:space="preserve">and </w:t>
      </w:r>
      <w:r w:rsidR="00E82D2B" w:rsidRPr="00882FD5">
        <w:t>the endogenous outcome effects</w:t>
      </w:r>
      <w:r w:rsidRPr="00882FD5">
        <w:t>.</w:t>
      </w:r>
      <w:r w:rsidR="00E82D2B" w:rsidRPr="00882FD5">
        <w:t xml:space="preserve"> </w:t>
      </w:r>
      <w:r w:rsidR="009F4BA7" w:rsidRPr="00882FD5">
        <w:t xml:space="preserve">Subsequently, </w:t>
      </w:r>
      <w:r w:rsidR="00015BAD" w:rsidRPr="00882FD5">
        <w:t xml:space="preserve">Section 4.2.3 discusses the correlation effects between the </w:t>
      </w:r>
      <w:r w:rsidR="009F4BA7" w:rsidRPr="00882FD5">
        <w:t>endogenous</w:t>
      </w:r>
      <w:r w:rsidR="00015BAD" w:rsidRPr="00882FD5">
        <w:t xml:space="preserve"> outcomes and the latent constructs.</w:t>
      </w:r>
    </w:p>
    <w:p w14:paraId="53BA4FA8" w14:textId="595B6B2A" w:rsidR="00834F12" w:rsidRPr="00882FD5" w:rsidRDefault="00015BAD" w:rsidP="00EF31EC">
      <w:pPr>
        <w:spacing w:before="0" w:line="240" w:lineRule="auto"/>
        <w:jc w:val="both"/>
      </w:pPr>
      <w:r w:rsidRPr="00882FD5">
        <w:t xml:space="preserve"> </w:t>
      </w:r>
    </w:p>
    <w:p w14:paraId="2D8EBA19" w14:textId="580D8EE3" w:rsidR="00BF3D46" w:rsidRPr="006C7497" w:rsidRDefault="00BF3D46" w:rsidP="006C7497">
      <w:pPr>
        <w:pStyle w:val="ListParagraph"/>
        <w:numPr>
          <w:ilvl w:val="2"/>
          <w:numId w:val="25"/>
        </w:numPr>
        <w:spacing w:before="0" w:line="240" w:lineRule="auto"/>
        <w:jc w:val="both"/>
        <w:rPr>
          <w:bCs/>
          <w:i/>
          <w:iCs/>
        </w:rPr>
      </w:pPr>
      <w:r w:rsidRPr="006C7497">
        <w:rPr>
          <w:bCs/>
          <w:i/>
          <w:iCs/>
        </w:rPr>
        <w:t>High</w:t>
      </w:r>
      <w:r w:rsidR="002C69D1" w:rsidRPr="006C7497">
        <w:rPr>
          <w:bCs/>
          <w:i/>
          <w:iCs/>
        </w:rPr>
        <w:t>-</w:t>
      </w:r>
      <w:r w:rsidR="00A64848" w:rsidRPr="006C7497">
        <w:rPr>
          <w:bCs/>
          <w:i/>
          <w:iCs/>
        </w:rPr>
        <w:t>D</w:t>
      </w:r>
      <w:r w:rsidRPr="006C7497">
        <w:rPr>
          <w:bCs/>
          <w:i/>
          <w:iCs/>
        </w:rPr>
        <w:t>ensity</w:t>
      </w:r>
      <w:r w:rsidR="00311D70" w:rsidRPr="006C7497">
        <w:rPr>
          <w:bCs/>
          <w:i/>
          <w:iCs/>
        </w:rPr>
        <w:t xml:space="preserve"> </w:t>
      </w:r>
      <w:r w:rsidR="00A64848" w:rsidRPr="006C7497">
        <w:rPr>
          <w:bCs/>
          <w:i/>
          <w:iCs/>
        </w:rPr>
        <w:t>N</w:t>
      </w:r>
      <w:r w:rsidR="00311D70" w:rsidRPr="006C7497">
        <w:rPr>
          <w:bCs/>
          <w:i/>
          <w:iCs/>
        </w:rPr>
        <w:t xml:space="preserve">eighborhood (HDN) </w:t>
      </w:r>
      <w:r w:rsidR="00A64848" w:rsidRPr="006C7497">
        <w:rPr>
          <w:bCs/>
          <w:i/>
          <w:iCs/>
        </w:rPr>
        <w:t>L</w:t>
      </w:r>
      <w:r w:rsidR="00311D70" w:rsidRPr="006C7497">
        <w:rPr>
          <w:bCs/>
          <w:i/>
          <w:iCs/>
        </w:rPr>
        <w:t>iving</w:t>
      </w:r>
      <w:r w:rsidR="0006764D" w:rsidRPr="006C7497">
        <w:rPr>
          <w:bCs/>
          <w:i/>
          <w:iCs/>
        </w:rPr>
        <w:t xml:space="preserve"> and Auto</w:t>
      </w:r>
      <w:r w:rsidR="0082193C" w:rsidRPr="006C7497">
        <w:rPr>
          <w:bCs/>
          <w:i/>
          <w:iCs/>
        </w:rPr>
        <w:t>-</w:t>
      </w:r>
      <w:r w:rsidR="00A64848" w:rsidRPr="006C7497">
        <w:rPr>
          <w:bCs/>
          <w:i/>
          <w:iCs/>
        </w:rPr>
        <w:t>O</w:t>
      </w:r>
      <w:r w:rsidR="0006764D" w:rsidRPr="006C7497">
        <w:rPr>
          <w:bCs/>
          <w:i/>
          <w:iCs/>
        </w:rPr>
        <w:t xml:space="preserve">wnership </w:t>
      </w:r>
      <w:r w:rsidR="00A64848" w:rsidRPr="006C7497">
        <w:rPr>
          <w:bCs/>
          <w:i/>
          <w:iCs/>
        </w:rPr>
        <w:t>L</w:t>
      </w:r>
      <w:r w:rsidR="0006764D" w:rsidRPr="006C7497">
        <w:rPr>
          <w:bCs/>
          <w:i/>
          <w:iCs/>
        </w:rPr>
        <w:t>evel</w:t>
      </w:r>
    </w:p>
    <w:p w14:paraId="3C3CF2A8" w14:textId="6E5371B6" w:rsidR="00EF31EC" w:rsidRDefault="002F4E09" w:rsidP="00EF31EC">
      <w:pPr>
        <w:spacing w:before="0" w:line="240" w:lineRule="auto"/>
        <w:jc w:val="both"/>
      </w:pPr>
      <w:r w:rsidRPr="00882FD5">
        <w:rPr>
          <w:bCs/>
          <w:iCs/>
        </w:rPr>
        <w:t>The results discussed below correspond to the impact of variables on the underlying propensit</w:t>
      </w:r>
      <w:r w:rsidR="0006764D" w:rsidRPr="00882FD5">
        <w:rPr>
          <w:bCs/>
          <w:iCs/>
        </w:rPr>
        <w:t>ies</w:t>
      </w:r>
      <w:r w:rsidRPr="00882FD5">
        <w:rPr>
          <w:bCs/>
          <w:iCs/>
        </w:rPr>
        <w:t xml:space="preserve"> of the HDN </w:t>
      </w:r>
      <w:r w:rsidR="0006764D" w:rsidRPr="00882FD5">
        <w:rPr>
          <w:bCs/>
          <w:iCs/>
        </w:rPr>
        <w:t>and the auto</w:t>
      </w:r>
      <w:r w:rsidR="0082193C" w:rsidRPr="00882FD5">
        <w:rPr>
          <w:bCs/>
          <w:iCs/>
        </w:rPr>
        <w:t>-</w:t>
      </w:r>
      <w:r w:rsidR="0006764D" w:rsidRPr="00882FD5">
        <w:rPr>
          <w:bCs/>
          <w:iCs/>
        </w:rPr>
        <w:t xml:space="preserve">ownership levels (Table </w:t>
      </w:r>
      <w:r w:rsidR="00051EDB" w:rsidRPr="00882FD5">
        <w:rPr>
          <w:bCs/>
          <w:iCs/>
        </w:rPr>
        <w:t>4</w:t>
      </w:r>
      <w:r w:rsidR="0006764D" w:rsidRPr="00882FD5">
        <w:rPr>
          <w:bCs/>
          <w:iCs/>
        </w:rPr>
        <w:t>).</w:t>
      </w:r>
      <w:r w:rsidR="00015BAD" w:rsidRPr="00882FD5">
        <w:rPr>
          <w:bCs/>
          <w:iCs/>
        </w:rPr>
        <w:t xml:space="preserve"> The thresholds toward the bottom of Table 4 do not have any substantive interpretation</w:t>
      </w:r>
      <w:r w:rsidR="00E135EA">
        <w:rPr>
          <w:bCs/>
          <w:iCs/>
        </w:rPr>
        <w:t>,</w:t>
      </w:r>
      <w:r w:rsidR="00015BAD" w:rsidRPr="00882FD5">
        <w:rPr>
          <w:bCs/>
          <w:iCs/>
        </w:rPr>
        <w:t xml:space="preserve"> but provide the mapping of the underlying latent propensities to the actual observed outcomes (these are elements of the </w:t>
      </w:r>
      <w:r w:rsidR="00EF31EC" w:rsidRPr="00882FD5">
        <w:rPr>
          <w:position w:val="-12"/>
        </w:rPr>
        <w:object w:dxaOrig="260" w:dyaOrig="360" w14:anchorId="5A10EBF1">
          <v:shape id="_x0000_i1196" type="#_x0000_t75" style="width:12.85pt;height:18pt" o:ole="" o:preferrelative="f">
            <v:imagedata r:id="rId340" o:title=""/>
            <o:lock v:ext="edit" aspectratio="f"/>
          </v:shape>
          <o:OLEObject Type="Embed" ProgID="Equation.DSMT4" ShapeID="_x0000_i1196" DrawAspect="Content" ObjectID="_1738155093" r:id="rId341"/>
        </w:object>
      </w:r>
      <w:r w:rsidR="00015BAD" w:rsidRPr="00882FD5">
        <w:t xml:space="preserve"> vector in Section 2).</w:t>
      </w:r>
    </w:p>
    <w:p w14:paraId="23DED230" w14:textId="489CA399" w:rsidR="005C264D" w:rsidRPr="00882FD5" w:rsidRDefault="00015BAD" w:rsidP="00EF31EC">
      <w:pPr>
        <w:spacing w:before="0" w:line="240" w:lineRule="auto"/>
        <w:jc w:val="both"/>
        <w:rPr>
          <w:bCs/>
          <w:iCs/>
        </w:rPr>
      </w:pPr>
      <w:r w:rsidRPr="00882FD5">
        <w:t xml:space="preserve"> </w:t>
      </w:r>
    </w:p>
    <w:p w14:paraId="6F109DA9" w14:textId="6EACCC88" w:rsidR="005211D5" w:rsidRPr="00882FD5" w:rsidRDefault="005211D5" w:rsidP="00EF31EC">
      <w:pPr>
        <w:spacing w:before="0" w:line="240" w:lineRule="auto"/>
        <w:jc w:val="both"/>
        <w:rPr>
          <w:bCs/>
          <w:i/>
          <w:iCs/>
          <w:u w:val="single"/>
        </w:rPr>
      </w:pPr>
      <w:r w:rsidRPr="003260D1">
        <w:rPr>
          <w:bCs/>
          <w:i/>
          <w:iCs/>
          <w:position w:val="-1"/>
          <w:u w:val="single"/>
        </w:rPr>
        <w:t>Latent construct effects</w:t>
      </w:r>
      <w:r w:rsidR="00A863A0" w:rsidRPr="003260D1">
        <w:rPr>
          <w:bCs/>
          <w:i/>
          <w:iCs/>
          <w:position w:val="-1"/>
          <w:u w:val="single"/>
        </w:rPr>
        <w:t xml:space="preserve"> (elements of the</w:t>
      </w:r>
      <w:r w:rsidR="00003DCD" w:rsidRPr="003260D1">
        <w:rPr>
          <w:bCs/>
          <w:i/>
          <w:iCs/>
          <w:position w:val="-1"/>
          <w:u w:val="single"/>
        </w:rPr>
        <w:t xml:space="preserve"> </w:t>
      </w:r>
      <w:r w:rsidR="00EF31EC" w:rsidRPr="00F443DA">
        <w:rPr>
          <w:position w:val="-10"/>
        </w:rPr>
        <w:object w:dxaOrig="220" w:dyaOrig="380" w14:anchorId="71DF8624">
          <v:shape id="_x0000_i1197" type="#_x0000_t75" style="width:11.15pt;height:18.45pt" o:ole="" o:preferrelative="f">
            <v:imagedata r:id="rId342" o:title=""/>
            <o:lock v:ext="edit" aspectratio="f"/>
          </v:shape>
          <o:OLEObject Type="Embed" ProgID="Equation.DSMT4" ShapeID="_x0000_i1197" DrawAspect="Content" ObjectID="_1738155094" r:id="rId343"/>
        </w:object>
      </w:r>
      <w:r w:rsidR="00A863A0" w:rsidRPr="003260D1">
        <w:rPr>
          <w:i/>
          <w:position w:val="-1"/>
          <w:u w:val="single"/>
        </w:rPr>
        <w:t xml:space="preserve"> matrix</w:t>
      </w:r>
      <w:r w:rsidR="00A863A0" w:rsidRPr="003260D1">
        <w:rPr>
          <w:i/>
        </w:rPr>
        <w:t>)</w:t>
      </w:r>
    </w:p>
    <w:p w14:paraId="6B7D4538" w14:textId="1D86453B" w:rsidR="005211D5" w:rsidRDefault="005211D5" w:rsidP="00EF31EC">
      <w:pPr>
        <w:spacing w:before="0" w:line="240" w:lineRule="auto"/>
        <w:jc w:val="both"/>
      </w:pPr>
      <w:r w:rsidRPr="00882FD5">
        <w:rPr>
          <w:bCs/>
          <w:iCs/>
        </w:rPr>
        <w:t xml:space="preserve">Green Lifestyle Propensity (GLP) positively impacts HDN living, while </w:t>
      </w:r>
      <w:r w:rsidRPr="00882FD5">
        <w:t>Luxury Lifestyle Propensity (LLP) negatively impacts HDN living propensity. Not surprisingly, the signs switch for auto</w:t>
      </w:r>
      <w:r w:rsidR="0082193C" w:rsidRPr="00882FD5">
        <w:t>-</w:t>
      </w:r>
      <w:r w:rsidRPr="00882FD5">
        <w:t>ownership level propensity. High</w:t>
      </w:r>
      <w:r w:rsidR="002C69D1" w:rsidRPr="00882FD5">
        <w:t>-</w:t>
      </w:r>
      <w:r w:rsidRPr="00882FD5">
        <w:t>density or urban neighborhoods are typically associated with shorter trip distances and lower private-vehicle use, and provide greater opportunities for the us</w:t>
      </w:r>
      <w:r w:rsidR="00015BAD" w:rsidRPr="00882FD5">
        <w:t>e</w:t>
      </w:r>
      <w:r w:rsidRPr="00882FD5">
        <w:t xml:space="preserve"> of sustainable modes of transportation such as walking, bicycling, and public transit; therefore, environmentally conscious individuals, who are likely to be more concerned about their carbon footprint, have a higher tendency to reside in such HDNs as well as have a lower propensity for auto</w:t>
      </w:r>
      <w:r w:rsidR="0082193C" w:rsidRPr="00882FD5">
        <w:t>-</w:t>
      </w:r>
      <w:r w:rsidRPr="00882FD5">
        <w:t>ownership</w:t>
      </w:r>
      <w:r w:rsidR="00015BAD" w:rsidRPr="00882FD5">
        <w:t xml:space="preserve"> (</w:t>
      </w:r>
      <w:r w:rsidR="00973D1B" w:rsidRPr="00882FD5">
        <w:t xml:space="preserve">see also </w:t>
      </w:r>
      <w:proofErr w:type="spellStart"/>
      <w:r w:rsidR="005D35AA" w:rsidRPr="00882FD5">
        <w:t>Etezady</w:t>
      </w:r>
      <w:proofErr w:type="spellEnd"/>
      <w:r w:rsidR="005D35AA" w:rsidRPr="00882FD5">
        <w:t xml:space="preserve"> et al., 2021</w:t>
      </w:r>
      <w:r w:rsidR="00015BAD" w:rsidRPr="00882FD5">
        <w:t>)</w:t>
      </w:r>
      <w:r w:rsidRPr="00882FD5">
        <w:t>. On the contrary, individuals with higher LLP are likely to have a penchant for spacious living with greater desires for privacy and exclusivity, as well as may feel more of a need for power and opulence signaling, both of which can explain the lower propensity to live in an HDN and higher propensity of auto</w:t>
      </w:r>
      <w:r w:rsidR="0082193C" w:rsidRPr="00882FD5">
        <w:t>-</w:t>
      </w:r>
      <w:r w:rsidRPr="00882FD5">
        <w:t>ownership.</w:t>
      </w:r>
    </w:p>
    <w:p w14:paraId="06FC1C74" w14:textId="77777777" w:rsidR="00AE6910" w:rsidRPr="00882FD5" w:rsidRDefault="00AE6910" w:rsidP="00EF31EC">
      <w:pPr>
        <w:spacing w:before="0" w:line="240" w:lineRule="auto"/>
        <w:rPr>
          <w:b/>
          <w:bCs/>
          <w:color w:val="222222"/>
          <w:shd w:val="clear" w:color="auto" w:fill="FFFFFF"/>
        </w:rPr>
      </w:pPr>
    </w:p>
    <w:p w14:paraId="27AA6E06" w14:textId="0EEAA84B" w:rsidR="0024154B" w:rsidRPr="00882FD5" w:rsidRDefault="0024154B" w:rsidP="00782343">
      <w:pPr>
        <w:keepNext/>
        <w:keepLines/>
        <w:spacing w:before="0" w:line="240" w:lineRule="auto"/>
        <w:rPr>
          <w:b/>
          <w:bCs/>
          <w:color w:val="222222"/>
          <w:shd w:val="clear" w:color="auto" w:fill="FFFFFF"/>
        </w:rPr>
      </w:pPr>
      <w:r w:rsidRPr="00882FD5">
        <w:rPr>
          <w:b/>
          <w:bCs/>
          <w:color w:val="222222"/>
          <w:shd w:val="clear" w:color="auto" w:fill="FFFFFF"/>
        </w:rPr>
        <w:lastRenderedPageBreak/>
        <w:t xml:space="preserve">TABLE </w:t>
      </w:r>
      <w:r w:rsidR="00AE11CF" w:rsidRPr="00882FD5">
        <w:rPr>
          <w:b/>
          <w:bCs/>
          <w:color w:val="222222"/>
          <w:shd w:val="clear" w:color="auto" w:fill="FFFFFF"/>
        </w:rPr>
        <w:t>4</w:t>
      </w:r>
      <w:r w:rsidR="00051EDB" w:rsidRPr="00882FD5">
        <w:rPr>
          <w:b/>
          <w:bCs/>
          <w:color w:val="222222"/>
          <w:shd w:val="clear" w:color="auto" w:fill="FFFFFF"/>
        </w:rPr>
        <w:t xml:space="preserve">  </w:t>
      </w:r>
      <w:r w:rsidRPr="00882FD5">
        <w:rPr>
          <w:b/>
          <w:bCs/>
          <w:color w:val="222222"/>
          <w:shd w:val="clear" w:color="auto" w:fill="FFFFFF"/>
        </w:rPr>
        <w:t>Main Outcome Results: HDN and Auto-Ownership</w:t>
      </w:r>
    </w:p>
    <w:tbl>
      <w:tblPr>
        <w:tblW w:w="9090" w:type="dxa"/>
        <w:tblInd w:w="-23" w:type="dxa"/>
        <w:tblLayout w:type="fixed"/>
        <w:tblLook w:val="04A0" w:firstRow="1" w:lastRow="0" w:firstColumn="1" w:lastColumn="0" w:noHBand="0" w:noVBand="1"/>
      </w:tblPr>
      <w:tblGrid>
        <w:gridCol w:w="4360"/>
        <w:gridCol w:w="1130"/>
        <w:gridCol w:w="1175"/>
        <w:gridCol w:w="1170"/>
        <w:gridCol w:w="1255"/>
      </w:tblGrid>
      <w:tr w:rsidR="0024154B" w:rsidRPr="00882FD5" w14:paraId="687C8B99" w14:textId="77777777" w:rsidTr="000D5E4F">
        <w:trPr>
          <w:trHeight w:val="202"/>
        </w:trPr>
        <w:tc>
          <w:tcPr>
            <w:tcW w:w="4360" w:type="dxa"/>
            <w:vMerge w:val="restar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504BADDA" w14:textId="77777777" w:rsidR="0024154B" w:rsidRPr="00882FD5" w:rsidRDefault="0024154B" w:rsidP="00782343">
            <w:pPr>
              <w:keepNext/>
              <w:keepLines/>
              <w:spacing w:before="0" w:line="240" w:lineRule="auto"/>
              <w:rPr>
                <w:b/>
                <w:bCs/>
                <w:color w:val="000000"/>
                <w:sz w:val="22"/>
                <w:szCs w:val="22"/>
              </w:rPr>
            </w:pPr>
            <w:r w:rsidRPr="00882FD5">
              <w:rPr>
                <w:b/>
                <w:bCs/>
                <w:color w:val="000000"/>
                <w:sz w:val="22"/>
                <w:szCs w:val="22"/>
              </w:rPr>
              <w:t>Variables</w:t>
            </w:r>
          </w:p>
        </w:tc>
        <w:tc>
          <w:tcPr>
            <w:tcW w:w="2305" w:type="dxa"/>
            <w:gridSpan w:val="2"/>
            <w:tcBorders>
              <w:top w:val="double" w:sz="4" w:space="0" w:color="auto"/>
              <w:left w:val="double" w:sz="4" w:space="0" w:color="auto"/>
              <w:bottom w:val="single" w:sz="4" w:space="0" w:color="auto"/>
              <w:right w:val="double" w:sz="4" w:space="0" w:color="auto"/>
            </w:tcBorders>
            <w:shd w:val="clear" w:color="auto" w:fill="auto"/>
            <w:vAlign w:val="center"/>
            <w:hideMark/>
          </w:tcPr>
          <w:p w14:paraId="02595D97" w14:textId="77777777" w:rsidR="0024154B" w:rsidRPr="00882FD5" w:rsidRDefault="0024154B" w:rsidP="00782343">
            <w:pPr>
              <w:keepNext/>
              <w:keepLines/>
              <w:spacing w:before="0" w:line="240" w:lineRule="auto"/>
              <w:jc w:val="center"/>
              <w:rPr>
                <w:b/>
                <w:bCs/>
                <w:color w:val="000000"/>
                <w:sz w:val="22"/>
                <w:szCs w:val="22"/>
              </w:rPr>
            </w:pPr>
            <w:r w:rsidRPr="00882FD5">
              <w:rPr>
                <w:b/>
                <w:bCs/>
                <w:color w:val="000000"/>
                <w:sz w:val="22"/>
                <w:szCs w:val="22"/>
              </w:rPr>
              <w:t>High-density neighborhood living (HDN)</w:t>
            </w:r>
          </w:p>
        </w:tc>
        <w:tc>
          <w:tcPr>
            <w:tcW w:w="2425" w:type="dxa"/>
            <w:gridSpan w:val="2"/>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396811B8" w14:textId="77777777" w:rsidR="0024154B" w:rsidRPr="00882FD5" w:rsidRDefault="0024154B" w:rsidP="00782343">
            <w:pPr>
              <w:keepNext/>
              <w:keepLines/>
              <w:spacing w:before="0" w:line="240" w:lineRule="auto"/>
              <w:jc w:val="center"/>
              <w:rPr>
                <w:b/>
                <w:bCs/>
                <w:color w:val="000000"/>
                <w:sz w:val="22"/>
                <w:szCs w:val="22"/>
              </w:rPr>
            </w:pPr>
            <w:r w:rsidRPr="00882FD5">
              <w:rPr>
                <w:b/>
                <w:bCs/>
                <w:color w:val="000000"/>
                <w:sz w:val="22"/>
                <w:szCs w:val="22"/>
              </w:rPr>
              <w:t>Auto-ownership</w:t>
            </w:r>
          </w:p>
        </w:tc>
      </w:tr>
      <w:tr w:rsidR="0024154B" w:rsidRPr="00882FD5" w14:paraId="4672C377" w14:textId="77777777" w:rsidTr="000D5E4F">
        <w:trPr>
          <w:trHeight w:val="202"/>
        </w:trPr>
        <w:tc>
          <w:tcPr>
            <w:tcW w:w="4360" w:type="dxa"/>
            <w:vMerge/>
            <w:tcBorders>
              <w:top w:val="double" w:sz="4" w:space="0" w:color="auto"/>
              <w:left w:val="double" w:sz="4" w:space="0" w:color="auto"/>
              <w:bottom w:val="double" w:sz="4" w:space="0" w:color="auto"/>
              <w:right w:val="double" w:sz="4" w:space="0" w:color="auto"/>
            </w:tcBorders>
            <w:vAlign w:val="center"/>
            <w:hideMark/>
          </w:tcPr>
          <w:p w14:paraId="0D044F91" w14:textId="77777777" w:rsidR="0024154B" w:rsidRPr="00882FD5" w:rsidRDefault="0024154B" w:rsidP="00782343">
            <w:pPr>
              <w:keepNext/>
              <w:keepLines/>
              <w:spacing w:before="0" w:line="240" w:lineRule="auto"/>
              <w:rPr>
                <w:b/>
                <w:bCs/>
                <w:color w:val="000000"/>
                <w:sz w:val="22"/>
                <w:szCs w:val="22"/>
              </w:rPr>
            </w:pPr>
          </w:p>
        </w:tc>
        <w:tc>
          <w:tcPr>
            <w:tcW w:w="1130" w:type="dxa"/>
            <w:tcBorders>
              <w:top w:val="single" w:sz="4" w:space="0" w:color="auto"/>
              <w:left w:val="double" w:sz="4" w:space="0" w:color="auto"/>
              <w:bottom w:val="double" w:sz="4" w:space="0" w:color="auto"/>
              <w:right w:val="single" w:sz="4" w:space="0" w:color="auto"/>
            </w:tcBorders>
            <w:shd w:val="clear" w:color="auto" w:fill="auto"/>
            <w:vAlign w:val="center"/>
            <w:hideMark/>
          </w:tcPr>
          <w:p w14:paraId="796D1F20" w14:textId="5B46F92C" w:rsidR="0024154B" w:rsidRPr="00882FD5" w:rsidRDefault="0024154B" w:rsidP="00782343">
            <w:pPr>
              <w:keepNext/>
              <w:keepLines/>
              <w:spacing w:before="0" w:line="240" w:lineRule="auto"/>
              <w:jc w:val="center"/>
              <w:rPr>
                <w:b/>
                <w:bCs/>
                <w:color w:val="000000"/>
                <w:sz w:val="22"/>
                <w:szCs w:val="22"/>
              </w:rPr>
            </w:pPr>
            <w:r w:rsidRPr="00882FD5">
              <w:rPr>
                <w:b/>
                <w:bCs/>
                <w:color w:val="000000"/>
                <w:sz w:val="22"/>
                <w:szCs w:val="22"/>
              </w:rPr>
              <w:t>Coef.</w:t>
            </w:r>
          </w:p>
        </w:tc>
        <w:tc>
          <w:tcPr>
            <w:tcW w:w="1175" w:type="dxa"/>
            <w:tcBorders>
              <w:top w:val="single" w:sz="4" w:space="0" w:color="auto"/>
              <w:left w:val="single" w:sz="4" w:space="0" w:color="auto"/>
              <w:bottom w:val="double" w:sz="4" w:space="0" w:color="auto"/>
              <w:right w:val="double" w:sz="4" w:space="0" w:color="auto"/>
            </w:tcBorders>
            <w:shd w:val="clear" w:color="auto" w:fill="auto"/>
            <w:vAlign w:val="center"/>
            <w:hideMark/>
          </w:tcPr>
          <w:p w14:paraId="6A500A54" w14:textId="77777777" w:rsidR="0024154B" w:rsidRPr="00882FD5" w:rsidRDefault="0024154B" w:rsidP="00782343">
            <w:pPr>
              <w:keepNext/>
              <w:keepLines/>
              <w:spacing w:before="0" w:line="240" w:lineRule="auto"/>
              <w:jc w:val="center"/>
              <w:rPr>
                <w:b/>
                <w:bCs/>
                <w:color w:val="000000"/>
                <w:sz w:val="22"/>
                <w:szCs w:val="22"/>
              </w:rPr>
            </w:pPr>
            <w:r w:rsidRPr="00882FD5">
              <w:rPr>
                <w:b/>
                <w:bCs/>
                <w:color w:val="000000"/>
                <w:sz w:val="22"/>
                <w:szCs w:val="22"/>
              </w:rPr>
              <w:t>t-stat</w:t>
            </w:r>
          </w:p>
        </w:tc>
        <w:tc>
          <w:tcPr>
            <w:tcW w:w="1170" w:type="dxa"/>
            <w:tcBorders>
              <w:top w:val="single" w:sz="4" w:space="0" w:color="auto"/>
              <w:left w:val="double" w:sz="4" w:space="0" w:color="auto"/>
              <w:bottom w:val="double" w:sz="4" w:space="0" w:color="auto"/>
              <w:right w:val="single" w:sz="4" w:space="0" w:color="auto"/>
            </w:tcBorders>
            <w:shd w:val="clear" w:color="auto" w:fill="auto"/>
            <w:noWrap/>
            <w:vAlign w:val="center"/>
            <w:hideMark/>
          </w:tcPr>
          <w:p w14:paraId="1BA93486" w14:textId="4CD1E21A" w:rsidR="0024154B" w:rsidRPr="00882FD5" w:rsidRDefault="0024154B" w:rsidP="00782343">
            <w:pPr>
              <w:keepNext/>
              <w:keepLines/>
              <w:spacing w:before="0" w:line="240" w:lineRule="auto"/>
              <w:jc w:val="center"/>
              <w:rPr>
                <w:b/>
                <w:bCs/>
                <w:color w:val="000000"/>
                <w:sz w:val="22"/>
                <w:szCs w:val="22"/>
              </w:rPr>
            </w:pPr>
            <w:r w:rsidRPr="00882FD5">
              <w:rPr>
                <w:b/>
                <w:bCs/>
                <w:color w:val="000000"/>
                <w:sz w:val="22"/>
                <w:szCs w:val="22"/>
              </w:rPr>
              <w:t>Coef.</w:t>
            </w:r>
          </w:p>
        </w:tc>
        <w:tc>
          <w:tcPr>
            <w:tcW w:w="1255" w:type="dxa"/>
            <w:tcBorders>
              <w:top w:val="single" w:sz="4" w:space="0" w:color="auto"/>
              <w:left w:val="single" w:sz="4" w:space="0" w:color="auto"/>
              <w:bottom w:val="double" w:sz="4" w:space="0" w:color="auto"/>
              <w:right w:val="double" w:sz="4" w:space="0" w:color="auto"/>
            </w:tcBorders>
            <w:shd w:val="clear" w:color="auto" w:fill="auto"/>
            <w:noWrap/>
            <w:vAlign w:val="center"/>
            <w:hideMark/>
          </w:tcPr>
          <w:p w14:paraId="4550C3C2" w14:textId="77777777" w:rsidR="0024154B" w:rsidRPr="00882FD5" w:rsidRDefault="0024154B" w:rsidP="00782343">
            <w:pPr>
              <w:keepNext/>
              <w:keepLines/>
              <w:spacing w:before="0" w:line="240" w:lineRule="auto"/>
              <w:jc w:val="center"/>
              <w:rPr>
                <w:b/>
                <w:bCs/>
                <w:color w:val="000000"/>
                <w:sz w:val="22"/>
                <w:szCs w:val="22"/>
              </w:rPr>
            </w:pPr>
            <w:r w:rsidRPr="00882FD5">
              <w:rPr>
                <w:b/>
                <w:bCs/>
                <w:color w:val="000000"/>
                <w:sz w:val="22"/>
                <w:szCs w:val="22"/>
              </w:rPr>
              <w:t>t-stat</w:t>
            </w:r>
          </w:p>
        </w:tc>
      </w:tr>
      <w:tr w:rsidR="0024154B" w:rsidRPr="00882FD5" w14:paraId="46F86B77" w14:textId="77777777" w:rsidTr="006329B2">
        <w:trPr>
          <w:trHeight w:val="202"/>
        </w:trPr>
        <w:tc>
          <w:tcPr>
            <w:tcW w:w="4360" w:type="dxa"/>
            <w:tcBorders>
              <w:top w:val="double" w:sz="4" w:space="0" w:color="auto"/>
              <w:left w:val="double" w:sz="4" w:space="0" w:color="auto"/>
              <w:bottom w:val="nil"/>
              <w:right w:val="double" w:sz="4" w:space="0" w:color="auto"/>
            </w:tcBorders>
            <w:shd w:val="clear" w:color="auto" w:fill="auto"/>
            <w:noWrap/>
            <w:vAlign w:val="center"/>
            <w:hideMark/>
          </w:tcPr>
          <w:p w14:paraId="3BC18BD7" w14:textId="77777777" w:rsidR="0024154B" w:rsidRPr="00882FD5" w:rsidRDefault="0024154B" w:rsidP="00782343">
            <w:pPr>
              <w:keepNext/>
              <w:keepLines/>
              <w:spacing w:before="0" w:line="240" w:lineRule="auto"/>
              <w:rPr>
                <w:b/>
                <w:bCs/>
                <w:i/>
                <w:iCs/>
                <w:color w:val="000000"/>
                <w:sz w:val="22"/>
                <w:szCs w:val="22"/>
              </w:rPr>
            </w:pPr>
            <w:r w:rsidRPr="00882FD5">
              <w:rPr>
                <w:b/>
                <w:bCs/>
                <w:i/>
                <w:iCs/>
                <w:color w:val="000000"/>
                <w:sz w:val="22"/>
                <w:szCs w:val="22"/>
              </w:rPr>
              <w:t>Latent construct effects</w:t>
            </w:r>
          </w:p>
        </w:tc>
        <w:tc>
          <w:tcPr>
            <w:tcW w:w="1130" w:type="dxa"/>
            <w:tcBorders>
              <w:top w:val="double" w:sz="4" w:space="0" w:color="auto"/>
              <w:left w:val="double" w:sz="4" w:space="0" w:color="auto"/>
              <w:bottom w:val="nil"/>
              <w:right w:val="single" w:sz="4" w:space="0" w:color="auto"/>
            </w:tcBorders>
            <w:shd w:val="clear" w:color="auto" w:fill="auto"/>
            <w:vAlign w:val="center"/>
            <w:hideMark/>
          </w:tcPr>
          <w:p w14:paraId="0B1E8842" w14:textId="77777777" w:rsidR="0024154B" w:rsidRPr="00882FD5" w:rsidRDefault="0024154B" w:rsidP="00782343">
            <w:pPr>
              <w:keepNext/>
              <w:keepLines/>
              <w:spacing w:before="0" w:line="240" w:lineRule="auto"/>
              <w:jc w:val="right"/>
              <w:rPr>
                <w:b/>
                <w:bCs/>
                <w:i/>
                <w:iCs/>
                <w:color w:val="000000"/>
                <w:sz w:val="22"/>
                <w:szCs w:val="22"/>
              </w:rPr>
            </w:pPr>
            <w:r w:rsidRPr="00882FD5">
              <w:rPr>
                <w:b/>
                <w:bCs/>
                <w:i/>
                <w:iCs/>
                <w:color w:val="000000"/>
                <w:sz w:val="22"/>
                <w:szCs w:val="22"/>
              </w:rPr>
              <w:t> </w:t>
            </w:r>
          </w:p>
        </w:tc>
        <w:tc>
          <w:tcPr>
            <w:tcW w:w="1175" w:type="dxa"/>
            <w:tcBorders>
              <w:top w:val="double" w:sz="4" w:space="0" w:color="auto"/>
              <w:left w:val="single" w:sz="4" w:space="0" w:color="auto"/>
              <w:bottom w:val="nil"/>
              <w:right w:val="double" w:sz="4" w:space="0" w:color="auto"/>
            </w:tcBorders>
            <w:shd w:val="clear" w:color="auto" w:fill="auto"/>
            <w:vAlign w:val="center"/>
            <w:hideMark/>
          </w:tcPr>
          <w:p w14:paraId="2D5DF497" w14:textId="77777777" w:rsidR="0024154B" w:rsidRPr="00882FD5" w:rsidRDefault="0024154B" w:rsidP="00782343">
            <w:pPr>
              <w:keepNext/>
              <w:keepLines/>
              <w:spacing w:before="0" w:line="240" w:lineRule="auto"/>
              <w:jc w:val="right"/>
              <w:rPr>
                <w:b/>
                <w:bCs/>
                <w:i/>
                <w:iCs/>
                <w:color w:val="000000"/>
                <w:sz w:val="22"/>
                <w:szCs w:val="22"/>
              </w:rPr>
            </w:pPr>
            <w:r w:rsidRPr="00882FD5">
              <w:rPr>
                <w:b/>
                <w:bCs/>
                <w:i/>
                <w:iCs/>
                <w:color w:val="000000"/>
                <w:sz w:val="22"/>
                <w:szCs w:val="22"/>
              </w:rPr>
              <w:t> </w:t>
            </w:r>
          </w:p>
        </w:tc>
        <w:tc>
          <w:tcPr>
            <w:tcW w:w="1170" w:type="dxa"/>
            <w:tcBorders>
              <w:top w:val="double" w:sz="4" w:space="0" w:color="auto"/>
              <w:left w:val="double" w:sz="4" w:space="0" w:color="auto"/>
              <w:bottom w:val="nil"/>
              <w:right w:val="single" w:sz="4" w:space="0" w:color="auto"/>
            </w:tcBorders>
            <w:shd w:val="clear" w:color="auto" w:fill="auto"/>
            <w:noWrap/>
            <w:vAlign w:val="center"/>
            <w:hideMark/>
          </w:tcPr>
          <w:p w14:paraId="087D0992" w14:textId="77777777" w:rsidR="0024154B" w:rsidRPr="00882FD5" w:rsidRDefault="0024154B" w:rsidP="00782343">
            <w:pPr>
              <w:keepNext/>
              <w:keepLines/>
              <w:spacing w:before="0" w:line="240" w:lineRule="auto"/>
              <w:rPr>
                <w:color w:val="000000"/>
                <w:sz w:val="22"/>
                <w:szCs w:val="22"/>
              </w:rPr>
            </w:pPr>
            <w:r w:rsidRPr="00882FD5">
              <w:rPr>
                <w:color w:val="000000"/>
                <w:sz w:val="22"/>
                <w:szCs w:val="22"/>
              </w:rPr>
              <w:t> </w:t>
            </w:r>
          </w:p>
        </w:tc>
        <w:tc>
          <w:tcPr>
            <w:tcW w:w="1255" w:type="dxa"/>
            <w:tcBorders>
              <w:top w:val="double" w:sz="4" w:space="0" w:color="auto"/>
              <w:left w:val="single" w:sz="4" w:space="0" w:color="auto"/>
              <w:bottom w:val="nil"/>
              <w:right w:val="double" w:sz="4" w:space="0" w:color="auto"/>
            </w:tcBorders>
            <w:shd w:val="clear" w:color="auto" w:fill="auto"/>
            <w:noWrap/>
            <w:vAlign w:val="center"/>
            <w:hideMark/>
          </w:tcPr>
          <w:p w14:paraId="3FE4C8CE" w14:textId="77777777" w:rsidR="0024154B" w:rsidRPr="00882FD5" w:rsidRDefault="0024154B" w:rsidP="00782343">
            <w:pPr>
              <w:keepNext/>
              <w:keepLines/>
              <w:spacing w:before="0" w:line="240" w:lineRule="auto"/>
              <w:jc w:val="right"/>
              <w:rPr>
                <w:color w:val="000000"/>
                <w:sz w:val="22"/>
                <w:szCs w:val="22"/>
              </w:rPr>
            </w:pPr>
            <w:r w:rsidRPr="00882FD5">
              <w:rPr>
                <w:color w:val="000000"/>
                <w:sz w:val="22"/>
                <w:szCs w:val="22"/>
              </w:rPr>
              <w:t> </w:t>
            </w:r>
          </w:p>
        </w:tc>
      </w:tr>
      <w:tr w:rsidR="0024154B" w:rsidRPr="00882FD5" w14:paraId="3A2E1F62" w14:textId="77777777" w:rsidTr="006329B2">
        <w:trPr>
          <w:trHeight w:val="202"/>
        </w:trPr>
        <w:tc>
          <w:tcPr>
            <w:tcW w:w="4360" w:type="dxa"/>
            <w:tcBorders>
              <w:top w:val="nil"/>
              <w:left w:val="double" w:sz="4" w:space="0" w:color="auto"/>
              <w:bottom w:val="nil"/>
              <w:right w:val="double" w:sz="4" w:space="0" w:color="auto"/>
            </w:tcBorders>
            <w:shd w:val="clear" w:color="auto" w:fill="auto"/>
            <w:noWrap/>
            <w:vAlign w:val="center"/>
            <w:hideMark/>
          </w:tcPr>
          <w:p w14:paraId="433F8BE6" w14:textId="77777777" w:rsidR="0024154B" w:rsidRPr="00882FD5" w:rsidRDefault="0024154B" w:rsidP="00782343">
            <w:pPr>
              <w:keepNext/>
              <w:keepLines/>
              <w:spacing w:before="0" w:line="240" w:lineRule="auto"/>
              <w:rPr>
                <w:color w:val="000000"/>
                <w:sz w:val="22"/>
                <w:szCs w:val="22"/>
              </w:rPr>
            </w:pPr>
            <w:r w:rsidRPr="00882FD5">
              <w:rPr>
                <w:color w:val="000000"/>
                <w:sz w:val="22"/>
                <w:szCs w:val="22"/>
              </w:rPr>
              <w:t>Green Lifestyle Propensity (GLP)</w:t>
            </w:r>
          </w:p>
        </w:tc>
        <w:tc>
          <w:tcPr>
            <w:tcW w:w="1130" w:type="dxa"/>
            <w:tcBorders>
              <w:top w:val="nil"/>
              <w:left w:val="double" w:sz="4" w:space="0" w:color="auto"/>
              <w:bottom w:val="nil"/>
              <w:right w:val="single" w:sz="4" w:space="0" w:color="auto"/>
            </w:tcBorders>
            <w:shd w:val="clear" w:color="auto" w:fill="auto"/>
            <w:vAlign w:val="center"/>
            <w:hideMark/>
          </w:tcPr>
          <w:p w14:paraId="77E6BDF5" w14:textId="77777777" w:rsidR="0024154B" w:rsidRPr="00882FD5" w:rsidRDefault="0024154B" w:rsidP="00782343">
            <w:pPr>
              <w:keepNext/>
              <w:keepLines/>
              <w:spacing w:before="0" w:line="240" w:lineRule="auto"/>
              <w:jc w:val="right"/>
              <w:rPr>
                <w:color w:val="000000"/>
                <w:sz w:val="22"/>
                <w:szCs w:val="22"/>
              </w:rPr>
            </w:pPr>
            <w:r w:rsidRPr="00882FD5">
              <w:rPr>
                <w:color w:val="000000"/>
                <w:sz w:val="22"/>
                <w:szCs w:val="22"/>
              </w:rPr>
              <w:t>0.122</w:t>
            </w:r>
          </w:p>
        </w:tc>
        <w:tc>
          <w:tcPr>
            <w:tcW w:w="1175" w:type="dxa"/>
            <w:tcBorders>
              <w:top w:val="nil"/>
              <w:left w:val="single" w:sz="4" w:space="0" w:color="auto"/>
              <w:bottom w:val="nil"/>
              <w:right w:val="double" w:sz="4" w:space="0" w:color="auto"/>
            </w:tcBorders>
            <w:shd w:val="clear" w:color="auto" w:fill="auto"/>
            <w:vAlign w:val="center"/>
            <w:hideMark/>
          </w:tcPr>
          <w:p w14:paraId="6A12642D" w14:textId="77777777" w:rsidR="0024154B" w:rsidRPr="00882FD5" w:rsidRDefault="0024154B" w:rsidP="00782343">
            <w:pPr>
              <w:keepNext/>
              <w:keepLines/>
              <w:spacing w:before="0" w:line="240" w:lineRule="auto"/>
              <w:jc w:val="right"/>
              <w:rPr>
                <w:color w:val="000000"/>
                <w:sz w:val="22"/>
                <w:szCs w:val="22"/>
              </w:rPr>
            </w:pPr>
            <w:r w:rsidRPr="00882FD5">
              <w:rPr>
                <w:color w:val="000000"/>
                <w:sz w:val="22"/>
                <w:szCs w:val="22"/>
              </w:rPr>
              <w:t>2.11</w:t>
            </w:r>
          </w:p>
        </w:tc>
        <w:tc>
          <w:tcPr>
            <w:tcW w:w="1170" w:type="dxa"/>
            <w:tcBorders>
              <w:top w:val="nil"/>
              <w:left w:val="double" w:sz="4" w:space="0" w:color="auto"/>
              <w:bottom w:val="nil"/>
              <w:right w:val="single" w:sz="4" w:space="0" w:color="auto"/>
            </w:tcBorders>
            <w:shd w:val="clear" w:color="auto" w:fill="auto"/>
            <w:noWrap/>
            <w:vAlign w:val="center"/>
            <w:hideMark/>
          </w:tcPr>
          <w:p w14:paraId="5E99FC12" w14:textId="77777777" w:rsidR="0024154B" w:rsidRPr="00882FD5" w:rsidRDefault="0024154B" w:rsidP="00782343">
            <w:pPr>
              <w:keepNext/>
              <w:keepLines/>
              <w:spacing w:before="0" w:line="240" w:lineRule="auto"/>
              <w:jc w:val="right"/>
              <w:rPr>
                <w:color w:val="000000"/>
                <w:sz w:val="22"/>
                <w:szCs w:val="22"/>
              </w:rPr>
            </w:pPr>
            <w:r w:rsidRPr="00882FD5">
              <w:rPr>
                <w:color w:val="000000"/>
                <w:sz w:val="22"/>
                <w:szCs w:val="22"/>
              </w:rPr>
              <w:t>-0.634</w:t>
            </w:r>
          </w:p>
        </w:tc>
        <w:tc>
          <w:tcPr>
            <w:tcW w:w="1255" w:type="dxa"/>
            <w:tcBorders>
              <w:top w:val="nil"/>
              <w:left w:val="single" w:sz="4" w:space="0" w:color="auto"/>
              <w:bottom w:val="nil"/>
              <w:right w:val="double" w:sz="4" w:space="0" w:color="auto"/>
            </w:tcBorders>
            <w:shd w:val="clear" w:color="auto" w:fill="auto"/>
            <w:noWrap/>
            <w:vAlign w:val="center"/>
            <w:hideMark/>
          </w:tcPr>
          <w:p w14:paraId="546823B1" w14:textId="77777777" w:rsidR="0024154B" w:rsidRPr="00882FD5" w:rsidRDefault="0024154B" w:rsidP="00782343">
            <w:pPr>
              <w:keepNext/>
              <w:keepLines/>
              <w:spacing w:before="0" w:line="240" w:lineRule="auto"/>
              <w:jc w:val="right"/>
              <w:rPr>
                <w:color w:val="000000"/>
                <w:sz w:val="22"/>
                <w:szCs w:val="22"/>
              </w:rPr>
            </w:pPr>
            <w:r w:rsidRPr="00882FD5">
              <w:rPr>
                <w:color w:val="000000"/>
                <w:sz w:val="22"/>
                <w:szCs w:val="22"/>
              </w:rPr>
              <w:t>-5.66</w:t>
            </w:r>
          </w:p>
        </w:tc>
      </w:tr>
      <w:tr w:rsidR="0024154B" w:rsidRPr="00882FD5" w14:paraId="65BF1BC0" w14:textId="77777777" w:rsidTr="006329B2">
        <w:trPr>
          <w:trHeight w:val="202"/>
        </w:trPr>
        <w:tc>
          <w:tcPr>
            <w:tcW w:w="4360" w:type="dxa"/>
            <w:tcBorders>
              <w:top w:val="nil"/>
              <w:left w:val="double" w:sz="4" w:space="0" w:color="auto"/>
              <w:bottom w:val="nil"/>
              <w:right w:val="double" w:sz="4" w:space="0" w:color="auto"/>
            </w:tcBorders>
            <w:shd w:val="clear" w:color="auto" w:fill="auto"/>
            <w:noWrap/>
            <w:vAlign w:val="center"/>
            <w:hideMark/>
          </w:tcPr>
          <w:p w14:paraId="1676C387" w14:textId="77777777" w:rsidR="0024154B" w:rsidRPr="00882FD5" w:rsidRDefault="0024154B" w:rsidP="00782343">
            <w:pPr>
              <w:keepNext/>
              <w:keepLines/>
              <w:spacing w:before="0" w:line="240" w:lineRule="auto"/>
              <w:rPr>
                <w:color w:val="000000"/>
                <w:sz w:val="22"/>
                <w:szCs w:val="22"/>
              </w:rPr>
            </w:pPr>
            <w:r w:rsidRPr="00882FD5">
              <w:rPr>
                <w:color w:val="000000"/>
                <w:sz w:val="22"/>
                <w:szCs w:val="22"/>
              </w:rPr>
              <w:t>Luxury Lifestyle Propensity (LLP)</w:t>
            </w:r>
          </w:p>
        </w:tc>
        <w:tc>
          <w:tcPr>
            <w:tcW w:w="1130" w:type="dxa"/>
            <w:tcBorders>
              <w:top w:val="nil"/>
              <w:left w:val="double" w:sz="4" w:space="0" w:color="auto"/>
              <w:bottom w:val="nil"/>
              <w:right w:val="single" w:sz="4" w:space="0" w:color="auto"/>
            </w:tcBorders>
            <w:shd w:val="clear" w:color="auto" w:fill="auto"/>
            <w:vAlign w:val="center"/>
            <w:hideMark/>
          </w:tcPr>
          <w:p w14:paraId="6537CC1C" w14:textId="77777777" w:rsidR="0024154B" w:rsidRPr="00882FD5" w:rsidRDefault="0024154B" w:rsidP="00782343">
            <w:pPr>
              <w:keepNext/>
              <w:keepLines/>
              <w:spacing w:before="0" w:line="240" w:lineRule="auto"/>
              <w:jc w:val="right"/>
              <w:rPr>
                <w:color w:val="000000"/>
                <w:sz w:val="22"/>
                <w:szCs w:val="22"/>
              </w:rPr>
            </w:pPr>
            <w:r w:rsidRPr="00882FD5">
              <w:rPr>
                <w:color w:val="000000"/>
                <w:sz w:val="22"/>
                <w:szCs w:val="22"/>
              </w:rPr>
              <w:t>-0.441</w:t>
            </w:r>
          </w:p>
        </w:tc>
        <w:tc>
          <w:tcPr>
            <w:tcW w:w="1175" w:type="dxa"/>
            <w:tcBorders>
              <w:top w:val="nil"/>
              <w:left w:val="single" w:sz="4" w:space="0" w:color="auto"/>
              <w:bottom w:val="nil"/>
              <w:right w:val="double" w:sz="4" w:space="0" w:color="auto"/>
            </w:tcBorders>
            <w:shd w:val="clear" w:color="auto" w:fill="auto"/>
            <w:vAlign w:val="center"/>
            <w:hideMark/>
          </w:tcPr>
          <w:p w14:paraId="289E459C" w14:textId="77777777" w:rsidR="0024154B" w:rsidRPr="00882FD5" w:rsidRDefault="0024154B" w:rsidP="00782343">
            <w:pPr>
              <w:keepNext/>
              <w:keepLines/>
              <w:spacing w:before="0" w:line="240" w:lineRule="auto"/>
              <w:jc w:val="right"/>
              <w:rPr>
                <w:color w:val="000000"/>
                <w:sz w:val="22"/>
                <w:szCs w:val="22"/>
              </w:rPr>
            </w:pPr>
            <w:r w:rsidRPr="00882FD5">
              <w:rPr>
                <w:color w:val="000000"/>
                <w:sz w:val="22"/>
                <w:szCs w:val="22"/>
              </w:rPr>
              <w:t>-4.52</w:t>
            </w:r>
          </w:p>
        </w:tc>
        <w:tc>
          <w:tcPr>
            <w:tcW w:w="1170" w:type="dxa"/>
            <w:tcBorders>
              <w:top w:val="nil"/>
              <w:left w:val="double" w:sz="4" w:space="0" w:color="auto"/>
              <w:bottom w:val="nil"/>
              <w:right w:val="single" w:sz="4" w:space="0" w:color="auto"/>
            </w:tcBorders>
            <w:shd w:val="clear" w:color="auto" w:fill="auto"/>
            <w:noWrap/>
            <w:vAlign w:val="center"/>
            <w:hideMark/>
          </w:tcPr>
          <w:p w14:paraId="5AE139AD" w14:textId="77777777" w:rsidR="0024154B" w:rsidRPr="00882FD5" w:rsidRDefault="0024154B" w:rsidP="00782343">
            <w:pPr>
              <w:keepNext/>
              <w:keepLines/>
              <w:spacing w:before="0" w:line="240" w:lineRule="auto"/>
              <w:jc w:val="right"/>
              <w:rPr>
                <w:color w:val="000000"/>
                <w:sz w:val="22"/>
                <w:szCs w:val="22"/>
              </w:rPr>
            </w:pPr>
            <w:r w:rsidRPr="00882FD5">
              <w:rPr>
                <w:color w:val="000000"/>
                <w:sz w:val="22"/>
                <w:szCs w:val="22"/>
              </w:rPr>
              <w:t>0.241</w:t>
            </w:r>
          </w:p>
        </w:tc>
        <w:tc>
          <w:tcPr>
            <w:tcW w:w="1255" w:type="dxa"/>
            <w:tcBorders>
              <w:top w:val="nil"/>
              <w:left w:val="single" w:sz="4" w:space="0" w:color="auto"/>
              <w:bottom w:val="nil"/>
              <w:right w:val="double" w:sz="4" w:space="0" w:color="auto"/>
            </w:tcBorders>
            <w:shd w:val="clear" w:color="auto" w:fill="auto"/>
            <w:noWrap/>
            <w:vAlign w:val="center"/>
            <w:hideMark/>
          </w:tcPr>
          <w:p w14:paraId="0D6E910B" w14:textId="77777777" w:rsidR="0024154B" w:rsidRPr="00882FD5" w:rsidRDefault="0024154B" w:rsidP="00782343">
            <w:pPr>
              <w:keepNext/>
              <w:keepLines/>
              <w:spacing w:before="0" w:line="240" w:lineRule="auto"/>
              <w:jc w:val="right"/>
              <w:rPr>
                <w:color w:val="000000"/>
                <w:sz w:val="22"/>
                <w:szCs w:val="22"/>
              </w:rPr>
            </w:pPr>
            <w:r w:rsidRPr="00882FD5">
              <w:rPr>
                <w:color w:val="000000"/>
                <w:sz w:val="22"/>
                <w:szCs w:val="22"/>
              </w:rPr>
              <w:t>3.91</w:t>
            </w:r>
          </w:p>
        </w:tc>
      </w:tr>
      <w:tr w:rsidR="0024154B" w:rsidRPr="00882FD5" w14:paraId="27EB7622" w14:textId="77777777" w:rsidTr="006329B2">
        <w:trPr>
          <w:trHeight w:val="202"/>
        </w:trPr>
        <w:tc>
          <w:tcPr>
            <w:tcW w:w="4360" w:type="dxa"/>
            <w:tcBorders>
              <w:top w:val="nil"/>
              <w:left w:val="double" w:sz="4" w:space="0" w:color="auto"/>
              <w:bottom w:val="nil"/>
              <w:right w:val="double" w:sz="4" w:space="0" w:color="auto"/>
            </w:tcBorders>
            <w:shd w:val="clear" w:color="auto" w:fill="auto"/>
            <w:noWrap/>
            <w:vAlign w:val="center"/>
            <w:hideMark/>
          </w:tcPr>
          <w:p w14:paraId="6F987CE6" w14:textId="77777777" w:rsidR="0024154B" w:rsidRPr="00882FD5" w:rsidRDefault="0024154B" w:rsidP="00782343">
            <w:pPr>
              <w:keepNext/>
              <w:keepLines/>
              <w:spacing w:before="0" w:line="240" w:lineRule="auto"/>
              <w:rPr>
                <w:color w:val="000000"/>
                <w:sz w:val="22"/>
                <w:szCs w:val="22"/>
              </w:rPr>
            </w:pPr>
            <w:r w:rsidRPr="00882FD5">
              <w:rPr>
                <w:color w:val="000000"/>
                <w:sz w:val="22"/>
                <w:szCs w:val="22"/>
              </w:rPr>
              <w:t> </w:t>
            </w:r>
          </w:p>
        </w:tc>
        <w:tc>
          <w:tcPr>
            <w:tcW w:w="1130" w:type="dxa"/>
            <w:tcBorders>
              <w:top w:val="nil"/>
              <w:left w:val="double" w:sz="4" w:space="0" w:color="auto"/>
              <w:bottom w:val="nil"/>
              <w:right w:val="single" w:sz="4" w:space="0" w:color="auto"/>
            </w:tcBorders>
            <w:shd w:val="clear" w:color="auto" w:fill="auto"/>
            <w:vAlign w:val="center"/>
            <w:hideMark/>
          </w:tcPr>
          <w:p w14:paraId="47FC6FD3" w14:textId="77777777" w:rsidR="0024154B" w:rsidRPr="00882FD5" w:rsidRDefault="0024154B" w:rsidP="00782343">
            <w:pPr>
              <w:keepNext/>
              <w:keepLines/>
              <w:spacing w:before="0" w:line="240" w:lineRule="auto"/>
              <w:jc w:val="right"/>
              <w:rPr>
                <w:color w:val="000000"/>
                <w:sz w:val="22"/>
                <w:szCs w:val="22"/>
              </w:rPr>
            </w:pPr>
            <w:r w:rsidRPr="00882FD5">
              <w:rPr>
                <w:color w:val="000000"/>
                <w:sz w:val="22"/>
                <w:szCs w:val="22"/>
              </w:rPr>
              <w:t> </w:t>
            </w:r>
          </w:p>
        </w:tc>
        <w:tc>
          <w:tcPr>
            <w:tcW w:w="1175" w:type="dxa"/>
            <w:tcBorders>
              <w:top w:val="nil"/>
              <w:left w:val="single" w:sz="4" w:space="0" w:color="auto"/>
              <w:bottom w:val="nil"/>
              <w:right w:val="double" w:sz="4" w:space="0" w:color="auto"/>
            </w:tcBorders>
            <w:shd w:val="clear" w:color="auto" w:fill="auto"/>
            <w:vAlign w:val="center"/>
            <w:hideMark/>
          </w:tcPr>
          <w:p w14:paraId="3A5ADDA0" w14:textId="77777777" w:rsidR="0024154B" w:rsidRPr="00882FD5" w:rsidRDefault="0024154B" w:rsidP="00782343">
            <w:pPr>
              <w:keepNext/>
              <w:keepLines/>
              <w:spacing w:before="0" w:line="240" w:lineRule="auto"/>
              <w:jc w:val="right"/>
              <w:rPr>
                <w:color w:val="000000"/>
                <w:sz w:val="22"/>
                <w:szCs w:val="22"/>
              </w:rPr>
            </w:pPr>
            <w:r w:rsidRPr="00882FD5">
              <w:rPr>
                <w:color w:val="000000"/>
                <w:sz w:val="22"/>
                <w:szCs w:val="22"/>
              </w:rPr>
              <w:t> </w:t>
            </w:r>
          </w:p>
        </w:tc>
        <w:tc>
          <w:tcPr>
            <w:tcW w:w="1170" w:type="dxa"/>
            <w:tcBorders>
              <w:top w:val="nil"/>
              <w:left w:val="double" w:sz="4" w:space="0" w:color="auto"/>
              <w:bottom w:val="nil"/>
              <w:right w:val="single" w:sz="4" w:space="0" w:color="auto"/>
            </w:tcBorders>
            <w:shd w:val="clear" w:color="auto" w:fill="auto"/>
            <w:noWrap/>
            <w:vAlign w:val="center"/>
            <w:hideMark/>
          </w:tcPr>
          <w:p w14:paraId="4AF51326" w14:textId="77777777" w:rsidR="0024154B" w:rsidRPr="00882FD5" w:rsidRDefault="0024154B" w:rsidP="00782343">
            <w:pPr>
              <w:keepNext/>
              <w:keepLines/>
              <w:spacing w:before="0" w:line="240" w:lineRule="auto"/>
              <w:rPr>
                <w:color w:val="000000"/>
                <w:sz w:val="22"/>
                <w:szCs w:val="22"/>
              </w:rPr>
            </w:pPr>
            <w:r w:rsidRPr="00882FD5">
              <w:rPr>
                <w:color w:val="000000"/>
                <w:sz w:val="22"/>
                <w:szCs w:val="22"/>
              </w:rPr>
              <w:t> </w:t>
            </w:r>
          </w:p>
        </w:tc>
        <w:tc>
          <w:tcPr>
            <w:tcW w:w="1255" w:type="dxa"/>
            <w:tcBorders>
              <w:top w:val="nil"/>
              <w:left w:val="single" w:sz="4" w:space="0" w:color="auto"/>
              <w:bottom w:val="nil"/>
              <w:right w:val="double" w:sz="4" w:space="0" w:color="auto"/>
            </w:tcBorders>
            <w:shd w:val="clear" w:color="auto" w:fill="auto"/>
            <w:noWrap/>
            <w:vAlign w:val="center"/>
            <w:hideMark/>
          </w:tcPr>
          <w:p w14:paraId="36EC7258" w14:textId="77777777" w:rsidR="0024154B" w:rsidRPr="00882FD5" w:rsidRDefault="0024154B" w:rsidP="00782343">
            <w:pPr>
              <w:keepNext/>
              <w:keepLines/>
              <w:spacing w:before="0" w:line="240" w:lineRule="auto"/>
              <w:jc w:val="right"/>
              <w:rPr>
                <w:color w:val="000000"/>
                <w:sz w:val="22"/>
                <w:szCs w:val="22"/>
              </w:rPr>
            </w:pPr>
            <w:r w:rsidRPr="00882FD5">
              <w:rPr>
                <w:color w:val="000000"/>
                <w:sz w:val="22"/>
                <w:szCs w:val="22"/>
              </w:rPr>
              <w:t> </w:t>
            </w:r>
          </w:p>
        </w:tc>
      </w:tr>
      <w:tr w:rsidR="0024154B" w:rsidRPr="00882FD5" w14:paraId="65F7CC3F" w14:textId="77777777" w:rsidTr="006329B2">
        <w:trPr>
          <w:trHeight w:val="202"/>
        </w:trPr>
        <w:tc>
          <w:tcPr>
            <w:tcW w:w="4360" w:type="dxa"/>
            <w:tcBorders>
              <w:top w:val="nil"/>
              <w:left w:val="double" w:sz="4" w:space="0" w:color="auto"/>
              <w:bottom w:val="nil"/>
              <w:right w:val="double" w:sz="4" w:space="0" w:color="auto"/>
            </w:tcBorders>
            <w:shd w:val="clear" w:color="auto" w:fill="auto"/>
            <w:noWrap/>
            <w:vAlign w:val="center"/>
            <w:hideMark/>
          </w:tcPr>
          <w:p w14:paraId="0F1FB9DE" w14:textId="77777777" w:rsidR="0024154B" w:rsidRPr="00882FD5" w:rsidRDefault="0024154B" w:rsidP="00782343">
            <w:pPr>
              <w:keepNext/>
              <w:keepLines/>
              <w:spacing w:before="0" w:line="240" w:lineRule="auto"/>
              <w:rPr>
                <w:b/>
                <w:bCs/>
                <w:i/>
                <w:iCs/>
                <w:color w:val="000000"/>
                <w:sz w:val="22"/>
                <w:szCs w:val="22"/>
              </w:rPr>
            </w:pPr>
            <w:r w:rsidRPr="00882FD5">
              <w:rPr>
                <w:b/>
                <w:bCs/>
                <w:i/>
                <w:iCs/>
                <w:color w:val="000000"/>
                <w:sz w:val="22"/>
                <w:szCs w:val="22"/>
              </w:rPr>
              <w:t>Individual characteristics</w:t>
            </w:r>
          </w:p>
        </w:tc>
        <w:tc>
          <w:tcPr>
            <w:tcW w:w="1130" w:type="dxa"/>
            <w:tcBorders>
              <w:top w:val="nil"/>
              <w:left w:val="double" w:sz="4" w:space="0" w:color="auto"/>
              <w:bottom w:val="nil"/>
              <w:right w:val="single" w:sz="4" w:space="0" w:color="auto"/>
            </w:tcBorders>
            <w:shd w:val="clear" w:color="auto" w:fill="auto"/>
            <w:vAlign w:val="center"/>
            <w:hideMark/>
          </w:tcPr>
          <w:p w14:paraId="4F2A2003" w14:textId="77777777" w:rsidR="0024154B" w:rsidRPr="00882FD5" w:rsidRDefault="0024154B" w:rsidP="00782343">
            <w:pPr>
              <w:keepNext/>
              <w:keepLines/>
              <w:spacing w:before="0" w:line="240" w:lineRule="auto"/>
              <w:jc w:val="right"/>
              <w:rPr>
                <w:b/>
                <w:bCs/>
                <w:i/>
                <w:iCs/>
                <w:color w:val="000000"/>
                <w:sz w:val="22"/>
                <w:szCs w:val="22"/>
              </w:rPr>
            </w:pPr>
            <w:r w:rsidRPr="00882FD5">
              <w:rPr>
                <w:b/>
                <w:bCs/>
                <w:i/>
                <w:iCs/>
                <w:color w:val="000000"/>
                <w:sz w:val="22"/>
                <w:szCs w:val="22"/>
              </w:rPr>
              <w:t> </w:t>
            </w:r>
          </w:p>
        </w:tc>
        <w:tc>
          <w:tcPr>
            <w:tcW w:w="1175" w:type="dxa"/>
            <w:tcBorders>
              <w:top w:val="nil"/>
              <w:left w:val="single" w:sz="4" w:space="0" w:color="auto"/>
              <w:bottom w:val="nil"/>
              <w:right w:val="double" w:sz="4" w:space="0" w:color="auto"/>
            </w:tcBorders>
            <w:shd w:val="clear" w:color="auto" w:fill="auto"/>
            <w:vAlign w:val="center"/>
            <w:hideMark/>
          </w:tcPr>
          <w:p w14:paraId="1E1AECEE" w14:textId="77777777" w:rsidR="0024154B" w:rsidRPr="00882FD5" w:rsidRDefault="0024154B" w:rsidP="00782343">
            <w:pPr>
              <w:keepNext/>
              <w:keepLines/>
              <w:spacing w:before="0" w:line="240" w:lineRule="auto"/>
              <w:jc w:val="right"/>
              <w:rPr>
                <w:b/>
                <w:bCs/>
                <w:i/>
                <w:iCs/>
                <w:color w:val="000000"/>
                <w:sz w:val="22"/>
                <w:szCs w:val="22"/>
              </w:rPr>
            </w:pPr>
            <w:r w:rsidRPr="00882FD5">
              <w:rPr>
                <w:b/>
                <w:bCs/>
                <w:i/>
                <w:iCs/>
                <w:color w:val="000000"/>
                <w:sz w:val="22"/>
                <w:szCs w:val="22"/>
              </w:rPr>
              <w:t> </w:t>
            </w:r>
          </w:p>
        </w:tc>
        <w:tc>
          <w:tcPr>
            <w:tcW w:w="1170" w:type="dxa"/>
            <w:tcBorders>
              <w:top w:val="nil"/>
              <w:left w:val="double" w:sz="4" w:space="0" w:color="auto"/>
              <w:bottom w:val="nil"/>
              <w:right w:val="single" w:sz="4" w:space="0" w:color="auto"/>
            </w:tcBorders>
            <w:shd w:val="clear" w:color="auto" w:fill="auto"/>
            <w:noWrap/>
            <w:vAlign w:val="center"/>
            <w:hideMark/>
          </w:tcPr>
          <w:p w14:paraId="0A003823" w14:textId="77777777" w:rsidR="0024154B" w:rsidRPr="00882FD5" w:rsidRDefault="0024154B" w:rsidP="00782343">
            <w:pPr>
              <w:keepNext/>
              <w:keepLines/>
              <w:spacing w:before="0" w:line="240" w:lineRule="auto"/>
              <w:jc w:val="right"/>
              <w:rPr>
                <w:b/>
                <w:bCs/>
                <w:i/>
                <w:iCs/>
                <w:color w:val="000000"/>
                <w:sz w:val="22"/>
                <w:szCs w:val="22"/>
              </w:rPr>
            </w:pPr>
            <w:r w:rsidRPr="00882FD5">
              <w:rPr>
                <w:b/>
                <w:bCs/>
                <w:i/>
                <w:iCs/>
                <w:color w:val="000000"/>
                <w:sz w:val="22"/>
                <w:szCs w:val="22"/>
              </w:rPr>
              <w:t> </w:t>
            </w:r>
          </w:p>
        </w:tc>
        <w:tc>
          <w:tcPr>
            <w:tcW w:w="1255" w:type="dxa"/>
            <w:tcBorders>
              <w:top w:val="nil"/>
              <w:left w:val="single" w:sz="4" w:space="0" w:color="auto"/>
              <w:bottom w:val="nil"/>
              <w:right w:val="double" w:sz="4" w:space="0" w:color="auto"/>
            </w:tcBorders>
            <w:shd w:val="clear" w:color="auto" w:fill="auto"/>
            <w:noWrap/>
            <w:vAlign w:val="center"/>
            <w:hideMark/>
          </w:tcPr>
          <w:p w14:paraId="457649BE" w14:textId="77777777" w:rsidR="0024154B" w:rsidRPr="00882FD5" w:rsidRDefault="0024154B" w:rsidP="00782343">
            <w:pPr>
              <w:keepNext/>
              <w:keepLines/>
              <w:spacing w:before="0" w:line="240" w:lineRule="auto"/>
              <w:jc w:val="right"/>
              <w:rPr>
                <w:color w:val="000000"/>
                <w:sz w:val="22"/>
                <w:szCs w:val="22"/>
              </w:rPr>
            </w:pPr>
            <w:r w:rsidRPr="00882FD5">
              <w:rPr>
                <w:color w:val="000000"/>
                <w:sz w:val="22"/>
                <w:szCs w:val="22"/>
              </w:rPr>
              <w:t> </w:t>
            </w:r>
          </w:p>
        </w:tc>
      </w:tr>
      <w:tr w:rsidR="0024154B" w:rsidRPr="00882FD5" w14:paraId="318A5F2F" w14:textId="77777777" w:rsidTr="006329B2">
        <w:trPr>
          <w:trHeight w:val="202"/>
        </w:trPr>
        <w:tc>
          <w:tcPr>
            <w:tcW w:w="4360" w:type="dxa"/>
            <w:tcBorders>
              <w:top w:val="nil"/>
              <w:left w:val="double" w:sz="4" w:space="0" w:color="auto"/>
              <w:bottom w:val="nil"/>
              <w:right w:val="double" w:sz="4" w:space="0" w:color="auto"/>
            </w:tcBorders>
            <w:shd w:val="clear" w:color="auto" w:fill="auto"/>
            <w:noWrap/>
            <w:vAlign w:val="center"/>
            <w:hideMark/>
          </w:tcPr>
          <w:p w14:paraId="6E637F00" w14:textId="77777777" w:rsidR="0024154B" w:rsidRPr="00882FD5" w:rsidRDefault="0024154B" w:rsidP="00782343">
            <w:pPr>
              <w:keepNext/>
              <w:keepLines/>
              <w:spacing w:before="0" w:line="240" w:lineRule="auto"/>
              <w:rPr>
                <w:color w:val="000000"/>
                <w:sz w:val="22"/>
                <w:szCs w:val="22"/>
              </w:rPr>
            </w:pPr>
            <w:r w:rsidRPr="00882FD5">
              <w:rPr>
                <w:color w:val="000000"/>
                <w:sz w:val="22"/>
                <w:szCs w:val="22"/>
              </w:rPr>
              <w:t>Age (base: below 30 years)</w:t>
            </w:r>
          </w:p>
        </w:tc>
        <w:tc>
          <w:tcPr>
            <w:tcW w:w="1130" w:type="dxa"/>
            <w:tcBorders>
              <w:top w:val="nil"/>
              <w:left w:val="double" w:sz="4" w:space="0" w:color="auto"/>
              <w:bottom w:val="nil"/>
              <w:right w:val="single" w:sz="4" w:space="0" w:color="auto"/>
            </w:tcBorders>
            <w:shd w:val="clear" w:color="auto" w:fill="auto"/>
            <w:vAlign w:val="center"/>
            <w:hideMark/>
          </w:tcPr>
          <w:p w14:paraId="7A0C1556" w14:textId="77777777" w:rsidR="0024154B" w:rsidRPr="00882FD5" w:rsidRDefault="0024154B" w:rsidP="00782343">
            <w:pPr>
              <w:keepNext/>
              <w:keepLines/>
              <w:spacing w:before="0" w:line="240" w:lineRule="auto"/>
              <w:jc w:val="right"/>
              <w:rPr>
                <w:color w:val="000000"/>
                <w:sz w:val="22"/>
                <w:szCs w:val="22"/>
              </w:rPr>
            </w:pPr>
            <w:r w:rsidRPr="00882FD5">
              <w:rPr>
                <w:color w:val="000000"/>
                <w:sz w:val="22"/>
                <w:szCs w:val="22"/>
              </w:rPr>
              <w:t> </w:t>
            </w:r>
          </w:p>
        </w:tc>
        <w:tc>
          <w:tcPr>
            <w:tcW w:w="1175" w:type="dxa"/>
            <w:tcBorders>
              <w:top w:val="nil"/>
              <w:left w:val="single" w:sz="4" w:space="0" w:color="auto"/>
              <w:bottom w:val="nil"/>
              <w:right w:val="double" w:sz="4" w:space="0" w:color="auto"/>
            </w:tcBorders>
            <w:shd w:val="clear" w:color="auto" w:fill="auto"/>
            <w:vAlign w:val="center"/>
            <w:hideMark/>
          </w:tcPr>
          <w:p w14:paraId="3C9B8BA3" w14:textId="77777777" w:rsidR="0024154B" w:rsidRPr="00882FD5" w:rsidRDefault="0024154B" w:rsidP="00782343">
            <w:pPr>
              <w:keepNext/>
              <w:keepLines/>
              <w:spacing w:before="0" w:line="240" w:lineRule="auto"/>
              <w:jc w:val="right"/>
              <w:rPr>
                <w:color w:val="000000"/>
                <w:sz w:val="22"/>
                <w:szCs w:val="22"/>
              </w:rPr>
            </w:pPr>
            <w:r w:rsidRPr="00882FD5">
              <w:rPr>
                <w:color w:val="000000"/>
                <w:sz w:val="22"/>
                <w:szCs w:val="22"/>
              </w:rPr>
              <w:t> </w:t>
            </w:r>
          </w:p>
        </w:tc>
        <w:tc>
          <w:tcPr>
            <w:tcW w:w="1170" w:type="dxa"/>
            <w:tcBorders>
              <w:top w:val="nil"/>
              <w:left w:val="double" w:sz="4" w:space="0" w:color="auto"/>
              <w:bottom w:val="nil"/>
              <w:right w:val="single" w:sz="4" w:space="0" w:color="auto"/>
            </w:tcBorders>
            <w:shd w:val="clear" w:color="auto" w:fill="auto"/>
            <w:noWrap/>
            <w:vAlign w:val="center"/>
            <w:hideMark/>
          </w:tcPr>
          <w:p w14:paraId="3648CEBF" w14:textId="77777777" w:rsidR="0024154B" w:rsidRPr="00882FD5" w:rsidRDefault="0024154B" w:rsidP="00782343">
            <w:pPr>
              <w:keepNext/>
              <w:keepLines/>
              <w:spacing w:before="0" w:line="240" w:lineRule="auto"/>
              <w:jc w:val="right"/>
              <w:rPr>
                <w:color w:val="000000"/>
                <w:sz w:val="22"/>
                <w:szCs w:val="22"/>
              </w:rPr>
            </w:pPr>
            <w:r w:rsidRPr="00882FD5">
              <w:rPr>
                <w:color w:val="000000"/>
                <w:sz w:val="22"/>
                <w:szCs w:val="22"/>
              </w:rPr>
              <w:t> </w:t>
            </w:r>
          </w:p>
        </w:tc>
        <w:tc>
          <w:tcPr>
            <w:tcW w:w="1255" w:type="dxa"/>
            <w:tcBorders>
              <w:top w:val="nil"/>
              <w:left w:val="single" w:sz="4" w:space="0" w:color="auto"/>
              <w:bottom w:val="nil"/>
              <w:right w:val="double" w:sz="4" w:space="0" w:color="auto"/>
            </w:tcBorders>
            <w:shd w:val="clear" w:color="auto" w:fill="auto"/>
            <w:noWrap/>
            <w:vAlign w:val="center"/>
            <w:hideMark/>
          </w:tcPr>
          <w:p w14:paraId="223049C2" w14:textId="77777777" w:rsidR="0024154B" w:rsidRPr="00882FD5" w:rsidRDefault="0024154B" w:rsidP="00782343">
            <w:pPr>
              <w:keepNext/>
              <w:keepLines/>
              <w:spacing w:before="0" w:line="240" w:lineRule="auto"/>
              <w:jc w:val="right"/>
              <w:rPr>
                <w:color w:val="000000"/>
                <w:sz w:val="22"/>
                <w:szCs w:val="22"/>
              </w:rPr>
            </w:pPr>
            <w:r w:rsidRPr="00882FD5">
              <w:rPr>
                <w:color w:val="000000"/>
                <w:sz w:val="22"/>
                <w:szCs w:val="22"/>
              </w:rPr>
              <w:t> </w:t>
            </w:r>
          </w:p>
        </w:tc>
      </w:tr>
      <w:tr w:rsidR="0024154B" w:rsidRPr="00882FD5" w14:paraId="0FE143C8" w14:textId="77777777" w:rsidTr="006329B2">
        <w:trPr>
          <w:trHeight w:val="202"/>
        </w:trPr>
        <w:tc>
          <w:tcPr>
            <w:tcW w:w="4360" w:type="dxa"/>
            <w:tcBorders>
              <w:top w:val="nil"/>
              <w:left w:val="double" w:sz="4" w:space="0" w:color="auto"/>
              <w:bottom w:val="nil"/>
              <w:right w:val="double" w:sz="4" w:space="0" w:color="auto"/>
            </w:tcBorders>
            <w:shd w:val="clear" w:color="auto" w:fill="auto"/>
            <w:noWrap/>
            <w:vAlign w:val="center"/>
            <w:hideMark/>
          </w:tcPr>
          <w:p w14:paraId="24726166" w14:textId="77777777" w:rsidR="0024154B" w:rsidRPr="00882FD5" w:rsidRDefault="0024154B" w:rsidP="00782343">
            <w:pPr>
              <w:keepNext/>
              <w:keepLines/>
              <w:spacing w:before="0" w:line="240" w:lineRule="auto"/>
              <w:ind w:firstLineChars="100" w:firstLine="220"/>
              <w:rPr>
                <w:color w:val="000000"/>
                <w:sz w:val="22"/>
                <w:szCs w:val="22"/>
              </w:rPr>
            </w:pPr>
            <w:r w:rsidRPr="00882FD5">
              <w:rPr>
                <w:color w:val="000000"/>
                <w:sz w:val="22"/>
                <w:szCs w:val="22"/>
              </w:rPr>
              <w:t xml:space="preserve">  30 to 50</w:t>
            </w:r>
          </w:p>
        </w:tc>
        <w:tc>
          <w:tcPr>
            <w:tcW w:w="1130" w:type="dxa"/>
            <w:tcBorders>
              <w:top w:val="nil"/>
              <w:left w:val="double" w:sz="4" w:space="0" w:color="auto"/>
              <w:bottom w:val="nil"/>
              <w:right w:val="single" w:sz="4" w:space="0" w:color="auto"/>
            </w:tcBorders>
            <w:shd w:val="clear" w:color="auto" w:fill="auto"/>
            <w:vAlign w:val="center"/>
            <w:hideMark/>
          </w:tcPr>
          <w:p w14:paraId="530F38EE" w14:textId="77777777" w:rsidR="0024154B" w:rsidRPr="00882FD5" w:rsidRDefault="0024154B" w:rsidP="00782343">
            <w:pPr>
              <w:keepNext/>
              <w:keepLines/>
              <w:spacing w:before="0" w:line="240" w:lineRule="auto"/>
              <w:jc w:val="right"/>
              <w:rPr>
                <w:color w:val="000000"/>
                <w:sz w:val="22"/>
                <w:szCs w:val="22"/>
              </w:rPr>
            </w:pPr>
            <w:r w:rsidRPr="00882FD5">
              <w:rPr>
                <w:color w:val="000000"/>
                <w:sz w:val="22"/>
                <w:szCs w:val="22"/>
              </w:rPr>
              <w:t>-0.435</w:t>
            </w:r>
          </w:p>
        </w:tc>
        <w:tc>
          <w:tcPr>
            <w:tcW w:w="1175" w:type="dxa"/>
            <w:tcBorders>
              <w:top w:val="nil"/>
              <w:left w:val="single" w:sz="4" w:space="0" w:color="auto"/>
              <w:bottom w:val="nil"/>
              <w:right w:val="double" w:sz="4" w:space="0" w:color="auto"/>
            </w:tcBorders>
            <w:shd w:val="clear" w:color="auto" w:fill="auto"/>
            <w:vAlign w:val="center"/>
            <w:hideMark/>
          </w:tcPr>
          <w:p w14:paraId="0A07E91E" w14:textId="77777777" w:rsidR="0024154B" w:rsidRPr="00882FD5" w:rsidRDefault="0024154B" w:rsidP="00782343">
            <w:pPr>
              <w:keepNext/>
              <w:keepLines/>
              <w:spacing w:before="0" w:line="240" w:lineRule="auto"/>
              <w:jc w:val="right"/>
              <w:rPr>
                <w:color w:val="000000"/>
                <w:sz w:val="22"/>
                <w:szCs w:val="22"/>
              </w:rPr>
            </w:pPr>
            <w:r w:rsidRPr="00882FD5">
              <w:rPr>
                <w:color w:val="000000"/>
                <w:sz w:val="22"/>
                <w:szCs w:val="22"/>
              </w:rPr>
              <w:t>-5.34</w:t>
            </w:r>
          </w:p>
        </w:tc>
        <w:tc>
          <w:tcPr>
            <w:tcW w:w="1170" w:type="dxa"/>
            <w:tcBorders>
              <w:top w:val="nil"/>
              <w:left w:val="double" w:sz="4" w:space="0" w:color="auto"/>
              <w:bottom w:val="nil"/>
              <w:right w:val="single" w:sz="4" w:space="0" w:color="auto"/>
            </w:tcBorders>
            <w:shd w:val="clear" w:color="auto" w:fill="auto"/>
            <w:noWrap/>
            <w:vAlign w:val="center"/>
            <w:hideMark/>
          </w:tcPr>
          <w:p w14:paraId="6C86D187" w14:textId="6AEB93C3" w:rsidR="0024154B" w:rsidRPr="00882FD5" w:rsidRDefault="00D42297" w:rsidP="00782343">
            <w:pPr>
              <w:keepNext/>
              <w:keepLines/>
              <w:spacing w:before="0" w:line="240" w:lineRule="auto"/>
              <w:jc w:val="right"/>
              <w:rPr>
                <w:color w:val="000000"/>
                <w:sz w:val="22"/>
                <w:szCs w:val="22"/>
              </w:rPr>
            </w:pPr>
            <w:r w:rsidRPr="00882FD5">
              <w:rPr>
                <w:color w:val="000000"/>
                <w:sz w:val="22"/>
                <w:szCs w:val="22"/>
              </w:rPr>
              <w:t>-</w:t>
            </w:r>
            <w:r w:rsidR="0024154B" w:rsidRPr="00882FD5">
              <w:rPr>
                <w:color w:val="000000"/>
                <w:sz w:val="22"/>
                <w:szCs w:val="22"/>
              </w:rPr>
              <w:t> </w:t>
            </w:r>
          </w:p>
        </w:tc>
        <w:tc>
          <w:tcPr>
            <w:tcW w:w="1255" w:type="dxa"/>
            <w:tcBorders>
              <w:top w:val="nil"/>
              <w:left w:val="single" w:sz="4" w:space="0" w:color="auto"/>
              <w:bottom w:val="nil"/>
              <w:right w:val="double" w:sz="4" w:space="0" w:color="auto"/>
            </w:tcBorders>
            <w:shd w:val="clear" w:color="auto" w:fill="auto"/>
            <w:noWrap/>
            <w:vAlign w:val="center"/>
            <w:hideMark/>
          </w:tcPr>
          <w:p w14:paraId="0B2119A3" w14:textId="2ADBE679" w:rsidR="0024154B" w:rsidRPr="00882FD5" w:rsidRDefault="00D42297" w:rsidP="00782343">
            <w:pPr>
              <w:keepNext/>
              <w:keepLines/>
              <w:spacing w:before="0" w:line="240" w:lineRule="auto"/>
              <w:jc w:val="right"/>
              <w:rPr>
                <w:color w:val="000000"/>
                <w:sz w:val="22"/>
                <w:szCs w:val="22"/>
              </w:rPr>
            </w:pPr>
            <w:r w:rsidRPr="00882FD5">
              <w:rPr>
                <w:color w:val="000000"/>
                <w:sz w:val="22"/>
                <w:szCs w:val="22"/>
              </w:rPr>
              <w:t>-</w:t>
            </w:r>
          </w:p>
        </w:tc>
      </w:tr>
      <w:tr w:rsidR="0024154B" w:rsidRPr="00882FD5" w14:paraId="08A33393" w14:textId="77777777" w:rsidTr="006329B2">
        <w:trPr>
          <w:trHeight w:val="202"/>
        </w:trPr>
        <w:tc>
          <w:tcPr>
            <w:tcW w:w="4360" w:type="dxa"/>
            <w:tcBorders>
              <w:top w:val="nil"/>
              <w:left w:val="double" w:sz="4" w:space="0" w:color="auto"/>
              <w:bottom w:val="nil"/>
              <w:right w:val="double" w:sz="4" w:space="0" w:color="auto"/>
            </w:tcBorders>
            <w:shd w:val="clear" w:color="auto" w:fill="auto"/>
            <w:noWrap/>
            <w:vAlign w:val="center"/>
            <w:hideMark/>
          </w:tcPr>
          <w:p w14:paraId="4FF200A9" w14:textId="77777777" w:rsidR="0024154B" w:rsidRPr="00882FD5" w:rsidRDefault="0024154B" w:rsidP="00782343">
            <w:pPr>
              <w:keepNext/>
              <w:keepLines/>
              <w:spacing w:before="0" w:line="240" w:lineRule="auto"/>
              <w:ind w:firstLineChars="100" w:firstLine="220"/>
              <w:rPr>
                <w:color w:val="000000"/>
                <w:sz w:val="22"/>
                <w:szCs w:val="22"/>
              </w:rPr>
            </w:pPr>
            <w:r w:rsidRPr="00882FD5">
              <w:rPr>
                <w:color w:val="000000"/>
                <w:sz w:val="22"/>
                <w:szCs w:val="22"/>
              </w:rPr>
              <w:t xml:space="preserve">  50+</w:t>
            </w:r>
          </w:p>
        </w:tc>
        <w:tc>
          <w:tcPr>
            <w:tcW w:w="1130" w:type="dxa"/>
            <w:tcBorders>
              <w:top w:val="nil"/>
              <w:left w:val="double" w:sz="4" w:space="0" w:color="auto"/>
              <w:bottom w:val="nil"/>
              <w:right w:val="single" w:sz="4" w:space="0" w:color="auto"/>
            </w:tcBorders>
            <w:shd w:val="clear" w:color="auto" w:fill="auto"/>
            <w:vAlign w:val="center"/>
            <w:hideMark/>
          </w:tcPr>
          <w:p w14:paraId="1210254B" w14:textId="77777777" w:rsidR="0024154B" w:rsidRPr="00882FD5" w:rsidRDefault="0024154B" w:rsidP="00782343">
            <w:pPr>
              <w:keepNext/>
              <w:keepLines/>
              <w:spacing w:before="0" w:line="240" w:lineRule="auto"/>
              <w:jc w:val="right"/>
              <w:rPr>
                <w:color w:val="000000"/>
                <w:sz w:val="22"/>
                <w:szCs w:val="22"/>
              </w:rPr>
            </w:pPr>
            <w:r w:rsidRPr="00882FD5">
              <w:rPr>
                <w:color w:val="000000"/>
                <w:sz w:val="22"/>
                <w:szCs w:val="22"/>
              </w:rPr>
              <w:t>-0.532</w:t>
            </w:r>
          </w:p>
        </w:tc>
        <w:tc>
          <w:tcPr>
            <w:tcW w:w="1175" w:type="dxa"/>
            <w:tcBorders>
              <w:top w:val="nil"/>
              <w:left w:val="single" w:sz="4" w:space="0" w:color="auto"/>
              <w:bottom w:val="nil"/>
              <w:right w:val="double" w:sz="4" w:space="0" w:color="auto"/>
            </w:tcBorders>
            <w:shd w:val="clear" w:color="auto" w:fill="auto"/>
            <w:vAlign w:val="center"/>
            <w:hideMark/>
          </w:tcPr>
          <w:p w14:paraId="1073762E" w14:textId="77777777" w:rsidR="0024154B" w:rsidRPr="00882FD5" w:rsidRDefault="0024154B" w:rsidP="00782343">
            <w:pPr>
              <w:keepNext/>
              <w:keepLines/>
              <w:spacing w:before="0" w:line="240" w:lineRule="auto"/>
              <w:jc w:val="right"/>
              <w:rPr>
                <w:color w:val="000000"/>
                <w:sz w:val="22"/>
                <w:szCs w:val="22"/>
              </w:rPr>
            </w:pPr>
            <w:r w:rsidRPr="00882FD5">
              <w:rPr>
                <w:color w:val="000000"/>
                <w:sz w:val="22"/>
                <w:szCs w:val="22"/>
              </w:rPr>
              <w:t>-4.44</w:t>
            </w:r>
          </w:p>
        </w:tc>
        <w:tc>
          <w:tcPr>
            <w:tcW w:w="1170" w:type="dxa"/>
            <w:tcBorders>
              <w:top w:val="nil"/>
              <w:left w:val="double" w:sz="4" w:space="0" w:color="auto"/>
              <w:bottom w:val="nil"/>
              <w:right w:val="single" w:sz="4" w:space="0" w:color="auto"/>
            </w:tcBorders>
            <w:shd w:val="clear" w:color="auto" w:fill="auto"/>
            <w:noWrap/>
            <w:vAlign w:val="center"/>
            <w:hideMark/>
          </w:tcPr>
          <w:p w14:paraId="38898493" w14:textId="77777777" w:rsidR="0024154B" w:rsidRPr="00882FD5" w:rsidRDefault="0024154B" w:rsidP="00782343">
            <w:pPr>
              <w:keepNext/>
              <w:keepLines/>
              <w:spacing w:before="0" w:line="240" w:lineRule="auto"/>
              <w:jc w:val="right"/>
              <w:rPr>
                <w:color w:val="000000"/>
                <w:sz w:val="22"/>
                <w:szCs w:val="22"/>
              </w:rPr>
            </w:pPr>
            <w:r w:rsidRPr="00882FD5">
              <w:rPr>
                <w:color w:val="000000"/>
                <w:sz w:val="22"/>
                <w:szCs w:val="22"/>
              </w:rPr>
              <w:t>-0.336</w:t>
            </w:r>
          </w:p>
        </w:tc>
        <w:tc>
          <w:tcPr>
            <w:tcW w:w="1255" w:type="dxa"/>
            <w:tcBorders>
              <w:top w:val="nil"/>
              <w:left w:val="single" w:sz="4" w:space="0" w:color="auto"/>
              <w:bottom w:val="nil"/>
              <w:right w:val="double" w:sz="4" w:space="0" w:color="auto"/>
            </w:tcBorders>
            <w:shd w:val="clear" w:color="auto" w:fill="auto"/>
            <w:noWrap/>
            <w:vAlign w:val="center"/>
            <w:hideMark/>
          </w:tcPr>
          <w:p w14:paraId="0EAFC848" w14:textId="77777777" w:rsidR="0024154B" w:rsidRPr="00882FD5" w:rsidRDefault="0024154B" w:rsidP="00782343">
            <w:pPr>
              <w:keepNext/>
              <w:keepLines/>
              <w:spacing w:before="0" w:line="240" w:lineRule="auto"/>
              <w:jc w:val="right"/>
              <w:rPr>
                <w:color w:val="000000"/>
                <w:sz w:val="22"/>
                <w:szCs w:val="22"/>
              </w:rPr>
            </w:pPr>
            <w:r w:rsidRPr="00882FD5">
              <w:rPr>
                <w:color w:val="000000"/>
                <w:sz w:val="22"/>
                <w:szCs w:val="22"/>
              </w:rPr>
              <w:t>-2.33</w:t>
            </w:r>
          </w:p>
        </w:tc>
      </w:tr>
      <w:tr w:rsidR="0024154B" w:rsidRPr="00882FD5" w14:paraId="16288BC3" w14:textId="77777777" w:rsidTr="006329B2">
        <w:trPr>
          <w:trHeight w:val="202"/>
        </w:trPr>
        <w:tc>
          <w:tcPr>
            <w:tcW w:w="4360" w:type="dxa"/>
            <w:tcBorders>
              <w:top w:val="nil"/>
              <w:left w:val="double" w:sz="4" w:space="0" w:color="auto"/>
              <w:bottom w:val="nil"/>
              <w:right w:val="double" w:sz="4" w:space="0" w:color="auto"/>
            </w:tcBorders>
            <w:shd w:val="clear" w:color="auto" w:fill="auto"/>
            <w:noWrap/>
            <w:vAlign w:val="center"/>
            <w:hideMark/>
          </w:tcPr>
          <w:p w14:paraId="77FE3177" w14:textId="77777777" w:rsidR="0024154B" w:rsidRPr="00882FD5" w:rsidRDefault="0024154B" w:rsidP="00782343">
            <w:pPr>
              <w:keepNext/>
              <w:keepLines/>
              <w:spacing w:before="0" w:line="240" w:lineRule="auto"/>
              <w:rPr>
                <w:color w:val="000000"/>
                <w:sz w:val="22"/>
                <w:szCs w:val="22"/>
              </w:rPr>
            </w:pPr>
            <w:r w:rsidRPr="00882FD5">
              <w:rPr>
                <w:color w:val="000000"/>
                <w:sz w:val="22"/>
                <w:szCs w:val="22"/>
              </w:rPr>
              <w:t>Student (base: non-student)</w:t>
            </w:r>
          </w:p>
        </w:tc>
        <w:tc>
          <w:tcPr>
            <w:tcW w:w="1130" w:type="dxa"/>
            <w:tcBorders>
              <w:top w:val="nil"/>
              <w:left w:val="double" w:sz="4" w:space="0" w:color="auto"/>
              <w:bottom w:val="nil"/>
              <w:right w:val="single" w:sz="4" w:space="0" w:color="auto"/>
            </w:tcBorders>
            <w:shd w:val="clear" w:color="auto" w:fill="auto"/>
            <w:vAlign w:val="center"/>
            <w:hideMark/>
          </w:tcPr>
          <w:p w14:paraId="6DBCA2BB" w14:textId="77777777" w:rsidR="0024154B" w:rsidRPr="00882FD5" w:rsidRDefault="0024154B" w:rsidP="00782343">
            <w:pPr>
              <w:keepNext/>
              <w:keepLines/>
              <w:spacing w:before="0" w:line="240" w:lineRule="auto"/>
              <w:jc w:val="right"/>
              <w:rPr>
                <w:color w:val="000000"/>
                <w:sz w:val="22"/>
                <w:szCs w:val="22"/>
              </w:rPr>
            </w:pPr>
            <w:r w:rsidRPr="00882FD5">
              <w:rPr>
                <w:color w:val="000000"/>
                <w:sz w:val="22"/>
                <w:szCs w:val="22"/>
              </w:rPr>
              <w:t>0.482</w:t>
            </w:r>
          </w:p>
        </w:tc>
        <w:tc>
          <w:tcPr>
            <w:tcW w:w="1175" w:type="dxa"/>
            <w:tcBorders>
              <w:top w:val="nil"/>
              <w:left w:val="single" w:sz="4" w:space="0" w:color="auto"/>
              <w:bottom w:val="nil"/>
              <w:right w:val="double" w:sz="4" w:space="0" w:color="auto"/>
            </w:tcBorders>
            <w:shd w:val="clear" w:color="auto" w:fill="auto"/>
            <w:vAlign w:val="center"/>
            <w:hideMark/>
          </w:tcPr>
          <w:p w14:paraId="78BBCD8D" w14:textId="77777777" w:rsidR="0024154B" w:rsidRPr="00882FD5" w:rsidRDefault="0024154B" w:rsidP="00782343">
            <w:pPr>
              <w:keepNext/>
              <w:keepLines/>
              <w:spacing w:before="0" w:line="240" w:lineRule="auto"/>
              <w:jc w:val="right"/>
              <w:rPr>
                <w:color w:val="000000"/>
                <w:sz w:val="22"/>
                <w:szCs w:val="22"/>
              </w:rPr>
            </w:pPr>
            <w:r w:rsidRPr="00882FD5">
              <w:rPr>
                <w:color w:val="000000"/>
                <w:sz w:val="22"/>
                <w:szCs w:val="22"/>
              </w:rPr>
              <w:t>2.89</w:t>
            </w:r>
          </w:p>
        </w:tc>
        <w:tc>
          <w:tcPr>
            <w:tcW w:w="1170" w:type="dxa"/>
            <w:tcBorders>
              <w:top w:val="nil"/>
              <w:left w:val="double" w:sz="4" w:space="0" w:color="auto"/>
              <w:bottom w:val="nil"/>
              <w:right w:val="single" w:sz="4" w:space="0" w:color="auto"/>
            </w:tcBorders>
            <w:shd w:val="clear" w:color="auto" w:fill="auto"/>
            <w:noWrap/>
            <w:vAlign w:val="center"/>
            <w:hideMark/>
          </w:tcPr>
          <w:p w14:paraId="57C99089" w14:textId="18603C8A" w:rsidR="0024154B" w:rsidRPr="00882FD5" w:rsidRDefault="00D42297" w:rsidP="00782343">
            <w:pPr>
              <w:keepNext/>
              <w:keepLines/>
              <w:spacing w:before="0" w:line="240" w:lineRule="auto"/>
              <w:jc w:val="right"/>
              <w:rPr>
                <w:color w:val="000000"/>
                <w:sz w:val="22"/>
                <w:szCs w:val="22"/>
              </w:rPr>
            </w:pPr>
            <w:r w:rsidRPr="00882FD5">
              <w:rPr>
                <w:color w:val="000000"/>
                <w:sz w:val="22"/>
                <w:szCs w:val="22"/>
              </w:rPr>
              <w:t>-</w:t>
            </w:r>
            <w:r w:rsidR="0024154B" w:rsidRPr="00882FD5">
              <w:rPr>
                <w:color w:val="000000"/>
                <w:sz w:val="22"/>
                <w:szCs w:val="22"/>
              </w:rPr>
              <w:t> </w:t>
            </w:r>
          </w:p>
        </w:tc>
        <w:tc>
          <w:tcPr>
            <w:tcW w:w="1255" w:type="dxa"/>
            <w:tcBorders>
              <w:top w:val="nil"/>
              <w:left w:val="single" w:sz="4" w:space="0" w:color="auto"/>
              <w:bottom w:val="nil"/>
              <w:right w:val="double" w:sz="4" w:space="0" w:color="auto"/>
            </w:tcBorders>
            <w:shd w:val="clear" w:color="auto" w:fill="auto"/>
            <w:noWrap/>
            <w:vAlign w:val="center"/>
            <w:hideMark/>
          </w:tcPr>
          <w:p w14:paraId="6ABAAA6A" w14:textId="5125806E" w:rsidR="0024154B" w:rsidRPr="00882FD5" w:rsidRDefault="00D42297" w:rsidP="00782343">
            <w:pPr>
              <w:keepNext/>
              <w:keepLines/>
              <w:spacing w:before="0" w:line="240" w:lineRule="auto"/>
              <w:jc w:val="right"/>
              <w:rPr>
                <w:color w:val="000000"/>
                <w:sz w:val="22"/>
                <w:szCs w:val="22"/>
              </w:rPr>
            </w:pPr>
            <w:r w:rsidRPr="00882FD5">
              <w:rPr>
                <w:color w:val="000000"/>
                <w:sz w:val="22"/>
                <w:szCs w:val="22"/>
              </w:rPr>
              <w:t>-</w:t>
            </w:r>
          </w:p>
        </w:tc>
      </w:tr>
      <w:tr w:rsidR="0024154B" w:rsidRPr="00882FD5" w14:paraId="5C2F0AA9" w14:textId="77777777" w:rsidTr="006329B2">
        <w:trPr>
          <w:trHeight w:val="144"/>
        </w:trPr>
        <w:tc>
          <w:tcPr>
            <w:tcW w:w="4360" w:type="dxa"/>
            <w:tcBorders>
              <w:top w:val="nil"/>
              <w:left w:val="double" w:sz="4" w:space="0" w:color="auto"/>
              <w:bottom w:val="nil"/>
              <w:right w:val="double" w:sz="4" w:space="0" w:color="auto"/>
            </w:tcBorders>
            <w:shd w:val="clear" w:color="auto" w:fill="auto"/>
            <w:noWrap/>
            <w:vAlign w:val="center"/>
            <w:hideMark/>
          </w:tcPr>
          <w:p w14:paraId="2C8676DB" w14:textId="77777777" w:rsidR="0024154B" w:rsidRPr="00882FD5" w:rsidRDefault="0024154B" w:rsidP="00782343">
            <w:pPr>
              <w:keepNext/>
              <w:keepLines/>
              <w:spacing w:before="0" w:line="240" w:lineRule="auto"/>
              <w:rPr>
                <w:color w:val="000000"/>
                <w:sz w:val="22"/>
                <w:szCs w:val="22"/>
              </w:rPr>
            </w:pPr>
            <w:r w:rsidRPr="00882FD5">
              <w:rPr>
                <w:color w:val="000000"/>
                <w:sz w:val="22"/>
                <w:szCs w:val="22"/>
              </w:rPr>
              <w:t> </w:t>
            </w:r>
          </w:p>
        </w:tc>
        <w:tc>
          <w:tcPr>
            <w:tcW w:w="1130" w:type="dxa"/>
            <w:tcBorders>
              <w:top w:val="nil"/>
              <w:left w:val="double" w:sz="4" w:space="0" w:color="auto"/>
              <w:bottom w:val="nil"/>
              <w:right w:val="single" w:sz="4" w:space="0" w:color="auto"/>
            </w:tcBorders>
            <w:shd w:val="clear" w:color="auto" w:fill="auto"/>
            <w:vAlign w:val="center"/>
            <w:hideMark/>
          </w:tcPr>
          <w:p w14:paraId="3D8A802F" w14:textId="77777777" w:rsidR="0024154B" w:rsidRPr="00882FD5" w:rsidRDefault="0024154B" w:rsidP="00782343">
            <w:pPr>
              <w:keepNext/>
              <w:keepLines/>
              <w:spacing w:before="0" w:line="240" w:lineRule="auto"/>
              <w:jc w:val="right"/>
              <w:rPr>
                <w:color w:val="000000"/>
                <w:sz w:val="22"/>
                <w:szCs w:val="22"/>
              </w:rPr>
            </w:pPr>
            <w:r w:rsidRPr="00882FD5">
              <w:rPr>
                <w:color w:val="000000"/>
                <w:sz w:val="22"/>
                <w:szCs w:val="22"/>
              </w:rPr>
              <w:t> </w:t>
            </w:r>
          </w:p>
        </w:tc>
        <w:tc>
          <w:tcPr>
            <w:tcW w:w="1175" w:type="dxa"/>
            <w:tcBorders>
              <w:top w:val="nil"/>
              <w:left w:val="single" w:sz="4" w:space="0" w:color="auto"/>
              <w:bottom w:val="nil"/>
              <w:right w:val="double" w:sz="4" w:space="0" w:color="auto"/>
            </w:tcBorders>
            <w:shd w:val="clear" w:color="auto" w:fill="auto"/>
            <w:vAlign w:val="center"/>
            <w:hideMark/>
          </w:tcPr>
          <w:p w14:paraId="05644FA3" w14:textId="77777777" w:rsidR="0024154B" w:rsidRPr="00882FD5" w:rsidRDefault="0024154B" w:rsidP="00782343">
            <w:pPr>
              <w:keepNext/>
              <w:keepLines/>
              <w:spacing w:before="0" w:line="240" w:lineRule="auto"/>
              <w:jc w:val="right"/>
              <w:rPr>
                <w:color w:val="000000"/>
                <w:sz w:val="22"/>
                <w:szCs w:val="22"/>
              </w:rPr>
            </w:pPr>
            <w:r w:rsidRPr="00882FD5">
              <w:rPr>
                <w:color w:val="000000"/>
                <w:sz w:val="22"/>
                <w:szCs w:val="22"/>
              </w:rPr>
              <w:t> </w:t>
            </w:r>
          </w:p>
        </w:tc>
        <w:tc>
          <w:tcPr>
            <w:tcW w:w="1170" w:type="dxa"/>
            <w:tcBorders>
              <w:top w:val="nil"/>
              <w:left w:val="double" w:sz="4" w:space="0" w:color="auto"/>
              <w:bottom w:val="nil"/>
              <w:right w:val="single" w:sz="4" w:space="0" w:color="auto"/>
            </w:tcBorders>
            <w:shd w:val="clear" w:color="auto" w:fill="auto"/>
            <w:noWrap/>
            <w:vAlign w:val="center"/>
            <w:hideMark/>
          </w:tcPr>
          <w:p w14:paraId="744FDB68" w14:textId="77777777" w:rsidR="0024154B" w:rsidRPr="00882FD5" w:rsidRDefault="0024154B" w:rsidP="00782343">
            <w:pPr>
              <w:keepNext/>
              <w:keepLines/>
              <w:spacing w:before="0" w:line="240" w:lineRule="auto"/>
              <w:jc w:val="right"/>
              <w:rPr>
                <w:color w:val="000000"/>
                <w:sz w:val="22"/>
                <w:szCs w:val="22"/>
              </w:rPr>
            </w:pPr>
            <w:r w:rsidRPr="00882FD5">
              <w:rPr>
                <w:color w:val="000000"/>
                <w:sz w:val="22"/>
                <w:szCs w:val="22"/>
              </w:rPr>
              <w:t> </w:t>
            </w:r>
          </w:p>
        </w:tc>
        <w:tc>
          <w:tcPr>
            <w:tcW w:w="1255" w:type="dxa"/>
            <w:tcBorders>
              <w:top w:val="nil"/>
              <w:left w:val="single" w:sz="4" w:space="0" w:color="auto"/>
              <w:bottom w:val="nil"/>
              <w:right w:val="double" w:sz="4" w:space="0" w:color="auto"/>
            </w:tcBorders>
            <w:shd w:val="clear" w:color="auto" w:fill="auto"/>
            <w:noWrap/>
            <w:vAlign w:val="center"/>
            <w:hideMark/>
          </w:tcPr>
          <w:p w14:paraId="36A111A7" w14:textId="77777777" w:rsidR="0024154B" w:rsidRPr="00882FD5" w:rsidRDefault="0024154B" w:rsidP="00782343">
            <w:pPr>
              <w:keepNext/>
              <w:keepLines/>
              <w:spacing w:before="0" w:line="240" w:lineRule="auto"/>
              <w:jc w:val="right"/>
              <w:rPr>
                <w:color w:val="000000"/>
                <w:sz w:val="22"/>
                <w:szCs w:val="22"/>
              </w:rPr>
            </w:pPr>
            <w:r w:rsidRPr="00882FD5">
              <w:rPr>
                <w:color w:val="000000"/>
                <w:sz w:val="22"/>
                <w:szCs w:val="22"/>
              </w:rPr>
              <w:t> </w:t>
            </w:r>
          </w:p>
        </w:tc>
      </w:tr>
      <w:tr w:rsidR="0024154B" w:rsidRPr="00882FD5" w14:paraId="3EDA7412" w14:textId="77777777" w:rsidTr="006329B2">
        <w:trPr>
          <w:trHeight w:val="202"/>
        </w:trPr>
        <w:tc>
          <w:tcPr>
            <w:tcW w:w="4360" w:type="dxa"/>
            <w:tcBorders>
              <w:top w:val="nil"/>
              <w:left w:val="double" w:sz="4" w:space="0" w:color="auto"/>
              <w:bottom w:val="nil"/>
              <w:right w:val="double" w:sz="4" w:space="0" w:color="auto"/>
            </w:tcBorders>
            <w:shd w:val="clear" w:color="auto" w:fill="auto"/>
            <w:noWrap/>
            <w:vAlign w:val="center"/>
            <w:hideMark/>
          </w:tcPr>
          <w:p w14:paraId="13B8CAD1" w14:textId="77777777" w:rsidR="0024154B" w:rsidRPr="00882FD5" w:rsidRDefault="0024154B" w:rsidP="00782343">
            <w:pPr>
              <w:keepNext/>
              <w:keepLines/>
              <w:spacing w:before="0" w:line="240" w:lineRule="auto"/>
              <w:rPr>
                <w:b/>
                <w:bCs/>
                <w:i/>
                <w:iCs/>
                <w:color w:val="000000"/>
                <w:sz w:val="22"/>
                <w:szCs w:val="22"/>
              </w:rPr>
            </w:pPr>
            <w:r w:rsidRPr="00882FD5">
              <w:rPr>
                <w:b/>
                <w:bCs/>
                <w:i/>
                <w:iCs/>
                <w:color w:val="000000"/>
                <w:sz w:val="22"/>
                <w:szCs w:val="22"/>
              </w:rPr>
              <w:t xml:space="preserve">Household characteristics </w:t>
            </w:r>
          </w:p>
        </w:tc>
        <w:tc>
          <w:tcPr>
            <w:tcW w:w="1130" w:type="dxa"/>
            <w:tcBorders>
              <w:top w:val="nil"/>
              <w:left w:val="double" w:sz="4" w:space="0" w:color="auto"/>
              <w:bottom w:val="nil"/>
              <w:right w:val="single" w:sz="4" w:space="0" w:color="auto"/>
            </w:tcBorders>
            <w:shd w:val="clear" w:color="auto" w:fill="auto"/>
            <w:vAlign w:val="center"/>
            <w:hideMark/>
          </w:tcPr>
          <w:p w14:paraId="33496A1A" w14:textId="77777777" w:rsidR="0024154B" w:rsidRPr="00882FD5" w:rsidRDefault="0024154B" w:rsidP="00782343">
            <w:pPr>
              <w:keepNext/>
              <w:keepLines/>
              <w:spacing w:before="0" w:line="240" w:lineRule="auto"/>
              <w:jc w:val="right"/>
              <w:rPr>
                <w:b/>
                <w:bCs/>
                <w:i/>
                <w:iCs/>
                <w:color w:val="000000"/>
                <w:sz w:val="22"/>
                <w:szCs w:val="22"/>
              </w:rPr>
            </w:pPr>
            <w:r w:rsidRPr="00882FD5">
              <w:rPr>
                <w:b/>
                <w:bCs/>
                <w:i/>
                <w:iCs/>
                <w:color w:val="000000"/>
                <w:sz w:val="22"/>
                <w:szCs w:val="22"/>
              </w:rPr>
              <w:t> </w:t>
            </w:r>
          </w:p>
        </w:tc>
        <w:tc>
          <w:tcPr>
            <w:tcW w:w="1175" w:type="dxa"/>
            <w:tcBorders>
              <w:top w:val="nil"/>
              <w:left w:val="single" w:sz="4" w:space="0" w:color="auto"/>
              <w:bottom w:val="nil"/>
              <w:right w:val="double" w:sz="4" w:space="0" w:color="auto"/>
            </w:tcBorders>
            <w:shd w:val="clear" w:color="auto" w:fill="auto"/>
            <w:vAlign w:val="center"/>
            <w:hideMark/>
          </w:tcPr>
          <w:p w14:paraId="22782770" w14:textId="77777777" w:rsidR="0024154B" w:rsidRPr="00882FD5" w:rsidRDefault="0024154B" w:rsidP="00782343">
            <w:pPr>
              <w:keepNext/>
              <w:keepLines/>
              <w:spacing w:before="0" w:line="240" w:lineRule="auto"/>
              <w:jc w:val="right"/>
              <w:rPr>
                <w:b/>
                <w:bCs/>
                <w:i/>
                <w:iCs/>
                <w:color w:val="000000"/>
                <w:sz w:val="22"/>
                <w:szCs w:val="22"/>
              </w:rPr>
            </w:pPr>
            <w:r w:rsidRPr="00882FD5">
              <w:rPr>
                <w:b/>
                <w:bCs/>
                <w:i/>
                <w:iCs/>
                <w:color w:val="000000"/>
                <w:sz w:val="22"/>
                <w:szCs w:val="22"/>
              </w:rPr>
              <w:t> </w:t>
            </w:r>
          </w:p>
        </w:tc>
        <w:tc>
          <w:tcPr>
            <w:tcW w:w="1170" w:type="dxa"/>
            <w:tcBorders>
              <w:top w:val="nil"/>
              <w:left w:val="double" w:sz="4" w:space="0" w:color="auto"/>
              <w:bottom w:val="nil"/>
              <w:right w:val="single" w:sz="4" w:space="0" w:color="auto"/>
            </w:tcBorders>
            <w:shd w:val="clear" w:color="auto" w:fill="auto"/>
            <w:noWrap/>
            <w:vAlign w:val="center"/>
            <w:hideMark/>
          </w:tcPr>
          <w:p w14:paraId="768DABCE" w14:textId="77777777" w:rsidR="0024154B" w:rsidRPr="00882FD5" w:rsidRDefault="0024154B" w:rsidP="00782343">
            <w:pPr>
              <w:keepNext/>
              <w:keepLines/>
              <w:spacing w:before="0" w:line="240" w:lineRule="auto"/>
              <w:jc w:val="right"/>
              <w:rPr>
                <w:b/>
                <w:bCs/>
                <w:i/>
                <w:iCs/>
                <w:color w:val="000000"/>
                <w:sz w:val="22"/>
                <w:szCs w:val="22"/>
              </w:rPr>
            </w:pPr>
            <w:r w:rsidRPr="00882FD5">
              <w:rPr>
                <w:b/>
                <w:bCs/>
                <w:i/>
                <w:iCs/>
                <w:color w:val="000000"/>
                <w:sz w:val="22"/>
                <w:szCs w:val="22"/>
              </w:rPr>
              <w:t> </w:t>
            </w:r>
          </w:p>
        </w:tc>
        <w:tc>
          <w:tcPr>
            <w:tcW w:w="1255" w:type="dxa"/>
            <w:tcBorders>
              <w:top w:val="nil"/>
              <w:left w:val="single" w:sz="4" w:space="0" w:color="auto"/>
              <w:bottom w:val="nil"/>
              <w:right w:val="double" w:sz="4" w:space="0" w:color="auto"/>
            </w:tcBorders>
            <w:shd w:val="clear" w:color="auto" w:fill="auto"/>
            <w:noWrap/>
            <w:vAlign w:val="center"/>
            <w:hideMark/>
          </w:tcPr>
          <w:p w14:paraId="3404FFEA" w14:textId="77777777" w:rsidR="0024154B" w:rsidRPr="00882FD5" w:rsidRDefault="0024154B" w:rsidP="00782343">
            <w:pPr>
              <w:keepNext/>
              <w:keepLines/>
              <w:spacing w:before="0" w:line="240" w:lineRule="auto"/>
              <w:jc w:val="right"/>
              <w:rPr>
                <w:color w:val="000000"/>
                <w:sz w:val="22"/>
                <w:szCs w:val="22"/>
              </w:rPr>
            </w:pPr>
            <w:r w:rsidRPr="00882FD5">
              <w:rPr>
                <w:color w:val="000000"/>
                <w:sz w:val="22"/>
                <w:szCs w:val="22"/>
              </w:rPr>
              <w:t> </w:t>
            </w:r>
          </w:p>
        </w:tc>
      </w:tr>
      <w:tr w:rsidR="0024154B" w:rsidRPr="00882FD5" w14:paraId="1C48DD40" w14:textId="77777777" w:rsidTr="006329B2">
        <w:trPr>
          <w:trHeight w:val="202"/>
        </w:trPr>
        <w:tc>
          <w:tcPr>
            <w:tcW w:w="4360" w:type="dxa"/>
            <w:tcBorders>
              <w:top w:val="nil"/>
              <w:left w:val="double" w:sz="4" w:space="0" w:color="auto"/>
              <w:bottom w:val="nil"/>
              <w:right w:val="double" w:sz="4" w:space="0" w:color="auto"/>
            </w:tcBorders>
            <w:shd w:val="clear" w:color="auto" w:fill="auto"/>
            <w:noWrap/>
            <w:vAlign w:val="center"/>
            <w:hideMark/>
          </w:tcPr>
          <w:p w14:paraId="5DA3BBFE" w14:textId="77777777" w:rsidR="0024154B" w:rsidRPr="00882FD5" w:rsidRDefault="0024154B" w:rsidP="00782343">
            <w:pPr>
              <w:keepNext/>
              <w:keepLines/>
              <w:spacing w:before="0" w:line="240" w:lineRule="auto"/>
              <w:rPr>
                <w:color w:val="000000"/>
                <w:sz w:val="22"/>
                <w:szCs w:val="22"/>
              </w:rPr>
            </w:pPr>
            <w:r w:rsidRPr="00882FD5">
              <w:rPr>
                <w:color w:val="000000"/>
                <w:sz w:val="22"/>
                <w:szCs w:val="22"/>
                <w:lang w:val="en-IN"/>
              </w:rPr>
              <w:t>Household size 3 or more (Base: Less than 3)</w:t>
            </w:r>
          </w:p>
        </w:tc>
        <w:tc>
          <w:tcPr>
            <w:tcW w:w="1130" w:type="dxa"/>
            <w:tcBorders>
              <w:top w:val="nil"/>
              <w:left w:val="double" w:sz="4" w:space="0" w:color="auto"/>
              <w:bottom w:val="nil"/>
              <w:right w:val="single" w:sz="4" w:space="0" w:color="auto"/>
            </w:tcBorders>
            <w:shd w:val="clear" w:color="auto" w:fill="auto"/>
            <w:vAlign w:val="center"/>
            <w:hideMark/>
          </w:tcPr>
          <w:p w14:paraId="6D6FD6DD" w14:textId="77777777" w:rsidR="0024154B" w:rsidRPr="00882FD5" w:rsidRDefault="0024154B" w:rsidP="00782343">
            <w:pPr>
              <w:keepNext/>
              <w:keepLines/>
              <w:spacing w:before="0" w:line="240" w:lineRule="auto"/>
              <w:jc w:val="right"/>
              <w:rPr>
                <w:color w:val="000000"/>
                <w:sz w:val="22"/>
                <w:szCs w:val="22"/>
              </w:rPr>
            </w:pPr>
            <w:r w:rsidRPr="00882FD5">
              <w:rPr>
                <w:color w:val="000000"/>
                <w:sz w:val="22"/>
                <w:szCs w:val="22"/>
              </w:rPr>
              <w:t>-0.249</w:t>
            </w:r>
          </w:p>
        </w:tc>
        <w:tc>
          <w:tcPr>
            <w:tcW w:w="1175" w:type="dxa"/>
            <w:tcBorders>
              <w:top w:val="nil"/>
              <w:left w:val="single" w:sz="4" w:space="0" w:color="auto"/>
              <w:bottom w:val="nil"/>
              <w:right w:val="double" w:sz="4" w:space="0" w:color="auto"/>
            </w:tcBorders>
            <w:shd w:val="clear" w:color="auto" w:fill="auto"/>
            <w:vAlign w:val="center"/>
            <w:hideMark/>
          </w:tcPr>
          <w:p w14:paraId="7692C315" w14:textId="77777777" w:rsidR="0024154B" w:rsidRPr="00882FD5" w:rsidRDefault="0024154B" w:rsidP="00782343">
            <w:pPr>
              <w:keepNext/>
              <w:keepLines/>
              <w:spacing w:before="0" w:line="240" w:lineRule="auto"/>
              <w:jc w:val="right"/>
              <w:rPr>
                <w:color w:val="000000"/>
                <w:sz w:val="22"/>
                <w:szCs w:val="22"/>
              </w:rPr>
            </w:pPr>
            <w:r w:rsidRPr="00882FD5">
              <w:rPr>
                <w:color w:val="000000"/>
                <w:sz w:val="22"/>
                <w:szCs w:val="22"/>
              </w:rPr>
              <w:t>-4.55</w:t>
            </w:r>
          </w:p>
        </w:tc>
        <w:tc>
          <w:tcPr>
            <w:tcW w:w="1170" w:type="dxa"/>
            <w:tcBorders>
              <w:top w:val="nil"/>
              <w:left w:val="double" w:sz="4" w:space="0" w:color="auto"/>
              <w:bottom w:val="nil"/>
              <w:right w:val="single" w:sz="4" w:space="0" w:color="auto"/>
            </w:tcBorders>
            <w:shd w:val="clear" w:color="auto" w:fill="auto"/>
            <w:noWrap/>
            <w:vAlign w:val="center"/>
            <w:hideMark/>
          </w:tcPr>
          <w:p w14:paraId="775304EC" w14:textId="3C214126" w:rsidR="0024154B" w:rsidRPr="00882FD5" w:rsidRDefault="00D42297" w:rsidP="00782343">
            <w:pPr>
              <w:keepNext/>
              <w:keepLines/>
              <w:spacing w:before="0" w:line="240" w:lineRule="auto"/>
              <w:jc w:val="right"/>
              <w:rPr>
                <w:color w:val="000000"/>
                <w:sz w:val="22"/>
                <w:szCs w:val="22"/>
              </w:rPr>
            </w:pPr>
            <w:r w:rsidRPr="00882FD5">
              <w:rPr>
                <w:color w:val="000000"/>
                <w:sz w:val="22"/>
                <w:szCs w:val="22"/>
              </w:rPr>
              <w:t>-</w:t>
            </w:r>
            <w:r w:rsidR="0024154B" w:rsidRPr="00882FD5">
              <w:rPr>
                <w:color w:val="000000"/>
                <w:sz w:val="22"/>
                <w:szCs w:val="22"/>
              </w:rPr>
              <w:t> </w:t>
            </w:r>
          </w:p>
        </w:tc>
        <w:tc>
          <w:tcPr>
            <w:tcW w:w="1255" w:type="dxa"/>
            <w:tcBorders>
              <w:top w:val="nil"/>
              <w:left w:val="single" w:sz="4" w:space="0" w:color="auto"/>
              <w:bottom w:val="nil"/>
              <w:right w:val="double" w:sz="4" w:space="0" w:color="auto"/>
            </w:tcBorders>
            <w:shd w:val="clear" w:color="auto" w:fill="auto"/>
            <w:noWrap/>
            <w:vAlign w:val="center"/>
            <w:hideMark/>
          </w:tcPr>
          <w:p w14:paraId="46F0BB29" w14:textId="26BCD8F3" w:rsidR="0024154B" w:rsidRPr="00882FD5" w:rsidRDefault="00D42297" w:rsidP="00782343">
            <w:pPr>
              <w:keepNext/>
              <w:keepLines/>
              <w:spacing w:before="0" w:line="240" w:lineRule="auto"/>
              <w:jc w:val="right"/>
              <w:rPr>
                <w:color w:val="000000"/>
                <w:sz w:val="22"/>
                <w:szCs w:val="22"/>
              </w:rPr>
            </w:pPr>
            <w:r w:rsidRPr="00882FD5">
              <w:rPr>
                <w:color w:val="000000"/>
                <w:sz w:val="22"/>
                <w:szCs w:val="22"/>
              </w:rPr>
              <w:t>-</w:t>
            </w:r>
          </w:p>
        </w:tc>
      </w:tr>
      <w:tr w:rsidR="0024154B" w:rsidRPr="00882FD5" w14:paraId="3CF1DDA0" w14:textId="77777777" w:rsidTr="006329B2">
        <w:trPr>
          <w:trHeight w:val="202"/>
        </w:trPr>
        <w:tc>
          <w:tcPr>
            <w:tcW w:w="4360" w:type="dxa"/>
            <w:tcBorders>
              <w:top w:val="nil"/>
              <w:left w:val="double" w:sz="4" w:space="0" w:color="auto"/>
              <w:bottom w:val="nil"/>
              <w:right w:val="double" w:sz="4" w:space="0" w:color="auto"/>
            </w:tcBorders>
            <w:shd w:val="clear" w:color="auto" w:fill="auto"/>
            <w:noWrap/>
            <w:vAlign w:val="center"/>
            <w:hideMark/>
          </w:tcPr>
          <w:p w14:paraId="325CB36C" w14:textId="77777777" w:rsidR="0024154B" w:rsidRPr="00882FD5" w:rsidRDefault="0024154B" w:rsidP="00782343">
            <w:pPr>
              <w:keepNext/>
              <w:keepLines/>
              <w:spacing w:before="0" w:line="240" w:lineRule="auto"/>
              <w:rPr>
                <w:color w:val="000000"/>
                <w:sz w:val="22"/>
                <w:szCs w:val="22"/>
              </w:rPr>
            </w:pPr>
            <w:r w:rsidRPr="00882FD5">
              <w:rPr>
                <w:color w:val="000000"/>
                <w:sz w:val="22"/>
                <w:szCs w:val="22"/>
              </w:rPr>
              <w:t>Number of adults</w:t>
            </w:r>
          </w:p>
        </w:tc>
        <w:tc>
          <w:tcPr>
            <w:tcW w:w="1130" w:type="dxa"/>
            <w:tcBorders>
              <w:top w:val="nil"/>
              <w:left w:val="double" w:sz="4" w:space="0" w:color="auto"/>
              <w:bottom w:val="nil"/>
              <w:right w:val="single" w:sz="4" w:space="0" w:color="auto"/>
            </w:tcBorders>
            <w:shd w:val="clear" w:color="auto" w:fill="auto"/>
            <w:vAlign w:val="center"/>
            <w:hideMark/>
          </w:tcPr>
          <w:p w14:paraId="295C018A" w14:textId="0821E40B" w:rsidR="0024154B" w:rsidRPr="00882FD5" w:rsidRDefault="00D42297" w:rsidP="00782343">
            <w:pPr>
              <w:keepNext/>
              <w:keepLines/>
              <w:spacing w:before="0" w:line="240" w:lineRule="auto"/>
              <w:jc w:val="right"/>
              <w:rPr>
                <w:color w:val="000000"/>
                <w:sz w:val="22"/>
                <w:szCs w:val="22"/>
              </w:rPr>
            </w:pPr>
            <w:r w:rsidRPr="00882FD5">
              <w:rPr>
                <w:color w:val="000000"/>
                <w:sz w:val="22"/>
                <w:szCs w:val="22"/>
              </w:rPr>
              <w:t>-</w:t>
            </w:r>
            <w:r w:rsidR="0024154B" w:rsidRPr="00882FD5">
              <w:rPr>
                <w:color w:val="000000"/>
                <w:sz w:val="22"/>
                <w:szCs w:val="22"/>
              </w:rPr>
              <w:t> </w:t>
            </w:r>
          </w:p>
        </w:tc>
        <w:tc>
          <w:tcPr>
            <w:tcW w:w="1175" w:type="dxa"/>
            <w:tcBorders>
              <w:top w:val="nil"/>
              <w:left w:val="single" w:sz="4" w:space="0" w:color="auto"/>
              <w:bottom w:val="nil"/>
              <w:right w:val="double" w:sz="4" w:space="0" w:color="auto"/>
            </w:tcBorders>
            <w:shd w:val="clear" w:color="auto" w:fill="auto"/>
            <w:vAlign w:val="center"/>
            <w:hideMark/>
          </w:tcPr>
          <w:p w14:paraId="49B3D3AA" w14:textId="35DBA5B7" w:rsidR="0024154B" w:rsidRPr="00882FD5" w:rsidRDefault="00D42297" w:rsidP="00782343">
            <w:pPr>
              <w:keepNext/>
              <w:keepLines/>
              <w:spacing w:before="0" w:line="240" w:lineRule="auto"/>
              <w:jc w:val="right"/>
              <w:rPr>
                <w:color w:val="000000"/>
                <w:sz w:val="22"/>
                <w:szCs w:val="22"/>
              </w:rPr>
            </w:pPr>
            <w:r w:rsidRPr="00882FD5">
              <w:rPr>
                <w:color w:val="000000"/>
                <w:sz w:val="22"/>
                <w:szCs w:val="22"/>
              </w:rPr>
              <w:t>-</w:t>
            </w:r>
          </w:p>
        </w:tc>
        <w:tc>
          <w:tcPr>
            <w:tcW w:w="1170" w:type="dxa"/>
            <w:tcBorders>
              <w:top w:val="nil"/>
              <w:left w:val="double" w:sz="4" w:space="0" w:color="auto"/>
              <w:bottom w:val="nil"/>
              <w:right w:val="single" w:sz="4" w:space="0" w:color="auto"/>
            </w:tcBorders>
            <w:shd w:val="clear" w:color="auto" w:fill="auto"/>
            <w:noWrap/>
            <w:vAlign w:val="center"/>
            <w:hideMark/>
          </w:tcPr>
          <w:p w14:paraId="12CBF402" w14:textId="77777777" w:rsidR="0024154B" w:rsidRPr="00882FD5" w:rsidRDefault="0024154B" w:rsidP="00782343">
            <w:pPr>
              <w:keepNext/>
              <w:keepLines/>
              <w:spacing w:before="0" w:line="240" w:lineRule="auto"/>
              <w:jc w:val="right"/>
              <w:rPr>
                <w:color w:val="000000"/>
                <w:sz w:val="22"/>
                <w:szCs w:val="22"/>
              </w:rPr>
            </w:pPr>
            <w:r w:rsidRPr="00882FD5">
              <w:rPr>
                <w:color w:val="000000"/>
                <w:sz w:val="22"/>
                <w:szCs w:val="22"/>
              </w:rPr>
              <w:t>0.376</w:t>
            </w:r>
          </w:p>
        </w:tc>
        <w:tc>
          <w:tcPr>
            <w:tcW w:w="1255" w:type="dxa"/>
            <w:tcBorders>
              <w:top w:val="nil"/>
              <w:left w:val="single" w:sz="4" w:space="0" w:color="auto"/>
              <w:bottom w:val="nil"/>
              <w:right w:val="double" w:sz="4" w:space="0" w:color="auto"/>
            </w:tcBorders>
            <w:shd w:val="clear" w:color="auto" w:fill="auto"/>
            <w:noWrap/>
            <w:vAlign w:val="center"/>
            <w:hideMark/>
          </w:tcPr>
          <w:p w14:paraId="355C9CA3" w14:textId="77777777" w:rsidR="0024154B" w:rsidRPr="00882FD5" w:rsidRDefault="0024154B" w:rsidP="00782343">
            <w:pPr>
              <w:keepNext/>
              <w:keepLines/>
              <w:spacing w:before="0" w:line="240" w:lineRule="auto"/>
              <w:jc w:val="right"/>
              <w:rPr>
                <w:color w:val="000000"/>
                <w:sz w:val="22"/>
                <w:szCs w:val="22"/>
              </w:rPr>
            </w:pPr>
            <w:r w:rsidRPr="00882FD5">
              <w:rPr>
                <w:color w:val="000000"/>
                <w:sz w:val="22"/>
                <w:szCs w:val="22"/>
              </w:rPr>
              <w:t>3.56</w:t>
            </w:r>
          </w:p>
        </w:tc>
      </w:tr>
      <w:tr w:rsidR="0024154B" w:rsidRPr="00882FD5" w14:paraId="22067871" w14:textId="77777777" w:rsidTr="006329B2">
        <w:trPr>
          <w:trHeight w:val="202"/>
        </w:trPr>
        <w:tc>
          <w:tcPr>
            <w:tcW w:w="4360" w:type="dxa"/>
            <w:tcBorders>
              <w:top w:val="nil"/>
              <w:left w:val="double" w:sz="4" w:space="0" w:color="auto"/>
              <w:bottom w:val="nil"/>
              <w:right w:val="double" w:sz="4" w:space="0" w:color="auto"/>
            </w:tcBorders>
            <w:shd w:val="clear" w:color="auto" w:fill="auto"/>
            <w:noWrap/>
            <w:vAlign w:val="center"/>
            <w:hideMark/>
          </w:tcPr>
          <w:p w14:paraId="25D016BF" w14:textId="77777777" w:rsidR="0024154B" w:rsidRPr="00882FD5" w:rsidRDefault="0024154B" w:rsidP="00782343">
            <w:pPr>
              <w:keepNext/>
              <w:keepLines/>
              <w:spacing w:before="0" w:line="240" w:lineRule="auto"/>
              <w:rPr>
                <w:color w:val="000000"/>
                <w:sz w:val="22"/>
                <w:szCs w:val="22"/>
              </w:rPr>
            </w:pPr>
            <w:r w:rsidRPr="00882FD5">
              <w:rPr>
                <w:color w:val="000000"/>
                <w:sz w:val="22"/>
                <w:szCs w:val="22"/>
              </w:rPr>
              <w:t>Number of children (below 18 years)</w:t>
            </w:r>
          </w:p>
        </w:tc>
        <w:tc>
          <w:tcPr>
            <w:tcW w:w="1130" w:type="dxa"/>
            <w:tcBorders>
              <w:top w:val="nil"/>
              <w:left w:val="double" w:sz="4" w:space="0" w:color="auto"/>
              <w:bottom w:val="nil"/>
              <w:right w:val="single" w:sz="4" w:space="0" w:color="auto"/>
            </w:tcBorders>
            <w:shd w:val="clear" w:color="auto" w:fill="auto"/>
            <w:vAlign w:val="center"/>
            <w:hideMark/>
          </w:tcPr>
          <w:p w14:paraId="3B056C23" w14:textId="19362981" w:rsidR="0024154B" w:rsidRPr="00882FD5" w:rsidRDefault="00D42297" w:rsidP="00782343">
            <w:pPr>
              <w:keepNext/>
              <w:keepLines/>
              <w:spacing w:before="0" w:line="240" w:lineRule="auto"/>
              <w:jc w:val="right"/>
              <w:rPr>
                <w:color w:val="000000"/>
                <w:sz w:val="22"/>
                <w:szCs w:val="22"/>
              </w:rPr>
            </w:pPr>
            <w:r w:rsidRPr="00882FD5">
              <w:rPr>
                <w:color w:val="000000"/>
                <w:sz w:val="22"/>
                <w:szCs w:val="22"/>
              </w:rPr>
              <w:t>-</w:t>
            </w:r>
            <w:r w:rsidR="0024154B" w:rsidRPr="00882FD5">
              <w:rPr>
                <w:color w:val="000000"/>
                <w:sz w:val="22"/>
                <w:szCs w:val="22"/>
              </w:rPr>
              <w:t> </w:t>
            </w:r>
          </w:p>
        </w:tc>
        <w:tc>
          <w:tcPr>
            <w:tcW w:w="1175" w:type="dxa"/>
            <w:tcBorders>
              <w:top w:val="nil"/>
              <w:left w:val="single" w:sz="4" w:space="0" w:color="auto"/>
              <w:bottom w:val="nil"/>
              <w:right w:val="double" w:sz="4" w:space="0" w:color="auto"/>
            </w:tcBorders>
            <w:shd w:val="clear" w:color="auto" w:fill="auto"/>
            <w:vAlign w:val="center"/>
            <w:hideMark/>
          </w:tcPr>
          <w:p w14:paraId="5A1250E2" w14:textId="4671233D" w:rsidR="0024154B" w:rsidRPr="00882FD5" w:rsidRDefault="00D42297" w:rsidP="00782343">
            <w:pPr>
              <w:keepNext/>
              <w:keepLines/>
              <w:spacing w:before="0" w:line="240" w:lineRule="auto"/>
              <w:jc w:val="right"/>
              <w:rPr>
                <w:color w:val="000000"/>
                <w:sz w:val="22"/>
                <w:szCs w:val="22"/>
              </w:rPr>
            </w:pPr>
            <w:r w:rsidRPr="00882FD5">
              <w:rPr>
                <w:color w:val="000000"/>
                <w:sz w:val="22"/>
                <w:szCs w:val="22"/>
              </w:rPr>
              <w:t>-</w:t>
            </w:r>
          </w:p>
        </w:tc>
        <w:tc>
          <w:tcPr>
            <w:tcW w:w="1170" w:type="dxa"/>
            <w:tcBorders>
              <w:top w:val="nil"/>
              <w:left w:val="double" w:sz="4" w:space="0" w:color="auto"/>
              <w:bottom w:val="nil"/>
              <w:right w:val="single" w:sz="4" w:space="0" w:color="auto"/>
            </w:tcBorders>
            <w:shd w:val="clear" w:color="auto" w:fill="auto"/>
            <w:noWrap/>
            <w:vAlign w:val="center"/>
            <w:hideMark/>
          </w:tcPr>
          <w:p w14:paraId="0BB5C399" w14:textId="77777777" w:rsidR="0024154B" w:rsidRPr="00882FD5" w:rsidRDefault="0024154B" w:rsidP="00782343">
            <w:pPr>
              <w:keepNext/>
              <w:keepLines/>
              <w:spacing w:before="0" w:line="240" w:lineRule="auto"/>
              <w:jc w:val="right"/>
              <w:rPr>
                <w:color w:val="000000"/>
                <w:sz w:val="22"/>
                <w:szCs w:val="22"/>
              </w:rPr>
            </w:pPr>
            <w:r w:rsidRPr="00882FD5">
              <w:rPr>
                <w:color w:val="000000"/>
                <w:sz w:val="22"/>
                <w:szCs w:val="22"/>
              </w:rPr>
              <w:t>0.136</w:t>
            </w:r>
          </w:p>
        </w:tc>
        <w:tc>
          <w:tcPr>
            <w:tcW w:w="1255" w:type="dxa"/>
            <w:tcBorders>
              <w:top w:val="nil"/>
              <w:left w:val="single" w:sz="4" w:space="0" w:color="auto"/>
              <w:bottom w:val="nil"/>
              <w:right w:val="double" w:sz="4" w:space="0" w:color="auto"/>
            </w:tcBorders>
            <w:shd w:val="clear" w:color="auto" w:fill="auto"/>
            <w:noWrap/>
            <w:vAlign w:val="center"/>
            <w:hideMark/>
          </w:tcPr>
          <w:p w14:paraId="571D81B9" w14:textId="77777777" w:rsidR="0024154B" w:rsidRPr="00882FD5" w:rsidRDefault="0024154B" w:rsidP="00782343">
            <w:pPr>
              <w:keepNext/>
              <w:keepLines/>
              <w:spacing w:before="0" w:line="240" w:lineRule="auto"/>
              <w:jc w:val="right"/>
              <w:rPr>
                <w:color w:val="000000"/>
                <w:sz w:val="22"/>
                <w:szCs w:val="22"/>
              </w:rPr>
            </w:pPr>
            <w:r w:rsidRPr="00882FD5">
              <w:rPr>
                <w:color w:val="000000"/>
                <w:sz w:val="22"/>
                <w:szCs w:val="22"/>
              </w:rPr>
              <w:t>2.33</w:t>
            </w:r>
          </w:p>
        </w:tc>
      </w:tr>
      <w:tr w:rsidR="0024154B" w:rsidRPr="00882FD5" w14:paraId="5C1A1AEB" w14:textId="77777777" w:rsidTr="006329B2">
        <w:trPr>
          <w:trHeight w:val="202"/>
        </w:trPr>
        <w:tc>
          <w:tcPr>
            <w:tcW w:w="4360" w:type="dxa"/>
            <w:tcBorders>
              <w:top w:val="nil"/>
              <w:left w:val="double" w:sz="4" w:space="0" w:color="auto"/>
              <w:bottom w:val="nil"/>
              <w:right w:val="double" w:sz="4" w:space="0" w:color="auto"/>
            </w:tcBorders>
            <w:shd w:val="clear" w:color="auto" w:fill="auto"/>
            <w:noWrap/>
            <w:vAlign w:val="center"/>
            <w:hideMark/>
          </w:tcPr>
          <w:p w14:paraId="6D473F8B" w14:textId="77777777" w:rsidR="0024154B" w:rsidRPr="00882FD5" w:rsidRDefault="0024154B" w:rsidP="0024154B">
            <w:pPr>
              <w:spacing w:before="0" w:line="240" w:lineRule="auto"/>
              <w:rPr>
                <w:color w:val="000000"/>
                <w:sz w:val="22"/>
                <w:szCs w:val="22"/>
              </w:rPr>
            </w:pPr>
            <w:r w:rsidRPr="00882FD5">
              <w:rPr>
                <w:color w:val="000000"/>
                <w:sz w:val="22"/>
                <w:szCs w:val="22"/>
              </w:rPr>
              <w:t>Annual household income (base: &lt;$50,000)</w:t>
            </w:r>
          </w:p>
        </w:tc>
        <w:tc>
          <w:tcPr>
            <w:tcW w:w="1130" w:type="dxa"/>
            <w:tcBorders>
              <w:top w:val="nil"/>
              <w:left w:val="double" w:sz="4" w:space="0" w:color="auto"/>
              <w:bottom w:val="nil"/>
              <w:right w:val="single" w:sz="4" w:space="0" w:color="auto"/>
            </w:tcBorders>
            <w:shd w:val="clear" w:color="auto" w:fill="auto"/>
            <w:vAlign w:val="center"/>
            <w:hideMark/>
          </w:tcPr>
          <w:p w14:paraId="615DB60C" w14:textId="77777777" w:rsidR="0024154B" w:rsidRPr="00882FD5" w:rsidRDefault="0024154B" w:rsidP="0024154B">
            <w:pPr>
              <w:spacing w:before="0" w:line="240" w:lineRule="auto"/>
              <w:jc w:val="right"/>
              <w:rPr>
                <w:color w:val="000000"/>
                <w:sz w:val="22"/>
                <w:szCs w:val="22"/>
              </w:rPr>
            </w:pPr>
            <w:r w:rsidRPr="00882FD5">
              <w:rPr>
                <w:color w:val="000000"/>
                <w:sz w:val="22"/>
                <w:szCs w:val="22"/>
              </w:rPr>
              <w:t> </w:t>
            </w:r>
          </w:p>
        </w:tc>
        <w:tc>
          <w:tcPr>
            <w:tcW w:w="1175" w:type="dxa"/>
            <w:tcBorders>
              <w:top w:val="nil"/>
              <w:left w:val="single" w:sz="4" w:space="0" w:color="auto"/>
              <w:bottom w:val="nil"/>
              <w:right w:val="double" w:sz="4" w:space="0" w:color="auto"/>
            </w:tcBorders>
            <w:shd w:val="clear" w:color="auto" w:fill="auto"/>
            <w:vAlign w:val="center"/>
            <w:hideMark/>
          </w:tcPr>
          <w:p w14:paraId="631DE29E" w14:textId="77777777" w:rsidR="0024154B" w:rsidRPr="00882FD5" w:rsidRDefault="0024154B" w:rsidP="0024154B">
            <w:pPr>
              <w:spacing w:before="0" w:line="240" w:lineRule="auto"/>
              <w:jc w:val="right"/>
              <w:rPr>
                <w:color w:val="000000"/>
                <w:sz w:val="22"/>
                <w:szCs w:val="22"/>
              </w:rPr>
            </w:pPr>
            <w:r w:rsidRPr="00882FD5">
              <w:rPr>
                <w:color w:val="000000"/>
                <w:sz w:val="22"/>
                <w:szCs w:val="22"/>
              </w:rPr>
              <w:t> </w:t>
            </w:r>
          </w:p>
        </w:tc>
        <w:tc>
          <w:tcPr>
            <w:tcW w:w="1170" w:type="dxa"/>
            <w:tcBorders>
              <w:top w:val="nil"/>
              <w:left w:val="double" w:sz="4" w:space="0" w:color="auto"/>
              <w:bottom w:val="nil"/>
              <w:right w:val="single" w:sz="4" w:space="0" w:color="auto"/>
            </w:tcBorders>
            <w:shd w:val="clear" w:color="auto" w:fill="auto"/>
            <w:noWrap/>
            <w:vAlign w:val="center"/>
            <w:hideMark/>
          </w:tcPr>
          <w:p w14:paraId="0C8BB5B2" w14:textId="77777777" w:rsidR="0024154B" w:rsidRPr="00882FD5" w:rsidRDefault="0024154B" w:rsidP="0024154B">
            <w:pPr>
              <w:spacing w:before="0" w:line="240" w:lineRule="auto"/>
              <w:jc w:val="right"/>
              <w:rPr>
                <w:color w:val="000000"/>
                <w:sz w:val="22"/>
                <w:szCs w:val="22"/>
              </w:rPr>
            </w:pPr>
            <w:r w:rsidRPr="00882FD5">
              <w:rPr>
                <w:color w:val="000000"/>
                <w:sz w:val="22"/>
                <w:szCs w:val="22"/>
              </w:rPr>
              <w:t> </w:t>
            </w:r>
          </w:p>
        </w:tc>
        <w:tc>
          <w:tcPr>
            <w:tcW w:w="1255" w:type="dxa"/>
            <w:tcBorders>
              <w:top w:val="nil"/>
              <w:left w:val="single" w:sz="4" w:space="0" w:color="auto"/>
              <w:bottom w:val="nil"/>
              <w:right w:val="double" w:sz="4" w:space="0" w:color="auto"/>
            </w:tcBorders>
            <w:shd w:val="clear" w:color="auto" w:fill="auto"/>
            <w:noWrap/>
            <w:vAlign w:val="center"/>
            <w:hideMark/>
          </w:tcPr>
          <w:p w14:paraId="66C62F86" w14:textId="77777777" w:rsidR="0024154B" w:rsidRPr="00882FD5" w:rsidRDefault="0024154B" w:rsidP="0024154B">
            <w:pPr>
              <w:spacing w:before="0" w:line="240" w:lineRule="auto"/>
              <w:jc w:val="right"/>
              <w:rPr>
                <w:color w:val="000000"/>
                <w:sz w:val="22"/>
                <w:szCs w:val="22"/>
              </w:rPr>
            </w:pPr>
            <w:r w:rsidRPr="00882FD5">
              <w:rPr>
                <w:color w:val="000000"/>
                <w:sz w:val="22"/>
                <w:szCs w:val="22"/>
              </w:rPr>
              <w:t> </w:t>
            </w:r>
          </w:p>
        </w:tc>
      </w:tr>
      <w:tr w:rsidR="0024154B" w:rsidRPr="00882FD5" w14:paraId="0E2CB2AC" w14:textId="77777777" w:rsidTr="006329B2">
        <w:trPr>
          <w:trHeight w:val="202"/>
        </w:trPr>
        <w:tc>
          <w:tcPr>
            <w:tcW w:w="4360" w:type="dxa"/>
            <w:tcBorders>
              <w:top w:val="nil"/>
              <w:left w:val="double" w:sz="4" w:space="0" w:color="auto"/>
              <w:bottom w:val="nil"/>
              <w:right w:val="double" w:sz="4" w:space="0" w:color="auto"/>
            </w:tcBorders>
            <w:shd w:val="clear" w:color="auto" w:fill="auto"/>
            <w:noWrap/>
            <w:vAlign w:val="center"/>
            <w:hideMark/>
          </w:tcPr>
          <w:p w14:paraId="70879125" w14:textId="77777777" w:rsidR="0024154B" w:rsidRPr="00882FD5" w:rsidRDefault="0024154B" w:rsidP="0024154B">
            <w:pPr>
              <w:spacing w:before="0" w:line="240" w:lineRule="auto"/>
              <w:ind w:firstLineChars="100" w:firstLine="220"/>
              <w:rPr>
                <w:color w:val="000000"/>
                <w:sz w:val="22"/>
                <w:szCs w:val="22"/>
              </w:rPr>
            </w:pPr>
            <w:r w:rsidRPr="00882FD5">
              <w:rPr>
                <w:color w:val="000000"/>
                <w:sz w:val="22"/>
                <w:szCs w:val="22"/>
              </w:rPr>
              <w:t xml:space="preserve">  $50,000 - $99,999</w:t>
            </w:r>
          </w:p>
        </w:tc>
        <w:tc>
          <w:tcPr>
            <w:tcW w:w="1130" w:type="dxa"/>
            <w:tcBorders>
              <w:top w:val="nil"/>
              <w:left w:val="double" w:sz="4" w:space="0" w:color="auto"/>
              <w:bottom w:val="nil"/>
              <w:right w:val="single" w:sz="4" w:space="0" w:color="auto"/>
            </w:tcBorders>
            <w:shd w:val="clear" w:color="auto" w:fill="auto"/>
            <w:vAlign w:val="center"/>
            <w:hideMark/>
          </w:tcPr>
          <w:p w14:paraId="1BD8283D" w14:textId="77777777" w:rsidR="0024154B" w:rsidRPr="00882FD5" w:rsidRDefault="0024154B" w:rsidP="0024154B">
            <w:pPr>
              <w:spacing w:before="0" w:line="240" w:lineRule="auto"/>
              <w:jc w:val="right"/>
              <w:rPr>
                <w:color w:val="000000"/>
                <w:sz w:val="22"/>
                <w:szCs w:val="22"/>
              </w:rPr>
            </w:pPr>
            <w:r w:rsidRPr="00882FD5">
              <w:rPr>
                <w:color w:val="000000"/>
                <w:sz w:val="22"/>
                <w:szCs w:val="22"/>
              </w:rPr>
              <w:t>-0.377</w:t>
            </w:r>
          </w:p>
        </w:tc>
        <w:tc>
          <w:tcPr>
            <w:tcW w:w="1175" w:type="dxa"/>
            <w:tcBorders>
              <w:top w:val="nil"/>
              <w:left w:val="single" w:sz="4" w:space="0" w:color="auto"/>
              <w:bottom w:val="nil"/>
              <w:right w:val="double" w:sz="4" w:space="0" w:color="auto"/>
            </w:tcBorders>
            <w:shd w:val="clear" w:color="auto" w:fill="auto"/>
            <w:vAlign w:val="center"/>
            <w:hideMark/>
          </w:tcPr>
          <w:p w14:paraId="4E8C5FEF" w14:textId="77777777" w:rsidR="0024154B" w:rsidRPr="00882FD5" w:rsidRDefault="0024154B" w:rsidP="0024154B">
            <w:pPr>
              <w:spacing w:before="0" w:line="240" w:lineRule="auto"/>
              <w:jc w:val="right"/>
              <w:rPr>
                <w:color w:val="000000"/>
                <w:sz w:val="22"/>
                <w:szCs w:val="22"/>
              </w:rPr>
            </w:pPr>
            <w:r w:rsidRPr="00882FD5">
              <w:rPr>
                <w:color w:val="000000"/>
                <w:sz w:val="22"/>
                <w:szCs w:val="22"/>
              </w:rPr>
              <w:t>-4.05</w:t>
            </w:r>
          </w:p>
        </w:tc>
        <w:tc>
          <w:tcPr>
            <w:tcW w:w="1170" w:type="dxa"/>
            <w:tcBorders>
              <w:top w:val="nil"/>
              <w:left w:val="double" w:sz="4" w:space="0" w:color="auto"/>
              <w:bottom w:val="nil"/>
              <w:right w:val="single" w:sz="4" w:space="0" w:color="auto"/>
            </w:tcBorders>
            <w:shd w:val="clear" w:color="auto" w:fill="auto"/>
            <w:noWrap/>
            <w:vAlign w:val="center"/>
            <w:hideMark/>
          </w:tcPr>
          <w:p w14:paraId="7A49415E" w14:textId="77777777" w:rsidR="0024154B" w:rsidRPr="00882FD5" w:rsidRDefault="0024154B" w:rsidP="0024154B">
            <w:pPr>
              <w:spacing w:before="0" w:line="240" w:lineRule="auto"/>
              <w:jc w:val="right"/>
              <w:rPr>
                <w:color w:val="000000"/>
                <w:sz w:val="22"/>
                <w:szCs w:val="22"/>
              </w:rPr>
            </w:pPr>
            <w:r w:rsidRPr="00882FD5">
              <w:rPr>
                <w:color w:val="000000"/>
                <w:sz w:val="22"/>
                <w:szCs w:val="22"/>
              </w:rPr>
              <w:t>0.144</w:t>
            </w:r>
          </w:p>
        </w:tc>
        <w:tc>
          <w:tcPr>
            <w:tcW w:w="1255" w:type="dxa"/>
            <w:tcBorders>
              <w:top w:val="nil"/>
              <w:left w:val="single" w:sz="4" w:space="0" w:color="auto"/>
              <w:bottom w:val="nil"/>
              <w:right w:val="double" w:sz="4" w:space="0" w:color="auto"/>
            </w:tcBorders>
            <w:shd w:val="clear" w:color="auto" w:fill="auto"/>
            <w:noWrap/>
            <w:vAlign w:val="center"/>
            <w:hideMark/>
          </w:tcPr>
          <w:p w14:paraId="675DA26A" w14:textId="77777777" w:rsidR="0024154B" w:rsidRPr="00882FD5" w:rsidRDefault="0024154B" w:rsidP="0024154B">
            <w:pPr>
              <w:spacing w:before="0" w:line="240" w:lineRule="auto"/>
              <w:jc w:val="right"/>
              <w:rPr>
                <w:color w:val="000000"/>
                <w:sz w:val="22"/>
                <w:szCs w:val="22"/>
              </w:rPr>
            </w:pPr>
            <w:r w:rsidRPr="00882FD5">
              <w:rPr>
                <w:color w:val="000000"/>
                <w:sz w:val="22"/>
                <w:szCs w:val="22"/>
              </w:rPr>
              <w:t>2.13</w:t>
            </w:r>
          </w:p>
        </w:tc>
      </w:tr>
      <w:tr w:rsidR="0024154B" w:rsidRPr="00882FD5" w14:paraId="0D36C153" w14:textId="77777777" w:rsidTr="006329B2">
        <w:trPr>
          <w:trHeight w:val="202"/>
        </w:trPr>
        <w:tc>
          <w:tcPr>
            <w:tcW w:w="4360" w:type="dxa"/>
            <w:tcBorders>
              <w:top w:val="nil"/>
              <w:left w:val="double" w:sz="4" w:space="0" w:color="auto"/>
              <w:bottom w:val="nil"/>
              <w:right w:val="double" w:sz="4" w:space="0" w:color="auto"/>
            </w:tcBorders>
            <w:shd w:val="clear" w:color="auto" w:fill="auto"/>
            <w:noWrap/>
            <w:vAlign w:val="center"/>
            <w:hideMark/>
          </w:tcPr>
          <w:p w14:paraId="63CF351E" w14:textId="77777777" w:rsidR="0024154B" w:rsidRPr="00882FD5" w:rsidRDefault="0024154B" w:rsidP="0024154B">
            <w:pPr>
              <w:spacing w:before="0" w:line="240" w:lineRule="auto"/>
              <w:ind w:firstLineChars="100" w:firstLine="220"/>
              <w:rPr>
                <w:color w:val="000000"/>
                <w:sz w:val="22"/>
                <w:szCs w:val="22"/>
              </w:rPr>
            </w:pPr>
            <w:r w:rsidRPr="00882FD5">
              <w:rPr>
                <w:color w:val="000000"/>
                <w:sz w:val="22"/>
                <w:szCs w:val="22"/>
              </w:rPr>
              <w:t xml:space="preserve">  Greater $100,000</w:t>
            </w:r>
          </w:p>
        </w:tc>
        <w:tc>
          <w:tcPr>
            <w:tcW w:w="1130" w:type="dxa"/>
            <w:tcBorders>
              <w:top w:val="nil"/>
              <w:left w:val="double" w:sz="4" w:space="0" w:color="auto"/>
              <w:bottom w:val="nil"/>
              <w:right w:val="single" w:sz="4" w:space="0" w:color="auto"/>
            </w:tcBorders>
            <w:shd w:val="clear" w:color="auto" w:fill="auto"/>
            <w:vAlign w:val="center"/>
            <w:hideMark/>
          </w:tcPr>
          <w:p w14:paraId="1F35A86D" w14:textId="77777777" w:rsidR="0024154B" w:rsidRPr="00882FD5" w:rsidRDefault="0024154B" w:rsidP="0024154B">
            <w:pPr>
              <w:spacing w:before="0" w:line="240" w:lineRule="auto"/>
              <w:jc w:val="right"/>
              <w:rPr>
                <w:color w:val="000000"/>
                <w:sz w:val="22"/>
                <w:szCs w:val="22"/>
              </w:rPr>
            </w:pPr>
            <w:r w:rsidRPr="00882FD5">
              <w:rPr>
                <w:color w:val="000000"/>
                <w:sz w:val="22"/>
                <w:szCs w:val="22"/>
              </w:rPr>
              <w:t>-0.492</w:t>
            </w:r>
          </w:p>
        </w:tc>
        <w:tc>
          <w:tcPr>
            <w:tcW w:w="1175" w:type="dxa"/>
            <w:tcBorders>
              <w:top w:val="nil"/>
              <w:left w:val="single" w:sz="4" w:space="0" w:color="auto"/>
              <w:bottom w:val="nil"/>
              <w:right w:val="double" w:sz="4" w:space="0" w:color="auto"/>
            </w:tcBorders>
            <w:shd w:val="clear" w:color="auto" w:fill="auto"/>
            <w:vAlign w:val="center"/>
            <w:hideMark/>
          </w:tcPr>
          <w:p w14:paraId="688B1FFB" w14:textId="77777777" w:rsidR="0024154B" w:rsidRPr="00882FD5" w:rsidRDefault="0024154B" w:rsidP="0024154B">
            <w:pPr>
              <w:spacing w:before="0" w:line="240" w:lineRule="auto"/>
              <w:jc w:val="right"/>
              <w:rPr>
                <w:color w:val="000000"/>
                <w:sz w:val="22"/>
                <w:szCs w:val="22"/>
              </w:rPr>
            </w:pPr>
            <w:r w:rsidRPr="00882FD5">
              <w:rPr>
                <w:color w:val="000000"/>
                <w:sz w:val="22"/>
                <w:szCs w:val="22"/>
              </w:rPr>
              <w:t>-3.03</w:t>
            </w:r>
          </w:p>
        </w:tc>
        <w:tc>
          <w:tcPr>
            <w:tcW w:w="1170" w:type="dxa"/>
            <w:tcBorders>
              <w:top w:val="nil"/>
              <w:left w:val="double" w:sz="4" w:space="0" w:color="auto"/>
              <w:bottom w:val="nil"/>
              <w:right w:val="single" w:sz="4" w:space="0" w:color="auto"/>
            </w:tcBorders>
            <w:shd w:val="clear" w:color="auto" w:fill="auto"/>
            <w:noWrap/>
            <w:vAlign w:val="center"/>
            <w:hideMark/>
          </w:tcPr>
          <w:p w14:paraId="3C56DDD7" w14:textId="77777777" w:rsidR="0024154B" w:rsidRPr="00882FD5" w:rsidRDefault="0024154B" w:rsidP="0024154B">
            <w:pPr>
              <w:spacing w:before="0" w:line="240" w:lineRule="auto"/>
              <w:jc w:val="right"/>
              <w:rPr>
                <w:color w:val="000000"/>
                <w:sz w:val="22"/>
                <w:szCs w:val="22"/>
              </w:rPr>
            </w:pPr>
            <w:r w:rsidRPr="00882FD5">
              <w:rPr>
                <w:color w:val="000000"/>
                <w:sz w:val="22"/>
                <w:szCs w:val="22"/>
              </w:rPr>
              <w:t>0.579</w:t>
            </w:r>
          </w:p>
        </w:tc>
        <w:tc>
          <w:tcPr>
            <w:tcW w:w="1255" w:type="dxa"/>
            <w:tcBorders>
              <w:top w:val="nil"/>
              <w:left w:val="single" w:sz="4" w:space="0" w:color="auto"/>
              <w:bottom w:val="nil"/>
              <w:right w:val="double" w:sz="4" w:space="0" w:color="auto"/>
            </w:tcBorders>
            <w:shd w:val="clear" w:color="auto" w:fill="auto"/>
            <w:noWrap/>
            <w:vAlign w:val="center"/>
            <w:hideMark/>
          </w:tcPr>
          <w:p w14:paraId="6B894C08" w14:textId="77777777" w:rsidR="0024154B" w:rsidRPr="00882FD5" w:rsidRDefault="0024154B" w:rsidP="0024154B">
            <w:pPr>
              <w:spacing w:before="0" w:line="240" w:lineRule="auto"/>
              <w:jc w:val="right"/>
              <w:rPr>
                <w:color w:val="000000"/>
                <w:sz w:val="22"/>
                <w:szCs w:val="22"/>
              </w:rPr>
            </w:pPr>
            <w:r w:rsidRPr="00882FD5">
              <w:rPr>
                <w:color w:val="000000"/>
                <w:sz w:val="22"/>
                <w:szCs w:val="22"/>
              </w:rPr>
              <w:t>4.55</w:t>
            </w:r>
          </w:p>
        </w:tc>
      </w:tr>
      <w:tr w:rsidR="0024154B" w:rsidRPr="00882FD5" w14:paraId="27C5723B" w14:textId="77777777" w:rsidTr="006329B2">
        <w:trPr>
          <w:trHeight w:val="202"/>
        </w:trPr>
        <w:tc>
          <w:tcPr>
            <w:tcW w:w="4360" w:type="dxa"/>
            <w:tcBorders>
              <w:top w:val="nil"/>
              <w:left w:val="double" w:sz="4" w:space="0" w:color="auto"/>
              <w:bottom w:val="nil"/>
              <w:right w:val="double" w:sz="4" w:space="0" w:color="auto"/>
            </w:tcBorders>
            <w:shd w:val="clear" w:color="auto" w:fill="auto"/>
            <w:noWrap/>
            <w:vAlign w:val="center"/>
            <w:hideMark/>
          </w:tcPr>
          <w:p w14:paraId="08A34EB8" w14:textId="77777777" w:rsidR="0024154B" w:rsidRPr="00882FD5" w:rsidRDefault="0024154B" w:rsidP="0024154B">
            <w:pPr>
              <w:spacing w:before="0" w:line="240" w:lineRule="auto"/>
              <w:ind w:firstLineChars="100" w:firstLine="220"/>
              <w:rPr>
                <w:color w:val="000000"/>
                <w:sz w:val="22"/>
                <w:szCs w:val="22"/>
              </w:rPr>
            </w:pPr>
            <w:r w:rsidRPr="00882FD5">
              <w:rPr>
                <w:color w:val="000000"/>
                <w:sz w:val="22"/>
                <w:szCs w:val="22"/>
              </w:rPr>
              <w:t> </w:t>
            </w:r>
          </w:p>
        </w:tc>
        <w:tc>
          <w:tcPr>
            <w:tcW w:w="1130" w:type="dxa"/>
            <w:tcBorders>
              <w:top w:val="nil"/>
              <w:left w:val="double" w:sz="4" w:space="0" w:color="auto"/>
              <w:bottom w:val="nil"/>
              <w:right w:val="single" w:sz="4" w:space="0" w:color="auto"/>
            </w:tcBorders>
            <w:shd w:val="clear" w:color="auto" w:fill="auto"/>
            <w:vAlign w:val="center"/>
            <w:hideMark/>
          </w:tcPr>
          <w:p w14:paraId="7C0F99D8" w14:textId="77777777" w:rsidR="0024154B" w:rsidRPr="00882FD5" w:rsidRDefault="0024154B" w:rsidP="0024154B">
            <w:pPr>
              <w:spacing w:before="0" w:line="240" w:lineRule="auto"/>
              <w:jc w:val="right"/>
              <w:rPr>
                <w:color w:val="000000"/>
                <w:sz w:val="22"/>
                <w:szCs w:val="22"/>
              </w:rPr>
            </w:pPr>
            <w:r w:rsidRPr="00882FD5">
              <w:rPr>
                <w:color w:val="000000"/>
                <w:sz w:val="22"/>
                <w:szCs w:val="22"/>
              </w:rPr>
              <w:t> </w:t>
            </w:r>
          </w:p>
        </w:tc>
        <w:tc>
          <w:tcPr>
            <w:tcW w:w="1175" w:type="dxa"/>
            <w:tcBorders>
              <w:top w:val="nil"/>
              <w:left w:val="single" w:sz="4" w:space="0" w:color="auto"/>
              <w:bottom w:val="nil"/>
              <w:right w:val="double" w:sz="4" w:space="0" w:color="auto"/>
            </w:tcBorders>
            <w:shd w:val="clear" w:color="auto" w:fill="auto"/>
            <w:vAlign w:val="center"/>
            <w:hideMark/>
          </w:tcPr>
          <w:p w14:paraId="7D8DEBBA" w14:textId="77777777" w:rsidR="0024154B" w:rsidRPr="00882FD5" w:rsidRDefault="0024154B" w:rsidP="0024154B">
            <w:pPr>
              <w:spacing w:before="0" w:line="240" w:lineRule="auto"/>
              <w:jc w:val="right"/>
              <w:rPr>
                <w:color w:val="000000"/>
                <w:sz w:val="22"/>
                <w:szCs w:val="22"/>
              </w:rPr>
            </w:pPr>
            <w:r w:rsidRPr="00882FD5">
              <w:rPr>
                <w:color w:val="000000"/>
                <w:sz w:val="22"/>
                <w:szCs w:val="22"/>
              </w:rPr>
              <w:t> </w:t>
            </w:r>
          </w:p>
        </w:tc>
        <w:tc>
          <w:tcPr>
            <w:tcW w:w="1170" w:type="dxa"/>
            <w:tcBorders>
              <w:top w:val="nil"/>
              <w:left w:val="double" w:sz="4" w:space="0" w:color="auto"/>
              <w:bottom w:val="nil"/>
              <w:right w:val="single" w:sz="4" w:space="0" w:color="auto"/>
            </w:tcBorders>
            <w:shd w:val="clear" w:color="auto" w:fill="auto"/>
            <w:noWrap/>
            <w:vAlign w:val="center"/>
            <w:hideMark/>
          </w:tcPr>
          <w:p w14:paraId="48992CF1" w14:textId="77777777" w:rsidR="0024154B" w:rsidRPr="00882FD5" w:rsidRDefault="0024154B" w:rsidP="0024154B">
            <w:pPr>
              <w:spacing w:before="0" w:line="240" w:lineRule="auto"/>
              <w:jc w:val="right"/>
              <w:rPr>
                <w:color w:val="000000"/>
                <w:sz w:val="22"/>
                <w:szCs w:val="22"/>
              </w:rPr>
            </w:pPr>
            <w:r w:rsidRPr="00882FD5">
              <w:rPr>
                <w:color w:val="000000"/>
                <w:sz w:val="22"/>
                <w:szCs w:val="22"/>
              </w:rPr>
              <w:t> </w:t>
            </w:r>
          </w:p>
        </w:tc>
        <w:tc>
          <w:tcPr>
            <w:tcW w:w="1255" w:type="dxa"/>
            <w:tcBorders>
              <w:top w:val="nil"/>
              <w:left w:val="single" w:sz="4" w:space="0" w:color="auto"/>
              <w:bottom w:val="nil"/>
              <w:right w:val="double" w:sz="4" w:space="0" w:color="auto"/>
            </w:tcBorders>
            <w:shd w:val="clear" w:color="auto" w:fill="auto"/>
            <w:noWrap/>
            <w:vAlign w:val="center"/>
            <w:hideMark/>
          </w:tcPr>
          <w:p w14:paraId="375DE275" w14:textId="77777777" w:rsidR="0024154B" w:rsidRPr="00882FD5" w:rsidRDefault="0024154B" w:rsidP="0024154B">
            <w:pPr>
              <w:spacing w:before="0" w:line="240" w:lineRule="auto"/>
              <w:jc w:val="right"/>
              <w:rPr>
                <w:color w:val="000000"/>
                <w:sz w:val="22"/>
                <w:szCs w:val="22"/>
              </w:rPr>
            </w:pPr>
            <w:r w:rsidRPr="00882FD5">
              <w:rPr>
                <w:color w:val="000000"/>
                <w:sz w:val="22"/>
                <w:szCs w:val="22"/>
              </w:rPr>
              <w:t> </w:t>
            </w:r>
          </w:p>
        </w:tc>
      </w:tr>
      <w:tr w:rsidR="0024154B" w:rsidRPr="00882FD5" w14:paraId="54EA57FD" w14:textId="77777777" w:rsidTr="006329B2">
        <w:trPr>
          <w:trHeight w:val="202"/>
        </w:trPr>
        <w:tc>
          <w:tcPr>
            <w:tcW w:w="4360" w:type="dxa"/>
            <w:tcBorders>
              <w:top w:val="nil"/>
              <w:left w:val="double" w:sz="4" w:space="0" w:color="auto"/>
              <w:bottom w:val="nil"/>
              <w:right w:val="double" w:sz="4" w:space="0" w:color="auto"/>
            </w:tcBorders>
            <w:shd w:val="clear" w:color="auto" w:fill="auto"/>
            <w:noWrap/>
            <w:vAlign w:val="center"/>
            <w:hideMark/>
          </w:tcPr>
          <w:p w14:paraId="5CBBFF19" w14:textId="77777777" w:rsidR="0024154B" w:rsidRPr="00882FD5" w:rsidRDefault="0024154B" w:rsidP="0024154B">
            <w:pPr>
              <w:spacing w:before="0" w:line="240" w:lineRule="auto"/>
              <w:rPr>
                <w:b/>
                <w:bCs/>
                <w:i/>
                <w:iCs/>
                <w:color w:val="000000"/>
                <w:sz w:val="22"/>
                <w:szCs w:val="22"/>
              </w:rPr>
            </w:pPr>
            <w:r w:rsidRPr="00882FD5">
              <w:rPr>
                <w:b/>
                <w:bCs/>
                <w:i/>
                <w:iCs/>
                <w:color w:val="000000"/>
                <w:sz w:val="22"/>
                <w:szCs w:val="22"/>
              </w:rPr>
              <w:t xml:space="preserve">Endogenous outcome effect </w:t>
            </w:r>
          </w:p>
        </w:tc>
        <w:tc>
          <w:tcPr>
            <w:tcW w:w="1130" w:type="dxa"/>
            <w:tcBorders>
              <w:top w:val="nil"/>
              <w:left w:val="double" w:sz="4" w:space="0" w:color="auto"/>
              <w:bottom w:val="nil"/>
              <w:right w:val="single" w:sz="4" w:space="0" w:color="auto"/>
            </w:tcBorders>
            <w:shd w:val="clear" w:color="auto" w:fill="auto"/>
            <w:vAlign w:val="center"/>
            <w:hideMark/>
          </w:tcPr>
          <w:p w14:paraId="33364EBB" w14:textId="77777777" w:rsidR="0024154B" w:rsidRPr="00882FD5" w:rsidRDefault="0024154B" w:rsidP="0024154B">
            <w:pPr>
              <w:spacing w:before="0" w:line="240" w:lineRule="auto"/>
              <w:jc w:val="right"/>
              <w:rPr>
                <w:b/>
                <w:bCs/>
                <w:i/>
                <w:iCs/>
                <w:color w:val="000000"/>
                <w:sz w:val="22"/>
                <w:szCs w:val="22"/>
              </w:rPr>
            </w:pPr>
            <w:r w:rsidRPr="00882FD5">
              <w:rPr>
                <w:b/>
                <w:bCs/>
                <w:i/>
                <w:iCs/>
                <w:color w:val="000000"/>
                <w:sz w:val="22"/>
                <w:szCs w:val="22"/>
              </w:rPr>
              <w:t> </w:t>
            </w:r>
          </w:p>
        </w:tc>
        <w:tc>
          <w:tcPr>
            <w:tcW w:w="1175" w:type="dxa"/>
            <w:tcBorders>
              <w:top w:val="nil"/>
              <w:left w:val="single" w:sz="4" w:space="0" w:color="auto"/>
              <w:bottom w:val="nil"/>
              <w:right w:val="double" w:sz="4" w:space="0" w:color="auto"/>
            </w:tcBorders>
            <w:shd w:val="clear" w:color="auto" w:fill="auto"/>
            <w:vAlign w:val="center"/>
            <w:hideMark/>
          </w:tcPr>
          <w:p w14:paraId="45771DF2" w14:textId="77777777" w:rsidR="0024154B" w:rsidRPr="00882FD5" w:rsidRDefault="0024154B" w:rsidP="0024154B">
            <w:pPr>
              <w:spacing w:before="0" w:line="240" w:lineRule="auto"/>
              <w:jc w:val="right"/>
              <w:rPr>
                <w:b/>
                <w:bCs/>
                <w:i/>
                <w:iCs/>
                <w:color w:val="000000"/>
                <w:sz w:val="22"/>
                <w:szCs w:val="22"/>
              </w:rPr>
            </w:pPr>
            <w:r w:rsidRPr="00882FD5">
              <w:rPr>
                <w:b/>
                <w:bCs/>
                <w:i/>
                <w:iCs/>
                <w:color w:val="000000"/>
                <w:sz w:val="22"/>
                <w:szCs w:val="22"/>
              </w:rPr>
              <w:t> </w:t>
            </w:r>
          </w:p>
        </w:tc>
        <w:tc>
          <w:tcPr>
            <w:tcW w:w="1170" w:type="dxa"/>
            <w:tcBorders>
              <w:top w:val="nil"/>
              <w:left w:val="double" w:sz="4" w:space="0" w:color="auto"/>
              <w:bottom w:val="nil"/>
              <w:right w:val="single" w:sz="4" w:space="0" w:color="auto"/>
            </w:tcBorders>
            <w:shd w:val="clear" w:color="auto" w:fill="auto"/>
            <w:noWrap/>
            <w:vAlign w:val="center"/>
            <w:hideMark/>
          </w:tcPr>
          <w:p w14:paraId="05C4A7BB" w14:textId="77777777" w:rsidR="0024154B" w:rsidRPr="00882FD5" w:rsidRDefault="0024154B" w:rsidP="0024154B">
            <w:pPr>
              <w:spacing w:before="0" w:line="240" w:lineRule="auto"/>
              <w:jc w:val="right"/>
              <w:rPr>
                <w:b/>
                <w:bCs/>
                <w:i/>
                <w:iCs/>
                <w:color w:val="000000"/>
                <w:sz w:val="22"/>
                <w:szCs w:val="22"/>
              </w:rPr>
            </w:pPr>
            <w:r w:rsidRPr="00882FD5">
              <w:rPr>
                <w:b/>
                <w:bCs/>
                <w:i/>
                <w:iCs/>
                <w:color w:val="000000"/>
                <w:sz w:val="22"/>
                <w:szCs w:val="22"/>
              </w:rPr>
              <w:t> </w:t>
            </w:r>
          </w:p>
        </w:tc>
        <w:tc>
          <w:tcPr>
            <w:tcW w:w="1255" w:type="dxa"/>
            <w:tcBorders>
              <w:top w:val="nil"/>
              <w:left w:val="single" w:sz="4" w:space="0" w:color="auto"/>
              <w:bottom w:val="nil"/>
              <w:right w:val="double" w:sz="4" w:space="0" w:color="auto"/>
            </w:tcBorders>
            <w:shd w:val="clear" w:color="auto" w:fill="auto"/>
            <w:noWrap/>
            <w:vAlign w:val="center"/>
            <w:hideMark/>
          </w:tcPr>
          <w:p w14:paraId="64636A1A" w14:textId="77777777" w:rsidR="0024154B" w:rsidRPr="00882FD5" w:rsidRDefault="0024154B" w:rsidP="0024154B">
            <w:pPr>
              <w:spacing w:before="0" w:line="240" w:lineRule="auto"/>
              <w:jc w:val="right"/>
              <w:rPr>
                <w:color w:val="000000"/>
                <w:sz w:val="22"/>
                <w:szCs w:val="22"/>
              </w:rPr>
            </w:pPr>
            <w:r w:rsidRPr="00882FD5">
              <w:rPr>
                <w:color w:val="000000"/>
                <w:sz w:val="22"/>
                <w:szCs w:val="22"/>
              </w:rPr>
              <w:t> </w:t>
            </w:r>
          </w:p>
        </w:tc>
      </w:tr>
      <w:tr w:rsidR="0024154B" w:rsidRPr="00882FD5" w14:paraId="103B272E" w14:textId="77777777" w:rsidTr="006329B2">
        <w:trPr>
          <w:trHeight w:val="202"/>
        </w:trPr>
        <w:tc>
          <w:tcPr>
            <w:tcW w:w="4360" w:type="dxa"/>
            <w:tcBorders>
              <w:top w:val="nil"/>
              <w:left w:val="double" w:sz="4" w:space="0" w:color="auto"/>
              <w:bottom w:val="single" w:sz="4" w:space="0" w:color="auto"/>
              <w:right w:val="double" w:sz="4" w:space="0" w:color="auto"/>
            </w:tcBorders>
            <w:shd w:val="clear" w:color="auto" w:fill="auto"/>
            <w:noWrap/>
            <w:vAlign w:val="center"/>
            <w:hideMark/>
          </w:tcPr>
          <w:p w14:paraId="3D3E5802" w14:textId="77777777" w:rsidR="0024154B" w:rsidRPr="00882FD5" w:rsidRDefault="0024154B" w:rsidP="0024154B">
            <w:pPr>
              <w:spacing w:before="0" w:line="240" w:lineRule="auto"/>
              <w:rPr>
                <w:color w:val="000000"/>
                <w:sz w:val="22"/>
                <w:szCs w:val="22"/>
              </w:rPr>
            </w:pPr>
            <w:r w:rsidRPr="00882FD5">
              <w:rPr>
                <w:color w:val="000000"/>
                <w:sz w:val="22"/>
                <w:szCs w:val="22"/>
              </w:rPr>
              <w:t>High-density neighborhood (HDN) living</w:t>
            </w:r>
          </w:p>
        </w:tc>
        <w:tc>
          <w:tcPr>
            <w:tcW w:w="1130" w:type="dxa"/>
            <w:tcBorders>
              <w:top w:val="nil"/>
              <w:left w:val="double" w:sz="4" w:space="0" w:color="auto"/>
              <w:bottom w:val="single" w:sz="4" w:space="0" w:color="auto"/>
              <w:right w:val="single" w:sz="4" w:space="0" w:color="auto"/>
            </w:tcBorders>
            <w:shd w:val="clear" w:color="auto" w:fill="auto"/>
            <w:vAlign w:val="center"/>
            <w:hideMark/>
          </w:tcPr>
          <w:p w14:paraId="1BC30910" w14:textId="77777777" w:rsidR="0024154B" w:rsidRPr="00882FD5" w:rsidRDefault="0024154B" w:rsidP="0024154B">
            <w:pPr>
              <w:spacing w:before="0" w:line="240" w:lineRule="auto"/>
              <w:jc w:val="right"/>
              <w:rPr>
                <w:color w:val="000000"/>
                <w:sz w:val="22"/>
                <w:szCs w:val="22"/>
              </w:rPr>
            </w:pPr>
            <w:r w:rsidRPr="00882FD5">
              <w:rPr>
                <w:color w:val="000000"/>
                <w:sz w:val="22"/>
                <w:szCs w:val="22"/>
              </w:rPr>
              <w:t>NA</w:t>
            </w:r>
          </w:p>
        </w:tc>
        <w:tc>
          <w:tcPr>
            <w:tcW w:w="1175" w:type="dxa"/>
            <w:tcBorders>
              <w:top w:val="nil"/>
              <w:left w:val="single" w:sz="4" w:space="0" w:color="auto"/>
              <w:bottom w:val="single" w:sz="4" w:space="0" w:color="auto"/>
              <w:right w:val="double" w:sz="4" w:space="0" w:color="auto"/>
            </w:tcBorders>
            <w:shd w:val="clear" w:color="auto" w:fill="auto"/>
            <w:vAlign w:val="center"/>
            <w:hideMark/>
          </w:tcPr>
          <w:p w14:paraId="243F7777" w14:textId="77777777" w:rsidR="0024154B" w:rsidRPr="00882FD5" w:rsidRDefault="0024154B" w:rsidP="0024154B">
            <w:pPr>
              <w:spacing w:before="0" w:line="240" w:lineRule="auto"/>
              <w:jc w:val="right"/>
              <w:rPr>
                <w:color w:val="000000"/>
                <w:sz w:val="22"/>
                <w:szCs w:val="22"/>
              </w:rPr>
            </w:pPr>
            <w:r w:rsidRPr="00882FD5">
              <w:rPr>
                <w:color w:val="000000"/>
                <w:sz w:val="22"/>
                <w:szCs w:val="22"/>
              </w:rPr>
              <w:t>NA</w:t>
            </w:r>
          </w:p>
        </w:tc>
        <w:tc>
          <w:tcPr>
            <w:tcW w:w="1170" w:type="dxa"/>
            <w:tcBorders>
              <w:top w:val="nil"/>
              <w:left w:val="double" w:sz="4" w:space="0" w:color="auto"/>
              <w:bottom w:val="single" w:sz="4" w:space="0" w:color="auto"/>
              <w:right w:val="single" w:sz="4" w:space="0" w:color="auto"/>
            </w:tcBorders>
            <w:shd w:val="clear" w:color="auto" w:fill="auto"/>
            <w:noWrap/>
            <w:vAlign w:val="center"/>
            <w:hideMark/>
          </w:tcPr>
          <w:p w14:paraId="31D6E31A" w14:textId="77777777" w:rsidR="0024154B" w:rsidRPr="00882FD5" w:rsidRDefault="0024154B" w:rsidP="0024154B">
            <w:pPr>
              <w:spacing w:before="0" w:line="240" w:lineRule="auto"/>
              <w:jc w:val="right"/>
              <w:rPr>
                <w:color w:val="000000"/>
                <w:sz w:val="22"/>
                <w:szCs w:val="22"/>
              </w:rPr>
            </w:pPr>
            <w:r w:rsidRPr="00882FD5">
              <w:rPr>
                <w:color w:val="000000"/>
                <w:sz w:val="22"/>
                <w:szCs w:val="22"/>
              </w:rPr>
              <w:t>-0.116</w:t>
            </w:r>
          </w:p>
        </w:tc>
        <w:tc>
          <w:tcPr>
            <w:tcW w:w="1255" w:type="dxa"/>
            <w:tcBorders>
              <w:top w:val="nil"/>
              <w:left w:val="single" w:sz="4" w:space="0" w:color="auto"/>
              <w:bottom w:val="single" w:sz="4" w:space="0" w:color="auto"/>
              <w:right w:val="double" w:sz="4" w:space="0" w:color="auto"/>
            </w:tcBorders>
            <w:shd w:val="clear" w:color="auto" w:fill="auto"/>
            <w:noWrap/>
            <w:vAlign w:val="center"/>
            <w:hideMark/>
          </w:tcPr>
          <w:p w14:paraId="1BD3323E" w14:textId="77777777" w:rsidR="0024154B" w:rsidRPr="00882FD5" w:rsidRDefault="0024154B" w:rsidP="0024154B">
            <w:pPr>
              <w:spacing w:before="0" w:line="240" w:lineRule="auto"/>
              <w:jc w:val="right"/>
              <w:rPr>
                <w:color w:val="000000"/>
                <w:sz w:val="22"/>
                <w:szCs w:val="22"/>
              </w:rPr>
            </w:pPr>
            <w:r w:rsidRPr="00882FD5">
              <w:rPr>
                <w:color w:val="000000"/>
                <w:sz w:val="22"/>
                <w:szCs w:val="22"/>
              </w:rPr>
              <w:t>-3.66</w:t>
            </w:r>
          </w:p>
        </w:tc>
      </w:tr>
      <w:tr w:rsidR="0024154B" w:rsidRPr="00882FD5" w14:paraId="5035AE8C" w14:textId="77777777" w:rsidTr="006329B2">
        <w:trPr>
          <w:trHeight w:val="202"/>
        </w:trPr>
        <w:tc>
          <w:tcPr>
            <w:tcW w:w="4360" w:type="dxa"/>
            <w:tcBorders>
              <w:top w:val="single" w:sz="4" w:space="0" w:color="auto"/>
              <w:left w:val="double" w:sz="4" w:space="0" w:color="auto"/>
              <w:bottom w:val="nil"/>
              <w:right w:val="double" w:sz="4" w:space="0" w:color="auto"/>
            </w:tcBorders>
            <w:shd w:val="clear" w:color="auto" w:fill="auto"/>
            <w:noWrap/>
            <w:vAlign w:val="center"/>
            <w:hideMark/>
          </w:tcPr>
          <w:p w14:paraId="485ABB18" w14:textId="77777777" w:rsidR="0024154B" w:rsidRPr="00882FD5" w:rsidRDefault="0024154B" w:rsidP="0024154B">
            <w:pPr>
              <w:spacing w:before="0" w:line="240" w:lineRule="auto"/>
              <w:rPr>
                <w:b/>
                <w:bCs/>
                <w:i/>
                <w:iCs/>
                <w:color w:val="000000"/>
                <w:sz w:val="22"/>
                <w:szCs w:val="22"/>
              </w:rPr>
            </w:pPr>
            <w:r w:rsidRPr="00882FD5">
              <w:rPr>
                <w:b/>
                <w:bCs/>
                <w:i/>
                <w:iCs/>
                <w:color w:val="000000"/>
                <w:sz w:val="22"/>
                <w:szCs w:val="22"/>
              </w:rPr>
              <w:t>Thresholds</w:t>
            </w:r>
          </w:p>
        </w:tc>
        <w:tc>
          <w:tcPr>
            <w:tcW w:w="1130" w:type="dxa"/>
            <w:tcBorders>
              <w:top w:val="single" w:sz="4" w:space="0" w:color="auto"/>
              <w:left w:val="double" w:sz="4" w:space="0" w:color="auto"/>
              <w:bottom w:val="nil"/>
              <w:right w:val="single" w:sz="4" w:space="0" w:color="auto"/>
            </w:tcBorders>
            <w:shd w:val="clear" w:color="auto" w:fill="auto"/>
            <w:vAlign w:val="center"/>
            <w:hideMark/>
          </w:tcPr>
          <w:p w14:paraId="5BC86813" w14:textId="77777777" w:rsidR="0024154B" w:rsidRPr="00882FD5" w:rsidRDefault="0024154B" w:rsidP="0024154B">
            <w:pPr>
              <w:spacing w:before="0" w:line="240" w:lineRule="auto"/>
              <w:jc w:val="right"/>
              <w:rPr>
                <w:color w:val="000000"/>
                <w:sz w:val="22"/>
                <w:szCs w:val="22"/>
              </w:rPr>
            </w:pPr>
            <w:r w:rsidRPr="00882FD5">
              <w:rPr>
                <w:color w:val="000000"/>
                <w:sz w:val="22"/>
                <w:szCs w:val="22"/>
              </w:rPr>
              <w:t> </w:t>
            </w:r>
          </w:p>
        </w:tc>
        <w:tc>
          <w:tcPr>
            <w:tcW w:w="1175" w:type="dxa"/>
            <w:tcBorders>
              <w:top w:val="single" w:sz="4" w:space="0" w:color="auto"/>
              <w:left w:val="single" w:sz="4" w:space="0" w:color="auto"/>
              <w:bottom w:val="nil"/>
              <w:right w:val="double" w:sz="4" w:space="0" w:color="auto"/>
            </w:tcBorders>
            <w:shd w:val="clear" w:color="auto" w:fill="auto"/>
            <w:vAlign w:val="center"/>
            <w:hideMark/>
          </w:tcPr>
          <w:p w14:paraId="324D915F" w14:textId="77777777" w:rsidR="0024154B" w:rsidRPr="00882FD5" w:rsidRDefault="0024154B" w:rsidP="0024154B">
            <w:pPr>
              <w:spacing w:before="0" w:line="240" w:lineRule="auto"/>
              <w:jc w:val="right"/>
              <w:rPr>
                <w:color w:val="000000"/>
                <w:sz w:val="22"/>
                <w:szCs w:val="22"/>
              </w:rPr>
            </w:pPr>
            <w:r w:rsidRPr="00882FD5">
              <w:rPr>
                <w:color w:val="000000"/>
                <w:sz w:val="22"/>
                <w:szCs w:val="22"/>
              </w:rPr>
              <w:t> </w:t>
            </w:r>
          </w:p>
        </w:tc>
        <w:tc>
          <w:tcPr>
            <w:tcW w:w="1170" w:type="dxa"/>
            <w:tcBorders>
              <w:top w:val="single" w:sz="4" w:space="0" w:color="auto"/>
              <w:left w:val="double" w:sz="4" w:space="0" w:color="auto"/>
              <w:bottom w:val="nil"/>
              <w:right w:val="single" w:sz="4" w:space="0" w:color="auto"/>
            </w:tcBorders>
            <w:shd w:val="clear" w:color="auto" w:fill="auto"/>
            <w:noWrap/>
            <w:vAlign w:val="center"/>
            <w:hideMark/>
          </w:tcPr>
          <w:p w14:paraId="64CEB5A3" w14:textId="77777777" w:rsidR="0024154B" w:rsidRPr="00882FD5" w:rsidRDefault="0024154B" w:rsidP="0024154B">
            <w:pPr>
              <w:spacing w:before="0" w:line="240" w:lineRule="auto"/>
              <w:jc w:val="right"/>
              <w:rPr>
                <w:color w:val="000000"/>
                <w:sz w:val="22"/>
                <w:szCs w:val="22"/>
              </w:rPr>
            </w:pPr>
            <w:r w:rsidRPr="00882FD5">
              <w:rPr>
                <w:color w:val="000000"/>
                <w:sz w:val="22"/>
                <w:szCs w:val="22"/>
              </w:rPr>
              <w:t> </w:t>
            </w:r>
          </w:p>
        </w:tc>
        <w:tc>
          <w:tcPr>
            <w:tcW w:w="1255" w:type="dxa"/>
            <w:tcBorders>
              <w:top w:val="single" w:sz="4" w:space="0" w:color="auto"/>
              <w:left w:val="single" w:sz="4" w:space="0" w:color="auto"/>
              <w:bottom w:val="nil"/>
              <w:right w:val="double" w:sz="4" w:space="0" w:color="auto"/>
            </w:tcBorders>
            <w:shd w:val="clear" w:color="auto" w:fill="auto"/>
            <w:noWrap/>
            <w:vAlign w:val="center"/>
            <w:hideMark/>
          </w:tcPr>
          <w:p w14:paraId="691B1D08" w14:textId="77777777" w:rsidR="0024154B" w:rsidRPr="00882FD5" w:rsidRDefault="0024154B" w:rsidP="0024154B">
            <w:pPr>
              <w:spacing w:before="0" w:line="240" w:lineRule="auto"/>
              <w:jc w:val="right"/>
              <w:rPr>
                <w:color w:val="000000"/>
                <w:sz w:val="22"/>
                <w:szCs w:val="22"/>
              </w:rPr>
            </w:pPr>
            <w:r w:rsidRPr="00882FD5">
              <w:rPr>
                <w:color w:val="000000"/>
                <w:sz w:val="22"/>
                <w:szCs w:val="22"/>
              </w:rPr>
              <w:t> </w:t>
            </w:r>
          </w:p>
        </w:tc>
      </w:tr>
      <w:tr w:rsidR="0024154B" w:rsidRPr="00882FD5" w14:paraId="2EC94B06" w14:textId="77777777" w:rsidTr="006329B2">
        <w:trPr>
          <w:trHeight w:val="202"/>
        </w:trPr>
        <w:tc>
          <w:tcPr>
            <w:tcW w:w="4360" w:type="dxa"/>
            <w:tcBorders>
              <w:top w:val="nil"/>
              <w:left w:val="double" w:sz="4" w:space="0" w:color="auto"/>
              <w:bottom w:val="nil"/>
              <w:right w:val="double" w:sz="4" w:space="0" w:color="auto"/>
            </w:tcBorders>
            <w:shd w:val="clear" w:color="auto" w:fill="auto"/>
            <w:noWrap/>
            <w:vAlign w:val="center"/>
            <w:hideMark/>
          </w:tcPr>
          <w:p w14:paraId="36760741" w14:textId="77777777" w:rsidR="0024154B" w:rsidRPr="00882FD5" w:rsidRDefault="0024154B" w:rsidP="0024154B">
            <w:pPr>
              <w:spacing w:before="0" w:line="240" w:lineRule="auto"/>
              <w:ind w:firstLineChars="100" w:firstLine="220"/>
              <w:rPr>
                <w:i/>
                <w:iCs/>
                <w:color w:val="000000"/>
                <w:sz w:val="22"/>
                <w:szCs w:val="22"/>
              </w:rPr>
            </w:pPr>
            <w:r w:rsidRPr="00882FD5">
              <w:rPr>
                <w:i/>
                <w:iCs/>
                <w:color w:val="000000"/>
                <w:sz w:val="22"/>
                <w:szCs w:val="22"/>
              </w:rPr>
              <w:t>Threshold 1</w:t>
            </w:r>
          </w:p>
        </w:tc>
        <w:tc>
          <w:tcPr>
            <w:tcW w:w="1130" w:type="dxa"/>
            <w:tcBorders>
              <w:top w:val="nil"/>
              <w:left w:val="double" w:sz="4" w:space="0" w:color="auto"/>
              <w:bottom w:val="nil"/>
              <w:right w:val="single" w:sz="4" w:space="0" w:color="auto"/>
            </w:tcBorders>
            <w:shd w:val="clear" w:color="auto" w:fill="auto"/>
            <w:vAlign w:val="center"/>
            <w:hideMark/>
          </w:tcPr>
          <w:p w14:paraId="69010CA5" w14:textId="77777777" w:rsidR="0024154B" w:rsidRPr="00882FD5" w:rsidRDefault="0024154B" w:rsidP="0024154B">
            <w:pPr>
              <w:spacing w:before="0" w:line="240" w:lineRule="auto"/>
              <w:jc w:val="right"/>
              <w:rPr>
                <w:color w:val="000000"/>
                <w:sz w:val="22"/>
                <w:szCs w:val="22"/>
              </w:rPr>
            </w:pPr>
            <w:r w:rsidRPr="00882FD5">
              <w:rPr>
                <w:color w:val="000000"/>
                <w:sz w:val="22"/>
                <w:szCs w:val="22"/>
              </w:rPr>
              <w:t>0.356</w:t>
            </w:r>
          </w:p>
        </w:tc>
        <w:tc>
          <w:tcPr>
            <w:tcW w:w="1175" w:type="dxa"/>
            <w:tcBorders>
              <w:top w:val="nil"/>
              <w:left w:val="single" w:sz="4" w:space="0" w:color="auto"/>
              <w:bottom w:val="nil"/>
              <w:right w:val="double" w:sz="4" w:space="0" w:color="auto"/>
            </w:tcBorders>
            <w:shd w:val="clear" w:color="auto" w:fill="auto"/>
            <w:vAlign w:val="center"/>
            <w:hideMark/>
          </w:tcPr>
          <w:p w14:paraId="684F1372" w14:textId="77777777" w:rsidR="0024154B" w:rsidRPr="00882FD5" w:rsidRDefault="0024154B" w:rsidP="0024154B">
            <w:pPr>
              <w:spacing w:before="0" w:line="240" w:lineRule="auto"/>
              <w:jc w:val="right"/>
              <w:rPr>
                <w:color w:val="000000"/>
                <w:sz w:val="22"/>
                <w:szCs w:val="22"/>
              </w:rPr>
            </w:pPr>
            <w:r w:rsidRPr="00882FD5">
              <w:rPr>
                <w:color w:val="000000"/>
                <w:sz w:val="22"/>
                <w:szCs w:val="22"/>
              </w:rPr>
              <w:t>6.22</w:t>
            </w:r>
          </w:p>
        </w:tc>
        <w:tc>
          <w:tcPr>
            <w:tcW w:w="1170" w:type="dxa"/>
            <w:tcBorders>
              <w:top w:val="nil"/>
              <w:left w:val="double" w:sz="4" w:space="0" w:color="auto"/>
              <w:bottom w:val="nil"/>
              <w:right w:val="single" w:sz="4" w:space="0" w:color="auto"/>
            </w:tcBorders>
            <w:shd w:val="clear" w:color="auto" w:fill="auto"/>
            <w:noWrap/>
            <w:vAlign w:val="center"/>
            <w:hideMark/>
          </w:tcPr>
          <w:p w14:paraId="3CA9DFC5" w14:textId="77777777" w:rsidR="0024154B" w:rsidRPr="00882FD5" w:rsidRDefault="0024154B" w:rsidP="0024154B">
            <w:pPr>
              <w:spacing w:before="0" w:line="240" w:lineRule="auto"/>
              <w:jc w:val="right"/>
              <w:rPr>
                <w:color w:val="000000"/>
                <w:sz w:val="22"/>
                <w:szCs w:val="22"/>
              </w:rPr>
            </w:pPr>
            <w:r w:rsidRPr="00882FD5">
              <w:rPr>
                <w:color w:val="000000"/>
                <w:sz w:val="22"/>
                <w:szCs w:val="22"/>
              </w:rPr>
              <w:t>-0.411</w:t>
            </w:r>
          </w:p>
        </w:tc>
        <w:tc>
          <w:tcPr>
            <w:tcW w:w="1255" w:type="dxa"/>
            <w:tcBorders>
              <w:top w:val="nil"/>
              <w:left w:val="single" w:sz="4" w:space="0" w:color="auto"/>
              <w:bottom w:val="nil"/>
              <w:right w:val="double" w:sz="4" w:space="0" w:color="auto"/>
            </w:tcBorders>
            <w:shd w:val="clear" w:color="auto" w:fill="auto"/>
            <w:noWrap/>
            <w:vAlign w:val="center"/>
            <w:hideMark/>
          </w:tcPr>
          <w:p w14:paraId="5BFA5CDC" w14:textId="77777777" w:rsidR="0024154B" w:rsidRPr="00882FD5" w:rsidRDefault="0024154B" w:rsidP="0024154B">
            <w:pPr>
              <w:spacing w:before="0" w:line="240" w:lineRule="auto"/>
              <w:jc w:val="right"/>
              <w:rPr>
                <w:color w:val="000000"/>
                <w:sz w:val="22"/>
                <w:szCs w:val="22"/>
              </w:rPr>
            </w:pPr>
            <w:r w:rsidRPr="00882FD5">
              <w:rPr>
                <w:color w:val="000000"/>
                <w:sz w:val="22"/>
                <w:szCs w:val="22"/>
              </w:rPr>
              <w:t>-7.43</w:t>
            </w:r>
          </w:p>
        </w:tc>
      </w:tr>
      <w:tr w:rsidR="0024154B" w:rsidRPr="00882FD5" w14:paraId="59E8FC08" w14:textId="77777777" w:rsidTr="006329B2">
        <w:trPr>
          <w:trHeight w:val="202"/>
        </w:trPr>
        <w:tc>
          <w:tcPr>
            <w:tcW w:w="4360" w:type="dxa"/>
            <w:tcBorders>
              <w:top w:val="nil"/>
              <w:left w:val="double" w:sz="4" w:space="0" w:color="auto"/>
              <w:bottom w:val="nil"/>
              <w:right w:val="double" w:sz="4" w:space="0" w:color="auto"/>
            </w:tcBorders>
            <w:shd w:val="clear" w:color="auto" w:fill="auto"/>
            <w:noWrap/>
            <w:vAlign w:val="center"/>
            <w:hideMark/>
          </w:tcPr>
          <w:p w14:paraId="7B4FFC9E" w14:textId="77777777" w:rsidR="0024154B" w:rsidRPr="00882FD5" w:rsidRDefault="0024154B" w:rsidP="0024154B">
            <w:pPr>
              <w:spacing w:before="0" w:line="240" w:lineRule="auto"/>
              <w:ind w:firstLineChars="100" w:firstLine="220"/>
              <w:rPr>
                <w:i/>
                <w:iCs/>
                <w:color w:val="000000"/>
                <w:sz w:val="22"/>
                <w:szCs w:val="22"/>
              </w:rPr>
            </w:pPr>
            <w:r w:rsidRPr="00882FD5">
              <w:rPr>
                <w:i/>
                <w:iCs/>
                <w:color w:val="000000"/>
                <w:sz w:val="22"/>
                <w:szCs w:val="22"/>
              </w:rPr>
              <w:t>Threshold 2</w:t>
            </w:r>
          </w:p>
        </w:tc>
        <w:tc>
          <w:tcPr>
            <w:tcW w:w="1130" w:type="dxa"/>
            <w:tcBorders>
              <w:top w:val="nil"/>
              <w:left w:val="double" w:sz="4" w:space="0" w:color="auto"/>
              <w:bottom w:val="nil"/>
              <w:right w:val="single" w:sz="4" w:space="0" w:color="auto"/>
            </w:tcBorders>
            <w:shd w:val="clear" w:color="auto" w:fill="auto"/>
            <w:vAlign w:val="center"/>
            <w:hideMark/>
          </w:tcPr>
          <w:p w14:paraId="469B38A0" w14:textId="77777777" w:rsidR="0024154B" w:rsidRPr="00882FD5" w:rsidRDefault="0024154B" w:rsidP="0024154B">
            <w:pPr>
              <w:spacing w:before="0" w:line="240" w:lineRule="auto"/>
              <w:jc w:val="right"/>
              <w:rPr>
                <w:color w:val="000000"/>
                <w:sz w:val="22"/>
                <w:szCs w:val="22"/>
              </w:rPr>
            </w:pPr>
            <w:r w:rsidRPr="00882FD5">
              <w:rPr>
                <w:color w:val="000000"/>
                <w:sz w:val="22"/>
                <w:szCs w:val="22"/>
              </w:rPr>
              <w:t>NA</w:t>
            </w:r>
          </w:p>
        </w:tc>
        <w:tc>
          <w:tcPr>
            <w:tcW w:w="1175" w:type="dxa"/>
            <w:tcBorders>
              <w:top w:val="nil"/>
              <w:left w:val="single" w:sz="4" w:space="0" w:color="auto"/>
              <w:bottom w:val="nil"/>
              <w:right w:val="double" w:sz="4" w:space="0" w:color="auto"/>
            </w:tcBorders>
            <w:shd w:val="clear" w:color="auto" w:fill="auto"/>
            <w:vAlign w:val="center"/>
            <w:hideMark/>
          </w:tcPr>
          <w:p w14:paraId="4BD83C73" w14:textId="77777777" w:rsidR="0024154B" w:rsidRPr="00882FD5" w:rsidRDefault="0024154B" w:rsidP="0024154B">
            <w:pPr>
              <w:spacing w:before="0" w:line="240" w:lineRule="auto"/>
              <w:jc w:val="right"/>
              <w:rPr>
                <w:color w:val="000000"/>
                <w:sz w:val="22"/>
                <w:szCs w:val="22"/>
              </w:rPr>
            </w:pPr>
            <w:r w:rsidRPr="00882FD5">
              <w:rPr>
                <w:color w:val="000000"/>
                <w:sz w:val="22"/>
                <w:szCs w:val="22"/>
              </w:rPr>
              <w:t>NA</w:t>
            </w:r>
          </w:p>
        </w:tc>
        <w:tc>
          <w:tcPr>
            <w:tcW w:w="1170" w:type="dxa"/>
            <w:tcBorders>
              <w:top w:val="nil"/>
              <w:left w:val="double" w:sz="4" w:space="0" w:color="auto"/>
              <w:bottom w:val="nil"/>
              <w:right w:val="single" w:sz="4" w:space="0" w:color="auto"/>
            </w:tcBorders>
            <w:shd w:val="clear" w:color="auto" w:fill="auto"/>
            <w:noWrap/>
            <w:vAlign w:val="center"/>
            <w:hideMark/>
          </w:tcPr>
          <w:p w14:paraId="4193D7F3" w14:textId="77777777" w:rsidR="0024154B" w:rsidRPr="00882FD5" w:rsidRDefault="0024154B" w:rsidP="0024154B">
            <w:pPr>
              <w:spacing w:before="0" w:line="240" w:lineRule="auto"/>
              <w:jc w:val="right"/>
              <w:rPr>
                <w:color w:val="000000"/>
                <w:sz w:val="22"/>
                <w:szCs w:val="22"/>
              </w:rPr>
            </w:pPr>
            <w:r w:rsidRPr="00882FD5">
              <w:rPr>
                <w:color w:val="000000"/>
                <w:sz w:val="22"/>
                <w:szCs w:val="22"/>
              </w:rPr>
              <w:t>0.845</w:t>
            </w:r>
          </w:p>
        </w:tc>
        <w:tc>
          <w:tcPr>
            <w:tcW w:w="1255" w:type="dxa"/>
            <w:tcBorders>
              <w:top w:val="nil"/>
              <w:left w:val="single" w:sz="4" w:space="0" w:color="auto"/>
              <w:bottom w:val="nil"/>
              <w:right w:val="double" w:sz="4" w:space="0" w:color="auto"/>
            </w:tcBorders>
            <w:shd w:val="clear" w:color="auto" w:fill="auto"/>
            <w:noWrap/>
            <w:vAlign w:val="center"/>
            <w:hideMark/>
          </w:tcPr>
          <w:p w14:paraId="5FD06CC0" w14:textId="77777777" w:rsidR="0024154B" w:rsidRPr="00882FD5" w:rsidRDefault="0024154B" w:rsidP="0024154B">
            <w:pPr>
              <w:spacing w:before="0" w:line="240" w:lineRule="auto"/>
              <w:jc w:val="right"/>
              <w:rPr>
                <w:color w:val="000000"/>
                <w:sz w:val="22"/>
                <w:szCs w:val="22"/>
              </w:rPr>
            </w:pPr>
            <w:r w:rsidRPr="00882FD5">
              <w:rPr>
                <w:color w:val="000000"/>
                <w:sz w:val="22"/>
                <w:szCs w:val="22"/>
              </w:rPr>
              <w:t>11.55</w:t>
            </w:r>
          </w:p>
        </w:tc>
      </w:tr>
      <w:tr w:rsidR="0024154B" w:rsidRPr="00882FD5" w14:paraId="3D872CDF" w14:textId="77777777" w:rsidTr="006329B2">
        <w:trPr>
          <w:trHeight w:val="202"/>
        </w:trPr>
        <w:tc>
          <w:tcPr>
            <w:tcW w:w="4360" w:type="dxa"/>
            <w:tcBorders>
              <w:top w:val="nil"/>
              <w:left w:val="double" w:sz="4" w:space="0" w:color="auto"/>
              <w:right w:val="double" w:sz="4" w:space="0" w:color="auto"/>
            </w:tcBorders>
            <w:shd w:val="clear" w:color="auto" w:fill="auto"/>
            <w:noWrap/>
            <w:vAlign w:val="center"/>
            <w:hideMark/>
          </w:tcPr>
          <w:p w14:paraId="5A19A987" w14:textId="77777777" w:rsidR="0024154B" w:rsidRPr="00882FD5" w:rsidRDefault="0024154B" w:rsidP="0024154B">
            <w:pPr>
              <w:spacing w:before="0" w:line="240" w:lineRule="auto"/>
              <w:ind w:firstLineChars="100" w:firstLine="220"/>
              <w:rPr>
                <w:i/>
                <w:iCs/>
                <w:color w:val="000000"/>
                <w:sz w:val="22"/>
                <w:szCs w:val="22"/>
              </w:rPr>
            </w:pPr>
            <w:r w:rsidRPr="00882FD5">
              <w:rPr>
                <w:i/>
                <w:iCs/>
                <w:color w:val="000000"/>
                <w:sz w:val="22"/>
                <w:szCs w:val="22"/>
              </w:rPr>
              <w:t>Threshold 3</w:t>
            </w:r>
          </w:p>
        </w:tc>
        <w:tc>
          <w:tcPr>
            <w:tcW w:w="1130" w:type="dxa"/>
            <w:tcBorders>
              <w:top w:val="nil"/>
              <w:left w:val="double" w:sz="4" w:space="0" w:color="auto"/>
              <w:right w:val="single" w:sz="4" w:space="0" w:color="auto"/>
            </w:tcBorders>
            <w:shd w:val="clear" w:color="auto" w:fill="auto"/>
            <w:vAlign w:val="center"/>
            <w:hideMark/>
          </w:tcPr>
          <w:p w14:paraId="25898C17" w14:textId="77777777" w:rsidR="0024154B" w:rsidRPr="00882FD5" w:rsidRDefault="0024154B" w:rsidP="0024154B">
            <w:pPr>
              <w:spacing w:before="0" w:line="240" w:lineRule="auto"/>
              <w:jc w:val="right"/>
              <w:rPr>
                <w:color w:val="000000"/>
                <w:sz w:val="22"/>
                <w:szCs w:val="22"/>
              </w:rPr>
            </w:pPr>
            <w:r w:rsidRPr="00882FD5">
              <w:rPr>
                <w:color w:val="000000"/>
                <w:sz w:val="22"/>
                <w:szCs w:val="22"/>
              </w:rPr>
              <w:t>NA</w:t>
            </w:r>
          </w:p>
        </w:tc>
        <w:tc>
          <w:tcPr>
            <w:tcW w:w="1175" w:type="dxa"/>
            <w:tcBorders>
              <w:top w:val="nil"/>
              <w:left w:val="single" w:sz="4" w:space="0" w:color="auto"/>
              <w:right w:val="double" w:sz="4" w:space="0" w:color="auto"/>
            </w:tcBorders>
            <w:shd w:val="clear" w:color="auto" w:fill="auto"/>
            <w:vAlign w:val="center"/>
            <w:hideMark/>
          </w:tcPr>
          <w:p w14:paraId="28D02559" w14:textId="77777777" w:rsidR="0024154B" w:rsidRPr="00882FD5" w:rsidRDefault="0024154B" w:rsidP="0024154B">
            <w:pPr>
              <w:spacing w:before="0" w:line="240" w:lineRule="auto"/>
              <w:jc w:val="right"/>
              <w:rPr>
                <w:color w:val="000000"/>
                <w:sz w:val="22"/>
                <w:szCs w:val="22"/>
              </w:rPr>
            </w:pPr>
            <w:r w:rsidRPr="00882FD5">
              <w:rPr>
                <w:color w:val="000000"/>
                <w:sz w:val="22"/>
                <w:szCs w:val="22"/>
              </w:rPr>
              <w:t>NA</w:t>
            </w:r>
          </w:p>
        </w:tc>
        <w:tc>
          <w:tcPr>
            <w:tcW w:w="1170" w:type="dxa"/>
            <w:tcBorders>
              <w:top w:val="nil"/>
              <w:left w:val="double" w:sz="4" w:space="0" w:color="auto"/>
              <w:right w:val="single" w:sz="4" w:space="0" w:color="auto"/>
            </w:tcBorders>
            <w:shd w:val="clear" w:color="auto" w:fill="auto"/>
            <w:noWrap/>
            <w:vAlign w:val="center"/>
            <w:hideMark/>
          </w:tcPr>
          <w:p w14:paraId="54359CC0" w14:textId="77777777" w:rsidR="0024154B" w:rsidRPr="00882FD5" w:rsidRDefault="0024154B" w:rsidP="0024154B">
            <w:pPr>
              <w:spacing w:before="0" w:line="240" w:lineRule="auto"/>
              <w:jc w:val="right"/>
              <w:rPr>
                <w:color w:val="000000"/>
                <w:sz w:val="22"/>
                <w:szCs w:val="22"/>
              </w:rPr>
            </w:pPr>
            <w:r w:rsidRPr="00882FD5">
              <w:rPr>
                <w:color w:val="000000"/>
                <w:sz w:val="22"/>
                <w:szCs w:val="22"/>
              </w:rPr>
              <w:t>1.964</w:t>
            </w:r>
          </w:p>
        </w:tc>
        <w:tc>
          <w:tcPr>
            <w:tcW w:w="1255" w:type="dxa"/>
            <w:tcBorders>
              <w:top w:val="nil"/>
              <w:left w:val="single" w:sz="4" w:space="0" w:color="auto"/>
              <w:right w:val="double" w:sz="4" w:space="0" w:color="auto"/>
            </w:tcBorders>
            <w:shd w:val="clear" w:color="auto" w:fill="auto"/>
            <w:noWrap/>
            <w:vAlign w:val="center"/>
            <w:hideMark/>
          </w:tcPr>
          <w:p w14:paraId="27CB4E4A" w14:textId="77777777" w:rsidR="0024154B" w:rsidRPr="00882FD5" w:rsidRDefault="0024154B" w:rsidP="0024154B">
            <w:pPr>
              <w:spacing w:before="0" w:line="240" w:lineRule="auto"/>
              <w:jc w:val="right"/>
              <w:rPr>
                <w:color w:val="000000"/>
                <w:sz w:val="22"/>
                <w:szCs w:val="22"/>
              </w:rPr>
            </w:pPr>
            <w:r w:rsidRPr="00882FD5">
              <w:rPr>
                <w:color w:val="000000"/>
                <w:sz w:val="22"/>
                <w:szCs w:val="22"/>
              </w:rPr>
              <w:t>10.92</w:t>
            </w:r>
          </w:p>
        </w:tc>
      </w:tr>
      <w:tr w:rsidR="0024154B" w:rsidRPr="00882FD5" w14:paraId="62A54B06" w14:textId="77777777" w:rsidTr="006329B2">
        <w:trPr>
          <w:trHeight w:val="202"/>
        </w:trPr>
        <w:tc>
          <w:tcPr>
            <w:tcW w:w="4360" w:type="dxa"/>
            <w:tcBorders>
              <w:top w:val="nil"/>
              <w:left w:val="double" w:sz="4" w:space="0" w:color="auto"/>
              <w:bottom w:val="double" w:sz="4" w:space="0" w:color="auto"/>
              <w:right w:val="double" w:sz="4" w:space="0" w:color="auto"/>
            </w:tcBorders>
            <w:shd w:val="clear" w:color="auto" w:fill="auto"/>
            <w:noWrap/>
            <w:vAlign w:val="center"/>
            <w:hideMark/>
          </w:tcPr>
          <w:p w14:paraId="05D14580" w14:textId="77777777" w:rsidR="0024154B" w:rsidRPr="00882FD5" w:rsidRDefault="0024154B" w:rsidP="0024154B">
            <w:pPr>
              <w:spacing w:before="0" w:line="240" w:lineRule="auto"/>
              <w:ind w:firstLineChars="100" w:firstLine="220"/>
              <w:rPr>
                <w:i/>
                <w:iCs/>
                <w:color w:val="000000"/>
                <w:sz w:val="22"/>
                <w:szCs w:val="22"/>
              </w:rPr>
            </w:pPr>
            <w:r w:rsidRPr="00882FD5">
              <w:rPr>
                <w:i/>
                <w:iCs/>
                <w:color w:val="000000"/>
                <w:sz w:val="22"/>
                <w:szCs w:val="22"/>
              </w:rPr>
              <w:t>Threshold 4</w:t>
            </w:r>
          </w:p>
        </w:tc>
        <w:tc>
          <w:tcPr>
            <w:tcW w:w="1130" w:type="dxa"/>
            <w:tcBorders>
              <w:top w:val="nil"/>
              <w:left w:val="double" w:sz="4" w:space="0" w:color="auto"/>
              <w:bottom w:val="double" w:sz="4" w:space="0" w:color="auto"/>
              <w:right w:val="single" w:sz="4" w:space="0" w:color="auto"/>
            </w:tcBorders>
            <w:shd w:val="clear" w:color="auto" w:fill="auto"/>
            <w:vAlign w:val="center"/>
            <w:hideMark/>
          </w:tcPr>
          <w:p w14:paraId="4863F4D9" w14:textId="77777777" w:rsidR="0024154B" w:rsidRPr="00882FD5" w:rsidRDefault="0024154B" w:rsidP="0024154B">
            <w:pPr>
              <w:spacing w:before="0" w:line="240" w:lineRule="auto"/>
              <w:jc w:val="right"/>
              <w:rPr>
                <w:color w:val="000000"/>
                <w:sz w:val="22"/>
                <w:szCs w:val="22"/>
              </w:rPr>
            </w:pPr>
            <w:r w:rsidRPr="00882FD5">
              <w:rPr>
                <w:color w:val="000000"/>
                <w:sz w:val="22"/>
                <w:szCs w:val="22"/>
              </w:rPr>
              <w:t>NA</w:t>
            </w:r>
          </w:p>
        </w:tc>
        <w:tc>
          <w:tcPr>
            <w:tcW w:w="1175" w:type="dxa"/>
            <w:tcBorders>
              <w:top w:val="nil"/>
              <w:left w:val="single" w:sz="4" w:space="0" w:color="auto"/>
              <w:bottom w:val="double" w:sz="4" w:space="0" w:color="auto"/>
              <w:right w:val="double" w:sz="4" w:space="0" w:color="auto"/>
            </w:tcBorders>
            <w:shd w:val="clear" w:color="auto" w:fill="auto"/>
            <w:vAlign w:val="center"/>
            <w:hideMark/>
          </w:tcPr>
          <w:p w14:paraId="3DB50F42" w14:textId="77777777" w:rsidR="0024154B" w:rsidRPr="00882FD5" w:rsidRDefault="0024154B" w:rsidP="0024154B">
            <w:pPr>
              <w:spacing w:before="0" w:line="240" w:lineRule="auto"/>
              <w:jc w:val="right"/>
              <w:rPr>
                <w:color w:val="000000"/>
                <w:sz w:val="22"/>
                <w:szCs w:val="22"/>
              </w:rPr>
            </w:pPr>
            <w:r w:rsidRPr="00882FD5">
              <w:rPr>
                <w:color w:val="000000"/>
                <w:sz w:val="22"/>
                <w:szCs w:val="22"/>
              </w:rPr>
              <w:t>NA</w:t>
            </w:r>
          </w:p>
        </w:tc>
        <w:tc>
          <w:tcPr>
            <w:tcW w:w="1170" w:type="dxa"/>
            <w:tcBorders>
              <w:top w:val="nil"/>
              <w:left w:val="double" w:sz="4" w:space="0" w:color="auto"/>
              <w:bottom w:val="double" w:sz="4" w:space="0" w:color="auto"/>
              <w:right w:val="single" w:sz="4" w:space="0" w:color="auto"/>
            </w:tcBorders>
            <w:shd w:val="clear" w:color="auto" w:fill="auto"/>
            <w:noWrap/>
            <w:vAlign w:val="center"/>
            <w:hideMark/>
          </w:tcPr>
          <w:p w14:paraId="66173C6D" w14:textId="77777777" w:rsidR="0024154B" w:rsidRPr="00882FD5" w:rsidRDefault="0024154B" w:rsidP="0024154B">
            <w:pPr>
              <w:spacing w:before="0" w:line="240" w:lineRule="auto"/>
              <w:jc w:val="right"/>
              <w:rPr>
                <w:color w:val="000000"/>
                <w:sz w:val="22"/>
                <w:szCs w:val="22"/>
              </w:rPr>
            </w:pPr>
            <w:r w:rsidRPr="00882FD5">
              <w:rPr>
                <w:color w:val="000000"/>
                <w:sz w:val="22"/>
                <w:szCs w:val="22"/>
              </w:rPr>
              <w:t>2.813</w:t>
            </w:r>
          </w:p>
        </w:tc>
        <w:tc>
          <w:tcPr>
            <w:tcW w:w="1255" w:type="dxa"/>
            <w:tcBorders>
              <w:top w:val="nil"/>
              <w:left w:val="single" w:sz="4" w:space="0" w:color="auto"/>
              <w:bottom w:val="double" w:sz="4" w:space="0" w:color="auto"/>
              <w:right w:val="double" w:sz="4" w:space="0" w:color="auto"/>
            </w:tcBorders>
            <w:shd w:val="clear" w:color="auto" w:fill="auto"/>
            <w:noWrap/>
            <w:vAlign w:val="center"/>
            <w:hideMark/>
          </w:tcPr>
          <w:p w14:paraId="24761F8E" w14:textId="77777777" w:rsidR="0024154B" w:rsidRPr="00882FD5" w:rsidRDefault="0024154B" w:rsidP="0024154B">
            <w:pPr>
              <w:spacing w:before="0" w:line="240" w:lineRule="auto"/>
              <w:jc w:val="right"/>
              <w:rPr>
                <w:color w:val="000000"/>
                <w:sz w:val="22"/>
                <w:szCs w:val="22"/>
              </w:rPr>
            </w:pPr>
            <w:r w:rsidRPr="00882FD5">
              <w:rPr>
                <w:color w:val="000000"/>
                <w:sz w:val="22"/>
                <w:szCs w:val="22"/>
              </w:rPr>
              <w:t>16.02</w:t>
            </w:r>
          </w:p>
        </w:tc>
      </w:tr>
    </w:tbl>
    <w:p w14:paraId="21F26DA0" w14:textId="77777777" w:rsidR="00D42297" w:rsidRPr="00882FD5" w:rsidRDefault="00D42297" w:rsidP="00EF31EC">
      <w:pPr>
        <w:spacing w:before="0" w:line="240" w:lineRule="auto"/>
        <w:jc w:val="both"/>
        <w:rPr>
          <w:sz w:val="20"/>
        </w:rPr>
      </w:pPr>
      <w:r w:rsidRPr="00882FD5">
        <w:rPr>
          <w:b/>
          <w:sz w:val="20"/>
        </w:rPr>
        <w:t>NOTE:</w:t>
      </w:r>
      <w:r w:rsidRPr="00882FD5">
        <w:rPr>
          <w:sz w:val="20"/>
        </w:rPr>
        <w:t xml:space="preserve"> ‘-’ indicates that the variable was not found to be statistically significant.</w:t>
      </w:r>
    </w:p>
    <w:p w14:paraId="1CC07251" w14:textId="77777777" w:rsidR="00EF31EC" w:rsidRDefault="00EF31EC" w:rsidP="00EF31EC">
      <w:pPr>
        <w:spacing w:before="0" w:line="240" w:lineRule="auto"/>
        <w:jc w:val="both"/>
        <w:rPr>
          <w:bCs/>
          <w:i/>
          <w:iCs/>
          <w:position w:val="-5"/>
          <w:u w:val="single"/>
        </w:rPr>
      </w:pPr>
    </w:p>
    <w:p w14:paraId="6BDF0590" w14:textId="3B7B1E7A" w:rsidR="00834F12" w:rsidRPr="00F443DA" w:rsidRDefault="00834F12" w:rsidP="00EF31EC">
      <w:pPr>
        <w:spacing w:before="0" w:line="240" w:lineRule="auto"/>
        <w:jc w:val="both"/>
        <w:rPr>
          <w:i/>
          <w:u w:val="single"/>
        </w:rPr>
      </w:pPr>
      <w:r w:rsidRPr="003260D1">
        <w:rPr>
          <w:bCs/>
          <w:i/>
          <w:iCs/>
          <w:position w:val="-5"/>
          <w:u w:val="single"/>
        </w:rPr>
        <w:t xml:space="preserve">Individual </w:t>
      </w:r>
      <w:r w:rsidR="00991034" w:rsidRPr="003260D1">
        <w:rPr>
          <w:bCs/>
          <w:i/>
          <w:iCs/>
          <w:position w:val="-5"/>
          <w:u w:val="single"/>
        </w:rPr>
        <w:t xml:space="preserve">and household </w:t>
      </w:r>
      <w:r w:rsidR="00A863A0" w:rsidRPr="003260D1">
        <w:rPr>
          <w:bCs/>
          <w:i/>
          <w:iCs/>
          <w:position w:val="-5"/>
          <w:u w:val="single"/>
        </w:rPr>
        <w:t xml:space="preserve">sociodemographic </w:t>
      </w:r>
      <w:r w:rsidRPr="003260D1">
        <w:rPr>
          <w:bCs/>
          <w:i/>
          <w:iCs/>
          <w:position w:val="-5"/>
          <w:u w:val="single"/>
        </w:rPr>
        <w:t>effects</w:t>
      </w:r>
      <w:r w:rsidR="00A863A0" w:rsidRPr="003260D1">
        <w:rPr>
          <w:bCs/>
          <w:i/>
          <w:iCs/>
          <w:position w:val="-5"/>
          <w:u w:val="single"/>
        </w:rPr>
        <w:t xml:space="preserve"> </w:t>
      </w:r>
      <w:r w:rsidR="00F443DA" w:rsidRPr="003260D1">
        <w:rPr>
          <w:i/>
          <w:position w:val="-5"/>
          <w:u w:val="single"/>
        </w:rPr>
        <w:t xml:space="preserve">(elements of the </w:t>
      </w:r>
      <w:r w:rsidR="000D5E4F" w:rsidRPr="00700D34">
        <w:rPr>
          <w:position w:val="-14"/>
        </w:rPr>
        <w:object w:dxaOrig="180" w:dyaOrig="380" w14:anchorId="7857D29D">
          <v:shape id="_x0000_i1198" type="#_x0000_t75" style="width:9.45pt;height:18.85pt" o:ole="" o:preferrelative="f">
            <v:imagedata r:id="rId344" o:title=""/>
            <o:lock v:ext="edit" aspectratio="f"/>
          </v:shape>
          <o:OLEObject Type="Embed" ProgID="Equation.DSMT4" ShapeID="_x0000_i1198" DrawAspect="Content" ObjectID="_1738155095" r:id="rId345"/>
        </w:object>
      </w:r>
      <w:r w:rsidR="00F443DA" w:rsidRPr="003260D1">
        <w:rPr>
          <w:i/>
          <w:position w:val="-5"/>
          <w:u w:val="single"/>
        </w:rPr>
        <w:t>matrix</w:t>
      </w:r>
      <w:r w:rsidR="00F443DA" w:rsidRPr="00700D34">
        <w:rPr>
          <w:i/>
          <w:position w:val="-6"/>
        </w:rPr>
        <w:t>)</w:t>
      </w:r>
    </w:p>
    <w:p w14:paraId="65E54CDD" w14:textId="071A6DCE" w:rsidR="00581143" w:rsidRPr="00882FD5" w:rsidRDefault="00834F12" w:rsidP="000D5E4F">
      <w:pPr>
        <w:spacing w:before="0" w:line="240" w:lineRule="auto"/>
        <w:jc w:val="both"/>
      </w:pPr>
      <w:r w:rsidRPr="00882FD5">
        <w:t xml:space="preserve">The individual </w:t>
      </w:r>
      <w:r w:rsidR="00991034" w:rsidRPr="00882FD5">
        <w:t xml:space="preserve">and household </w:t>
      </w:r>
      <w:r w:rsidRPr="00882FD5">
        <w:t xml:space="preserve">effects in Table </w:t>
      </w:r>
      <w:r w:rsidR="00051EDB" w:rsidRPr="00882FD5">
        <w:t>4</w:t>
      </w:r>
      <w:r w:rsidR="0006764D" w:rsidRPr="00882FD5">
        <w:t xml:space="preserve"> </w:t>
      </w:r>
      <w:r w:rsidRPr="00882FD5">
        <w:t xml:space="preserve">are direct effects after accommodating any moderating effects </w:t>
      </w:r>
      <w:r w:rsidR="0006764D" w:rsidRPr="00882FD5">
        <w:t xml:space="preserve">of sociodemographic </w:t>
      </w:r>
      <w:r w:rsidR="008C0B9D" w:rsidRPr="00882FD5">
        <w:t xml:space="preserve">variables </w:t>
      </w:r>
      <w:r w:rsidRPr="00882FD5">
        <w:t xml:space="preserve">through the </w:t>
      </w:r>
      <w:r w:rsidR="00991034" w:rsidRPr="00882FD5">
        <w:t xml:space="preserve">GLP and LLP </w:t>
      </w:r>
      <w:r w:rsidRPr="00882FD5">
        <w:t>latent construct effect</w:t>
      </w:r>
      <w:r w:rsidR="00326D3E" w:rsidRPr="00882FD5">
        <w:t>s</w:t>
      </w:r>
      <w:r w:rsidRPr="00882FD5">
        <w:t xml:space="preserve">. </w:t>
      </w:r>
      <w:r w:rsidR="00991034" w:rsidRPr="00882FD5">
        <w:t>The results suggest that older adults (age 30 or more) tend to have a lower proclivity for HDN living compared to their younger peers</w:t>
      </w:r>
      <w:r w:rsidR="00D82542" w:rsidRPr="00882FD5">
        <w:t xml:space="preserve">; younger individuals (less than 30 years of age) are more likely to have a high desire for </w:t>
      </w:r>
      <w:r w:rsidR="0006764D" w:rsidRPr="00882FD5">
        <w:t xml:space="preserve">a </w:t>
      </w:r>
      <w:r w:rsidR="00D82542" w:rsidRPr="00882FD5">
        <w:t xml:space="preserve">fast-paced, </w:t>
      </w:r>
      <w:r w:rsidR="006B0C52" w:rsidRPr="00882FD5">
        <w:t>entertainment-accessible, socially-oriented and physically-active urban lifestyle</w:t>
      </w:r>
      <w:r w:rsidR="0006764D" w:rsidRPr="00882FD5">
        <w:t>,</w:t>
      </w:r>
      <w:r w:rsidR="006B0C52" w:rsidRPr="00882FD5">
        <w:t xml:space="preserve"> which gets reflected in their</w:t>
      </w:r>
      <w:r w:rsidR="0006764D" w:rsidRPr="00882FD5">
        <w:t xml:space="preserve"> HDN preference </w:t>
      </w:r>
      <w:r w:rsidR="006B0C52" w:rsidRPr="00882FD5">
        <w:t>(</w:t>
      </w:r>
      <w:r w:rsidR="006329B2" w:rsidRPr="00882FD5">
        <w:t>De Vos and Alemi, 2020</w:t>
      </w:r>
      <w:r w:rsidR="006B0C52" w:rsidRPr="00882FD5">
        <w:t xml:space="preserve">). </w:t>
      </w:r>
      <w:r w:rsidR="004A3956" w:rsidRPr="00882FD5">
        <w:t xml:space="preserve">The negative effect of those over the age of 50 years on </w:t>
      </w:r>
      <w:r w:rsidR="0082193C" w:rsidRPr="00882FD5">
        <w:t>auto-</w:t>
      </w:r>
      <w:r w:rsidR="004A3956" w:rsidRPr="00882FD5">
        <w:t xml:space="preserve">ownership propensity </w:t>
      </w:r>
      <w:r w:rsidR="002F4044" w:rsidRPr="00882FD5">
        <w:t xml:space="preserve">is interesting and </w:t>
      </w:r>
      <w:r w:rsidR="0060342E" w:rsidRPr="00882FD5">
        <w:t>finds support</w:t>
      </w:r>
      <w:r w:rsidR="008F2A76" w:rsidRPr="00882FD5">
        <w:t xml:space="preserve"> </w:t>
      </w:r>
      <w:r w:rsidR="000563E4" w:rsidRPr="00882FD5">
        <w:t>in</w:t>
      </w:r>
      <w:r w:rsidR="008F2A76" w:rsidRPr="00882FD5">
        <w:t xml:space="preserve"> earlier literature</w:t>
      </w:r>
      <w:r w:rsidR="000563E4" w:rsidRPr="00882FD5">
        <w:t xml:space="preserve"> (see </w:t>
      </w:r>
      <w:r w:rsidR="006329B2" w:rsidRPr="00882FD5">
        <w:t>Clark et al., 2016</w:t>
      </w:r>
      <w:r w:rsidR="00410FBB" w:rsidRPr="00882FD5">
        <w:t>a</w:t>
      </w:r>
      <w:r w:rsidR="000563E4" w:rsidRPr="00882FD5">
        <w:t>).</w:t>
      </w:r>
      <w:r w:rsidR="0060342E" w:rsidRPr="00882FD5">
        <w:t xml:space="preserve"> </w:t>
      </w:r>
      <w:r w:rsidR="000563E4" w:rsidRPr="00882FD5">
        <w:t>In particular</w:t>
      </w:r>
      <w:r w:rsidR="0060342E" w:rsidRPr="00882FD5">
        <w:t>,</w:t>
      </w:r>
      <w:r w:rsidR="000563E4" w:rsidRPr="00882FD5">
        <w:t xml:space="preserve"> panel studies have revealed that there is a household life-cycle effect associated with </w:t>
      </w:r>
      <w:r w:rsidR="0082193C" w:rsidRPr="00882FD5">
        <w:t>auto</w:t>
      </w:r>
      <w:r w:rsidR="000563E4" w:rsidRPr="00882FD5">
        <w:t>-ownership in which the number of vehicles owned by a household increases as the head of the household reaches 50 years, and declines thereafter. This effect is different from the age-effect on the actual modal preference of these individuals</w:t>
      </w:r>
      <w:r w:rsidR="00015BAD" w:rsidRPr="00882FD5">
        <w:t>;</w:t>
      </w:r>
      <w:r w:rsidR="000563E4" w:rsidRPr="00882FD5">
        <w:t xml:space="preserve"> that is, these individuals may still be highly inclined toward private vehicle use (as we note later), but from a sheer number of </w:t>
      </w:r>
      <w:r w:rsidR="00560C25" w:rsidRPr="00882FD5">
        <w:t>auto-</w:t>
      </w:r>
      <w:r w:rsidR="000563E4" w:rsidRPr="00882FD5">
        <w:t>o</w:t>
      </w:r>
      <w:r w:rsidR="002F4044" w:rsidRPr="00882FD5">
        <w:t>wnership standpoint, there is a negative relationship.</w:t>
      </w:r>
      <w:r w:rsidR="00E135EA">
        <w:t xml:space="preserve"> </w:t>
      </w:r>
      <w:r w:rsidR="00E135EA" w:rsidRPr="00882FD5">
        <w:t xml:space="preserve">Students (of any age) are found to have a higher HDN living propensity </w:t>
      </w:r>
      <w:r w:rsidR="00E135EA" w:rsidRPr="00882FD5">
        <w:lastRenderedPageBreak/>
        <w:t>relative to non-students, presumably because of their need to stay in proximity to academic institutions and social opportunities.</w:t>
      </w:r>
    </w:p>
    <w:p w14:paraId="7DFC66AA" w14:textId="545DEA4C" w:rsidR="004A3956" w:rsidRDefault="004A3956" w:rsidP="000D5E4F">
      <w:pPr>
        <w:spacing w:before="0" w:line="240" w:lineRule="auto"/>
        <w:ind w:firstLine="720"/>
        <w:jc w:val="both"/>
      </w:pPr>
      <w:r w:rsidRPr="00882FD5">
        <w:t xml:space="preserve">In terms of </w:t>
      </w:r>
      <w:r w:rsidR="00FB0012" w:rsidRPr="00882FD5">
        <w:t>household effects, individuals from households with three or more adults</w:t>
      </w:r>
      <w:r w:rsidRPr="00882FD5">
        <w:t xml:space="preserve"> </w:t>
      </w:r>
      <w:r w:rsidR="0081492C" w:rsidRPr="00882FD5">
        <w:t xml:space="preserve">and </w:t>
      </w:r>
      <w:r w:rsidRPr="00882FD5">
        <w:t>progressively higher annual incomes,</w:t>
      </w:r>
      <w:r w:rsidR="00FB0012" w:rsidRPr="00882FD5">
        <w:t xml:space="preserve"> </w:t>
      </w:r>
      <w:r w:rsidRPr="00882FD5">
        <w:t>are less likely to</w:t>
      </w:r>
      <w:r w:rsidR="00FB0012" w:rsidRPr="00882FD5">
        <w:t xml:space="preserve"> </w:t>
      </w:r>
      <w:r w:rsidRPr="00882FD5">
        <w:t xml:space="preserve">opt for </w:t>
      </w:r>
      <w:r w:rsidR="00FB0012" w:rsidRPr="00882FD5">
        <w:t xml:space="preserve">HDN living relative to </w:t>
      </w:r>
      <w:r w:rsidRPr="00882FD5">
        <w:t>their peer groups</w:t>
      </w:r>
      <w:r w:rsidR="00FB0012" w:rsidRPr="00882FD5">
        <w:t>.</w:t>
      </w:r>
      <w:r w:rsidR="00502097" w:rsidRPr="00882FD5">
        <w:t xml:space="preserve"> </w:t>
      </w:r>
      <w:r w:rsidRPr="00882FD5">
        <w:t xml:space="preserve">On the other hand, the effects of these variables </w:t>
      </w:r>
      <w:r w:rsidR="00F25A19" w:rsidRPr="00882FD5">
        <w:t>are</w:t>
      </w:r>
      <w:r w:rsidRPr="00882FD5">
        <w:t xml:space="preserve"> diametrically flipped in terms of auto</w:t>
      </w:r>
      <w:r w:rsidR="0082193C" w:rsidRPr="00882FD5">
        <w:t>-</w:t>
      </w:r>
      <w:r w:rsidRPr="00882FD5">
        <w:t xml:space="preserve">ownership propensity. </w:t>
      </w:r>
      <w:r w:rsidR="00015BAD" w:rsidRPr="00882FD5">
        <w:t xml:space="preserve">The earlier literature (see, for example, </w:t>
      </w:r>
      <w:r w:rsidR="008563DF" w:rsidRPr="00882FD5">
        <w:t>Moos, 2016, and Clark et al., 2016</w:t>
      </w:r>
      <w:r w:rsidR="00410FBB" w:rsidRPr="00882FD5">
        <w:t>b</w:t>
      </w:r>
      <w:r w:rsidR="00015BAD" w:rsidRPr="00882FD5">
        <w:t xml:space="preserve">) has established that </w:t>
      </w:r>
      <w:r w:rsidRPr="00882FD5">
        <w:t>larger household</w:t>
      </w:r>
      <w:r w:rsidR="00015BAD" w:rsidRPr="00882FD5">
        <w:t>s</w:t>
      </w:r>
      <w:r w:rsidRPr="00882FD5">
        <w:t xml:space="preserve"> </w:t>
      </w:r>
      <w:r w:rsidR="0081492C" w:rsidRPr="00882FD5">
        <w:t xml:space="preserve">(especially </w:t>
      </w:r>
      <w:r w:rsidRPr="00882FD5">
        <w:t>with many children</w:t>
      </w:r>
      <w:r w:rsidR="0081492C" w:rsidRPr="00882FD5">
        <w:t>)</w:t>
      </w:r>
      <w:r w:rsidRPr="00882FD5">
        <w:t xml:space="preserve"> </w:t>
      </w:r>
      <w:r w:rsidR="00015BAD" w:rsidRPr="00882FD5">
        <w:t xml:space="preserve">tend to </w:t>
      </w:r>
      <w:r w:rsidRPr="00882FD5">
        <w:t xml:space="preserve">gravitate toward </w:t>
      </w:r>
      <w:r w:rsidR="00003DCD" w:rsidRPr="00882FD5">
        <w:t>lower-</w:t>
      </w:r>
      <w:r w:rsidRPr="00882FD5">
        <w:t>density living, accompanied by a higher auto</w:t>
      </w:r>
      <w:r w:rsidR="0082193C" w:rsidRPr="00882FD5">
        <w:t>-</w:t>
      </w:r>
      <w:r w:rsidRPr="00882FD5">
        <w:t>ownership level, because of residential space considerations and</w:t>
      </w:r>
      <w:r w:rsidR="00534DF3">
        <w:t xml:space="preserve"> </w:t>
      </w:r>
      <w:r w:rsidRPr="00882FD5">
        <w:t>movement flexibility</w:t>
      </w:r>
      <w:r w:rsidR="00534DF3">
        <w:t xml:space="preserve"> considerations</w:t>
      </w:r>
      <w:r w:rsidRPr="00882FD5">
        <w:t xml:space="preserve"> to accommodate the travel needs of all </w:t>
      </w:r>
      <w:r w:rsidR="00C653B1" w:rsidRPr="00882FD5">
        <w:t>household members</w:t>
      </w:r>
      <w:r w:rsidR="00FD39C8" w:rsidRPr="00882FD5">
        <w:t>.</w:t>
      </w:r>
    </w:p>
    <w:p w14:paraId="31F2352F" w14:textId="77777777" w:rsidR="000D5E4F" w:rsidRPr="00882FD5" w:rsidRDefault="000D5E4F" w:rsidP="000D5E4F">
      <w:pPr>
        <w:spacing w:before="0" w:line="240" w:lineRule="auto"/>
        <w:ind w:firstLine="720"/>
        <w:jc w:val="both"/>
      </w:pPr>
    </w:p>
    <w:p w14:paraId="651C61B6" w14:textId="44F5A918" w:rsidR="00A17951" w:rsidRPr="00882FD5" w:rsidRDefault="000D5BA4" w:rsidP="000D5E4F">
      <w:pPr>
        <w:spacing w:before="0" w:line="240" w:lineRule="auto"/>
        <w:jc w:val="both"/>
        <w:rPr>
          <w:i/>
          <w:u w:val="single"/>
        </w:rPr>
      </w:pPr>
      <w:r w:rsidRPr="003260D1">
        <w:rPr>
          <w:i/>
          <w:position w:val="-4"/>
          <w:u w:val="single"/>
        </w:rPr>
        <w:t>E</w:t>
      </w:r>
      <w:r w:rsidR="00F23A65" w:rsidRPr="003260D1">
        <w:rPr>
          <w:i/>
          <w:position w:val="-4"/>
          <w:u w:val="single"/>
        </w:rPr>
        <w:t>ndogenous</w:t>
      </w:r>
      <w:r w:rsidRPr="003260D1">
        <w:rPr>
          <w:i/>
          <w:position w:val="-4"/>
          <w:u w:val="single"/>
        </w:rPr>
        <w:t xml:space="preserve"> outcome</w:t>
      </w:r>
      <w:r w:rsidR="00F23A65" w:rsidRPr="003260D1">
        <w:rPr>
          <w:i/>
          <w:position w:val="-4"/>
          <w:u w:val="single"/>
        </w:rPr>
        <w:t xml:space="preserve"> effect</w:t>
      </w:r>
      <w:r w:rsidR="00A863A0" w:rsidRPr="003260D1">
        <w:rPr>
          <w:i/>
          <w:position w:val="-4"/>
          <w:u w:val="single"/>
        </w:rPr>
        <w:t xml:space="preserve"> (elements of the </w:t>
      </w:r>
      <w:r w:rsidR="000D5E4F" w:rsidRPr="007646F3">
        <w:rPr>
          <w:position w:val="-14"/>
        </w:rPr>
        <w:object w:dxaOrig="180" w:dyaOrig="380" w14:anchorId="271D1CC1">
          <v:shape id="_x0000_i1199" type="#_x0000_t75" style="width:9.45pt;height:18.85pt" o:ole="" o:preferrelative="f">
            <v:imagedata r:id="rId346" o:title=""/>
            <o:lock v:ext="edit" aspectratio="f"/>
          </v:shape>
          <o:OLEObject Type="Embed" ProgID="Equation.DSMT4" ShapeID="_x0000_i1199" DrawAspect="Content" ObjectID="_1738155096" r:id="rId347"/>
        </w:object>
      </w:r>
      <w:r w:rsidR="009F4BA7" w:rsidRPr="003260D1">
        <w:rPr>
          <w:i/>
          <w:position w:val="-4"/>
          <w:u w:val="single"/>
        </w:rPr>
        <w:t>matrix</w:t>
      </w:r>
      <w:r w:rsidR="00A863A0" w:rsidRPr="003260D1">
        <w:rPr>
          <w:i/>
          <w:position w:val="-4"/>
        </w:rPr>
        <w:t>)</w:t>
      </w:r>
    </w:p>
    <w:p w14:paraId="56775238" w14:textId="77777777" w:rsidR="000D5E4F" w:rsidRDefault="004E325C" w:rsidP="000D5E4F">
      <w:pPr>
        <w:spacing w:before="0" w:line="240" w:lineRule="auto"/>
        <w:jc w:val="both"/>
      </w:pPr>
      <w:r w:rsidRPr="00882FD5">
        <w:t xml:space="preserve">The direct endogenous outcome effect of HDN living on </w:t>
      </w:r>
      <w:r w:rsidR="0082193C" w:rsidRPr="00882FD5">
        <w:t>auto</w:t>
      </w:r>
      <w:r w:rsidRPr="00882FD5">
        <w:t>-ownership level suggests that the built environment in high</w:t>
      </w:r>
      <w:r w:rsidR="002C69D1" w:rsidRPr="00882FD5">
        <w:t>-</w:t>
      </w:r>
      <w:r w:rsidRPr="00882FD5">
        <w:t xml:space="preserve">density neighborhoods has a negative causal effect on the propensity to own private vehicles. This is </w:t>
      </w:r>
      <w:r w:rsidR="00015BAD" w:rsidRPr="00882FD5">
        <w:t xml:space="preserve">consistent with the earlier literature, </w:t>
      </w:r>
      <w:r w:rsidRPr="00882FD5">
        <w:t>as HDNs are often characterized by better opportunities to walk, b</w:t>
      </w:r>
      <w:r w:rsidR="00C653B1" w:rsidRPr="00882FD5">
        <w:t>icycle</w:t>
      </w:r>
      <w:r w:rsidR="00003DCD" w:rsidRPr="00882FD5">
        <w:t>,</w:t>
      </w:r>
      <w:r w:rsidRPr="00882FD5">
        <w:t xml:space="preserve"> and use public transit; moreover, high</w:t>
      </w:r>
      <w:r w:rsidR="002C69D1" w:rsidRPr="00882FD5">
        <w:t>-</w:t>
      </w:r>
      <w:r w:rsidRPr="00882FD5">
        <w:t xml:space="preserve">density and congested neighborhoods are often known to </w:t>
      </w:r>
      <w:r w:rsidR="00C653B1" w:rsidRPr="00882FD5">
        <w:t>present</w:t>
      </w:r>
      <w:r w:rsidRPr="00882FD5">
        <w:t xml:space="preserve"> parking-related challenges</w:t>
      </w:r>
      <w:r w:rsidR="00C653B1" w:rsidRPr="00882FD5">
        <w:t>,</w:t>
      </w:r>
      <w:r w:rsidRPr="00882FD5">
        <w:t xml:space="preserve"> which may further discourage urban residents to own private cars</w:t>
      </w:r>
      <w:r w:rsidR="00015BAD" w:rsidRPr="00882FD5">
        <w:t xml:space="preserve"> (</w:t>
      </w:r>
      <w:r w:rsidR="00E030E1" w:rsidRPr="00882FD5">
        <w:t>Prieto et al., 2017</w:t>
      </w:r>
      <w:r w:rsidR="00015BAD" w:rsidRPr="00882FD5">
        <w:t>)</w:t>
      </w:r>
      <w:r w:rsidRPr="00882FD5">
        <w:t>.</w:t>
      </w:r>
    </w:p>
    <w:p w14:paraId="0CDD6CB2" w14:textId="64E5944E" w:rsidR="004E325C" w:rsidRPr="00882FD5" w:rsidRDefault="004E325C" w:rsidP="000D5E4F">
      <w:pPr>
        <w:spacing w:before="0" w:line="240" w:lineRule="auto"/>
        <w:jc w:val="both"/>
      </w:pPr>
      <w:r w:rsidRPr="00882FD5">
        <w:t xml:space="preserve"> </w:t>
      </w:r>
    </w:p>
    <w:p w14:paraId="259F9985" w14:textId="033E73BE" w:rsidR="004E325C" w:rsidRPr="00882FD5" w:rsidRDefault="00C17A1C" w:rsidP="006C7497">
      <w:pPr>
        <w:pStyle w:val="ListParagraph"/>
        <w:numPr>
          <w:ilvl w:val="2"/>
          <w:numId w:val="25"/>
        </w:numPr>
        <w:spacing w:before="0" w:line="240" w:lineRule="auto"/>
        <w:contextualSpacing w:val="0"/>
        <w:jc w:val="both"/>
        <w:rPr>
          <w:bCs/>
          <w:i/>
          <w:iCs/>
        </w:rPr>
      </w:pPr>
      <w:r w:rsidRPr="00882FD5">
        <w:rPr>
          <w:bCs/>
          <w:i/>
          <w:iCs/>
        </w:rPr>
        <w:t xml:space="preserve">Mode </w:t>
      </w:r>
      <w:r w:rsidR="00B574CA" w:rsidRPr="00882FD5">
        <w:rPr>
          <w:bCs/>
          <w:i/>
          <w:iCs/>
        </w:rPr>
        <w:t>C</w:t>
      </w:r>
      <w:r w:rsidRPr="00882FD5">
        <w:rPr>
          <w:bCs/>
          <w:i/>
          <w:iCs/>
        </w:rPr>
        <w:t xml:space="preserve">hoice </w:t>
      </w:r>
      <w:r w:rsidR="00B574CA" w:rsidRPr="00882FD5">
        <w:rPr>
          <w:bCs/>
          <w:i/>
          <w:iCs/>
        </w:rPr>
        <w:t>M</w:t>
      </w:r>
      <w:r w:rsidRPr="00882FD5">
        <w:rPr>
          <w:bCs/>
          <w:i/>
          <w:iCs/>
        </w:rPr>
        <w:t>odel</w:t>
      </w:r>
    </w:p>
    <w:p w14:paraId="76D14746" w14:textId="362E22B9" w:rsidR="004E325C" w:rsidRPr="00F443DA" w:rsidRDefault="004E325C" w:rsidP="000D5E4F">
      <w:pPr>
        <w:spacing w:before="0" w:line="240" w:lineRule="auto"/>
        <w:jc w:val="both"/>
        <w:rPr>
          <w:bCs/>
          <w:i/>
          <w:iCs/>
          <w:u w:val="single"/>
        </w:rPr>
      </w:pPr>
      <w:r w:rsidRPr="003260D1">
        <w:rPr>
          <w:bCs/>
          <w:i/>
          <w:iCs/>
          <w:position w:val="-1"/>
          <w:u w:val="single"/>
        </w:rPr>
        <w:t>Latent construct effects</w:t>
      </w:r>
      <w:r w:rsidR="009F4BA7" w:rsidRPr="003260D1">
        <w:rPr>
          <w:bCs/>
          <w:i/>
          <w:iCs/>
          <w:position w:val="-1"/>
          <w:u w:val="single"/>
        </w:rPr>
        <w:t xml:space="preserve"> (elements of the </w:t>
      </w:r>
      <w:r w:rsidR="000D5E4F" w:rsidRPr="0050356E">
        <w:rPr>
          <w:i/>
          <w:position w:val="-10"/>
        </w:rPr>
        <w:object w:dxaOrig="260" w:dyaOrig="340" w14:anchorId="1EFFD51F">
          <v:shape id="_x0000_i1200" type="#_x0000_t75" style="width:12.85pt;height:17.15pt" o:ole="" o:preferrelative="f">
            <v:imagedata r:id="rId348" o:title=""/>
            <o:lock v:ext="edit" aspectratio="f"/>
          </v:shape>
          <o:OLEObject Type="Embed" ProgID="Equation.DSMT4" ShapeID="_x0000_i1200" DrawAspect="Content" ObjectID="_1738155097" r:id="rId349"/>
        </w:object>
      </w:r>
      <w:r w:rsidR="009F4BA7" w:rsidRPr="003260D1">
        <w:rPr>
          <w:i/>
          <w:position w:val="-1"/>
          <w:u w:val="single"/>
        </w:rPr>
        <w:t xml:space="preserve"> matrix</w:t>
      </w:r>
      <w:r w:rsidR="009F4BA7" w:rsidRPr="003260D1">
        <w:rPr>
          <w:position w:val="-1"/>
          <w:u w:val="single"/>
        </w:rPr>
        <w:t>)</w:t>
      </w:r>
    </w:p>
    <w:p w14:paraId="55A83EF7" w14:textId="3044A80B" w:rsidR="00EE1BEF" w:rsidRDefault="00C943C0" w:rsidP="000D5E4F">
      <w:pPr>
        <w:spacing w:before="0" w:line="240" w:lineRule="auto"/>
        <w:jc w:val="both"/>
        <w:rPr>
          <w:bCs/>
          <w:iCs/>
        </w:rPr>
      </w:pPr>
      <w:r w:rsidRPr="00882FD5">
        <w:rPr>
          <w:bCs/>
          <w:iCs/>
        </w:rPr>
        <w:t>Our results</w:t>
      </w:r>
      <w:r w:rsidR="00151F30" w:rsidRPr="00882FD5">
        <w:rPr>
          <w:bCs/>
          <w:iCs/>
        </w:rPr>
        <w:t xml:space="preserve"> from Table </w:t>
      </w:r>
      <w:r w:rsidR="00051EDB" w:rsidRPr="00882FD5">
        <w:rPr>
          <w:bCs/>
          <w:iCs/>
        </w:rPr>
        <w:t>5</w:t>
      </w:r>
      <w:r w:rsidR="00C653B1" w:rsidRPr="00882FD5">
        <w:rPr>
          <w:bCs/>
          <w:iCs/>
        </w:rPr>
        <w:t xml:space="preserve"> </w:t>
      </w:r>
      <w:r w:rsidRPr="00882FD5">
        <w:rPr>
          <w:bCs/>
          <w:iCs/>
        </w:rPr>
        <w:t>indicate that individuals with higher levels of GLP have a higher preference for the bicycle mode</w:t>
      </w:r>
      <w:r w:rsidR="00C653B1" w:rsidRPr="00882FD5">
        <w:rPr>
          <w:bCs/>
          <w:iCs/>
        </w:rPr>
        <w:t>,</w:t>
      </w:r>
      <w:r w:rsidRPr="00882FD5">
        <w:rPr>
          <w:bCs/>
          <w:iCs/>
        </w:rPr>
        <w:t xml:space="preserve"> but consistently lower preference</w:t>
      </w:r>
      <w:r w:rsidR="00075153" w:rsidRPr="00882FD5">
        <w:rPr>
          <w:bCs/>
          <w:iCs/>
        </w:rPr>
        <w:t xml:space="preserve">s for private vehicles and all forms of </w:t>
      </w:r>
      <w:r w:rsidR="009F743C" w:rsidRPr="00882FD5">
        <w:rPr>
          <w:bCs/>
          <w:iCs/>
        </w:rPr>
        <w:t>RH</w:t>
      </w:r>
      <w:r w:rsidR="00075153" w:rsidRPr="00882FD5">
        <w:rPr>
          <w:bCs/>
          <w:iCs/>
        </w:rPr>
        <w:t xml:space="preserve"> services (relative to the public transit</w:t>
      </w:r>
      <w:r w:rsidR="00C653B1" w:rsidRPr="00882FD5">
        <w:rPr>
          <w:bCs/>
          <w:iCs/>
        </w:rPr>
        <w:t xml:space="preserve"> mode</w:t>
      </w:r>
      <w:r w:rsidR="00075153" w:rsidRPr="00882FD5">
        <w:rPr>
          <w:bCs/>
          <w:iCs/>
        </w:rPr>
        <w:t xml:space="preserve">, which is treated as the base mode for our analysis). On the contrary, individuals with high LLP have significantly higher preferences for private vehicles and all forms of </w:t>
      </w:r>
      <w:r w:rsidR="009F743C" w:rsidRPr="00882FD5">
        <w:rPr>
          <w:bCs/>
          <w:iCs/>
        </w:rPr>
        <w:t>RH</w:t>
      </w:r>
      <w:r w:rsidR="00075153" w:rsidRPr="00882FD5">
        <w:rPr>
          <w:bCs/>
          <w:iCs/>
        </w:rPr>
        <w:t xml:space="preserve"> services (relative to the public transit mode</w:t>
      </w:r>
      <w:r w:rsidR="00C653B1" w:rsidRPr="00882FD5">
        <w:rPr>
          <w:bCs/>
          <w:iCs/>
        </w:rPr>
        <w:t xml:space="preserve"> and bicycling</w:t>
      </w:r>
      <w:r w:rsidR="00075153" w:rsidRPr="00882FD5">
        <w:rPr>
          <w:bCs/>
          <w:iCs/>
        </w:rPr>
        <w:t>)</w:t>
      </w:r>
      <w:r w:rsidR="00C653B1" w:rsidRPr="00882FD5">
        <w:rPr>
          <w:bCs/>
          <w:iCs/>
        </w:rPr>
        <w:t>.</w:t>
      </w:r>
    </w:p>
    <w:p w14:paraId="54EF842A" w14:textId="77777777" w:rsidR="000D5E4F" w:rsidRPr="00882FD5" w:rsidRDefault="000D5E4F" w:rsidP="000D5E4F">
      <w:pPr>
        <w:spacing w:before="0" w:line="240" w:lineRule="auto"/>
        <w:jc w:val="both"/>
        <w:rPr>
          <w:bCs/>
          <w:iCs/>
        </w:rPr>
      </w:pPr>
    </w:p>
    <w:p w14:paraId="3284715C" w14:textId="2E09B07D" w:rsidR="00075153" w:rsidRPr="00882FD5" w:rsidRDefault="00075153" w:rsidP="000D5E4F">
      <w:pPr>
        <w:spacing w:before="0" w:line="240" w:lineRule="auto"/>
        <w:jc w:val="both"/>
        <w:rPr>
          <w:i/>
          <w:u w:val="single"/>
        </w:rPr>
      </w:pPr>
      <w:r w:rsidRPr="00882FD5">
        <w:rPr>
          <w:bCs/>
          <w:i/>
          <w:iCs/>
          <w:u w:val="single"/>
        </w:rPr>
        <w:t xml:space="preserve">Individual </w:t>
      </w:r>
      <w:r w:rsidR="009F4BA7" w:rsidRPr="00882FD5">
        <w:rPr>
          <w:bCs/>
          <w:i/>
          <w:iCs/>
          <w:u w:val="single"/>
        </w:rPr>
        <w:t xml:space="preserve">and household sociodemographic </w:t>
      </w:r>
      <w:r w:rsidRPr="00882FD5">
        <w:rPr>
          <w:bCs/>
          <w:i/>
          <w:iCs/>
          <w:u w:val="single"/>
        </w:rPr>
        <w:t>effects</w:t>
      </w:r>
      <w:r w:rsidR="009F4BA7" w:rsidRPr="00882FD5">
        <w:rPr>
          <w:bCs/>
          <w:i/>
          <w:iCs/>
          <w:u w:val="single"/>
        </w:rPr>
        <w:t xml:space="preserve"> </w:t>
      </w:r>
      <w:r w:rsidR="009F4BA7" w:rsidRPr="00882FD5">
        <w:rPr>
          <w:i/>
          <w:u w:val="single"/>
        </w:rPr>
        <w:t xml:space="preserve">(elements of the </w:t>
      </w:r>
      <w:r w:rsidR="00780B0D" w:rsidRPr="003260D1">
        <w:rPr>
          <w:b/>
          <w:i/>
          <w:u w:val="single"/>
        </w:rPr>
        <w:t>b</w:t>
      </w:r>
      <w:r w:rsidR="009F4BA7" w:rsidRPr="00882FD5">
        <w:rPr>
          <w:i/>
          <w:u w:val="single"/>
        </w:rPr>
        <w:t xml:space="preserve"> matrix)</w:t>
      </w:r>
    </w:p>
    <w:p w14:paraId="24549D98" w14:textId="0EC88F1A" w:rsidR="0024154B" w:rsidRPr="00882FD5" w:rsidRDefault="00C653B1" w:rsidP="000D5E4F">
      <w:pPr>
        <w:spacing w:before="0" w:line="240" w:lineRule="auto"/>
        <w:jc w:val="both"/>
      </w:pPr>
      <w:r w:rsidRPr="00882FD5">
        <w:rPr>
          <w:bCs/>
          <w:iCs/>
        </w:rPr>
        <w:t>T</w:t>
      </w:r>
      <w:r w:rsidR="00A17951" w:rsidRPr="00882FD5">
        <w:rPr>
          <w:bCs/>
          <w:iCs/>
        </w:rPr>
        <w:t xml:space="preserve">here is a significant gender difference in mode preferences. </w:t>
      </w:r>
      <w:r w:rsidR="000F73BB" w:rsidRPr="00882FD5">
        <w:rPr>
          <w:bCs/>
          <w:iCs/>
        </w:rPr>
        <w:t xml:space="preserve">First, </w:t>
      </w:r>
      <w:r w:rsidR="00A17951" w:rsidRPr="00882FD5">
        <w:rPr>
          <w:bCs/>
          <w:iCs/>
        </w:rPr>
        <w:t>women are found to have a higher preference for private vehicles</w:t>
      </w:r>
      <w:r w:rsidR="00E20A0E" w:rsidRPr="00882FD5">
        <w:rPr>
          <w:bCs/>
          <w:iCs/>
        </w:rPr>
        <w:t xml:space="preserve">. This result is consistent with the finding from Asmussen et al. (2020) that women </w:t>
      </w:r>
      <w:r w:rsidR="008C0D6A" w:rsidRPr="00882FD5">
        <w:rPr>
          <w:bCs/>
          <w:iCs/>
        </w:rPr>
        <w:t xml:space="preserve">exhibit a higher need for driving </w:t>
      </w:r>
      <w:r w:rsidR="00896286" w:rsidRPr="00882FD5">
        <w:rPr>
          <w:bCs/>
          <w:iCs/>
        </w:rPr>
        <w:t>control</w:t>
      </w:r>
      <w:r w:rsidR="008C0D6A" w:rsidRPr="00882FD5">
        <w:rPr>
          <w:bCs/>
          <w:iCs/>
        </w:rPr>
        <w:t xml:space="preserve">, </w:t>
      </w:r>
      <w:r w:rsidR="007A555F" w:rsidRPr="00882FD5">
        <w:rPr>
          <w:bCs/>
          <w:iCs/>
        </w:rPr>
        <w:t xml:space="preserve">which </w:t>
      </w:r>
      <w:r w:rsidR="008C0D6A" w:rsidRPr="00882FD5">
        <w:rPr>
          <w:bCs/>
          <w:iCs/>
        </w:rPr>
        <w:t xml:space="preserve">may </w:t>
      </w:r>
      <w:r w:rsidR="00FD2B11" w:rsidRPr="00882FD5">
        <w:rPr>
          <w:bCs/>
          <w:iCs/>
        </w:rPr>
        <w:t>be</w:t>
      </w:r>
      <w:r w:rsidR="008C0D6A" w:rsidRPr="00882FD5">
        <w:rPr>
          <w:bCs/>
          <w:iCs/>
        </w:rPr>
        <w:t xml:space="preserve">, among other things, attributed </w:t>
      </w:r>
      <w:r w:rsidR="00FD2B11" w:rsidRPr="00882FD5">
        <w:rPr>
          <w:bCs/>
          <w:iCs/>
        </w:rPr>
        <w:t xml:space="preserve">to </w:t>
      </w:r>
      <w:r w:rsidR="00896286" w:rsidRPr="00882FD5">
        <w:rPr>
          <w:bCs/>
          <w:iCs/>
        </w:rPr>
        <w:t xml:space="preserve">the time-poor nature of </w:t>
      </w:r>
      <w:r w:rsidR="008C0D6A" w:rsidRPr="00882FD5">
        <w:rPr>
          <w:bCs/>
          <w:iCs/>
        </w:rPr>
        <w:t xml:space="preserve">women </w:t>
      </w:r>
      <w:r w:rsidR="00896286" w:rsidRPr="00882FD5">
        <w:rPr>
          <w:bCs/>
          <w:iCs/>
        </w:rPr>
        <w:t xml:space="preserve">who </w:t>
      </w:r>
      <w:r w:rsidR="008C0D6A" w:rsidRPr="00882FD5">
        <w:rPr>
          <w:bCs/>
          <w:iCs/>
        </w:rPr>
        <w:t>hav</w:t>
      </w:r>
      <w:r w:rsidR="00896286" w:rsidRPr="00882FD5">
        <w:rPr>
          <w:bCs/>
          <w:iCs/>
        </w:rPr>
        <w:t>e</w:t>
      </w:r>
      <w:r w:rsidR="008C0D6A" w:rsidRPr="00882FD5">
        <w:rPr>
          <w:bCs/>
          <w:iCs/>
        </w:rPr>
        <w:t xml:space="preserve"> to juggle work and non-work household chores/child-care responsibilities</w:t>
      </w:r>
      <w:r w:rsidR="008B7E69" w:rsidRPr="00882FD5">
        <w:rPr>
          <w:bCs/>
          <w:iCs/>
        </w:rPr>
        <w:t xml:space="preserve"> (see also</w:t>
      </w:r>
      <w:r w:rsidR="000953E0" w:rsidRPr="00882FD5">
        <w:rPr>
          <w:bCs/>
          <w:iCs/>
        </w:rPr>
        <w:t xml:space="preserve">, </w:t>
      </w:r>
      <w:proofErr w:type="spellStart"/>
      <w:r w:rsidR="000953E0" w:rsidRPr="00882FD5">
        <w:rPr>
          <w:bCs/>
          <w:iCs/>
        </w:rPr>
        <w:t>Giurge</w:t>
      </w:r>
      <w:proofErr w:type="spellEnd"/>
      <w:r w:rsidR="000953E0" w:rsidRPr="00882FD5">
        <w:rPr>
          <w:bCs/>
          <w:iCs/>
        </w:rPr>
        <w:t xml:space="preserve"> et al., 2020, and</w:t>
      </w:r>
      <w:r w:rsidR="0083361B" w:rsidRPr="00882FD5">
        <w:rPr>
          <w:bCs/>
          <w:iCs/>
        </w:rPr>
        <w:t xml:space="preserve"> </w:t>
      </w:r>
      <w:proofErr w:type="spellStart"/>
      <w:r w:rsidR="0083361B" w:rsidRPr="00882FD5">
        <w:rPr>
          <w:bCs/>
          <w:iCs/>
        </w:rPr>
        <w:t>Shirgaokar</w:t>
      </w:r>
      <w:proofErr w:type="spellEnd"/>
      <w:r w:rsidR="0083361B" w:rsidRPr="00882FD5">
        <w:rPr>
          <w:bCs/>
          <w:iCs/>
        </w:rPr>
        <w:t xml:space="preserve"> and </w:t>
      </w:r>
      <w:proofErr w:type="spellStart"/>
      <w:r w:rsidR="0083361B" w:rsidRPr="00882FD5">
        <w:rPr>
          <w:bCs/>
          <w:iCs/>
        </w:rPr>
        <w:t>Lanyi</w:t>
      </w:r>
      <w:proofErr w:type="spellEnd"/>
      <w:r w:rsidR="0083361B" w:rsidRPr="00882FD5">
        <w:rPr>
          <w:bCs/>
          <w:iCs/>
        </w:rPr>
        <w:t>-Bennett, 2020</w:t>
      </w:r>
      <w:r w:rsidR="008B7E69" w:rsidRPr="00882FD5">
        <w:rPr>
          <w:bCs/>
          <w:iCs/>
        </w:rPr>
        <w:t>)</w:t>
      </w:r>
      <w:r w:rsidR="008C0D6A" w:rsidRPr="00882FD5">
        <w:rPr>
          <w:bCs/>
          <w:iCs/>
        </w:rPr>
        <w:t xml:space="preserve">. </w:t>
      </w:r>
      <w:r w:rsidR="008B7E69" w:rsidRPr="00882FD5">
        <w:rPr>
          <w:bCs/>
          <w:iCs/>
        </w:rPr>
        <w:t xml:space="preserve">Asmussen </w:t>
      </w:r>
      <w:r w:rsidR="00AC5D08" w:rsidRPr="00882FD5">
        <w:rPr>
          <w:bCs/>
          <w:iCs/>
        </w:rPr>
        <w:t>e</w:t>
      </w:r>
      <w:r w:rsidR="008B7E69" w:rsidRPr="00882FD5">
        <w:rPr>
          <w:bCs/>
          <w:iCs/>
        </w:rPr>
        <w:t xml:space="preserve">t al. </w:t>
      </w:r>
      <w:r w:rsidR="00896286" w:rsidRPr="00882FD5">
        <w:rPr>
          <w:bCs/>
          <w:iCs/>
        </w:rPr>
        <w:t xml:space="preserve">also suggest, based on the social-psychological studies of </w:t>
      </w:r>
      <w:proofErr w:type="spellStart"/>
      <w:r w:rsidR="00896286" w:rsidRPr="00882FD5">
        <w:rPr>
          <w:bCs/>
          <w:iCs/>
        </w:rPr>
        <w:t>Skuladottir</w:t>
      </w:r>
      <w:proofErr w:type="spellEnd"/>
      <w:r w:rsidR="00896286" w:rsidRPr="00882FD5">
        <w:rPr>
          <w:bCs/>
          <w:iCs/>
        </w:rPr>
        <w:t xml:space="preserve"> and </w:t>
      </w:r>
      <w:proofErr w:type="spellStart"/>
      <w:r w:rsidR="00896286" w:rsidRPr="00882FD5">
        <w:rPr>
          <w:bCs/>
          <w:iCs/>
        </w:rPr>
        <w:t>Halldorsdottir</w:t>
      </w:r>
      <w:proofErr w:type="spellEnd"/>
      <w:r w:rsidR="00896286" w:rsidRPr="00882FD5">
        <w:rPr>
          <w:bCs/>
          <w:iCs/>
        </w:rPr>
        <w:t xml:space="preserve"> (2008) and Leung et al. (2018), that, in a rather asymmetric, male-dominated world in which women feel a lower sense of general life control, </w:t>
      </w:r>
      <w:r w:rsidR="005E5BBC" w:rsidRPr="00882FD5">
        <w:rPr>
          <w:bCs/>
          <w:iCs/>
        </w:rPr>
        <w:t xml:space="preserve">women </w:t>
      </w:r>
      <w:r w:rsidR="00896286" w:rsidRPr="00882FD5">
        <w:rPr>
          <w:bCs/>
          <w:iCs/>
        </w:rPr>
        <w:t xml:space="preserve">are not willing to relinquish the feelings of free-spiritedness and empowerment they derive from the ability to drive by themselves. </w:t>
      </w:r>
      <w:r w:rsidR="00AC5D08" w:rsidRPr="00882FD5">
        <w:rPr>
          <w:bCs/>
          <w:iCs/>
        </w:rPr>
        <w:t xml:space="preserve">Further, the preference of women for private vehicles may be associated with the heightened personal security considerations felt by women when traveling with strangers (see </w:t>
      </w:r>
      <w:r w:rsidR="00AB5427" w:rsidRPr="00882FD5">
        <w:rPr>
          <w:bCs/>
          <w:iCs/>
        </w:rPr>
        <w:t>Gardner et al., 2017</w:t>
      </w:r>
      <w:r w:rsidR="00AC5D08" w:rsidRPr="00882FD5">
        <w:rPr>
          <w:bCs/>
          <w:iCs/>
        </w:rPr>
        <w:t xml:space="preserve">). </w:t>
      </w:r>
      <w:r w:rsidR="00A149DE" w:rsidRPr="00882FD5">
        <w:rPr>
          <w:bCs/>
          <w:iCs/>
        </w:rPr>
        <w:t xml:space="preserve">Second, and in line with several earlier studies, our results </w:t>
      </w:r>
      <w:r w:rsidR="00896286" w:rsidRPr="00882FD5">
        <w:rPr>
          <w:bCs/>
          <w:iCs/>
        </w:rPr>
        <w:t xml:space="preserve">indicate </w:t>
      </w:r>
      <w:r w:rsidR="00A149DE" w:rsidRPr="00882FD5">
        <w:rPr>
          <w:bCs/>
          <w:iCs/>
        </w:rPr>
        <w:t>that women have</w:t>
      </w:r>
      <w:r w:rsidR="00A17951" w:rsidRPr="00882FD5">
        <w:rPr>
          <w:bCs/>
          <w:iCs/>
        </w:rPr>
        <w:t xml:space="preserve"> </w:t>
      </w:r>
      <w:r w:rsidR="00A149DE" w:rsidRPr="00882FD5">
        <w:rPr>
          <w:bCs/>
          <w:iCs/>
        </w:rPr>
        <w:t>a</w:t>
      </w:r>
      <w:r w:rsidR="00A17951" w:rsidRPr="00882FD5">
        <w:rPr>
          <w:bCs/>
          <w:iCs/>
        </w:rPr>
        <w:t xml:space="preserve"> lower preference for the bicycl</w:t>
      </w:r>
      <w:r w:rsidRPr="00882FD5">
        <w:rPr>
          <w:bCs/>
          <w:iCs/>
        </w:rPr>
        <w:t>ing</w:t>
      </w:r>
      <w:r w:rsidR="00A17951" w:rsidRPr="00882FD5">
        <w:rPr>
          <w:bCs/>
          <w:iCs/>
        </w:rPr>
        <w:t xml:space="preserve"> mode</w:t>
      </w:r>
      <w:r w:rsidR="00A149DE" w:rsidRPr="00882FD5">
        <w:rPr>
          <w:bCs/>
          <w:iCs/>
        </w:rPr>
        <w:t xml:space="preserve">, </w:t>
      </w:r>
      <w:r w:rsidR="00271011" w:rsidRPr="00882FD5">
        <w:rPr>
          <w:bCs/>
          <w:iCs/>
        </w:rPr>
        <w:t>perhaps due to a combination of the difficulty riding with the outfits</w:t>
      </w:r>
      <w:r w:rsidR="005E5BBC" w:rsidRPr="00882FD5">
        <w:rPr>
          <w:bCs/>
          <w:iCs/>
        </w:rPr>
        <w:t xml:space="preserve"> worn by women</w:t>
      </w:r>
      <w:r w:rsidR="00271011" w:rsidRPr="00882FD5">
        <w:rPr>
          <w:bCs/>
          <w:iCs/>
        </w:rPr>
        <w:t xml:space="preserve"> (such as skirts, dresses, and high-heeled shoes</w:t>
      </w:r>
      <w:r w:rsidR="005E5BBC" w:rsidRPr="00882FD5">
        <w:rPr>
          <w:bCs/>
          <w:iCs/>
        </w:rPr>
        <w:t xml:space="preserve">; see, for example, </w:t>
      </w:r>
      <w:r w:rsidR="00536B4A" w:rsidRPr="00882FD5">
        <w:rPr>
          <w:bCs/>
          <w:iCs/>
        </w:rPr>
        <w:t>Kaplan, 2015 and Singleton and Goddard, 2016</w:t>
      </w:r>
      <w:r w:rsidR="00271011" w:rsidRPr="00882FD5">
        <w:rPr>
          <w:bCs/>
          <w:iCs/>
        </w:rPr>
        <w:t>), the complex activity-chaining patterns typically undertaken by women (</w:t>
      </w:r>
      <w:r w:rsidR="00F168B5" w:rsidRPr="00882FD5">
        <w:rPr>
          <w:bCs/>
          <w:iCs/>
        </w:rPr>
        <w:t>Singleton and Goddard, 2016</w:t>
      </w:r>
      <w:r w:rsidR="00271011" w:rsidRPr="00882FD5">
        <w:rPr>
          <w:bCs/>
          <w:iCs/>
        </w:rPr>
        <w:t xml:space="preserve">), and the </w:t>
      </w:r>
      <w:r w:rsidR="00A149DE" w:rsidRPr="00882FD5">
        <w:rPr>
          <w:bCs/>
          <w:iCs/>
        </w:rPr>
        <w:t xml:space="preserve">heightened </w:t>
      </w:r>
      <w:r w:rsidR="005E5BBC" w:rsidRPr="00882FD5">
        <w:rPr>
          <w:bCs/>
          <w:iCs/>
        </w:rPr>
        <w:t>concerns of women regarding bicycling-related crash risk (</w:t>
      </w:r>
      <w:proofErr w:type="spellStart"/>
      <w:r w:rsidR="00F168B5" w:rsidRPr="00882FD5">
        <w:rPr>
          <w:bCs/>
          <w:iCs/>
        </w:rPr>
        <w:t>Akar</w:t>
      </w:r>
      <w:proofErr w:type="spellEnd"/>
      <w:r w:rsidR="00F168B5" w:rsidRPr="00882FD5">
        <w:rPr>
          <w:bCs/>
          <w:iCs/>
        </w:rPr>
        <w:t xml:space="preserve"> et al., 2013</w:t>
      </w:r>
      <w:r w:rsidR="005E5BBC" w:rsidRPr="00882FD5">
        <w:rPr>
          <w:bCs/>
          <w:iCs/>
        </w:rPr>
        <w:t>). Third</w:t>
      </w:r>
      <w:r w:rsidR="00A149DE" w:rsidRPr="00882FD5">
        <w:rPr>
          <w:bCs/>
          <w:iCs/>
        </w:rPr>
        <w:t xml:space="preserve">, women also </w:t>
      </w:r>
      <w:r w:rsidR="005E5BBC" w:rsidRPr="00882FD5">
        <w:rPr>
          <w:bCs/>
          <w:iCs/>
        </w:rPr>
        <w:t xml:space="preserve">have a lower </w:t>
      </w:r>
      <w:r w:rsidR="005E5BBC" w:rsidRPr="00882FD5">
        <w:rPr>
          <w:bCs/>
          <w:iCs/>
        </w:rPr>
        <w:lastRenderedPageBreak/>
        <w:t xml:space="preserve">propensity for </w:t>
      </w:r>
      <w:r w:rsidR="00A149DE" w:rsidRPr="00882FD5">
        <w:rPr>
          <w:bCs/>
          <w:iCs/>
        </w:rPr>
        <w:t xml:space="preserve">AV </w:t>
      </w:r>
      <w:r w:rsidR="009F743C" w:rsidRPr="00882FD5">
        <w:rPr>
          <w:bCs/>
          <w:iCs/>
        </w:rPr>
        <w:t>RH</w:t>
      </w:r>
      <w:r w:rsidR="00A149DE" w:rsidRPr="00882FD5">
        <w:rPr>
          <w:bCs/>
          <w:iCs/>
        </w:rPr>
        <w:t xml:space="preserve"> mode</w:t>
      </w:r>
      <w:r w:rsidR="005E5BBC" w:rsidRPr="00882FD5">
        <w:rPr>
          <w:bCs/>
          <w:iCs/>
        </w:rPr>
        <w:t xml:space="preserve"> use</w:t>
      </w:r>
      <w:r w:rsidR="00AE2A19" w:rsidRPr="00882FD5">
        <w:rPr>
          <w:bCs/>
          <w:iCs/>
        </w:rPr>
        <w:t xml:space="preserve">; this is presumably because of </w:t>
      </w:r>
      <w:r w:rsidRPr="00882FD5">
        <w:rPr>
          <w:bCs/>
          <w:iCs/>
        </w:rPr>
        <w:t xml:space="preserve">elevated </w:t>
      </w:r>
      <w:r w:rsidR="00AE2A19" w:rsidRPr="00882FD5">
        <w:rPr>
          <w:bCs/>
          <w:iCs/>
        </w:rPr>
        <w:t>feeling</w:t>
      </w:r>
      <w:r w:rsidRPr="00882FD5">
        <w:rPr>
          <w:bCs/>
          <w:iCs/>
        </w:rPr>
        <w:t>s</w:t>
      </w:r>
      <w:r w:rsidR="00AE2A19" w:rsidRPr="00882FD5">
        <w:rPr>
          <w:bCs/>
          <w:iCs/>
        </w:rPr>
        <w:t xml:space="preserve"> of skepticism among women toward </w:t>
      </w:r>
      <w:r w:rsidRPr="00882FD5">
        <w:rPr>
          <w:bCs/>
          <w:iCs/>
        </w:rPr>
        <w:t xml:space="preserve">the reliability and safety of </w:t>
      </w:r>
      <w:r w:rsidR="00AE2A19" w:rsidRPr="00882FD5">
        <w:rPr>
          <w:bCs/>
          <w:iCs/>
        </w:rPr>
        <w:t>newer technolog</w:t>
      </w:r>
      <w:r w:rsidRPr="00882FD5">
        <w:rPr>
          <w:bCs/>
          <w:iCs/>
        </w:rPr>
        <w:t>ies</w:t>
      </w:r>
      <w:r w:rsidR="00D640C2" w:rsidRPr="00882FD5">
        <w:rPr>
          <w:bCs/>
          <w:iCs/>
        </w:rPr>
        <w:t xml:space="preserve"> (</w:t>
      </w:r>
      <w:r w:rsidR="00536B4A" w:rsidRPr="00882FD5">
        <w:rPr>
          <w:bCs/>
          <w:iCs/>
        </w:rPr>
        <w:t>Othman, 2021</w:t>
      </w:r>
      <w:r w:rsidR="00D640C2" w:rsidRPr="00882FD5">
        <w:rPr>
          <w:bCs/>
          <w:iCs/>
        </w:rPr>
        <w:t>)</w:t>
      </w:r>
      <w:r w:rsidR="00AE2A19" w:rsidRPr="00882FD5">
        <w:t>.</w:t>
      </w:r>
    </w:p>
    <w:p w14:paraId="72442331" w14:textId="1945DACE" w:rsidR="005C264D" w:rsidRPr="00882FD5" w:rsidRDefault="005C264D" w:rsidP="000D5E4F">
      <w:pPr>
        <w:spacing w:before="0" w:line="240" w:lineRule="auto"/>
        <w:ind w:firstLine="720"/>
        <w:jc w:val="both"/>
        <w:rPr>
          <w:bCs/>
          <w:iCs/>
        </w:rPr>
      </w:pPr>
      <w:r w:rsidRPr="00882FD5">
        <w:rPr>
          <w:bCs/>
          <w:iCs/>
        </w:rPr>
        <w:t xml:space="preserve">Older adults (age 50 or greater) are found to have a stronger inclination toward the use of private vehicles compared to their younger peers, which may be attributed to their greater need for spatiotemporal or mobility control. Presumably because of their gradual slow-down of reflexes and difficulty in physiological maneuverability with age, older adults are also found to be significantly disinclined toward the use of the bicycle mode. In addition, older individuals have much lower preferences toward AV ride-hailing modes (private and pooled), which may be attributed to their general distrust toward newer technology, heightened safety concerns, and lower technology-savviness (Asmussen et al., 2020, </w:t>
      </w:r>
      <w:r w:rsidR="00D87F90" w:rsidRPr="00882FD5">
        <w:rPr>
          <w:bCs/>
          <w:iCs/>
        </w:rPr>
        <w:t xml:space="preserve">Faber and </w:t>
      </w:r>
      <w:proofErr w:type="spellStart"/>
      <w:r w:rsidR="00D87F90" w:rsidRPr="00882FD5">
        <w:rPr>
          <w:bCs/>
          <w:iCs/>
        </w:rPr>
        <w:t>Lierop</w:t>
      </w:r>
      <w:proofErr w:type="spellEnd"/>
      <w:r w:rsidR="00D87F90" w:rsidRPr="00882FD5">
        <w:rPr>
          <w:bCs/>
          <w:iCs/>
        </w:rPr>
        <w:t xml:space="preserve">, 2020, </w:t>
      </w:r>
      <w:r w:rsidRPr="00882FD5">
        <w:rPr>
          <w:bCs/>
          <w:iCs/>
        </w:rPr>
        <w:t>and Siegfried et al., 2021)</w:t>
      </w:r>
    </w:p>
    <w:p w14:paraId="3B071021" w14:textId="77777777" w:rsidR="005C264D" w:rsidRPr="00882FD5" w:rsidRDefault="005C264D" w:rsidP="000D5E4F">
      <w:pPr>
        <w:spacing w:before="0" w:line="240" w:lineRule="auto"/>
        <w:jc w:val="both"/>
        <w:rPr>
          <w:bCs/>
          <w:iCs/>
        </w:rPr>
      </w:pPr>
      <w:r w:rsidRPr="00882FD5">
        <w:rPr>
          <w:b/>
          <w:bCs/>
          <w:iCs/>
        </w:rPr>
        <w:tab/>
      </w:r>
      <w:r w:rsidRPr="00882FD5">
        <w:rPr>
          <w:bCs/>
          <w:iCs/>
        </w:rPr>
        <w:t xml:space="preserve">As would be expected, the possession of a driving license increases the propensity for the use of privately owned vehicles, perhaps due to these individuals’ “pro-driving” preference and strong affective emotions of empowerment when driving. Interestingly, our results suggest a lower preference for the bicycle mode, but consistently high preferences for all the RH alternatives, among those with an undergraduate/graduate degree relative to those who have not obtained a college degree. </w:t>
      </w:r>
    </w:p>
    <w:p w14:paraId="2163F512" w14:textId="46012C1E" w:rsidR="003260D1" w:rsidRDefault="005C264D" w:rsidP="000D5E4F">
      <w:pPr>
        <w:spacing w:before="0" w:line="240" w:lineRule="auto"/>
        <w:ind w:firstLine="720"/>
        <w:jc w:val="both"/>
        <w:rPr>
          <w:bCs/>
          <w:iCs/>
        </w:rPr>
      </w:pPr>
      <w:r w:rsidRPr="00882FD5">
        <w:rPr>
          <w:bCs/>
          <w:iCs/>
        </w:rPr>
        <w:t>Among the exogenous household variables, income and household size play an important role in travel mode decisions. Individuals from high-income households are predisposed toward privately owned vehicles and private ride-hailing (human-driven and AV) modes, primarily because such individuals assign a high premium for comfort and privacy. Individuals from households with more than 3 members appear to prefer the use of private vehicles, presumably because it is convenient and offers them movement control to travel together as a family.</w:t>
      </w:r>
    </w:p>
    <w:p w14:paraId="360653C4" w14:textId="77777777" w:rsidR="000D5E4F" w:rsidRDefault="000D5E4F" w:rsidP="000D5E4F">
      <w:pPr>
        <w:spacing w:before="0" w:line="240" w:lineRule="auto"/>
        <w:ind w:firstLine="720"/>
        <w:jc w:val="both"/>
        <w:rPr>
          <w:bCs/>
          <w:iCs/>
        </w:rPr>
      </w:pPr>
    </w:p>
    <w:p w14:paraId="4C55363C" w14:textId="77777777" w:rsidR="003260D1" w:rsidRPr="00882FD5" w:rsidRDefault="003260D1" w:rsidP="000D5E4F">
      <w:pPr>
        <w:spacing w:before="0" w:line="240" w:lineRule="auto"/>
        <w:jc w:val="both"/>
        <w:rPr>
          <w:i/>
          <w:u w:val="single"/>
        </w:rPr>
      </w:pPr>
      <w:r w:rsidRPr="00882FD5">
        <w:rPr>
          <w:bCs/>
          <w:i/>
          <w:iCs/>
          <w:u w:val="single"/>
        </w:rPr>
        <w:t xml:space="preserve">Trip variable effects </w:t>
      </w:r>
      <w:r w:rsidRPr="00882FD5">
        <w:rPr>
          <w:i/>
          <w:u w:val="single"/>
        </w:rPr>
        <w:t xml:space="preserve">(elements of the </w:t>
      </w:r>
      <w:r w:rsidRPr="003260D1">
        <w:rPr>
          <w:b/>
          <w:i/>
          <w:u w:val="single"/>
        </w:rPr>
        <w:t>b</w:t>
      </w:r>
      <w:r w:rsidRPr="00882FD5">
        <w:rPr>
          <w:i/>
          <w:u w:val="single"/>
        </w:rPr>
        <w:t xml:space="preserve"> matrix)</w:t>
      </w:r>
    </w:p>
    <w:p w14:paraId="7C0E8811" w14:textId="77777777" w:rsidR="003260D1" w:rsidRPr="00882FD5" w:rsidRDefault="003260D1" w:rsidP="000D5E4F">
      <w:pPr>
        <w:spacing w:before="0" w:line="240" w:lineRule="auto"/>
        <w:jc w:val="both"/>
        <w:rPr>
          <w:bCs/>
          <w:iCs/>
        </w:rPr>
      </w:pPr>
      <w:r w:rsidRPr="00882FD5">
        <w:rPr>
          <w:bCs/>
          <w:iCs/>
        </w:rPr>
        <w:t xml:space="preserve">Table 5 highlights the need to analyze purpose-specific modal preferences even for non-work trip purposes. Private vehicles are strongly preferred for socializing, shopping, and airport-access purposes </w:t>
      </w:r>
      <w:r>
        <w:rPr>
          <w:bCs/>
          <w:iCs/>
        </w:rPr>
        <w:t xml:space="preserve">perhaps </w:t>
      </w:r>
      <w:r w:rsidRPr="00882FD5">
        <w:rPr>
          <w:bCs/>
          <w:iCs/>
        </w:rPr>
        <w:t xml:space="preserve">because of the social convenience, convenient baggage carrying capacity, and high time control that this mode provides (Gilibert et al., 2019). For similar reasons, the impacts of shopping trips and airport-access trips indicate that individuals have a significantly higher preference for private RH (human-driven and AV) for these purposes. Interactions of these purpose-specific trips with demographics were also attempted, but the trip purpose effects seemed to be uniform across all sociodemographic groups. </w:t>
      </w:r>
    </w:p>
    <w:p w14:paraId="5486E012" w14:textId="77777777" w:rsidR="003260D1" w:rsidRPr="00882FD5" w:rsidRDefault="003260D1" w:rsidP="000D5E4F">
      <w:pPr>
        <w:spacing w:before="0" w:line="240" w:lineRule="auto"/>
        <w:jc w:val="both"/>
        <w:rPr>
          <w:bCs/>
          <w:iCs/>
        </w:rPr>
      </w:pPr>
      <w:r w:rsidRPr="00882FD5">
        <w:rPr>
          <w:bCs/>
          <w:iCs/>
        </w:rPr>
        <w:tab/>
        <w:t>As expected, the travel cost and travel time coefficients are negative and estimated to be -0.06 and -0.11 respectively. We use a generic coefficient for the travel time and cost variables since these coefficients did not show much variability across the alternatives. From the estimated coefficients, the value of travel time (VTT) comes out to be $32/hour, which is a reasonable estimate relative to what has been found in the literature (Zhong et al., 2020). Interestingly, the wait time coefficient did not turn out to be statistically significant.</w:t>
      </w:r>
    </w:p>
    <w:p w14:paraId="1902893F" w14:textId="786DA51B" w:rsidR="005C264D" w:rsidRPr="00882FD5" w:rsidRDefault="005C264D" w:rsidP="00A8346F">
      <w:pPr>
        <w:spacing w:line="240" w:lineRule="auto"/>
        <w:ind w:firstLine="720"/>
        <w:jc w:val="both"/>
        <w:rPr>
          <w:bCs/>
          <w:iCs/>
        </w:rPr>
      </w:pPr>
      <w:r w:rsidRPr="00882FD5">
        <w:rPr>
          <w:bCs/>
          <w:iCs/>
        </w:rPr>
        <w:t xml:space="preserve"> </w:t>
      </w:r>
    </w:p>
    <w:p w14:paraId="1920FCCC" w14:textId="4B533431" w:rsidR="005C264D" w:rsidRPr="00882FD5" w:rsidRDefault="005C264D" w:rsidP="00A64848">
      <w:pPr>
        <w:spacing w:before="0" w:line="240" w:lineRule="auto"/>
        <w:jc w:val="both"/>
        <w:sectPr w:rsidR="005C264D" w:rsidRPr="00882FD5" w:rsidSect="003B5197">
          <w:footerReference w:type="default" r:id="rId350"/>
          <w:pgSz w:w="12240" w:h="15840"/>
          <w:pgMar w:top="1440" w:right="1440" w:bottom="1440" w:left="1440" w:header="720" w:footer="720" w:gutter="0"/>
          <w:pgNumType w:start="1"/>
          <w:cols w:space="720"/>
          <w:docGrid w:linePitch="360"/>
        </w:sectPr>
      </w:pPr>
    </w:p>
    <w:p w14:paraId="60676854" w14:textId="1CAC6C8F" w:rsidR="0024154B" w:rsidRPr="00882FD5" w:rsidRDefault="0024154B" w:rsidP="0024154B">
      <w:pPr>
        <w:spacing w:before="0" w:line="240" w:lineRule="auto"/>
        <w:jc w:val="both"/>
      </w:pPr>
      <w:r w:rsidRPr="00882FD5">
        <w:rPr>
          <w:b/>
          <w:bCs/>
          <w:color w:val="222222"/>
          <w:shd w:val="clear" w:color="auto" w:fill="FFFFFF"/>
        </w:rPr>
        <w:lastRenderedPageBreak/>
        <w:t xml:space="preserve">TABLE </w:t>
      </w:r>
      <w:r w:rsidR="00AE11CF" w:rsidRPr="00882FD5">
        <w:rPr>
          <w:b/>
          <w:bCs/>
          <w:color w:val="222222"/>
          <w:shd w:val="clear" w:color="auto" w:fill="FFFFFF"/>
        </w:rPr>
        <w:t>5</w:t>
      </w:r>
      <w:r w:rsidRPr="00882FD5">
        <w:rPr>
          <w:b/>
          <w:bCs/>
          <w:color w:val="222222"/>
          <w:shd w:val="clear" w:color="auto" w:fill="FFFFFF"/>
        </w:rPr>
        <w:t xml:space="preserve"> Main Outcome Results: Mode Choice Dimension [coefficient estimates (t-stats)]</w:t>
      </w:r>
    </w:p>
    <w:tbl>
      <w:tblPr>
        <w:tblW w:w="5161" w:type="pct"/>
        <w:tblLayout w:type="fixed"/>
        <w:tblLook w:val="04A0" w:firstRow="1" w:lastRow="0" w:firstColumn="1" w:lastColumn="0" w:noHBand="0" w:noVBand="1"/>
      </w:tblPr>
      <w:tblGrid>
        <w:gridCol w:w="4574"/>
        <w:gridCol w:w="974"/>
        <w:gridCol w:w="1332"/>
        <w:gridCol w:w="1252"/>
        <w:gridCol w:w="1244"/>
        <w:gridCol w:w="1332"/>
        <w:gridCol w:w="1287"/>
        <w:gridCol w:w="1351"/>
      </w:tblGrid>
      <w:tr w:rsidR="0024154B" w:rsidRPr="00882FD5" w14:paraId="67DB8065" w14:textId="77777777" w:rsidTr="00D42297">
        <w:trPr>
          <w:trHeight w:val="504"/>
        </w:trPr>
        <w:tc>
          <w:tcPr>
            <w:tcW w:w="1714" w:type="pct"/>
            <w:tcBorders>
              <w:top w:val="double" w:sz="4" w:space="0" w:color="auto"/>
              <w:left w:val="double" w:sz="4" w:space="0" w:color="auto"/>
              <w:bottom w:val="double" w:sz="4" w:space="0" w:color="auto"/>
              <w:right w:val="double" w:sz="4" w:space="0" w:color="auto"/>
            </w:tcBorders>
            <w:shd w:val="clear" w:color="auto" w:fill="auto"/>
            <w:noWrap/>
            <w:tcMar>
              <w:left w:w="58" w:type="dxa"/>
              <w:right w:w="58" w:type="dxa"/>
            </w:tcMar>
            <w:vAlign w:val="center"/>
            <w:hideMark/>
          </w:tcPr>
          <w:p w14:paraId="253D37BA" w14:textId="77777777" w:rsidR="0024154B" w:rsidRPr="00882FD5" w:rsidRDefault="0024154B" w:rsidP="0024154B">
            <w:pPr>
              <w:spacing w:before="0" w:line="240" w:lineRule="auto"/>
              <w:rPr>
                <w:b/>
                <w:bCs/>
                <w:color w:val="000000"/>
                <w:sz w:val="20"/>
                <w:szCs w:val="20"/>
              </w:rPr>
            </w:pPr>
            <w:r w:rsidRPr="00882FD5">
              <w:rPr>
                <w:b/>
                <w:bCs/>
                <w:color w:val="000000"/>
                <w:sz w:val="20"/>
                <w:szCs w:val="20"/>
                <w:lang w:val="en-IN"/>
              </w:rPr>
              <w:t>Variables</w:t>
            </w:r>
          </w:p>
        </w:tc>
        <w:tc>
          <w:tcPr>
            <w:tcW w:w="365" w:type="pct"/>
            <w:tcBorders>
              <w:top w:val="double" w:sz="4" w:space="0" w:color="auto"/>
              <w:left w:val="double" w:sz="4" w:space="0" w:color="auto"/>
              <w:bottom w:val="double" w:sz="4" w:space="0" w:color="auto"/>
              <w:right w:val="double" w:sz="4" w:space="0" w:color="auto"/>
            </w:tcBorders>
            <w:shd w:val="clear" w:color="auto" w:fill="auto"/>
            <w:tcMar>
              <w:left w:w="58" w:type="dxa"/>
              <w:right w:w="58" w:type="dxa"/>
            </w:tcMar>
            <w:vAlign w:val="center"/>
            <w:hideMark/>
          </w:tcPr>
          <w:p w14:paraId="388FA473" w14:textId="77777777" w:rsidR="0024154B" w:rsidRPr="00882FD5" w:rsidRDefault="0024154B" w:rsidP="0024154B">
            <w:pPr>
              <w:spacing w:before="0" w:line="240" w:lineRule="auto"/>
              <w:ind w:left="-95" w:right="-98"/>
              <w:jc w:val="center"/>
              <w:rPr>
                <w:b/>
                <w:bCs/>
                <w:color w:val="000000"/>
                <w:sz w:val="20"/>
                <w:szCs w:val="20"/>
              </w:rPr>
            </w:pPr>
            <w:r w:rsidRPr="00882FD5">
              <w:rPr>
                <w:b/>
                <w:bCs/>
                <w:color w:val="000000"/>
                <w:sz w:val="20"/>
                <w:szCs w:val="20"/>
                <w:lang w:val="en-IN"/>
              </w:rPr>
              <w:t>Public Transport (base)</w:t>
            </w:r>
          </w:p>
        </w:tc>
        <w:tc>
          <w:tcPr>
            <w:tcW w:w="499" w:type="pct"/>
            <w:tcBorders>
              <w:top w:val="double" w:sz="4" w:space="0" w:color="auto"/>
              <w:left w:val="double" w:sz="4" w:space="0" w:color="auto"/>
              <w:bottom w:val="double" w:sz="4" w:space="0" w:color="auto"/>
              <w:right w:val="double" w:sz="4" w:space="0" w:color="auto"/>
            </w:tcBorders>
            <w:shd w:val="clear" w:color="auto" w:fill="auto"/>
            <w:noWrap/>
            <w:tcMar>
              <w:left w:w="58" w:type="dxa"/>
              <w:right w:w="58" w:type="dxa"/>
            </w:tcMar>
            <w:vAlign w:val="center"/>
            <w:hideMark/>
          </w:tcPr>
          <w:p w14:paraId="79A4AD5C" w14:textId="77777777" w:rsidR="0024154B" w:rsidRPr="00882FD5" w:rsidRDefault="0024154B" w:rsidP="0024154B">
            <w:pPr>
              <w:spacing w:before="0" w:line="240" w:lineRule="auto"/>
              <w:jc w:val="center"/>
              <w:rPr>
                <w:b/>
                <w:bCs/>
                <w:color w:val="000000"/>
                <w:sz w:val="20"/>
                <w:szCs w:val="20"/>
              </w:rPr>
            </w:pPr>
            <w:r w:rsidRPr="00882FD5">
              <w:rPr>
                <w:b/>
                <w:bCs/>
                <w:color w:val="000000"/>
                <w:sz w:val="20"/>
                <w:szCs w:val="20"/>
                <w:lang w:val="en-IN"/>
              </w:rPr>
              <w:t>Private vehicle</w:t>
            </w:r>
          </w:p>
        </w:tc>
        <w:tc>
          <w:tcPr>
            <w:tcW w:w="469" w:type="pct"/>
            <w:tcBorders>
              <w:top w:val="double" w:sz="4" w:space="0" w:color="auto"/>
              <w:left w:val="double" w:sz="4" w:space="0" w:color="auto"/>
              <w:bottom w:val="double" w:sz="4" w:space="0" w:color="auto"/>
              <w:right w:val="double" w:sz="4" w:space="0" w:color="auto"/>
            </w:tcBorders>
            <w:shd w:val="clear" w:color="auto" w:fill="auto"/>
            <w:noWrap/>
            <w:tcMar>
              <w:left w:w="58" w:type="dxa"/>
              <w:right w:w="58" w:type="dxa"/>
            </w:tcMar>
            <w:vAlign w:val="center"/>
            <w:hideMark/>
          </w:tcPr>
          <w:p w14:paraId="3D9B9D9B" w14:textId="77777777" w:rsidR="0024154B" w:rsidRPr="00882FD5" w:rsidRDefault="0024154B" w:rsidP="0024154B">
            <w:pPr>
              <w:spacing w:before="0" w:line="240" w:lineRule="auto"/>
              <w:jc w:val="center"/>
              <w:rPr>
                <w:b/>
                <w:bCs/>
                <w:color w:val="000000"/>
                <w:sz w:val="20"/>
                <w:szCs w:val="20"/>
              </w:rPr>
            </w:pPr>
            <w:r w:rsidRPr="00882FD5">
              <w:rPr>
                <w:b/>
                <w:bCs/>
                <w:color w:val="000000"/>
                <w:sz w:val="20"/>
                <w:szCs w:val="20"/>
                <w:lang w:val="en-IN"/>
              </w:rPr>
              <w:t>Bicycle</w:t>
            </w:r>
          </w:p>
        </w:tc>
        <w:tc>
          <w:tcPr>
            <w:tcW w:w="466" w:type="pct"/>
            <w:tcBorders>
              <w:top w:val="double" w:sz="4" w:space="0" w:color="auto"/>
              <w:left w:val="double" w:sz="4" w:space="0" w:color="auto"/>
              <w:bottom w:val="double" w:sz="4" w:space="0" w:color="auto"/>
              <w:right w:val="double" w:sz="4" w:space="0" w:color="auto"/>
            </w:tcBorders>
            <w:shd w:val="clear" w:color="auto" w:fill="auto"/>
            <w:noWrap/>
            <w:tcMar>
              <w:left w:w="58" w:type="dxa"/>
              <w:right w:w="58" w:type="dxa"/>
            </w:tcMar>
            <w:vAlign w:val="center"/>
            <w:hideMark/>
          </w:tcPr>
          <w:p w14:paraId="15FA0E77" w14:textId="77777777" w:rsidR="0024154B" w:rsidRPr="00882FD5" w:rsidRDefault="0024154B" w:rsidP="0024154B">
            <w:pPr>
              <w:spacing w:before="0" w:line="240" w:lineRule="auto"/>
              <w:jc w:val="center"/>
              <w:rPr>
                <w:b/>
                <w:bCs/>
                <w:color w:val="000000"/>
                <w:sz w:val="20"/>
                <w:szCs w:val="20"/>
              </w:rPr>
            </w:pPr>
            <w:r w:rsidRPr="00882FD5">
              <w:rPr>
                <w:b/>
                <w:bCs/>
                <w:color w:val="000000"/>
                <w:sz w:val="20"/>
                <w:szCs w:val="20"/>
                <w:lang w:val="en-IN"/>
              </w:rPr>
              <w:t>HD private RH</w:t>
            </w:r>
          </w:p>
        </w:tc>
        <w:tc>
          <w:tcPr>
            <w:tcW w:w="499" w:type="pct"/>
            <w:tcBorders>
              <w:top w:val="double" w:sz="4" w:space="0" w:color="auto"/>
              <w:left w:val="double" w:sz="4" w:space="0" w:color="auto"/>
              <w:bottom w:val="double" w:sz="4" w:space="0" w:color="auto"/>
              <w:right w:val="double" w:sz="4" w:space="0" w:color="auto"/>
            </w:tcBorders>
            <w:shd w:val="clear" w:color="auto" w:fill="auto"/>
            <w:noWrap/>
            <w:tcMar>
              <w:left w:w="58" w:type="dxa"/>
              <w:right w:w="58" w:type="dxa"/>
            </w:tcMar>
            <w:vAlign w:val="center"/>
            <w:hideMark/>
          </w:tcPr>
          <w:p w14:paraId="3509A5D3" w14:textId="77777777" w:rsidR="0024154B" w:rsidRPr="00882FD5" w:rsidRDefault="0024154B" w:rsidP="0024154B">
            <w:pPr>
              <w:spacing w:before="0" w:line="240" w:lineRule="auto"/>
              <w:jc w:val="center"/>
              <w:rPr>
                <w:b/>
                <w:bCs/>
                <w:color w:val="000000"/>
                <w:sz w:val="20"/>
                <w:szCs w:val="20"/>
              </w:rPr>
            </w:pPr>
            <w:r w:rsidRPr="00882FD5">
              <w:rPr>
                <w:b/>
                <w:bCs/>
                <w:color w:val="000000"/>
                <w:sz w:val="20"/>
                <w:szCs w:val="20"/>
                <w:lang w:val="en-IN"/>
              </w:rPr>
              <w:t>HD pooled RH</w:t>
            </w:r>
          </w:p>
        </w:tc>
        <w:tc>
          <w:tcPr>
            <w:tcW w:w="482" w:type="pct"/>
            <w:tcBorders>
              <w:top w:val="double" w:sz="4" w:space="0" w:color="auto"/>
              <w:left w:val="double" w:sz="4" w:space="0" w:color="auto"/>
              <w:bottom w:val="double" w:sz="4" w:space="0" w:color="auto"/>
              <w:right w:val="double" w:sz="4" w:space="0" w:color="auto"/>
            </w:tcBorders>
            <w:shd w:val="clear" w:color="auto" w:fill="auto"/>
            <w:noWrap/>
            <w:tcMar>
              <w:left w:w="58" w:type="dxa"/>
              <w:right w:w="58" w:type="dxa"/>
            </w:tcMar>
            <w:vAlign w:val="center"/>
            <w:hideMark/>
          </w:tcPr>
          <w:p w14:paraId="4E2B6B24" w14:textId="77777777" w:rsidR="0024154B" w:rsidRPr="00882FD5" w:rsidRDefault="0024154B" w:rsidP="0024154B">
            <w:pPr>
              <w:spacing w:before="0" w:line="240" w:lineRule="auto"/>
              <w:jc w:val="center"/>
              <w:rPr>
                <w:b/>
                <w:bCs/>
                <w:color w:val="000000"/>
                <w:sz w:val="20"/>
                <w:szCs w:val="20"/>
              </w:rPr>
            </w:pPr>
            <w:r w:rsidRPr="00882FD5">
              <w:rPr>
                <w:b/>
                <w:bCs/>
                <w:color w:val="000000"/>
                <w:sz w:val="20"/>
                <w:szCs w:val="20"/>
                <w:lang w:val="en-IN"/>
              </w:rPr>
              <w:t>AV private RH</w:t>
            </w:r>
          </w:p>
        </w:tc>
        <w:tc>
          <w:tcPr>
            <w:tcW w:w="506" w:type="pct"/>
            <w:tcBorders>
              <w:top w:val="double" w:sz="4" w:space="0" w:color="auto"/>
              <w:left w:val="double" w:sz="4" w:space="0" w:color="auto"/>
              <w:bottom w:val="double" w:sz="4" w:space="0" w:color="auto"/>
              <w:right w:val="double" w:sz="4" w:space="0" w:color="auto"/>
            </w:tcBorders>
            <w:shd w:val="clear" w:color="auto" w:fill="auto"/>
            <w:noWrap/>
            <w:tcMar>
              <w:left w:w="58" w:type="dxa"/>
              <w:right w:w="58" w:type="dxa"/>
            </w:tcMar>
            <w:vAlign w:val="center"/>
            <w:hideMark/>
          </w:tcPr>
          <w:p w14:paraId="72BA1599" w14:textId="77777777" w:rsidR="0024154B" w:rsidRPr="00882FD5" w:rsidRDefault="0024154B" w:rsidP="0024154B">
            <w:pPr>
              <w:spacing w:before="0" w:line="240" w:lineRule="auto"/>
              <w:jc w:val="center"/>
              <w:rPr>
                <w:b/>
                <w:bCs/>
                <w:color w:val="000000"/>
                <w:sz w:val="20"/>
                <w:szCs w:val="20"/>
              </w:rPr>
            </w:pPr>
            <w:r w:rsidRPr="00882FD5">
              <w:rPr>
                <w:b/>
                <w:bCs/>
                <w:color w:val="000000"/>
                <w:sz w:val="20"/>
                <w:szCs w:val="20"/>
                <w:lang w:val="en-IN"/>
              </w:rPr>
              <w:t>AV pooled RH</w:t>
            </w:r>
          </w:p>
        </w:tc>
      </w:tr>
      <w:tr w:rsidR="0024154B" w:rsidRPr="00882FD5" w14:paraId="4EF8F22B" w14:textId="77777777" w:rsidTr="00D42297">
        <w:trPr>
          <w:trHeight w:val="288"/>
        </w:trPr>
        <w:tc>
          <w:tcPr>
            <w:tcW w:w="1714" w:type="pct"/>
            <w:tcBorders>
              <w:top w:val="double" w:sz="4" w:space="0" w:color="auto"/>
              <w:left w:val="double" w:sz="4" w:space="0" w:color="auto"/>
              <w:bottom w:val="nil"/>
              <w:right w:val="double" w:sz="4" w:space="0" w:color="auto"/>
            </w:tcBorders>
            <w:shd w:val="clear" w:color="auto" w:fill="auto"/>
            <w:noWrap/>
            <w:tcMar>
              <w:left w:w="58" w:type="dxa"/>
              <w:right w:w="58" w:type="dxa"/>
            </w:tcMar>
            <w:vAlign w:val="center"/>
            <w:hideMark/>
          </w:tcPr>
          <w:p w14:paraId="6AD99F98" w14:textId="77777777" w:rsidR="0024154B" w:rsidRPr="00882FD5" w:rsidRDefault="0024154B" w:rsidP="0024154B">
            <w:pPr>
              <w:spacing w:before="0" w:line="240" w:lineRule="auto"/>
              <w:rPr>
                <w:b/>
                <w:bCs/>
                <w:i/>
                <w:color w:val="000000"/>
                <w:sz w:val="20"/>
                <w:szCs w:val="20"/>
              </w:rPr>
            </w:pPr>
            <w:r w:rsidRPr="00882FD5">
              <w:rPr>
                <w:b/>
                <w:bCs/>
                <w:i/>
                <w:color w:val="000000"/>
                <w:sz w:val="20"/>
                <w:szCs w:val="20"/>
              </w:rPr>
              <w:t>Latent construct effects</w:t>
            </w:r>
          </w:p>
        </w:tc>
        <w:tc>
          <w:tcPr>
            <w:tcW w:w="365" w:type="pct"/>
            <w:tcBorders>
              <w:top w:val="double" w:sz="4" w:space="0" w:color="auto"/>
              <w:left w:val="double" w:sz="4" w:space="0" w:color="auto"/>
              <w:bottom w:val="nil"/>
              <w:right w:val="double" w:sz="4" w:space="0" w:color="auto"/>
            </w:tcBorders>
            <w:shd w:val="clear" w:color="auto" w:fill="auto"/>
            <w:tcMar>
              <w:left w:w="58" w:type="dxa"/>
              <w:right w:w="58" w:type="dxa"/>
            </w:tcMar>
            <w:vAlign w:val="center"/>
            <w:hideMark/>
          </w:tcPr>
          <w:p w14:paraId="39CC828E" w14:textId="77777777" w:rsidR="0024154B" w:rsidRPr="00882FD5" w:rsidRDefault="0024154B" w:rsidP="0024154B">
            <w:pPr>
              <w:spacing w:before="0" w:line="240" w:lineRule="auto"/>
              <w:jc w:val="right"/>
              <w:rPr>
                <w:b/>
                <w:bCs/>
                <w:color w:val="000000"/>
                <w:sz w:val="20"/>
                <w:szCs w:val="20"/>
              </w:rPr>
            </w:pPr>
            <w:r w:rsidRPr="00882FD5">
              <w:rPr>
                <w:b/>
                <w:bCs/>
                <w:color w:val="000000"/>
                <w:sz w:val="20"/>
                <w:szCs w:val="20"/>
              </w:rPr>
              <w:t> </w:t>
            </w:r>
          </w:p>
        </w:tc>
        <w:tc>
          <w:tcPr>
            <w:tcW w:w="499" w:type="pct"/>
            <w:tcBorders>
              <w:top w:val="double" w:sz="4" w:space="0" w:color="auto"/>
              <w:left w:val="double" w:sz="4" w:space="0" w:color="auto"/>
              <w:bottom w:val="nil"/>
              <w:right w:val="double" w:sz="4" w:space="0" w:color="auto"/>
            </w:tcBorders>
            <w:shd w:val="clear" w:color="auto" w:fill="auto"/>
            <w:noWrap/>
            <w:tcMar>
              <w:left w:w="58" w:type="dxa"/>
              <w:right w:w="58" w:type="dxa"/>
            </w:tcMar>
            <w:vAlign w:val="center"/>
            <w:hideMark/>
          </w:tcPr>
          <w:p w14:paraId="75B950A2" w14:textId="77777777" w:rsidR="0024154B" w:rsidRPr="00882FD5" w:rsidRDefault="0024154B" w:rsidP="0024154B">
            <w:pPr>
              <w:spacing w:before="0" w:line="240" w:lineRule="auto"/>
              <w:jc w:val="right"/>
              <w:rPr>
                <w:b/>
                <w:bCs/>
                <w:color w:val="000000"/>
                <w:sz w:val="20"/>
                <w:szCs w:val="20"/>
              </w:rPr>
            </w:pPr>
            <w:r w:rsidRPr="00882FD5">
              <w:rPr>
                <w:b/>
                <w:bCs/>
                <w:color w:val="000000"/>
                <w:sz w:val="20"/>
                <w:szCs w:val="20"/>
              </w:rPr>
              <w:t> </w:t>
            </w:r>
          </w:p>
        </w:tc>
        <w:tc>
          <w:tcPr>
            <w:tcW w:w="469" w:type="pct"/>
            <w:tcBorders>
              <w:top w:val="double" w:sz="4" w:space="0" w:color="auto"/>
              <w:left w:val="double" w:sz="4" w:space="0" w:color="auto"/>
              <w:bottom w:val="nil"/>
              <w:right w:val="double" w:sz="4" w:space="0" w:color="auto"/>
            </w:tcBorders>
            <w:shd w:val="clear" w:color="auto" w:fill="auto"/>
            <w:noWrap/>
            <w:tcMar>
              <w:left w:w="58" w:type="dxa"/>
              <w:right w:w="58" w:type="dxa"/>
            </w:tcMar>
            <w:vAlign w:val="center"/>
            <w:hideMark/>
          </w:tcPr>
          <w:p w14:paraId="615748E4" w14:textId="77777777" w:rsidR="0024154B" w:rsidRPr="00882FD5" w:rsidRDefault="0024154B" w:rsidP="0024154B">
            <w:pPr>
              <w:spacing w:before="0" w:line="240" w:lineRule="auto"/>
              <w:jc w:val="right"/>
              <w:rPr>
                <w:b/>
                <w:bCs/>
                <w:color w:val="000000"/>
                <w:sz w:val="20"/>
                <w:szCs w:val="20"/>
              </w:rPr>
            </w:pPr>
            <w:r w:rsidRPr="00882FD5">
              <w:rPr>
                <w:b/>
                <w:bCs/>
                <w:color w:val="000000"/>
                <w:sz w:val="20"/>
                <w:szCs w:val="20"/>
              </w:rPr>
              <w:t> </w:t>
            </w:r>
          </w:p>
        </w:tc>
        <w:tc>
          <w:tcPr>
            <w:tcW w:w="466" w:type="pct"/>
            <w:tcBorders>
              <w:top w:val="double" w:sz="4" w:space="0" w:color="auto"/>
              <w:left w:val="double" w:sz="4" w:space="0" w:color="auto"/>
              <w:bottom w:val="nil"/>
              <w:right w:val="double" w:sz="4" w:space="0" w:color="auto"/>
            </w:tcBorders>
            <w:shd w:val="clear" w:color="auto" w:fill="auto"/>
            <w:noWrap/>
            <w:tcMar>
              <w:left w:w="58" w:type="dxa"/>
              <w:right w:w="58" w:type="dxa"/>
            </w:tcMar>
            <w:vAlign w:val="center"/>
            <w:hideMark/>
          </w:tcPr>
          <w:p w14:paraId="6C943E59" w14:textId="77777777" w:rsidR="0024154B" w:rsidRPr="00882FD5" w:rsidRDefault="0024154B" w:rsidP="0024154B">
            <w:pPr>
              <w:spacing w:before="0" w:line="240" w:lineRule="auto"/>
              <w:jc w:val="right"/>
              <w:rPr>
                <w:b/>
                <w:bCs/>
                <w:color w:val="000000"/>
                <w:sz w:val="20"/>
                <w:szCs w:val="20"/>
              </w:rPr>
            </w:pPr>
            <w:r w:rsidRPr="00882FD5">
              <w:rPr>
                <w:b/>
                <w:bCs/>
                <w:color w:val="000000"/>
                <w:sz w:val="20"/>
                <w:szCs w:val="20"/>
              </w:rPr>
              <w:t> </w:t>
            </w:r>
          </w:p>
        </w:tc>
        <w:tc>
          <w:tcPr>
            <w:tcW w:w="499" w:type="pct"/>
            <w:tcBorders>
              <w:top w:val="double" w:sz="4" w:space="0" w:color="auto"/>
              <w:left w:val="double" w:sz="4" w:space="0" w:color="auto"/>
              <w:bottom w:val="nil"/>
              <w:right w:val="double" w:sz="4" w:space="0" w:color="auto"/>
            </w:tcBorders>
            <w:shd w:val="clear" w:color="auto" w:fill="auto"/>
            <w:noWrap/>
            <w:tcMar>
              <w:left w:w="58" w:type="dxa"/>
              <w:right w:w="58" w:type="dxa"/>
            </w:tcMar>
            <w:vAlign w:val="center"/>
            <w:hideMark/>
          </w:tcPr>
          <w:p w14:paraId="0E28CF47" w14:textId="77777777" w:rsidR="0024154B" w:rsidRPr="00882FD5" w:rsidRDefault="0024154B" w:rsidP="0024154B">
            <w:pPr>
              <w:spacing w:before="0" w:line="240" w:lineRule="auto"/>
              <w:jc w:val="right"/>
              <w:rPr>
                <w:b/>
                <w:bCs/>
                <w:color w:val="000000"/>
                <w:sz w:val="20"/>
                <w:szCs w:val="20"/>
              </w:rPr>
            </w:pPr>
            <w:r w:rsidRPr="00882FD5">
              <w:rPr>
                <w:b/>
                <w:bCs/>
                <w:color w:val="000000"/>
                <w:sz w:val="20"/>
                <w:szCs w:val="20"/>
              </w:rPr>
              <w:t> </w:t>
            </w:r>
          </w:p>
        </w:tc>
        <w:tc>
          <w:tcPr>
            <w:tcW w:w="482" w:type="pct"/>
            <w:tcBorders>
              <w:top w:val="double" w:sz="4" w:space="0" w:color="auto"/>
              <w:left w:val="double" w:sz="4" w:space="0" w:color="auto"/>
              <w:bottom w:val="nil"/>
              <w:right w:val="double" w:sz="4" w:space="0" w:color="auto"/>
            </w:tcBorders>
            <w:shd w:val="clear" w:color="auto" w:fill="auto"/>
            <w:noWrap/>
            <w:tcMar>
              <w:left w:w="58" w:type="dxa"/>
              <w:right w:w="58" w:type="dxa"/>
            </w:tcMar>
            <w:vAlign w:val="center"/>
            <w:hideMark/>
          </w:tcPr>
          <w:p w14:paraId="4EA47C7B" w14:textId="77777777" w:rsidR="0024154B" w:rsidRPr="00882FD5" w:rsidRDefault="0024154B" w:rsidP="0024154B">
            <w:pPr>
              <w:spacing w:before="0" w:line="240" w:lineRule="auto"/>
              <w:jc w:val="right"/>
              <w:rPr>
                <w:b/>
                <w:bCs/>
                <w:color w:val="000000"/>
                <w:sz w:val="20"/>
                <w:szCs w:val="20"/>
              </w:rPr>
            </w:pPr>
            <w:r w:rsidRPr="00882FD5">
              <w:rPr>
                <w:b/>
                <w:bCs/>
                <w:color w:val="000000"/>
                <w:sz w:val="20"/>
                <w:szCs w:val="20"/>
              </w:rPr>
              <w:t> </w:t>
            </w:r>
          </w:p>
        </w:tc>
        <w:tc>
          <w:tcPr>
            <w:tcW w:w="506" w:type="pct"/>
            <w:tcBorders>
              <w:top w:val="double" w:sz="4" w:space="0" w:color="auto"/>
              <w:left w:val="double" w:sz="4" w:space="0" w:color="auto"/>
              <w:bottom w:val="nil"/>
              <w:right w:val="double" w:sz="4" w:space="0" w:color="auto"/>
            </w:tcBorders>
            <w:shd w:val="clear" w:color="auto" w:fill="auto"/>
            <w:noWrap/>
            <w:tcMar>
              <w:left w:w="58" w:type="dxa"/>
              <w:right w:w="58" w:type="dxa"/>
            </w:tcMar>
            <w:vAlign w:val="center"/>
            <w:hideMark/>
          </w:tcPr>
          <w:p w14:paraId="17486289" w14:textId="77777777" w:rsidR="0024154B" w:rsidRPr="00882FD5" w:rsidRDefault="0024154B" w:rsidP="0024154B">
            <w:pPr>
              <w:spacing w:before="0" w:line="240" w:lineRule="auto"/>
              <w:jc w:val="right"/>
              <w:rPr>
                <w:b/>
                <w:bCs/>
                <w:color w:val="000000"/>
                <w:sz w:val="20"/>
                <w:szCs w:val="20"/>
              </w:rPr>
            </w:pPr>
            <w:r w:rsidRPr="00882FD5">
              <w:rPr>
                <w:b/>
                <w:bCs/>
                <w:color w:val="000000"/>
                <w:sz w:val="20"/>
                <w:szCs w:val="20"/>
              </w:rPr>
              <w:t> </w:t>
            </w:r>
          </w:p>
        </w:tc>
      </w:tr>
      <w:tr w:rsidR="0024154B" w:rsidRPr="00882FD5" w14:paraId="343C0377" w14:textId="77777777" w:rsidTr="00D42297">
        <w:trPr>
          <w:trHeight w:val="288"/>
        </w:trPr>
        <w:tc>
          <w:tcPr>
            <w:tcW w:w="1714"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3F6F31A4" w14:textId="77777777" w:rsidR="0024154B" w:rsidRPr="00882FD5" w:rsidRDefault="0024154B" w:rsidP="0024154B">
            <w:pPr>
              <w:spacing w:before="0" w:line="240" w:lineRule="auto"/>
              <w:rPr>
                <w:color w:val="000000"/>
                <w:sz w:val="20"/>
                <w:szCs w:val="20"/>
              </w:rPr>
            </w:pPr>
            <w:r w:rsidRPr="00882FD5">
              <w:rPr>
                <w:color w:val="000000"/>
                <w:sz w:val="20"/>
                <w:szCs w:val="20"/>
              </w:rPr>
              <w:t>Green Lifestyle Propensity (GLP)</w:t>
            </w:r>
          </w:p>
        </w:tc>
        <w:tc>
          <w:tcPr>
            <w:tcW w:w="365" w:type="pct"/>
            <w:tcBorders>
              <w:top w:val="nil"/>
              <w:left w:val="double" w:sz="4" w:space="0" w:color="auto"/>
              <w:bottom w:val="nil"/>
              <w:right w:val="double" w:sz="4" w:space="0" w:color="auto"/>
            </w:tcBorders>
            <w:shd w:val="clear" w:color="auto" w:fill="auto"/>
            <w:tcMar>
              <w:left w:w="58" w:type="dxa"/>
              <w:right w:w="58" w:type="dxa"/>
            </w:tcMar>
            <w:vAlign w:val="center"/>
            <w:hideMark/>
          </w:tcPr>
          <w:p w14:paraId="27D02823" w14:textId="77777777" w:rsidR="0024154B" w:rsidRPr="00882FD5" w:rsidRDefault="0024154B" w:rsidP="0024154B">
            <w:pPr>
              <w:spacing w:before="0" w:line="240" w:lineRule="auto"/>
              <w:jc w:val="right"/>
              <w:rPr>
                <w:b/>
                <w:bCs/>
                <w:color w:val="000000"/>
                <w:sz w:val="20"/>
                <w:szCs w:val="20"/>
              </w:rPr>
            </w:pPr>
            <w:r w:rsidRPr="00882FD5">
              <w:rPr>
                <w:b/>
                <w:bCs/>
                <w:color w:val="000000"/>
                <w:sz w:val="20"/>
                <w:szCs w:val="20"/>
              </w:rPr>
              <w:t> </w:t>
            </w:r>
          </w:p>
        </w:tc>
        <w:tc>
          <w:tcPr>
            <w:tcW w:w="499"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77A08C18" w14:textId="77777777" w:rsidR="0024154B" w:rsidRPr="00882FD5" w:rsidRDefault="0024154B" w:rsidP="0024154B">
            <w:pPr>
              <w:spacing w:before="0" w:line="240" w:lineRule="auto"/>
              <w:jc w:val="right"/>
              <w:rPr>
                <w:color w:val="000000"/>
                <w:sz w:val="20"/>
                <w:szCs w:val="20"/>
              </w:rPr>
            </w:pPr>
            <w:r w:rsidRPr="00882FD5">
              <w:rPr>
                <w:color w:val="000000"/>
                <w:sz w:val="20"/>
                <w:szCs w:val="20"/>
              </w:rPr>
              <w:t>-0.212  (-3.44)</w:t>
            </w:r>
          </w:p>
        </w:tc>
        <w:tc>
          <w:tcPr>
            <w:tcW w:w="469"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652B7C90" w14:textId="77777777" w:rsidR="0024154B" w:rsidRPr="00882FD5" w:rsidRDefault="0024154B" w:rsidP="0024154B">
            <w:pPr>
              <w:spacing w:before="0" w:line="240" w:lineRule="auto"/>
              <w:jc w:val="right"/>
              <w:rPr>
                <w:color w:val="000000"/>
                <w:sz w:val="20"/>
                <w:szCs w:val="20"/>
              </w:rPr>
            </w:pPr>
            <w:r w:rsidRPr="00882FD5">
              <w:rPr>
                <w:color w:val="000000"/>
                <w:sz w:val="20"/>
                <w:szCs w:val="20"/>
              </w:rPr>
              <w:t>0.112  (2.33)</w:t>
            </w:r>
          </w:p>
        </w:tc>
        <w:tc>
          <w:tcPr>
            <w:tcW w:w="466"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5056864A" w14:textId="4F08C882" w:rsidR="0024154B" w:rsidRPr="00882FD5" w:rsidRDefault="0024154B" w:rsidP="0024154B">
            <w:pPr>
              <w:spacing w:before="0" w:line="240" w:lineRule="auto"/>
              <w:jc w:val="right"/>
              <w:rPr>
                <w:color w:val="000000"/>
                <w:sz w:val="20"/>
                <w:szCs w:val="20"/>
              </w:rPr>
            </w:pPr>
            <w:r w:rsidRPr="00882FD5">
              <w:rPr>
                <w:color w:val="000000"/>
                <w:sz w:val="20"/>
                <w:szCs w:val="20"/>
              </w:rPr>
              <w:t>-0.120(-2.34)</w:t>
            </w:r>
          </w:p>
        </w:tc>
        <w:tc>
          <w:tcPr>
            <w:tcW w:w="499"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226AA6E4" w14:textId="77777777" w:rsidR="0024154B" w:rsidRPr="00882FD5" w:rsidRDefault="0024154B" w:rsidP="0024154B">
            <w:pPr>
              <w:spacing w:before="0" w:line="240" w:lineRule="auto"/>
              <w:jc w:val="right"/>
              <w:rPr>
                <w:color w:val="000000"/>
                <w:sz w:val="20"/>
                <w:szCs w:val="20"/>
              </w:rPr>
            </w:pPr>
            <w:r w:rsidRPr="00882FD5">
              <w:rPr>
                <w:color w:val="000000"/>
                <w:sz w:val="20"/>
                <w:szCs w:val="20"/>
              </w:rPr>
              <w:t>-0.098 (-1.98)</w:t>
            </w:r>
          </w:p>
        </w:tc>
        <w:tc>
          <w:tcPr>
            <w:tcW w:w="482"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709142C8" w14:textId="3E8047BC" w:rsidR="0024154B" w:rsidRPr="00882FD5" w:rsidRDefault="0024154B" w:rsidP="0024154B">
            <w:pPr>
              <w:spacing w:before="0" w:line="240" w:lineRule="auto"/>
              <w:jc w:val="right"/>
              <w:rPr>
                <w:color w:val="000000"/>
                <w:sz w:val="20"/>
                <w:szCs w:val="20"/>
              </w:rPr>
            </w:pPr>
            <w:r w:rsidRPr="00882FD5">
              <w:rPr>
                <w:color w:val="000000"/>
                <w:sz w:val="20"/>
                <w:szCs w:val="20"/>
              </w:rPr>
              <w:t>-0.078</w:t>
            </w:r>
            <w:r w:rsidR="00E56273" w:rsidRPr="00882FD5">
              <w:rPr>
                <w:color w:val="000000"/>
                <w:sz w:val="20"/>
                <w:szCs w:val="20"/>
              </w:rPr>
              <w:t xml:space="preserve"> </w:t>
            </w:r>
            <w:r w:rsidRPr="00882FD5">
              <w:rPr>
                <w:color w:val="000000"/>
                <w:sz w:val="20"/>
                <w:szCs w:val="20"/>
              </w:rPr>
              <w:t>(-1.87)</w:t>
            </w:r>
          </w:p>
        </w:tc>
        <w:tc>
          <w:tcPr>
            <w:tcW w:w="506"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0FBBD737" w14:textId="77777777" w:rsidR="0024154B" w:rsidRPr="00882FD5" w:rsidRDefault="0024154B" w:rsidP="0024154B">
            <w:pPr>
              <w:spacing w:before="0" w:line="240" w:lineRule="auto"/>
              <w:jc w:val="right"/>
              <w:rPr>
                <w:color w:val="000000"/>
                <w:sz w:val="20"/>
                <w:szCs w:val="20"/>
              </w:rPr>
            </w:pPr>
            <w:r w:rsidRPr="00882FD5">
              <w:rPr>
                <w:color w:val="000000"/>
                <w:sz w:val="20"/>
                <w:szCs w:val="20"/>
              </w:rPr>
              <w:t>-0.089 (-2.05)</w:t>
            </w:r>
          </w:p>
        </w:tc>
      </w:tr>
      <w:tr w:rsidR="0024154B" w:rsidRPr="00882FD5" w14:paraId="4D369CD7" w14:textId="77777777" w:rsidTr="00D42297">
        <w:trPr>
          <w:trHeight w:val="288"/>
        </w:trPr>
        <w:tc>
          <w:tcPr>
            <w:tcW w:w="1714"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7D5DC5B1" w14:textId="77777777" w:rsidR="0024154B" w:rsidRPr="00882FD5" w:rsidRDefault="0024154B" w:rsidP="0024154B">
            <w:pPr>
              <w:spacing w:before="0" w:line="240" w:lineRule="auto"/>
              <w:rPr>
                <w:color w:val="000000"/>
                <w:sz w:val="20"/>
                <w:szCs w:val="20"/>
              </w:rPr>
            </w:pPr>
            <w:r w:rsidRPr="00882FD5">
              <w:rPr>
                <w:color w:val="000000"/>
                <w:sz w:val="20"/>
                <w:szCs w:val="20"/>
              </w:rPr>
              <w:t>Luxury Lifestyle Propensity (LLP)</w:t>
            </w:r>
          </w:p>
        </w:tc>
        <w:tc>
          <w:tcPr>
            <w:tcW w:w="365" w:type="pct"/>
            <w:tcBorders>
              <w:top w:val="nil"/>
              <w:left w:val="double" w:sz="4" w:space="0" w:color="auto"/>
              <w:bottom w:val="nil"/>
              <w:right w:val="double" w:sz="4" w:space="0" w:color="auto"/>
            </w:tcBorders>
            <w:shd w:val="clear" w:color="auto" w:fill="auto"/>
            <w:tcMar>
              <w:left w:w="58" w:type="dxa"/>
              <w:right w:w="58" w:type="dxa"/>
            </w:tcMar>
            <w:vAlign w:val="center"/>
            <w:hideMark/>
          </w:tcPr>
          <w:p w14:paraId="117612DC" w14:textId="77777777" w:rsidR="0024154B" w:rsidRPr="00882FD5" w:rsidRDefault="0024154B" w:rsidP="0024154B">
            <w:pPr>
              <w:spacing w:before="0" w:line="240" w:lineRule="auto"/>
              <w:jc w:val="right"/>
              <w:rPr>
                <w:b/>
                <w:bCs/>
                <w:color w:val="000000"/>
                <w:sz w:val="20"/>
                <w:szCs w:val="20"/>
              </w:rPr>
            </w:pPr>
            <w:r w:rsidRPr="00882FD5">
              <w:rPr>
                <w:b/>
                <w:bCs/>
                <w:color w:val="000000"/>
                <w:sz w:val="20"/>
                <w:szCs w:val="20"/>
              </w:rPr>
              <w:t> </w:t>
            </w:r>
          </w:p>
        </w:tc>
        <w:tc>
          <w:tcPr>
            <w:tcW w:w="499" w:type="pct"/>
            <w:tcBorders>
              <w:top w:val="nil"/>
              <w:left w:val="double" w:sz="4" w:space="0" w:color="auto"/>
              <w:bottom w:val="nil"/>
              <w:right w:val="double" w:sz="4" w:space="0" w:color="auto"/>
            </w:tcBorders>
            <w:shd w:val="clear" w:color="auto" w:fill="auto"/>
            <w:tcMar>
              <w:left w:w="58" w:type="dxa"/>
              <w:right w:w="58" w:type="dxa"/>
            </w:tcMar>
            <w:vAlign w:val="center"/>
            <w:hideMark/>
          </w:tcPr>
          <w:p w14:paraId="79BE49A0" w14:textId="77777777" w:rsidR="0024154B" w:rsidRPr="00882FD5" w:rsidRDefault="0024154B" w:rsidP="0024154B">
            <w:pPr>
              <w:spacing w:before="0" w:line="240" w:lineRule="auto"/>
              <w:jc w:val="right"/>
              <w:rPr>
                <w:color w:val="000000"/>
                <w:sz w:val="20"/>
                <w:szCs w:val="20"/>
              </w:rPr>
            </w:pPr>
            <w:r w:rsidRPr="00882FD5">
              <w:rPr>
                <w:color w:val="000000"/>
                <w:sz w:val="20"/>
                <w:szCs w:val="20"/>
              </w:rPr>
              <w:t>0.596    (6.44)</w:t>
            </w:r>
          </w:p>
        </w:tc>
        <w:tc>
          <w:tcPr>
            <w:tcW w:w="469" w:type="pct"/>
            <w:tcBorders>
              <w:top w:val="nil"/>
              <w:left w:val="double" w:sz="4" w:space="0" w:color="auto"/>
              <w:bottom w:val="nil"/>
              <w:right w:val="double" w:sz="4" w:space="0" w:color="auto"/>
            </w:tcBorders>
            <w:shd w:val="clear" w:color="auto" w:fill="auto"/>
            <w:tcMar>
              <w:left w:w="58" w:type="dxa"/>
              <w:right w:w="58" w:type="dxa"/>
            </w:tcMar>
            <w:vAlign w:val="center"/>
            <w:hideMark/>
          </w:tcPr>
          <w:p w14:paraId="141B78D0" w14:textId="3A7684A3" w:rsidR="0024154B" w:rsidRPr="00882FD5" w:rsidRDefault="00D42297" w:rsidP="0024154B">
            <w:pPr>
              <w:spacing w:before="0" w:line="240" w:lineRule="auto"/>
              <w:jc w:val="right"/>
              <w:rPr>
                <w:color w:val="000000"/>
                <w:sz w:val="20"/>
                <w:szCs w:val="20"/>
              </w:rPr>
            </w:pPr>
            <w:r w:rsidRPr="00882FD5">
              <w:rPr>
                <w:color w:val="000000"/>
                <w:sz w:val="20"/>
                <w:szCs w:val="20"/>
              </w:rPr>
              <w:t>-</w:t>
            </w:r>
            <w:r w:rsidR="0024154B" w:rsidRPr="00882FD5">
              <w:rPr>
                <w:color w:val="000000"/>
                <w:sz w:val="20"/>
                <w:szCs w:val="20"/>
              </w:rPr>
              <w:t> </w:t>
            </w:r>
          </w:p>
        </w:tc>
        <w:tc>
          <w:tcPr>
            <w:tcW w:w="466" w:type="pct"/>
            <w:tcBorders>
              <w:top w:val="nil"/>
              <w:left w:val="double" w:sz="4" w:space="0" w:color="auto"/>
              <w:bottom w:val="nil"/>
              <w:right w:val="double" w:sz="4" w:space="0" w:color="auto"/>
            </w:tcBorders>
            <w:shd w:val="clear" w:color="auto" w:fill="auto"/>
            <w:tcMar>
              <w:left w:w="58" w:type="dxa"/>
              <w:right w:w="58" w:type="dxa"/>
            </w:tcMar>
            <w:vAlign w:val="center"/>
            <w:hideMark/>
          </w:tcPr>
          <w:p w14:paraId="7CF6766F" w14:textId="77777777" w:rsidR="0024154B" w:rsidRPr="00882FD5" w:rsidRDefault="0024154B" w:rsidP="0024154B">
            <w:pPr>
              <w:spacing w:before="0" w:line="240" w:lineRule="auto"/>
              <w:jc w:val="right"/>
              <w:rPr>
                <w:color w:val="000000"/>
                <w:sz w:val="20"/>
                <w:szCs w:val="20"/>
              </w:rPr>
            </w:pPr>
            <w:r w:rsidRPr="00882FD5">
              <w:rPr>
                <w:color w:val="000000"/>
                <w:sz w:val="20"/>
                <w:szCs w:val="20"/>
              </w:rPr>
              <w:t>0.336  (3.92)</w:t>
            </w:r>
          </w:p>
        </w:tc>
        <w:tc>
          <w:tcPr>
            <w:tcW w:w="499" w:type="pct"/>
            <w:tcBorders>
              <w:top w:val="nil"/>
              <w:left w:val="double" w:sz="4" w:space="0" w:color="auto"/>
              <w:bottom w:val="nil"/>
              <w:right w:val="double" w:sz="4" w:space="0" w:color="auto"/>
            </w:tcBorders>
            <w:shd w:val="clear" w:color="auto" w:fill="auto"/>
            <w:tcMar>
              <w:left w:w="58" w:type="dxa"/>
              <w:right w:w="58" w:type="dxa"/>
            </w:tcMar>
            <w:vAlign w:val="center"/>
            <w:hideMark/>
          </w:tcPr>
          <w:p w14:paraId="162A8D58" w14:textId="77777777" w:rsidR="0024154B" w:rsidRPr="00882FD5" w:rsidRDefault="0024154B" w:rsidP="0024154B">
            <w:pPr>
              <w:spacing w:before="0" w:line="240" w:lineRule="auto"/>
              <w:jc w:val="right"/>
              <w:rPr>
                <w:color w:val="000000"/>
                <w:sz w:val="20"/>
                <w:szCs w:val="20"/>
              </w:rPr>
            </w:pPr>
            <w:r w:rsidRPr="00882FD5">
              <w:rPr>
                <w:color w:val="000000"/>
                <w:sz w:val="20"/>
                <w:szCs w:val="20"/>
              </w:rPr>
              <w:t>0.160  (3.04)</w:t>
            </w:r>
          </w:p>
        </w:tc>
        <w:tc>
          <w:tcPr>
            <w:tcW w:w="482" w:type="pct"/>
            <w:tcBorders>
              <w:top w:val="nil"/>
              <w:left w:val="double" w:sz="4" w:space="0" w:color="auto"/>
              <w:bottom w:val="nil"/>
              <w:right w:val="double" w:sz="4" w:space="0" w:color="auto"/>
            </w:tcBorders>
            <w:shd w:val="clear" w:color="auto" w:fill="auto"/>
            <w:tcMar>
              <w:left w:w="58" w:type="dxa"/>
              <w:right w:w="58" w:type="dxa"/>
            </w:tcMar>
            <w:vAlign w:val="center"/>
            <w:hideMark/>
          </w:tcPr>
          <w:p w14:paraId="797D16BF" w14:textId="77777777" w:rsidR="0024154B" w:rsidRPr="00882FD5" w:rsidRDefault="0024154B" w:rsidP="0024154B">
            <w:pPr>
              <w:spacing w:before="0" w:line="240" w:lineRule="auto"/>
              <w:jc w:val="right"/>
              <w:rPr>
                <w:color w:val="000000"/>
                <w:sz w:val="20"/>
                <w:szCs w:val="20"/>
              </w:rPr>
            </w:pPr>
            <w:r w:rsidRPr="00882FD5">
              <w:rPr>
                <w:color w:val="000000"/>
                <w:sz w:val="20"/>
                <w:szCs w:val="20"/>
              </w:rPr>
              <w:t>0.185  (3.44)</w:t>
            </w:r>
          </w:p>
        </w:tc>
        <w:tc>
          <w:tcPr>
            <w:tcW w:w="506" w:type="pct"/>
            <w:tcBorders>
              <w:top w:val="nil"/>
              <w:left w:val="double" w:sz="4" w:space="0" w:color="auto"/>
              <w:bottom w:val="nil"/>
              <w:right w:val="double" w:sz="4" w:space="0" w:color="auto"/>
            </w:tcBorders>
            <w:shd w:val="clear" w:color="auto" w:fill="auto"/>
            <w:tcMar>
              <w:left w:w="58" w:type="dxa"/>
              <w:right w:w="58" w:type="dxa"/>
            </w:tcMar>
            <w:vAlign w:val="center"/>
            <w:hideMark/>
          </w:tcPr>
          <w:p w14:paraId="4EDE9CEA" w14:textId="77777777" w:rsidR="0024154B" w:rsidRPr="00882FD5" w:rsidRDefault="0024154B" w:rsidP="0024154B">
            <w:pPr>
              <w:spacing w:before="0" w:line="240" w:lineRule="auto"/>
              <w:jc w:val="right"/>
              <w:rPr>
                <w:color w:val="000000"/>
                <w:sz w:val="20"/>
                <w:szCs w:val="20"/>
              </w:rPr>
            </w:pPr>
            <w:r w:rsidRPr="00882FD5">
              <w:rPr>
                <w:color w:val="000000"/>
                <w:sz w:val="20"/>
                <w:szCs w:val="20"/>
              </w:rPr>
              <w:t>0.122  (2.33)</w:t>
            </w:r>
          </w:p>
        </w:tc>
      </w:tr>
      <w:tr w:rsidR="0024154B" w:rsidRPr="00882FD5" w14:paraId="0FEB47F4" w14:textId="77777777" w:rsidTr="00D42297">
        <w:trPr>
          <w:trHeight w:val="270"/>
        </w:trPr>
        <w:tc>
          <w:tcPr>
            <w:tcW w:w="1714"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432BCA28" w14:textId="77777777" w:rsidR="0024154B" w:rsidRPr="00882FD5" w:rsidRDefault="0024154B" w:rsidP="0024154B">
            <w:pPr>
              <w:spacing w:before="0" w:line="240" w:lineRule="auto"/>
              <w:rPr>
                <w:b/>
                <w:bCs/>
                <w:i/>
                <w:color w:val="000000"/>
                <w:sz w:val="20"/>
                <w:szCs w:val="20"/>
              </w:rPr>
            </w:pPr>
            <w:r w:rsidRPr="00882FD5">
              <w:rPr>
                <w:b/>
                <w:bCs/>
                <w:i/>
                <w:color w:val="000000"/>
                <w:sz w:val="20"/>
                <w:szCs w:val="20"/>
                <w:lang w:val="en-IN"/>
              </w:rPr>
              <w:t>Individual characteristics</w:t>
            </w:r>
          </w:p>
        </w:tc>
        <w:tc>
          <w:tcPr>
            <w:tcW w:w="365" w:type="pct"/>
            <w:tcBorders>
              <w:top w:val="nil"/>
              <w:left w:val="double" w:sz="4" w:space="0" w:color="auto"/>
              <w:bottom w:val="nil"/>
              <w:right w:val="double" w:sz="4" w:space="0" w:color="auto"/>
            </w:tcBorders>
            <w:shd w:val="clear" w:color="auto" w:fill="auto"/>
            <w:tcMar>
              <w:left w:w="58" w:type="dxa"/>
              <w:right w:w="58" w:type="dxa"/>
            </w:tcMar>
            <w:vAlign w:val="center"/>
            <w:hideMark/>
          </w:tcPr>
          <w:p w14:paraId="01F74983" w14:textId="77777777" w:rsidR="0024154B" w:rsidRPr="00882FD5" w:rsidRDefault="0024154B" w:rsidP="0024154B">
            <w:pPr>
              <w:spacing w:before="0" w:line="240" w:lineRule="auto"/>
              <w:jc w:val="right"/>
              <w:rPr>
                <w:b/>
                <w:bCs/>
                <w:color w:val="000000"/>
                <w:sz w:val="20"/>
                <w:szCs w:val="20"/>
              </w:rPr>
            </w:pPr>
            <w:r w:rsidRPr="00882FD5">
              <w:rPr>
                <w:b/>
                <w:bCs/>
                <w:color w:val="000000"/>
                <w:sz w:val="20"/>
                <w:szCs w:val="20"/>
                <w:lang w:val="en-IN"/>
              </w:rPr>
              <w:t> </w:t>
            </w:r>
          </w:p>
        </w:tc>
        <w:tc>
          <w:tcPr>
            <w:tcW w:w="499"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06CBC610" w14:textId="77777777" w:rsidR="0024154B" w:rsidRPr="00882FD5" w:rsidRDefault="0024154B" w:rsidP="0024154B">
            <w:pPr>
              <w:spacing w:before="0" w:line="240" w:lineRule="auto"/>
              <w:jc w:val="right"/>
              <w:rPr>
                <w:b/>
                <w:bCs/>
                <w:color w:val="000000"/>
                <w:sz w:val="20"/>
                <w:szCs w:val="20"/>
              </w:rPr>
            </w:pPr>
            <w:r w:rsidRPr="00882FD5">
              <w:rPr>
                <w:b/>
                <w:bCs/>
                <w:color w:val="000000"/>
                <w:sz w:val="20"/>
                <w:szCs w:val="20"/>
                <w:lang w:val="en-IN"/>
              </w:rPr>
              <w:t> </w:t>
            </w:r>
          </w:p>
        </w:tc>
        <w:tc>
          <w:tcPr>
            <w:tcW w:w="469"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527A1261" w14:textId="77777777" w:rsidR="0024154B" w:rsidRPr="00882FD5" w:rsidRDefault="0024154B" w:rsidP="0024154B">
            <w:pPr>
              <w:spacing w:before="0" w:line="240" w:lineRule="auto"/>
              <w:jc w:val="right"/>
              <w:rPr>
                <w:b/>
                <w:bCs/>
                <w:color w:val="000000"/>
                <w:sz w:val="20"/>
                <w:szCs w:val="20"/>
              </w:rPr>
            </w:pPr>
            <w:r w:rsidRPr="00882FD5">
              <w:rPr>
                <w:b/>
                <w:bCs/>
                <w:color w:val="000000"/>
                <w:sz w:val="20"/>
                <w:szCs w:val="20"/>
                <w:lang w:val="en-IN"/>
              </w:rPr>
              <w:t> </w:t>
            </w:r>
          </w:p>
        </w:tc>
        <w:tc>
          <w:tcPr>
            <w:tcW w:w="466"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301FF769" w14:textId="77777777" w:rsidR="0024154B" w:rsidRPr="00882FD5" w:rsidRDefault="0024154B" w:rsidP="0024154B">
            <w:pPr>
              <w:spacing w:before="0" w:line="240" w:lineRule="auto"/>
              <w:jc w:val="right"/>
              <w:rPr>
                <w:b/>
                <w:bCs/>
                <w:color w:val="000000"/>
                <w:sz w:val="20"/>
                <w:szCs w:val="20"/>
              </w:rPr>
            </w:pPr>
            <w:r w:rsidRPr="00882FD5">
              <w:rPr>
                <w:b/>
                <w:bCs/>
                <w:color w:val="000000"/>
                <w:sz w:val="20"/>
                <w:szCs w:val="20"/>
                <w:lang w:val="en-IN"/>
              </w:rPr>
              <w:t> </w:t>
            </w:r>
          </w:p>
        </w:tc>
        <w:tc>
          <w:tcPr>
            <w:tcW w:w="499"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55633C14" w14:textId="77777777" w:rsidR="0024154B" w:rsidRPr="00882FD5" w:rsidRDefault="0024154B" w:rsidP="0024154B">
            <w:pPr>
              <w:spacing w:before="0" w:line="240" w:lineRule="auto"/>
              <w:jc w:val="right"/>
              <w:rPr>
                <w:b/>
                <w:bCs/>
                <w:color w:val="000000"/>
                <w:sz w:val="20"/>
                <w:szCs w:val="20"/>
              </w:rPr>
            </w:pPr>
            <w:r w:rsidRPr="00882FD5">
              <w:rPr>
                <w:b/>
                <w:bCs/>
                <w:color w:val="000000"/>
                <w:sz w:val="20"/>
                <w:szCs w:val="20"/>
                <w:lang w:val="en-IN"/>
              </w:rPr>
              <w:t> </w:t>
            </w:r>
          </w:p>
        </w:tc>
        <w:tc>
          <w:tcPr>
            <w:tcW w:w="482"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5B04A94D" w14:textId="77777777" w:rsidR="0024154B" w:rsidRPr="00882FD5" w:rsidRDefault="0024154B" w:rsidP="0024154B">
            <w:pPr>
              <w:spacing w:before="0" w:line="240" w:lineRule="auto"/>
              <w:jc w:val="right"/>
              <w:rPr>
                <w:b/>
                <w:bCs/>
                <w:color w:val="000000"/>
                <w:sz w:val="20"/>
                <w:szCs w:val="20"/>
              </w:rPr>
            </w:pPr>
            <w:r w:rsidRPr="00882FD5">
              <w:rPr>
                <w:b/>
                <w:bCs/>
                <w:color w:val="000000"/>
                <w:sz w:val="20"/>
                <w:szCs w:val="20"/>
                <w:lang w:val="en-IN"/>
              </w:rPr>
              <w:t> </w:t>
            </w:r>
          </w:p>
        </w:tc>
        <w:tc>
          <w:tcPr>
            <w:tcW w:w="506"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5CDFC73D" w14:textId="77777777" w:rsidR="0024154B" w:rsidRPr="00882FD5" w:rsidRDefault="0024154B" w:rsidP="0024154B">
            <w:pPr>
              <w:spacing w:before="0" w:line="240" w:lineRule="auto"/>
              <w:jc w:val="right"/>
              <w:rPr>
                <w:b/>
                <w:bCs/>
                <w:color w:val="000000"/>
                <w:sz w:val="20"/>
                <w:szCs w:val="20"/>
              </w:rPr>
            </w:pPr>
            <w:r w:rsidRPr="00882FD5">
              <w:rPr>
                <w:b/>
                <w:bCs/>
                <w:color w:val="000000"/>
                <w:sz w:val="20"/>
                <w:szCs w:val="20"/>
                <w:lang w:val="en-IN"/>
              </w:rPr>
              <w:t> </w:t>
            </w:r>
          </w:p>
        </w:tc>
      </w:tr>
      <w:tr w:rsidR="0024154B" w:rsidRPr="00882FD5" w14:paraId="2BC40813" w14:textId="77777777" w:rsidTr="00D42297">
        <w:trPr>
          <w:trHeight w:val="288"/>
        </w:trPr>
        <w:tc>
          <w:tcPr>
            <w:tcW w:w="1714"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5034187B" w14:textId="77777777" w:rsidR="0024154B" w:rsidRPr="00882FD5" w:rsidRDefault="0024154B" w:rsidP="0024154B">
            <w:pPr>
              <w:spacing w:before="0" w:line="240" w:lineRule="auto"/>
              <w:ind w:firstLineChars="100" w:firstLine="200"/>
              <w:rPr>
                <w:color w:val="000000"/>
                <w:sz w:val="20"/>
                <w:szCs w:val="20"/>
              </w:rPr>
            </w:pPr>
            <w:r w:rsidRPr="00882FD5">
              <w:rPr>
                <w:color w:val="000000"/>
                <w:sz w:val="20"/>
                <w:szCs w:val="20"/>
                <w:lang w:val="en-IN"/>
              </w:rPr>
              <w:t>Female (Base: Male)</w:t>
            </w:r>
          </w:p>
        </w:tc>
        <w:tc>
          <w:tcPr>
            <w:tcW w:w="365" w:type="pct"/>
            <w:tcBorders>
              <w:top w:val="nil"/>
              <w:left w:val="double" w:sz="4" w:space="0" w:color="auto"/>
              <w:bottom w:val="nil"/>
              <w:right w:val="double" w:sz="4" w:space="0" w:color="auto"/>
            </w:tcBorders>
            <w:shd w:val="clear" w:color="auto" w:fill="auto"/>
            <w:tcMar>
              <w:left w:w="58" w:type="dxa"/>
              <w:right w:w="58" w:type="dxa"/>
            </w:tcMar>
            <w:vAlign w:val="center"/>
            <w:hideMark/>
          </w:tcPr>
          <w:p w14:paraId="799C1367"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 </w:t>
            </w:r>
          </w:p>
        </w:tc>
        <w:tc>
          <w:tcPr>
            <w:tcW w:w="499" w:type="pct"/>
            <w:tcBorders>
              <w:top w:val="nil"/>
              <w:left w:val="double" w:sz="4" w:space="0" w:color="auto"/>
              <w:bottom w:val="nil"/>
              <w:right w:val="double" w:sz="4" w:space="0" w:color="auto"/>
            </w:tcBorders>
            <w:shd w:val="clear" w:color="auto" w:fill="auto"/>
            <w:tcMar>
              <w:left w:w="58" w:type="dxa"/>
              <w:right w:w="58" w:type="dxa"/>
            </w:tcMar>
            <w:vAlign w:val="center"/>
            <w:hideMark/>
          </w:tcPr>
          <w:p w14:paraId="73A145C2"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 xml:space="preserve">0.231 </w:t>
            </w:r>
            <w:proofErr w:type="gramStart"/>
            <w:r w:rsidRPr="00882FD5">
              <w:rPr>
                <w:color w:val="000000"/>
                <w:sz w:val="20"/>
                <w:szCs w:val="20"/>
                <w:lang w:val="en-IN"/>
              </w:rPr>
              <w:t xml:space="preserve">   (</w:t>
            </w:r>
            <w:proofErr w:type="gramEnd"/>
            <w:r w:rsidRPr="00882FD5">
              <w:rPr>
                <w:color w:val="000000"/>
                <w:sz w:val="20"/>
                <w:szCs w:val="20"/>
                <w:lang w:val="en-IN"/>
              </w:rPr>
              <w:t>3.60)</w:t>
            </w:r>
          </w:p>
        </w:tc>
        <w:tc>
          <w:tcPr>
            <w:tcW w:w="469" w:type="pct"/>
            <w:tcBorders>
              <w:top w:val="nil"/>
              <w:left w:val="double" w:sz="4" w:space="0" w:color="auto"/>
              <w:bottom w:val="nil"/>
              <w:right w:val="double" w:sz="4" w:space="0" w:color="auto"/>
            </w:tcBorders>
            <w:shd w:val="clear" w:color="auto" w:fill="auto"/>
            <w:tcMar>
              <w:left w:w="58" w:type="dxa"/>
              <w:right w:w="58" w:type="dxa"/>
            </w:tcMar>
            <w:vAlign w:val="center"/>
            <w:hideMark/>
          </w:tcPr>
          <w:p w14:paraId="0CFE20AF"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-0.133 (-2.86)</w:t>
            </w:r>
          </w:p>
        </w:tc>
        <w:tc>
          <w:tcPr>
            <w:tcW w:w="466" w:type="pct"/>
            <w:tcBorders>
              <w:top w:val="nil"/>
              <w:left w:val="double" w:sz="4" w:space="0" w:color="auto"/>
              <w:bottom w:val="nil"/>
              <w:right w:val="double" w:sz="4" w:space="0" w:color="auto"/>
            </w:tcBorders>
            <w:shd w:val="clear" w:color="auto" w:fill="auto"/>
            <w:tcMar>
              <w:left w:w="58" w:type="dxa"/>
              <w:right w:w="58" w:type="dxa"/>
            </w:tcMar>
            <w:vAlign w:val="center"/>
            <w:hideMark/>
          </w:tcPr>
          <w:p w14:paraId="0C38A122" w14:textId="6FCB368E" w:rsidR="0024154B" w:rsidRPr="00882FD5" w:rsidRDefault="00D42297" w:rsidP="0024154B">
            <w:pPr>
              <w:spacing w:before="0" w:line="240" w:lineRule="auto"/>
              <w:jc w:val="right"/>
              <w:rPr>
                <w:color w:val="000000"/>
                <w:sz w:val="20"/>
                <w:szCs w:val="20"/>
              </w:rPr>
            </w:pPr>
            <w:r w:rsidRPr="00882FD5">
              <w:rPr>
                <w:color w:val="000000"/>
                <w:sz w:val="20"/>
                <w:szCs w:val="20"/>
              </w:rPr>
              <w:t>-</w:t>
            </w:r>
            <w:r w:rsidR="0024154B" w:rsidRPr="00882FD5">
              <w:rPr>
                <w:color w:val="000000"/>
                <w:sz w:val="20"/>
                <w:szCs w:val="20"/>
              </w:rPr>
              <w:t> </w:t>
            </w:r>
          </w:p>
        </w:tc>
        <w:tc>
          <w:tcPr>
            <w:tcW w:w="499" w:type="pct"/>
            <w:tcBorders>
              <w:top w:val="nil"/>
              <w:left w:val="double" w:sz="4" w:space="0" w:color="auto"/>
              <w:bottom w:val="nil"/>
              <w:right w:val="double" w:sz="4" w:space="0" w:color="auto"/>
            </w:tcBorders>
            <w:shd w:val="clear" w:color="auto" w:fill="auto"/>
            <w:tcMar>
              <w:left w:w="58" w:type="dxa"/>
              <w:right w:w="58" w:type="dxa"/>
            </w:tcMar>
            <w:vAlign w:val="center"/>
            <w:hideMark/>
          </w:tcPr>
          <w:p w14:paraId="738A5ABB" w14:textId="1DCD7807" w:rsidR="0024154B" w:rsidRPr="00882FD5" w:rsidRDefault="00D42297" w:rsidP="0024154B">
            <w:pPr>
              <w:spacing w:before="0" w:line="240" w:lineRule="auto"/>
              <w:jc w:val="right"/>
              <w:rPr>
                <w:color w:val="000000"/>
                <w:sz w:val="20"/>
                <w:szCs w:val="20"/>
              </w:rPr>
            </w:pPr>
            <w:r w:rsidRPr="00882FD5">
              <w:rPr>
                <w:color w:val="000000"/>
                <w:sz w:val="20"/>
                <w:szCs w:val="20"/>
              </w:rPr>
              <w:t>-</w:t>
            </w:r>
          </w:p>
        </w:tc>
        <w:tc>
          <w:tcPr>
            <w:tcW w:w="482" w:type="pct"/>
            <w:tcBorders>
              <w:top w:val="nil"/>
              <w:left w:val="double" w:sz="4" w:space="0" w:color="auto"/>
              <w:bottom w:val="nil"/>
              <w:right w:val="double" w:sz="4" w:space="0" w:color="auto"/>
            </w:tcBorders>
            <w:shd w:val="clear" w:color="auto" w:fill="auto"/>
            <w:tcMar>
              <w:left w:w="58" w:type="dxa"/>
              <w:right w:w="58" w:type="dxa"/>
            </w:tcMar>
            <w:vAlign w:val="center"/>
            <w:hideMark/>
          </w:tcPr>
          <w:p w14:paraId="1DC7BFC8"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-0.092 (-4.12)</w:t>
            </w:r>
          </w:p>
        </w:tc>
        <w:tc>
          <w:tcPr>
            <w:tcW w:w="506" w:type="pct"/>
            <w:tcBorders>
              <w:top w:val="nil"/>
              <w:left w:val="double" w:sz="4" w:space="0" w:color="auto"/>
              <w:bottom w:val="nil"/>
              <w:right w:val="double" w:sz="4" w:space="0" w:color="auto"/>
            </w:tcBorders>
            <w:shd w:val="clear" w:color="auto" w:fill="auto"/>
            <w:tcMar>
              <w:left w:w="58" w:type="dxa"/>
              <w:right w:w="58" w:type="dxa"/>
            </w:tcMar>
            <w:vAlign w:val="center"/>
            <w:hideMark/>
          </w:tcPr>
          <w:p w14:paraId="13151B46"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-0.081 (-2.29)</w:t>
            </w:r>
          </w:p>
        </w:tc>
      </w:tr>
      <w:tr w:rsidR="0024154B" w:rsidRPr="00882FD5" w14:paraId="22E1CC81" w14:textId="77777777" w:rsidTr="00D42297">
        <w:trPr>
          <w:trHeight w:val="288"/>
        </w:trPr>
        <w:tc>
          <w:tcPr>
            <w:tcW w:w="1714"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1A768ADC" w14:textId="77777777" w:rsidR="0024154B" w:rsidRPr="00882FD5" w:rsidRDefault="0024154B" w:rsidP="0024154B">
            <w:pPr>
              <w:spacing w:before="0" w:line="240" w:lineRule="auto"/>
              <w:ind w:firstLineChars="100" w:firstLine="200"/>
              <w:rPr>
                <w:color w:val="000000"/>
                <w:sz w:val="20"/>
                <w:szCs w:val="20"/>
              </w:rPr>
            </w:pPr>
            <w:r w:rsidRPr="00882FD5">
              <w:rPr>
                <w:color w:val="000000"/>
                <w:sz w:val="20"/>
                <w:szCs w:val="20"/>
                <w:lang w:val="en-IN"/>
              </w:rPr>
              <w:t>Age greater than 50 years (Base: Less than 50 years)</w:t>
            </w:r>
          </w:p>
        </w:tc>
        <w:tc>
          <w:tcPr>
            <w:tcW w:w="365" w:type="pct"/>
            <w:tcBorders>
              <w:top w:val="nil"/>
              <w:left w:val="double" w:sz="4" w:space="0" w:color="auto"/>
              <w:bottom w:val="nil"/>
              <w:right w:val="double" w:sz="4" w:space="0" w:color="auto"/>
            </w:tcBorders>
            <w:shd w:val="clear" w:color="auto" w:fill="auto"/>
            <w:tcMar>
              <w:left w:w="58" w:type="dxa"/>
              <w:right w:w="58" w:type="dxa"/>
            </w:tcMar>
            <w:vAlign w:val="center"/>
            <w:hideMark/>
          </w:tcPr>
          <w:p w14:paraId="50B9D81D"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 </w:t>
            </w:r>
          </w:p>
        </w:tc>
        <w:tc>
          <w:tcPr>
            <w:tcW w:w="499" w:type="pct"/>
            <w:tcBorders>
              <w:top w:val="nil"/>
              <w:left w:val="double" w:sz="4" w:space="0" w:color="auto"/>
              <w:bottom w:val="nil"/>
              <w:right w:val="double" w:sz="4" w:space="0" w:color="auto"/>
            </w:tcBorders>
            <w:shd w:val="clear" w:color="auto" w:fill="auto"/>
            <w:tcMar>
              <w:left w:w="58" w:type="dxa"/>
              <w:right w:w="58" w:type="dxa"/>
            </w:tcMar>
            <w:vAlign w:val="center"/>
            <w:hideMark/>
          </w:tcPr>
          <w:p w14:paraId="04A4A13D"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 xml:space="preserve">0.179 </w:t>
            </w:r>
            <w:proofErr w:type="gramStart"/>
            <w:r w:rsidRPr="00882FD5">
              <w:rPr>
                <w:color w:val="000000"/>
                <w:sz w:val="20"/>
                <w:szCs w:val="20"/>
                <w:lang w:val="en-IN"/>
              </w:rPr>
              <w:t xml:space="preserve">   (</w:t>
            </w:r>
            <w:proofErr w:type="gramEnd"/>
            <w:r w:rsidRPr="00882FD5">
              <w:rPr>
                <w:color w:val="000000"/>
                <w:sz w:val="20"/>
                <w:szCs w:val="20"/>
                <w:lang w:val="en-IN"/>
              </w:rPr>
              <w:t>1.98)</w:t>
            </w:r>
          </w:p>
        </w:tc>
        <w:tc>
          <w:tcPr>
            <w:tcW w:w="469"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3ACA4653"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-0.192 (-2.04)</w:t>
            </w:r>
          </w:p>
        </w:tc>
        <w:tc>
          <w:tcPr>
            <w:tcW w:w="466"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7CF8BB96"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w:t>
            </w:r>
          </w:p>
        </w:tc>
        <w:tc>
          <w:tcPr>
            <w:tcW w:w="499"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6D4156BC"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w:t>
            </w:r>
          </w:p>
        </w:tc>
        <w:tc>
          <w:tcPr>
            <w:tcW w:w="482"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7EA96434"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-0.096 (-3.55)</w:t>
            </w:r>
          </w:p>
        </w:tc>
        <w:tc>
          <w:tcPr>
            <w:tcW w:w="506"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43760D1C" w14:textId="233D4A04" w:rsidR="0024154B" w:rsidRPr="00882FD5" w:rsidRDefault="00597C1B" w:rsidP="0024154B">
            <w:pPr>
              <w:spacing w:before="0" w:line="240" w:lineRule="auto"/>
              <w:jc w:val="right"/>
              <w:rPr>
                <w:color w:val="000000"/>
                <w:sz w:val="20"/>
                <w:szCs w:val="20"/>
              </w:rPr>
            </w:pPr>
            <w:r w:rsidRPr="00882FD5">
              <w:rPr>
                <w:color w:val="000000"/>
                <w:sz w:val="20"/>
                <w:szCs w:val="20"/>
                <w:lang w:val="en-IN"/>
              </w:rPr>
              <w:t xml:space="preserve"> </w:t>
            </w:r>
            <w:r w:rsidR="0024154B" w:rsidRPr="00882FD5">
              <w:rPr>
                <w:color w:val="000000"/>
                <w:sz w:val="20"/>
                <w:szCs w:val="20"/>
                <w:lang w:val="en-IN"/>
              </w:rPr>
              <w:t>-0.078 (-1.91)</w:t>
            </w:r>
          </w:p>
        </w:tc>
      </w:tr>
      <w:tr w:rsidR="0024154B" w:rsidRPr="00882FD5" w14:paraId="302ACF17" w14:textId="77777777" w:rsidTr="00D42297">
        <w:trPr>
          <w:trHeight w:val="288"/>
        </w:trPr>
        <w:tc>
          <w:tcPr>
            <w:tcW w:w="1714"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4B6F48D4" w14:textId="77777777" w:rsidR="0024154B" w:rsidRPr="00882FD5" w:rsidRDefault="0024154B" w:rsidP="00A8346F">
            <w:pPr>
              <w:spacing w:before="0" w:line="240" w:lineRule="auto"/>
              <w:ind w:leftChars="80" w:left="198" w:hangingChars="3" w:hanging="6"/>
              <w:rPr>
                <w:color w:val="000000"/>
                <w:sz w:val="20"/>
                <w:szCs w:val="20"/>
              </w:rPr>
            </w:pPr>
            <w:r w:rsidRPr="00882FD5">
              <w:rPr>
                <w:color w:val="000000"/>
                <w:sz w:val="20"/>
                <w:szCs w:val="20"/>
                <w:lang w:val="en-IN"/>
              </w:rPr>
              <w:t>Possession of a driver’s license (Base: No possession)</w:t>
            </w:r>
          </w:p>
        </w:tc>
        <w:tc>
          <w:tcPr>
            <w:tcW w:w="365" w:type="pct"/>
            <w:tcBorders>
              <w:top w:val="nil"/>
              <w:left w:val="double" w:sz="4" w:space="0" w:color="auto"/>
              <w:bottom w:val="nil"/>
              <w:right w:val="double" w:sz="4" w:space="0" w:color="auto"/>
            </w:tcBorders>
            <w:shd w:val="clear" w:color="auto" w:fill="auto"/>
            <w:tcMar>
              <w:left w:w="58" w:type="dxa"/>
              <w:right w:w="58" w:type="dxa"/>
            </w:tcMar>
            <w:vAlign w:val="center"/>
            <w:hideMark/>
          </w:tcPr>
          <w:p w14:paraId="0749D04D"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 </w:t>
            </w:r>
          </w:p>
        </w:tc>
        <w:tc>
          <w:tcPr>
            <w:tcW w:w="499" w:type="pct"/>
            <w:tcBorders>
              <w:top w:val="nil"/>
              <w:left w:val="double" w:sz="4" w:space="0" w:color="auto"/>
              <w:bottom w:val="nil"/>
              <w:right w:val="double" w:sz="4" w:space="0" w:color="auto"/>
            </w:tcBorders>
            <w:shd w:val="clear" w:color="auto" w:fill="auto"/>
            <w:tcMar>
              <w:left w:w="58" w:type="dxa"/>
              <w:right w:w="58" w:type="dxa"/>
            </w:tcMar>
            <w:vAlign w:val="center"/>
            <w:hideMark/>
          </w:tcPr>
          <w:p w14:paraId="35C8C0F0"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 xml:space="preserve">0.332 </w:t>
            </w:r>
            <w:proofErr w:type="gramStart"/>
            <w:r w:rsidRPr="00882FD5">
              <w:rPr>
                <w:color w:val="000000"/>
                <w:sz w:val="20"/>
                <w:szCs w:val="20"/>
                <w:lang w:val="en-IN"/>
              </w:rPr>
              <w:t xml:space="preserve">   (</w:t>
            </w:r>
            <w:proofErr w:type="gramEnd"/>
            <w:r w:rsidRPr="00882FD5">
              <w:rPr>
                <w:color w:val="000000"/>
                <w:sz w:val="20"/>
                <w:szCs w:val="20"/>
                <w:lang w:val="en-IN"/>
              </w:rPr>
              <w:t>3.76)</w:t>
            </w:r>
          </w:p>
        </w:tc>
        <w:tc>
          <w:tcPr>
            <w:tcW w:w="469"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719E7C0B"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w:t>
            </w:r>
          </w:p>
        </w:tc>
        <w:tc>
          <w:tcPr>
            <w:tcW w:w="466"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6809AF6D"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w:t>
            </w:r>
          </w:p>
        </w:tc>
        <w:tc>
          <w:tcPr>
            <w:tcW w:w="499"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569BC522"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w:t>
            </w:r>
          </w:p>
        </w:tc>
        <w:tc>
          <w:tcPr>
            <w:tcW w:w="482"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30E68FB4"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w:t>
            </w:r>
          </w:p>
        </w:tc>
        <w:tc>
          <w:tcPr>
            <w:tcW w:w="506"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1823CAE1"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w:t>
            </w:r>
          </w:p>
        </w:tc>
      </w:tr>
      <w:tr w:rsidR="0024154B" w:rsidRPr="00882FD5" w14:paraId="0D1AA8BB" w14:textId="77777777" w:rsidTr="00D42297">
        <w:trPr>
          <w:trHeight w:val="288"/>
        </w:trPr>
        <w:tc>
          <w:tcPr>
            <w:tcW w:w="1714"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7557656B" w14:textId="77777777" w:rsidR="0024154B" w:rsidRPr="00882FD5" w:rsidRDefault="0024154B" w:rsidP="0024154B">
            <w:pPr>
              <w:spacing w:before="0" w:line="240" w:lineRule="auto"/>
              <w:ind w:firstLineChars="100" w:firstLine="200"/>
              <w:rPr>
                <w:color w:val="000000"/>
                <w:sz w:val="20"/>
                <w:szCs w:val="20"/>
              </w:rPr>
            </w:pPr>
            <w:r w:rsidRPr="00882FD5">
              <w:rPr>
                <w:color w:val="000000"/>
                <w:sz w:val="20"/>
                <w:szCs w:val="20"/>
              </w:rPr>
              <w:t>Education level (Base: lower than undergraduate)</w:t>
            </w:r>
          </w:p>
        </w:tc>
        <w:tc>
          <w:tcPr>
            <w:tcW w:w="365" w:type="pct"/>
            <w:tcBorders>
              <w:top w:val="nil"/>
              <w:left w:val="double" w:sz="4" w:space="0" w:color="auto"/>
              <w:bottom w:val="nil"/>
              <w:right w:val="double" w:sz="4" w:space="0" w:color="auto"/>
            </w:tcBorders>
            <w:shd w:val="clear" w:color="auto" w:fill="auto"/>
            <w:tcMar>
              <w:left w:w="58" w:type="dxa"/>
              <w:right w:w="58" w:type="dxa"/>
            </w:tcMar>
            <w:vAlign w:val="center"/>
            <w:hideMark/>
          </w:tcPr>
          <w:p w14:paraId="34DA9F53" w14:textId="77777777" w:rsidR="0024154B" w:rsidRPr="00882FD5" w:rsidRDefault="0024154B" w:rsidP="0024154B">
            <w:pPr>
              <w:spacing w:before="0" w:line="240" w:lineRule="auto"/>
              <w:jc w:val="right"/>
              <w:rPr>
                <w:color w:val="000000"/>
                <w:sz w:val="20"/>
                <w:szCs w:val="20"/>
              </w:rPr>
            </w:pPr>
            <w:r w:rsidRPr="00882FD5">
              <w:rPr>
                <w:color w:val="000000"/>
                <w:sz w:val="20"/>
                <w:szCs w:val="20"/>
              </w:rPr>
              <w:t> </w:t>
            </w:r>
          </w:p>
        </w:tc>
        <w:tc>
          <w:tcPr>
            <w:tcW w:w="499" w:type="pct"/>
            <w:tcBorders>
              <w:top w:val="nil"/>
              <w:left w:val="double" w:sz="4" w:space="0" w:color="auto"/>
              <w:bottom w:val="nil"/>
              <w:right w:val="double" w:sz="4" w:space="0" w:color="auto"/>
            </w:tcBorders>
            <w:shd w:val="clear" w:color="auto" w:fill="auto"/>
            <w:tcMar>
              <w:left w:w="58" w:type="dxa"/>
              <w:right w:w="58" w:type="dxa"/>
            </w:tcMar>
            <w:vAlign w:val="center"/>
            <w:hideMark/>
          </w:tcPr>
          <w:p w14:paraId="421F0AE5" w14:textId="77777777" w:rsidR="0024154B" w:rsidRPr="00882FD5" w:rsidRDefault="0024154B" w:rsidP="0024154B">
            <w:pPr>
              <w:spacing w:before="0" w:line="240" w:lineRule="auto"/>
              <w:jc w:val="right"/>
              <w:rPr>
                <w:color w:val="000000"/>
                <w:sz w:val="20"/>
                <w:szCs w:val="20"/>
              </w:rPr>
            </w:pPr>
            <w:r w:rsidRPr="00882FD5">
              <w:rPr>
                <w:color w:val="000000"/>
                <w:sz w:val="20"/>
                <w:szCs w:val="20"/>
              </w:rPr>
              <w:t> </w:t>
            </w:r>
          </w:p>
        </w:tc>
        <w:tc>
          <w:tcPr>
            <w:tcW w:w="469"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3BF1C191" w14:textId="77777777" w:rsidR="0024154B" w:rsidRPr="00882FD5" w:rsidRDefault="0024154B" w:rsidP="0024154B">
            <w:pPr>
              <w:spacing w:before="0" w:line="240" w:lineRule="auto"/>
              <w:jc w:val="right"/>
              <w:rPr>
                <w:color w:val="000000"/>
                <w:sz w:val="20"/>
                <w:szCs w:val="20"/>
              </w:rPr>
            </w:pPr>
            <w:r w:rsidRPr="00882FD5">
              <w:rPr>
                <w:color w:val="000000"/>
                <w:sz w:val="20"/>
                <w:szCs w:val="20"/>
              </w:rPr>
              <w:t> </w:t>
            </w:r>
          </w:p>
        </w:tc>
        <w:tc>
          <w:tcPr>
            <w:tcW w:w="466"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449BB15D" w14:textId="77777777" w:rsidR="0024154B" w:rsidRPr="00882FD5" w:rsidRDefault="0024154B" w:rsidP="0024154B">
            <w:pPr>
              <w:spacing w:before="0" w:line="240" w:lineRule="auto"/>
              <w:jc w:val="right"/>
              <w:rPr>
                <w:color w:val="000000"/>
                <w:sz w:val="20"/>
                <w:szCs w:val="20"/>
              </w:rPr>
            </w:pPr>
            <w:r w:rsidRPr="00882FD5">
              <w:rPr>
                <w:color w:val="000000"/>
                <w:sz w:val="20"/>
                <w:szCs w:val="20"/>
              </w:rPr>
              <w:t> </w:t>
            </w:r>
          </w:p>
        </w:tc>
        <w:tc>
          <w:tcPr>
            <w:tcW w:w="499"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23F026E3" w14:textId="77777777" w:rsidR="0024154B" w:rsidRPr="00882FD5" w:rsidRDefault="0024154B" w:rsidP="0024154B">
            <w:pPr>
              <w:spacing w:before="0" w:line="240" w:lineRule="auto"/>
              <w:jc w:val="right"/>
              <w:rPr>
                <w:color w:val="000000"/>
                <w:sz w:val="20"/>
                <w:szCs w:val="20"/>
              </w:rPr>
            </w:pPr>
            <w:r w:rsidRPr="00882FD5">
              <w:rPr>
                <w:color w:val="000000"/>
                <w:sz w:val="20"/>
                <w:szCs w:val="20"/>
              </w:rPr>
              <w:t> </w:t>
            </w:r>
          </w:p>
        </w:tc>
        <w:tc>
          <w:tcPr>
            <w:tcW w:w="482"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4F108DBC" w14:textId="77777777" w:rsidR="0024154B" w:rsidRPr="00882FD5" w:rsidRDefault="0024154B" w:rsidP="0024154B">
            <w:pPr>
              <w:spacing w:before="0" w:line="240" w:lineRule="auto"/>
              <w:jc w:val="right"/>
              <w:rPr>
                <w:color w:val="000000"/>
                <w:sz w:val="20"/>
                <w:szCs w:val="20"/>
              </w:rPr>
            </w:pPr>
            <w:r w:rsidRPr="00882FD5">
              <w:rPr>
                <w:color w:val="000000"/>
                <w:sz w:val="20"/>
                <w:szCs w:val="20"/>
              </w:rPr>
              <w:t> </w:t>
            </w:r>
          </w:p>
        </w:tc>
        <w:tc>
          <w:tcPr>
            <w:tcW w:w="506"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491A32C6" w14:textId="77777777" w:rsidR="0024154B" w:rsidRPr="00882FD5" w:rsidRDefault="0024154B" w:rsidP="0024154B">
            <w:pPr>
              <w:spacing w:before="0" w:line="240" w:lineRule="auto"/>
              <w:jc w:val="right"/>
              <w:rPr>
                <w:color w:val="000000"/>
                <w:sz w:val="20"/>
                <w:szCs w:val="20"/>
              </w:rPr>
            </w:pPr>
            <w:r w:rsidRPr="00882FD5">
              <w:rPr>
                <w:color w:val="000000"/>
                <w:sz w:val="20"/>
                <w:szCs w:val="20"/>
              </w:rPr>
              <w:t> </w:t>
            </w:r>
          </w:p>
        </w:tc>
      </w:tr>
      <w:tr w:rsidR="0024154B" w:rsidRPr="00882FD5" w14:paraId="6E4B7511" w14:textId="77777777" w:rsidTr="00D42297">
        <w:trPr>
          <w:trHeight w:val="288"/>
        </w:trPr>
        <w:tc>
          <w:tcPr>
            <w:tcW w:w="1714"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52C7B665" w14:textId="77777777" w:rsidR="0024154B" w:rsidRPr="00882FD5" w:rsidRDefault="0024154B" w:rsidP="0024154B">
            <w:pPr>
              <w:spacing w:before="0" w:line="240" w:lineRule="auto"/>
              <w:ind w:firstLineChars="100" w:firstLine="200"/>
              <w:rPr>
                <w:color w:val="000000"/>
                <w:sz w:val="20"/>
                <w:szCs w:val="20"/>
              </w:rPr>
            </w:pPr>
            <w:r w:rsidRPr="00882FD5">
              <w:rPr>
                <w:color w:val="000000"/>
                <w:sz w:val="20"/>
                <w:szCs w:val="20"/>
              </w:rPr>
              <w:t>Completed undergraduate degree</w:t>
            </w:r>
          </w:p>
        </w:tc>
        <w:tc>
          <w:tcPr>
            <w:tcW w:w="365" w:type="pct"/>
            <w:tcBorders>
              <w:top w:val="nil"/>
              <w:left w:val="double" w:sz="4" w:space="0" w:color="auto"/>
              <w:bottom w:val="nil"/>
              <w:right w:val="double" w:sz="4" w:space="0" w:color="auto"/>
            </w:tcBorders>
            <w:shd w:val="clear" w:color="auto" w:fill="auto"/>
            <w:tcMar>
              <w:left w:w="58" w:type="dxa"/>
              <w:right w:w="58" w:type="dxa"/>
            </w:tcMar>
            <w:vAlign w:val="center"/>
            <w:hideMark/>
          </w:tcPr>
          <w:p w14:paraId="52AD1DD4" w14:textId="77777777" w:rsidR="0024154B" w:rsidRPr="00882FD5" w:rsidRDefault="0024154B" w:rsidP="0024154B">
            <w:pPr>
              <w:spacing w:before="0" w:line="240" w:lineRule="auto"/>
              <w:jc w:val="right"/>
              <w:rPr>
                <w:color w:val="000000"/>
                <w:sz w:val="20"/>
                <w:szCs w:val="20"/>
              </w:rPr>
            </w:pPr>
            <w:r w:rsidRPr="00882FD5">
              <w:rPr>
                <w:color w:val="000000"/>
                <w:sz w:val="20"/>
                <w:szCs w:val="20"/>
              </w:rPr>
              <w:t> </w:t>
            </w:r>
          </w:p>
        </w:tc>
        <w:tc>
          <w:tcPr>
            <w:tcW w:w="499" w:type="pct"/>
            <w:tcBorders>
              <w:top w:val="nil"/>
              <w:left w:val="double" w:sz="4" w:space="0" w:color="auto"/>
              <w:bottom w:val="nil"/>
              <w:right w:val="double" w:sz="4" w:space="0" w:color="auto"/>
            </w:tcBorders>
            <w:shd w:val="clear" w:color="auto" w:fill="auto"/>
            <w:tcMar>
              <w:left w:w="58" w:type="dxa"/>
              <w:right w:w="58" w:type="dxa"/>
            </w:tcMar>
            <w:vAlign w:val="center"/>
            <w:hideMark/>
          </w:tcPr>
          <w:p w14:paraId="565E1F63" w14:textId="77777777" w:rsidR="0024154B" w:rsidRPr="00882FD5" w:rsidRDefault="0024154B" w:rsidP="0024154B">
            <w:pPr>
              <w:spacing w:before="0" w:line="240" w:lineRule="auto"/>
              <w:jc w:val="right"/>
              <w:rPr>
                <w:color w:val="000000"/>
                <w:sz w:val="20"/>
                <w:szCs w:val="20"/>
              </w:rPr>
            </w:pPr>
            <w:r w:rsidRPr="00882FD5">
              <w:rPr>
                <w:color w:val="000000"/>
                <w:sz w:val="20"/>
                <w:szCs w:val="20"/>
              </w:rPr>
              <w:t> </w:t>
            </w:r>
          </w:p>
        </w:tc>
        <w:tc>
          <w:tcPr>
            <w:tcW w:w="469"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73E6FCD7" w14:textId="77777777" w:rsidR="0024154B" w:rsidRPr="00882FD5" w:rsidRDefault="0024154B" w:rsidP="0024154B">
            <w:pPr>
              <w:spacing w:before="0" w:line="240" w:lineRule="auto"/>
              <w:jc w:val="right"/>
              <w:rPr>
                <w:color w:val="000000"/>
                <w:sz w:val="20"/>
                <w:szCs w:val="20"/>
              </w:rPr>
            </w:pPr>
            <w:r w:rsidRPr="00882FD5">
              <w:rPr>
                <w:color w:val="000000"/>
                <w:sz w:val="20"/>
                <w:szCs w:val="20"/>
              </w:rPr>
              <w:t> </w:t>
            </w:r>
          </w:p>
        </w:tc>
        <w:tc>
          <w:tcPr>
            <w:tcW w:w="466"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7F7EC92D" w14:textId="77777777" w:rsidR="0024154B" w:rsidRPr="00882FD5" w:rsidRDefault="0024154B" w:rsidP="0024154B">
            <w:pPr>
              <w:spacing w:before="0" w:line="240" w:lineRule="auto"/>
              <w:jc w:val="right"/>
              <w:rPr>
                <w:color w:val="000000"/>
                <w:sz w:val="20"/>
                <w:szCs w:val="20"/>
              </w:rPr>
            </w:pPr>
            <w:r w:rsidRPr="00882FD5">
              <w:rPr>
                <w:color w:val="000000"/>
                <w:sz w:val="20"/>
                <w:szCs w:val="20"/>
              </w:rPr>
              <w:t>0.075  (2.21)</w:t>
            </w:r>
          </w:p>
        </w:tc>
        <w:tc>
          <w:tcPr>
            <w:tcW w:w="499"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3DF8B3F7" w14:textId="77777777" w:rsidR="0024154B" w:rsidRPr="00882FD5" w:rsidRDefault="0024154B" w:rsidP="0024154B">
            <w:pPr>
              <w:spacing w:before="0" w:line="240" w:lineRule="auto"/>
              <w:jc w:val="right"/>
              <w:rPr>
                <w:color w:val="000000"/>
                <w:sz w:val="20"/>
                <w:szCs w:val="20"/>
              </w:rPr>
            </w:pPr>
            <w:r w:rsidRPr="00882FD5">
              <w:rPr>
                <w:color w:val="000000"/>
                <w:sz w:val="20"/>
                <w:szCs w:val="20"/>
              </w:rPr>
              <w:t>0.089  (2.86)</w:t>
            </w:r>
          </w:p>
        </w:tc>
        <w:tc>
          <w:tcPr>
            <w:tcW w:w="482"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091CE4DF" w14:textId="77777777" w:rsidR="0024154B" w:rsidRPr="00882FD5" w:rsidRDefault="0024154B" w:rsidP="0024154B">
            <w:pPr>
              <w:spacing w:before="0" w:line="240" w:lineRule="auto"/>
              <w:jc w:val="right"/>
              <w:rPr>
                <w:color w:val="000000"/>
                <w:sz w:val="20"/>
                <w:szCs w:val="20"/>
              </w:rPr>
            </w:pPr>
            <w:r w:rsidRPr="00882FD5">
              <w:rPr>
                <w:color w:val="000000"/>
                <w:sz w:val="20"/>
                <w:szCs w:val="20"/>
              </w:rPr>
              <w:t>0.142  (3.44)</w:t>
            </w:r>
          </w:p>
        </w:tc>
        <w:tc>
          <w:tcPr>
            <w:tcW w:w="506"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34850632" w14:textId="1B5FB88D" w:rsidR="0024154B" w:rsidRPr="00882FD5" w:rsidRDefault="0024154B" w:rsidP="0024154B">
            <w:pPr>
              <w:spacing w:before="0" w:line="240" w:lineRule="auto"/>
              <w:jc w:val="right"/>
              <w:rPr>
                <w:color w:val="000000"/>
                <w:sz w:val="20"/>
                <w:szCs w:val="20"/>
              </w:rPr>
            </w:pPr>
            <w:r w:rsidRPr="00882FD5">
              <w:rPr>
                <w:color w:val="000000"/>
                <w:sz w:val="20"/>
                <w:szCs w:val="20"/>
              </w:rPr>
              <w:t>0.132  (2.33)</w:t>
            </w:r>
          </w:p>
        </w:tc>
      </w:tr>
      <w:tr w:rsidR="0024154B" w:rsidRPr="00882FD5" w14:paraId="344FD7B9" w14:textId="77777777" w:rsidTr="00D42297">
        <w:trPr>
          <w:trHeight w:val="288"/>
        </w:trPr>
        <w:tc>
          <w:tcPr>
            <w:tcW w:w="1714"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5FD70343" w14:textId="77777777" w:rsidR="0024154B" w:rsidRPr="00882FD5" w:rsidRDefault="0024154B" w:rsidP="0024154B">
            <w:pPr>
              <w:spacing w:before="0" w:line="240" w:lineRule="auto"/>
              <w:ind w:firstLineChars="100" w:firstLine="200"/>
              <w:rPr>
                <w:color w:val="000000"/>
                <w:sz w:val="20"/>
                <w:szCs w:val="20"/>
              </w:rPr>
            </w:pPr>
            <w:r w:rsidRPr="00882FD5">
              <w:rPr>
                <w:color w:val="000000"/>
                <w:sz w:val="20"/>
                <w:szCs w:val="20"/>
                <w:lang w:val="en-IN"/>
              </w:rPr>
              <w:t xml:space="preserve">Completed graduate degree </w:t>
            </w:r>
          </w:p>
        </w:tc>
        <w:tc>
          <w:tcPr>
            <w:tcW w:w="365" w:type="pct"/>
            <w:tcBorders>
              <w:top w:val="nil"/>
              <w:left w:val="double" w:sz="4" w:space="0" w:color="auto"/>
              <w:bottom w:val="nil"/>
              <w:right w:val="double" w:sz="4" w:space="0" w:color="auto"/>
            </w:tcBorders>
            <w:shd w:val="clear" w:color="auto" w:fill="auto"/>
            <w:tcMar>
              <w:left w:w="58" w:type="dxa"/>
              <w:right w:w="58" w:type="dxa"/>
            </w:tcMar>
            <w:vAlign w:val="center"/>
            <w:hideMark/>
          </w:tcPr>
          <w:p w14:paraId="56A5055E"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 </w:t>
            </w:r>
          </w:p>
        </w:tc>
        <w:tc>
          <w:tcPr>
            <w:tcW w:w="499"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13CBD3CC"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w:t>
            </w:r>
          </w:p>
        </w:tc>
        <w:tc>
          <w:tcPr>
            <w:tcW w:w="469" w:type="pct"/>
            <w:tcBorders>
              <w:top w:val="nil"/>
              <w:left w:val="double" w:sz="4" w:space="0" w:color="auto"/>
              <w:bottom w:val="nil"/>
              <w:right w:val="double" w:sz="4" w:space="0" w:color="auto"/>
            </w:tcBorders>
            <w:shd w:val="clear" w:color="auto" w:fill="auto"/>
            <w:tcMar>
              <w:left w:w="58" w:type="dxa"/>
              <w:right w:w="58" w:type="dxa"/>
            </w:tcMar>
            <w:vAlign w:val="center"/>
            <w:hideMark/>
          </w:tcPr>
          <w:p w14:paraId="0D88FB20" w14:textId="4D62DCB1" w:rsidR="0024154B" w:rsidRPr="00882FD5" w:rsidRDefault="0024154B" w:rsidP="0024154B">
            <w:pPr>
              <w:spacing w:before="0" w:line="240" w:lineRule="auto"/>
              <w:jc w:val="right"/>
              <w:rPr>
                <w:color w:val="000000"/>
                <w:sz w:val="20"/>
                <w:szCs w:val="20"/>
              </w:rPr>
            </w:pPr>
            <w:r w:rsidRPr="00882FD5">
              <w:rPr>
                <w:color w:val="000000"/>
                <w:sz w:val="20"/>
                <w:szCs w:val="20"/>
                <w:lang w:val="en-IN"/>
              </w:rPr>
              <w:t>-0.09</w:t>
            </w:r>
            <w:r w:rsidR="00E56273" w:rsidRPr="00882FD5">
              <w:rPr>
                <w:color w:val="000000"/>
                <w:sz w:val="20"/>
                <w:szCs w:val="20"/>
                <w:lang w:val="en-IN"/>
              </w:rPr>
              <w:t xml:space="preserve">0 </w:t>
            </w:r>
            <w:r w:rsidRPr="00882FD5">
              <w:rPr>
                <w:color w:val="000000"/>
                <w:sz w:val="20"/>
                <w:szCs w:val="20"/>
                <w:lang w:val="en-IN"/>
              </w:rPr>
              <w:t>(-1.89)</w:t>
            </w:r>
          </w:p>
        </w:tc>
        <w:tc>
          <w:tcPr>
            <w:tcW w:w="466"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5B16AF13" w14:textId="77777777" w:rsidR="0024154B" w:rsidRPr="00882FD5" w:rsidRDefault="0024154B" w:rsidP="0024154B">
            <w:pPr>
              <w:spacing w:before="0" w:line="240" w:lineRule="auto"/>
              <w:jc w:val="right"/>
              <w:rPr>
                <w:color w:val="000000"/>
                <w:sz w:val="20"/>
                <w:szCs w:val="20"/>
              </w:rPr>
            </w:pPr>
            <w:proofErr w:type="gramStart"/>
            <w:r w:rsidRPr="00882FD5">
              <w:rPr>
                <w:color w:val="000000"/>
                <w:sz w:val="20"/>
                <w:szCs w:val="20"/>
                <w:lang w:val="en-IN"/>
              </w:rPr>
              <w:t>0.097  (</w:t>
            </w:r>
            <w:proofErr w:type="gramEnd"/>
            <w:r w:rsidRPr="00882FD5">
              <w:rPr>
                <w:color w:val="000000"/>
                <w:sz w:val="20"/>
                <w:szCs w:val="20"/>
                <w:lang w:val="en-IN"/>
              </w:rPr>
              <w:t>2.56)</w:t>
            </w:r>
          </w:p>
        </w:tc>
        <w:tc>
          <w:tcPr>
            <w:tcW w:w="499"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10474B70" w14:textId="77777777" w:rsidR="0024154B" w:rsidRPr="00882FD5" w:rsidRDefault="0024154B" w:rsidP="0024154B">
            <w:pPr>
              <w:spacing w:before="0" w:line="240" w:lineRule="auto"/>
              <w:jc w:val="right"/>
              <w:rPr>
                <w:color w:val="000000"/>
                <w:sz w:val="20"/>
                <w:szCs w:val="20"/>
              </w:rPr>
            </w:pPr>
            <w:proofErr w:type="gramStart"/>
            <w:r w:rsidRPr="00882FD5">
              <w:rPr>
                <w:color w:val="000000"/>
                <w:sz w:val="20"/>
                <w:szCs w:val="20"/>
                <w:lang w:val="en-IN"/>
              </w:rPr>
              <w:t>0.076  (</w:t>
            </w:r>
            <w:proofErr w:type="gramEnd"/>
            <w:r w:rsidRPr="00882FD5">
              <w:rPr>
                <w:color w:val="000000"/>
                <w:sz w:val="20"/>
                <w:szCs w:val="20"/>
                <w:lang w:val="en-IN"/>
              </w:rPr>
              <w:t>1.79)</w:t>
            </w:r>
          </w:p>
        </w:tc>
        <w:tc>
          <w:tcPr>
            <w:tcW w:w="482"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1A25D1DF" w14:textId="77777777" w:rsidR="0024154B" w:rsidRPr="00882FD5" w:rsidRDefault="0024154B" w:rsidP="0024154B">
            <w:pPr>
              <w:spacing w:before="0" w:line="240" w:lineRule="auto"/>
              <w:jc w:val="right"/>
              <w:rPr>
                <w:color w:val="000000"/>
                <w:sz w:val="20"/>
                <w:szCs w:val="20"/>
              </w:rPr>
            </w:pPr>
            <w:proofErr w:type="gramStart"/>
            <w:r w:rsidRPr="00882FD5">
              <w:rPr>
                <w:color w:val="000000"/>
                <w:sz w:val="20"/>
                <w:szCs w:val="20"/>
                <w:lang w:val="en-IN"/>
              </w:rPr>
              <w:t>0.103  (</w:t>
            </w:r>
            <w:proofErr w:type="gramEnd"/>
            <w:r w:rsidRPr="00882FD5">
              <w:rPr>
                <w:color w:val="000000"/>
                <w:sz w:val="20"/>
                <w:szCs w:val="20"/>
                <w:lang w:val="en-IN"/>
              </w:rPr>
              <w:t>2.34)</w:t>
            </w:r>
          </w:p>
        </w:tc>
        <w:tc>
          <w:tcPr>
            <w:tcW w:w="506"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37F104BF" w14:textId="4237B564" w:rsidR="0024154B" w:rsidRPr="00882FD5" w:rsidRDefault="0024154B" w:rsidP="0024154B">
            <w:pPr>
              <w:spacing w:before="0" w:line="240" w:lineRule="auto"/>
              <w:jc w:val="right"/>
              <w:rPr>
                <w:color w:val="000000"/>
                <w:sz w:val="20"/>
                <w:szCs w:val="20"/>
              </w:rPr>
            </w:pPr>
            <w:r w:rsidRPr="00882FD5">
              <w:rPr>
                <w:color w:val="000000"/>
                <w:sz w:val="20"/>
                <w:szCs w:val="20"/>
              </w:rPr>
              <w:t>0.132  (2.33)</w:t>
            </w:r>
          </w:p>
        </w:tc>
      </w:tr>
      <w:tr w:rsidR="0024154B" w:rsidRPr="00882FD5" w14:paraId="77BCDDDC" w14:textId="77777777" w:rsidTr="00D42297">
        <w:trPr>
          <w:trHeight w:val="288"/>
        </w:trPr>
        <w:tc>
          <w:tcPr>
            <w:tcW w:w="1714"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7613A0DB" w14:textId="77777777" w:rsidR="0024154B" w:rsidRPr="00882FD5" w:rsidRDefault="0024154B" w:rsidP="0024154B">
            <w:pPr>
              <w:spacing w:before="0" w:line="240" w:lineRule="auto"/>
              <w:rPr>
                <w:b/>
                <w:bCs/>
                <w:i/>
                <w:color w:val="000000"/>
                <w:sz w:val="20"/>
                <w:szCs w:val="20"/>
              </w:rPr>
            </w:pPr>
            <w:r w:rsidRPr="00882FD5">
              <w:rPr>
                <w:b/>
                <w:bCs/>
                <w:i/>
                <w:color w:val="000000"/>
                <w:sz w:val="20"/>
                <w:szCs w:val="20"/>
                <w:lang w:val="en-IN"/>
              </w:rPr>
              <w:t>Household characteristics</w:t>
            </w:r>
          </w:p>
        </w:tc>
        <w:tc>
          <w:tcPr>
            <w:tcW w:w="365" w:type="pct"/>
            <w:tcBorders>
              <w:top w:val="nil"/>
              <w:left w:val="double" w:sz="4" w:space="0" w:color="auto"/>
              <w:bottom w:val="nil"/>
              <w:right w:val="double" w:sz="4" w:space="0" w:color="auto"/>
            </w:tcBorders>
            <w:shd w:val="clear" w:color="auto" w:fill="auto"/>
            <w:tcMar>
              <w:left w:w="58" w:type="dxa"/>
              <w:right w:w="58" w:type="dxa"/>
            </w:tcMar>
            <w:vAlign w:val="center"/>
            <w:hideMark/>
          </w:tcPr>
          <w:p w14:paraId="6A0EEACA"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 </w:t>
            </w:r>
          </w:p>
        </w:tc>
        <w:tc>
          <w:tcPr>
            <w:tcW w:w="499" w:type="pct"/>
            <w:tcBorders>
              <w:top w:val="nil"/>
              <w:left w:val="double" w:sz="4" w:space="0" w:color="auto"/>
              <w:bottom w:val="nil"/>
              <w:right w:val="double" w:sz="4" w:space="0" w:color="auto"/>
            </w:tcBorders>
            <w:shd w:val="clear" w:color="auto" w:fill="auto"/>
            <w:tcMar>
              <w:left w:w="58" w:type="dxa"/>
              <w:right w:w="58" w:type="dxa"/>
            </w:tcMar>
            <w:vAlign w:val="center"/>
            <w:hideMark/>
          </w:tcPr>
          <w:p w14:paraId="595243B0"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 </w:t>
            </w:r>
          </w:p>
        </w:tc>
        <w:tc>
          <w:tcPr>
            <w:tcW w:w="469"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43FB9DE4"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 </w:t>
            </w:r>
          </w:p>
        </w:tc>
        <w:tc>
          <w:tcPr>
            <w:tcW w:w="466" w:type="pct"/>
            <w:tcBorders>
              <w:top w:val="nil"/>
              <w:left w:val="double" w:sz="4" w:space="0" w:color="auto"/>
              <w:bottom w:val="nil"/>
              <w:right w:val="double" w:sz="4" w:space="0" w:color="auto"/>
            </w:tcBorders>
            <w:shd w:val="clear" w:color="auto" w:fill="auto"/>
            <w:tcMar>
              <w:left w:w="58" w:type="dxa"/>
              <w:right w:w="58" w:type="dxa"/>
            </w:tcMar>
            <w:vAlign w:val="center"/>
            <w:hideMark/>
          </w:tcPr>
          <w:p w14:paraId="26E4FD56"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 </w:t>
            </w:r>
          </w:p>
        </w:tc>
        <w:tc>
          <w:tcPr>
            <w:tcW w:w="499"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39D786FD"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 </w:t>
            </w:r>
          </w:p>
        </w:tc>
        <w:tc>
          <w:tcPr>
            <w:tcW w:w="482" w:type="pct"/>
            <w:tcBorders>
              <w:top w:val="nil"/>
              <w:left w:val="double" w:sz="4" w:space="0" w:color="auto"/>
              <w:bottom w:val="nil"/>
              <w:right w:val="double" w:sz="4" w:space="0" w:color="auto"/>
            </w:tcBorders>
            <w:shd w:val="clear" w:color="auto" w:fill="auto"/>
            <w:tcMar>
              <w:left w:w="58" w:type="dxa"/>
              <w:right w:w="58" w:type="dxa"/>
            </w:tcMar>
            <w:vAlign w:val="center"/>
            <w:hideMark/>
          </w:tcPr>
          <w:p w14:paraId="1C625AF9"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 </w:t>
            </w:r>
          </w:p>
        </w:tc>
        <w:tc>
          <w:tcPr>
            <w:tcW w:w="506"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0448CBBE"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 </w:t>
            </w:r>
          </w:p>
        </w:tc>
      </w:tr>
      <w:tr w:rsidR="0024154B" w:rsidRPr="00882FD5" w14:paraId="116DF3A7" w14:textId="77777777" w:rsidTr="00D42297">
        <w:trPr>
          <w:trHeight w:val="288"/>
        </w:trPr>
        <w:tc>
          <w:tcPr>
            <w:tcW w:w="1714"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239836B6" w14:textId="77777777" w:rsidR="0024154B" w:rsidRPr="00882FD5" w:rsidRDefault="0024154B" w:rsidP="0024154B">
            <w:pPr>
              <w:spacing w:before="0" w:line="240" w:lineRule="auto"/>
              <w:ind w:firstLineChars="100" w:firstLine="200"/>
              <w:rPr>
                <w:color w:val="000000"/>
                <w:sz w:val="20"/>
                <w:szCs w:val="20"/>
              </w:rPr>
            </w:pPr>
            <w:r w:rsidRPr="00882FD5">
              <w:rPr>
                <w:color w:val="000000"/>
                <w:sz w:val="20"/>
                <w:szCs w:val="20"/>
                <w:lang w:val="en-IN"/>
              </w:rPr>
              <w:t>Household size 3 or more (Base: Less than 3)</w:t>
            </w:r>
          </w:p>
        </w:tc>
        <w:tc>
          <w:tcPr>
            <w:tcW w:w="365" w:type="pct"/>
            <w:tcBorders>
              <w:top w:val="nil"/>
              <w:left w:val="double" w:sz="4" w:space="0" w:color="auto"/>
              <w:bottom w:val="nil"/>
              <w:right w:val="double" w:sz="4" w:space="0" w:color="auto"/>
            </w:tcBorders>
            <w:shd w:val="clear" w:color="auto" w:fill="auto"/>
            <w:tcMar>
              <w:left w:w="58" w:type="dxa"/>
              <w:right w:w="58" w:type="dxa"/>
            </w:tcMar>
            <w:vAlign w:val="center"/>
            <w:hideMark/>
          </w:tcPr>
          <w:p w14:paraId="2177AC46"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 </w:t>
            </w:r>
          </w:p>
        </w:tc>
        <w:tc>
          <w:tcPr>
            <w:tcW w:w="499" w:type="pct"/>
            <w:tcBorders>
              <w:top w:val="nil"/>
              <w:left w:val="double" w:sz="4" w:space="0" w:color="auto"/>
              <w:bottom w:val="nil"/>
              <w:right w:val="double" w:sz="4" w:space="0" w:color="auto"/>
            </w:tcBorders>
            <w:shd w:val="clear" w:color="auto" w:fill="auto"/>
            <w:tcMar>
              <w:left w:w="58" w:type="dxa"/>
              <w:right w:w="58" w:type="dxa"/>
            </w:tcMar>
            <w:vAlign w:val="center"/>
            <w:hideMark/>
          </w:tcPr>
          <w:p w14:paraId="0718D033"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 xml:space="preserve">0.121 </w:t>
            </w:r>
            <w:proofErr w:type="gramStart"/>
            <w:r w:rsidRPr="00882FD5">
              <w:rPr>
                <w:color w:val="000000"/>
                <w:sz w:val="20"/>
                <w:szCs w:val="20"/>
                <w:lang w:val="en-IN"/>
              </w:rPr>
              <w:t xml:space="preserve">   (</w:t>
            </w:r>
            <w:proofErr w:type="gramEnd"/>
            <w:r w:rsidRPr="00882FD5">
              <w:rPr>
                <w:color w:val="000000"/>
                <w:sz w:val="20"/>
                <w:szCs w:val="20"/>
                <w:lang w:val="en-IN"/>
              </w:rPr>
              <w:t>3.18)</w:t>
            </w:r>
          </w:p>
        </w:tc>
        <w:tc>
          <w:tcPr>
            <w:tcW w:w="469"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5DF7F50A"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w:t>
            </w:r>
          </w:p>
        </w:tc>
        <w:tc>
          <w:tcPr>
            <w:tcW w:w="466"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0C806989"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w:t>
            </w:r>
          </w:p>
        </w:tc>
        <w:tc>
          <w:tcPr>
            <w:tcW w:w="499"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355D6BA3"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w:t>
            </w:r>
          </w:p>
        </w:tc>
        <w:tc>
          <w:tcPr>
            <w:tcW w:w="482"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5BF70EE6"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w:t>
            </w:r>
          </w:p>
        </w:tc>
        <w:tc>
          <w:tcPr>
            <w:tcW w:w="506"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300380B9"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w:t>
            </w:r>
          </w:p>
        </w:tc>
      </w:tr>
      <w:tr w:rsidR="0024154B" w:rsidRPr="00882FD5" w14:paraId="21F11657" w14:textId="77777777" w:rsidTr="00D42297">
        <w:trPr>
          <w:trHeight w:val="288"/>
        </w:trPr>
        <w:tc>
          <w:tcPr>
            <w:tcW w:w="1714"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42291B38" w14:textId="77777777" w:rsidR="0024154B" w:rsidRPr="00882FD5" w:rsidRDefault="0024154B" w:rsidP="0024154B">
            <w:pPr>
              <w:spacing w:before="0" w:line="240" w:lineRule="auto"/>
              <w:ind w:firstLineChars="100" w:firstLine="200"/>
              <w:rPr>
                <w:color w:val="000000"/>
                <w:sz w:val="20"/>
                <w:szCs w:val="20"/>
              </w:rPr>
            </w:pPr>
            <w:r w:rsidRPr="00882FD5">
              <w:rPr>
                <w:color w:val="000000"/>
                <w:sz w:val="20"/>
                <w:szCs w:val="20"/>
                <w:lang w:val="en-IN"/>
              </w:rPr>
              <w:t>Household income (Base: &lt;$50,000)</w:t>
            </w:r>
          </w:p>
        </w:tc>
        <w:tc>
          <w:tcPr>
            <w:tcW w:w="365" w:type="pct"/>
            <w:tcBorders>
              <w:top w:val="nil"/>
              <w:left w:val="double" w:sz="4" w:space="0" w:color="auto"/>
              <w:bottom w:val="nil"/>
              <w:right w:val="double" w:sz="4" w:space="0" w:color="auto"/>
            </w:tcBorders>
            <w:shd w:val="clear" w:color="auto" w:fill="auto"/>
            <w:tcMar>
              <w:left w:w="58" w:type="dxa"/>
              <w:right w:w="58" w:type="dxa"/>
            </w:tcMar>
            <w:vAlign w:val="center"/>
            <w:hideMark/>
          </w:tcPr>
          <w:p w14:paraId="3E060D1C"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 </w:t>
            </w:r>
          </w:p>
        </w:tc>
        <w:tc>
          <w:tcPr>
            <w:tcW w:w="499" w:type="pct"/>
            <w:tcBorders>
              <w:top w:val="nil"/>
              <w:left w:val="double" w:sz="4" w:space="0" w:color="auto"/>
              <w:bottom w:val="nil"/>
              <w:right w:val="double" w:sz="4" w:space="0" w:color="auto"/>
            </w:tcBorders>
            <w:shd w:val="clear" w:color="auto" w:fill="auto"/>
            <w:tcMar>
              <w:left w:w="58" w:type="dxa"/>
              <w:right w:w="58" w:type="dxa"/>
            </w:tcMar>
            <w:vAlign w:val="center"/>
            <w:hideMark/>
          </w:tcPr>
          <w:p w14:paraId="0931B5E1"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 </w:t>
            </w:r>
          </w:p>
        </w:tc>
        <w:tc>
          <w:tcPr>
            <w:tcW w:w="469"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531B2FE2"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 </w:t>
            </w:r>
          </w:p>
        </w:tc>
        <w:tc>
          <w:tcPr>
            <w:tcW w:w="466"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5508E550"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 </w:t>
            </w:r>
          </w:p>
        </w:tc>
        <w:tc>
          <w:tcPr>
            <w:tcW w:w="499"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515223B3"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 </w:t>
            </w:r>
          </w:p>
        </w:tc>
        <w:tc>
          <w:tcPr>
            <w:tcW w:w="482"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57306A9C"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 </w:t>
            </w:r>
          </w:p>
        </w:tc>
        <w:tc>
          <w:tcPr>
            <w:tcW w:w="506"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7776C1AE"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 </w:t>
            </w:r>
          </w:p>
        </w:tc>
      </w:tr>
      <w:tr w:rsidR="0024154B" w:rsidRPr="00882FD5" w14:paraId="4D42D8CA" w14:textId="77777777" w:rsidTr="00D42297">
        <w:trPr>
          <w:trHeight w:val="300"/>
        </w:trPr>
        <w:tc>
          <w:tcPr>
            <w:tcW w:w="1714" w:type="pct"/>
            <w:tcBorders>
              <w:top w:val="nil"/>
              <w:left w:val="double" w:sz="4" w:space="0" w:color="auto"/>
              <w:bottom w:val="single" w:sz="4" w:space="0" w:color="auto"/>
              <w:right w:val="double" w:sz="4" w:space="0" w:color="auto"/>
            </w:tcBorders>
            <w:shd w:val="clear" w:color="auto" w:fill="auto"/>
            <w:noWrap/>
            <w:tcMar>
              <w:left w:w="58" w:type="dxa"/>
              <w:right w:w="58" w:type="dxa"/>
            </w:tcMar>
            <w:vAlign w:val="center"/>
            <w:hideMark/>
          </w:tcPr>
          <w:p w14:paraId="38F2D143" w14:textId="77777777" w:rsidR="0024154B" w:rsidRPr="00882FD5" w:rsidRDefault="0024154B" w:rsidP="0024154B">
            <w:pPr>
              <w:spacing w:before="0" w:line="240" w:lineRule="auto"/>
              <w:ind w:firstLineChars="200" w:firstLine="400"/>
              <w:rPr>
                <w:color w:val="000000"/>
                <w:sz w:val="20"/>
                <w:szCs w:val="20"/>
              </w:rPr>
            </w:pPr>
            <w:r w:rsidRPr="00882FD5">
              <w:rPr>
                <w:color w:val="000000"/>
                <w:sz w:val="20"/>
                <w:szCs w:val="20"/>
                <w:lang w:val="en-IN"/>
              </w:rPr>
              <w:t>Income ≥ $100,000</w:t>
            </w:r>
          </w:p>
        </w:tc>
        <w:tc>
          <w:tcPr>
            <w:tcW w:w="365" w:type="pct"/>
            <w:tcBorders>
              <w:top w:val="nil"/>
              <w:left w:val="double" w:sz="4" w:space="0" w:color="auto"/>
              <w:bottom w:val="single" w:sz="4" w:space="0" w:color="auto"/>
              <w:right w:val="double" w:sz="4" w:space="0" w:color="auto"/>
            </w:tcBorders>
            <w:shd w:val="clear" w:color="auto" w:fill="auto"/>
            <w:tcMar>
              <w:left w:w="58" w:type="dxa"/>
              <w:right w:w="58" w:type="dxa"/>
            </w:tcMar>
            <w:vAlign w:val="center"/>
            <w:hideMark/>
          </w:tcPr>
          <w:p w14:paraId="5652C005"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 </w:t>
            </w:r>
          </w:p>
        </w:tc>
        <w:tc>
          <w:tcPr>
            <w:tcW w:w="499" w:type="pct"/>
            <w:tcBorders>
              <w:top w:val="nil"/>
              <w:left w:val="double" w:sz="4" w:space="0" w:color="auto"/>
              <w:bottom w:val="single" w:sz="4" w:space="0" w:color="auto"/>
              <w:right w:val="double" w:sz="4" w:space="0" w:color="auto"/>
            </w:tcBorders>
            <w:shd w:val="clear" w:color="auto" w:fill="auto"/>
            <w:tcMar>
              <w:left w:w="58" w:type="dxa"/>
              <w:right w:w="58" w:type="dxa"/>
            </w:tcMar>
            <w:vAlign w:val="center"/>
            <w:hideMark/>
          </w:tcPr>
          <w:p w14:paraId="3F9D6100"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 xml:space="preserve">0.098 </w:t>
            </w:r>
            <w:proofErr w:type="gramStart"/>
            <w:r w:rsidRPr="00882FD5">
              <w:rPr>
                <w:color w:val="000000"/>
                <w:sz w:val="20"/>
                <w:szCs w:val="20"/>
                <w:lang w:val="en-IN"/>
              </w:rPr>
              <w:t xml:space="preserve">   (</w:t>
            </w:r>
            <w:proofErr w:type="gramEnd"/>
            <w:r w:rsidRPr="00882FD5">
              <w:rPr>
                <w:color w:val="000000"/>
                <w:sz w:val="20"/>
                <w:szCs w:val="20"/>
                <w:lang w:val="en-IN"/>
              </w:rPr>
              <w:t>1.92)</w:t>
            </w:r>
          </w:p>
        </w:tc>
        <w:tc>
          <w:tcPr>
            <w:tcW w:w="469" w:type="pct"/>
            <w:tcBorders>
              <w:top w:val="nil"/>
              <w:left w:val="double" w:sz="4" w:space="0" w:color="auto"/>
              <w:bottom w:val="single" w:sz="4" w:space="0" w:color="auto"/>
              <w:right w:val="double" w:sz="4" w:space="0" w:color="auto"/>
            </w:tcBorders>
            <w:shd w:val="clear" w:color="auto" w:fill="auto"/>
            <w:tcMar>
              <w:left w:w="58" w:type="dxa"/>
              <w:right w:w="58" w:type="dxa"/>
            </w:tcMar>
            <w:vAlign w:val="center"/>
            <w:hideMark/>
          </w:tcPr>
          <w:p w14:paraId="139F0708"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w:t>
            </w:r>
          </w:p>
        </w:tc>
        <w:tc>
          <w:tcPr>
            <w:tcW w:w="466" w:type="pct"/>
            <w:tcBorders>
              <w:top w:val="nil"/>
              <w:left w:val="double" w:sz="4" w:space="0" w:color="auto"/>
              <w:bottom w:val="single" w:sz="4" w:space="0" w:color="auto"/>
              <w:right w:val="double" w:sz="4" w:space="0" w:color="auto"/>
            </w:tcBorders>
            <w:shd w:val="clear" w:color="auto" w:fill="auto"/>
            <w:tcMar>
              <w:left w:w="58" w:type="dxa"/>
              <w:right w:w="58" w:type="dxa"/>
            </w:tcMar>
            <w:vAlign w:val="center"/>
            <w:hideMark/>
          </w:tcPr>
          <w:p w14:paraId="56DD8310" w14:textId="77777777" w:rsidR="0024154B" w:rsidRPr="00882FD5" w:rsidRDefault="0024154B" w:rsidP="0024154B">
            <w:pPr>
              <w:spacing w:before="0" w:line="240" w:lineRule="auto"/>
              <w:jc w:val="right"/>
              <w:rPr>
                <w:color w:val="000000"/>
                <w:sz w:val="20"/>
                <w:szCs w:val="20"/>
              </w:rPr>
            </w:pPr>
            <w:proofErr w:type="gramStart"/>
            <w:r w:rsidRPr="00882FD5">
              <w:rPr>
                <w:color w:val="000000"/>
                <w:sz w:val="20"/>
                <w:szCs w:val="20"/>
                <w:lang w:val="en-IN"/>
              </w:rPr>
              <w:t>0.068  (</w:t>
            </w:r>
            <w:proofErr w:type="gramEnd"/>
            <w:r w:rsidRPr="00882FD5">
              <w:rPr>
                <w:color w:val="000000"/>
                <w:sz w:val="20"/>
                <w:szCs w:val="20"/>
                <w:lang w:val="en-IN"/>
              </w:rPr>
              <w:t>1.89)</w:t>
            </w:r>
          </w:p>
        </w:tc>
        <w:tc>
          <w:tcPr>
            <w:tcW w:w="499" w:type="pct"/>
            <w:tcBorders>
              <w:top w:val="nil"/>
              <w:left w:val="double" w:sz="4" w:space="0" w:color="auto"/>
              <w:bottom w:val="single" w:sz="4" w:space="0" w:color="auto"/>
              <w:right w:val="double" w:sz="4" w:space="0" w:color="auto"/>
            </w:tcBorders>
            <w:shd w:val="clear" w:color="auto" w:fill="auto"/>
            <w:noWrap/>
            <w:tcMar>
              <w:left w:w="58" w:type="dxa"/>
              <w:right w:w="58" w:type="dxa"/>
            </w:tcMar>
            <w:vAlign w:val="center"/>
            <w:hideMark/>
          </w:tcPr>
          <w:p w14:paraId="0AF9EFC2"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w:t>
            </w:r>
          </w:p>
        </w:tc>
        <w:tc>
          <w:tcPr>
            <w:tcW w:w="482" w:type="pct"/>
            <w:tcBorders>
              <w:top w:val="nil"/>
              <w:left w:val="double" w:sz="4" w:space="0" w:color="auto"/>
              <w:bottom w:val="single" w:sz="4" w:space="0" w:color="auto"/>
              <w:right w:val="double" w:sz="4" w:space="0" w:color="auto"/>
            </w:tcBorders>
            <w:shd w:val="clear" w:color="auto" w:fill="auto"/>
            <w:tcMar>
              <w:left w:w="58" w:type="dxa"/>
              <w:right w:w="58" w:type="dxa"/>
            </w:tcMar>
            <w:vAlign w:val="center"/>
            <w:hideMark/>
          </w:tcPr>
          <w:p w14:paraId="316F8B04" w14:textId="77777777" w:rsidR="0024154B" w:rsidRPr="00882FD5" w:rsidRDefault="0024154B" w:rsidP="0024154B">
            <w:pPr>
              <w:spacing w:before="0" w:line="240" w:lineRule="auto"/>
              <w:jc w:val="right"/>
              <w:rPr>
                <w:color w:val="000000"/>
                <w:sz w:val="20"/>
                <w:szCs w:val="20"/>
              </w:rPr>
            </w:pPr>
            <w:proofErr w:type="gramStart"/>
            <w:r w:rsidRPr="00882FD5">
              <w:rPr>
                <w:color w:val="000000"/>
                <w:sz w:val="20"/>
                <w:szCs w:val="20"/>
                <w:lang w:val="en-IN"/>
              </w:rPr>
              <w:t>0.093  (</w:t>
            </w:r>
            <w:proofErr w:type="gramEnd"/>
            <w:r w:rsidRPr="00882FD5">
              <w:rPr>
                <w:color w:val="000000"/>
                <w:sz w:val="20"/>
                <w:szCs w:val="20"/>
                <w:lang w:val="en-IN"/>
              </w:rPr>
              <w:t>1.98)</w:t>
            </w:r>
          </w:p>
        </w:tc>
        <w:tc>
          <w:tcPr>
            <w:tcW w:w="506" w:type="pct"/>
            <w:tcBorders>
              <w:top w:val="nil"/>
              <w:left w:val="double" w:sz="4" w:space="0" w:color="auto"/>
              <w:bottom w:val="single" w:sz="4" w:space="0" w:color="auto"/>
              <w:right w:val="double" w:sz="4" w:space="0" w:color="auto"/>
            </w:tcBorders>
            <w:shd w:val="clear" w:color="auto" w:fill="auto"/>
            <w:noWrap/>
            <w:tcMar>
              <w:left w:w="58" w:type="dxa"/>
              <w:right w:w="58" w:type="dxa"/>
            </w:tcMar>
            <w:vAlign w:val="center"/>
            <w:hideMark/>
          </w:tcPr>
          <w:p w14:paraId="1F34F25F"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w:t>
            </w:r>
          </w:p>
        </w:tc>
      </w:tr>
      <w:tr w:rsidR="0024154B" w:rsidRPr="00882FD5" w14:paraId="0C13359C" w14:textId="77777777" w:rsidTr="00D42297">
        <w:trPr>
          <w:trHeight w:val="288"/>
        </w:trPr>
        <w:tc>
          <w:tcPr>
            <w:tcW w:w="1714" w:type="pct"/>
            <w:tcBorders>
              <w:top w:val="single" w:sz="4" w:space="0" w:color="auto"/>
              <w:left w:val="double" w:sz="4" w:space="0" w:color="auto"/>
              <w:bottom w:val="nil"/>
              <w:right w:val="double" w:sz="4" w:space="0" w:color="auto"/>
            </w:tcBorders>
            <w:shd w:val="clear" w:color="auto" w:fill="auto"/>
            <w:noWrap/>
            <w:tcMar>
              <w:left w:w="58" w:type="dxa"/>
              <w:right w:w="58" w:type="dxa"/>
            </w:tcMar>
            <w:vAlign w:val="center"/>
            <w:hideMark/>
          </w:tcPr>
          <w:p w14:paraId="188392A7" w14:textId="77777777" w:rsidR="0024154B" w:rsidRPr="00882FD5" w:rsidRDefault="0024154B" w:rsidP="0024154B">
            <w:pPr>
              <w:spacing w:before="0" w:line="240" w:lineRule="auto"/>
              <w:rPr>
                <w:b/>
                <w:bCs/>
                <w:i/>
                <w:color w:val="000000"/>
                <w:sz w:val="20"/>
                <w:szCs w:val="20"/>
              </w:rPr>
            </w:pPr>
            <w:r w:rsidRPr="00882FD5">
              <w:rPr>
                <w:b/>
                <w:bCs/>
                <w:i/>
                <w:color w:val="000000"/>
                <w:sz w:val="20"/>
                <w:szCs w:val="20"/>
                <w:lang w:val="en-IN"/>
              </w:rPr>
              <w:t>Trip level attributes</w:t>
            </w:r>
          </w:p>
        </w:tc>
        <w:tc>
          <w:tcPr>
            <w:tcW w:w="365" w:type="pct"/>
            <w:tcBorders>
              <w:top w:val="single" w:sz="4" w:space="0" w:color="auto"/>
              <w:left w:val="double" w:sz="4" w:space="0" w:color="auto"/>
              <w:bottom w:val="nil"/>
              <w:right w:val="double" w:sz="4" w:space="0" w:color="auto"/>
            </w:tcBorders>
            <w:shd w:val="clear" w:color="auto" w:fill="auto"/>
            <w:tcMar>
              <w:left w:w="58" w:type="dxa"/>
              <w:right w:w="58" w:type="dxa"/>
            </w:tcMar>
            <w:vAlign w:val="center"/>
            <w:hideMark/>
          </w:tcPr>
          <w:p w14:paraId="0A9DDF45"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 </w:t>
            </w:r>
          </w:p>
        </w:tc>
        <w:tc>
          <w:tcPr>
            <w:tcW w:w="499" w:type="pct"/>
            <w:tcBorders>
              <w:top w:val="single" w:sz="4" w:space="0" w:color="auto"/>
              <w:left w:val="double" w:sz="4" w:space="0" w:color="auto"/>
              <w:bottom w:val="nil"/>
              <w:right w:val="double" w:sz="4" w:space="0" w:color="auto"/>
            </w:tcBorders>
            <w:shd w:val="clear" w:color="auto" w:fill="auto"/>
            <w:tcMar>
              <w:left w:w="58" w:type="dxa"/>
              <w:right w:w="58" w:type="dxa"/>
            </w:tcMar>
            <w:vAlign w:val="center"/>
            <w:hideMark/>
          </w:tcPr>
          <w:p w14:paraId="658B224C"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 </w:t>
            </w:r>
          </w:p>
        </w:tc>
        <w:tc>
          <w:tcPr>
            <w:tcW w:w="469" w:type="pct"/>
            <w:tcBorders>
              <w:top w:val="single" w:sz="4" w:space="0" w:color="auto"/>
              <w:left w:val="double" w:sz="4" w:space="0" w:color="auto"/>
              <w:bottom w:val="nil"/>
              <w:right w:val="double" w:sz="4" w:space="0" w:color="auto"/>
            </w:tcBorders>
            <w:shd w:val="clear" w:color="auto" w:fill="auto"/>
            <w:tcMar>
              <w:left w:w="58" w:type="dxa"/>
              <w:right w:w="58" w:type="dxa"/>
            </w:tcMar>
            <w:vAlign w:val="center"/>
            <w:hideMark/>
          </w:tcPr>
          <w:p w14:paraId="25AF9B59"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 </w:t>
            </w:r>
          </w:p>
        </w:tc>
        <w:tc>
          <w:tcPr>
            <w:tcW w:w="466" w:type="pct"/>
            <w:tcBorders>
              <w:top w:val="single" w:sz="4" w:space="0" w:color="auto"/>
              <w:left w:val="double" w:sz="4" w:space="0" w:color="auto"/>
              <w:bottom w:val="nil"/>
              <w:right w:val="double" w:sz="4" w:space="0" w:color="auto"/>
            </w:tcBorders>
            <w:shd w:val="clear" w:color="auto" w:fill="auto"/>
            <w:tcMar>
              <w:left w:w="58" w:type="dxa"/>
              <w:right w:w="58" w:type="dxa"/>
            </w:tcMar>
            <w:vAlign w:val="center"/>
            <w:hideMark/>
          </w:tcPr>
          <w:p w14:paraId="5CE761B9"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 </w:t>
            </w:r>
          </w:p>
        </w:tc>
        <w:tc>
          <w:tcPr>
            <w:tcW w:w="499" w:type="pct"/>
            <w:tcBorders>
              <w:top w:val="single" w:sz="4" w:space="0" w:color="auto"/>
              <w:left w:val="double" w:sz="4" w:space="0" w:color="auto"/>
              <w:bottom w:val="nil"/>
              <w:right w:val="double" w:sz="4" w:space="0" w:color="auto"/>
            </w:tcBorders>
            <w:shd w:val="clear" w:color="auto" w:fill="auto"/>
            <w:noWrap/>
            <w:tcMar>
              <w:left w:w="58" w:type="dxa"/>
              <w:right w:w="58" w:type="dxa"/>
            </w:tcMar>
            <w:vAlign w:val="center"/>
            <w:hideMark/>
          </w:tcPr>
          <w:p w14:paraId="339CDF7B"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 </w:t>
            </w:r>
          </w:p>
        </w:tc>
        <w:tc>
          <w:tcPr>
            <w:tcW w:w="482" w:type="pct"/>
            <w:tcBorders>
              <w:top w:val="single" w:sz="4" w:space="0" w:color="auto"/>
              <w:left w:val="double" w:sz="4" w:space="0" w:color="auto"/>
              <w:bottom w:val="nil"/>
              <w:right w:val="double" w:sz="4" w:space="0" w:color="auto"/>
            </w:tcBorders>
            <w:shd w:val="clear" w:color="auto" w:fill="auto"/>
            <w:tcMar>
              <w:left w:w="58" w:type="dxa"/>
              <w:right w:w="58" w:type="dxa"/>
            </w:tcMar>
            <w:vAlign w:val="center"/>
            <w:hideMark/>
          </w:tcPr>
          <w:p w14:paraId="24365364"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 </w:t>
            </w:r>
          </w:p>
        </w:tc>
        <w:tc>
          <w:tcPr>
            <w:tcW w:w="506" w:type="pct"/>
            <w:tcBorders>
              <w:top w:val="single" w:sz="4" w:space="0" w:color="auto"/>
              <w:left w:val="double" w:sz="4" w:space="0" w:color="auto"/>
              <w:bottom w:val="nil"/>
              <w:right w:val="double" w:sz="4" w:space="0" w:color="auto"/>
            </w:tcBorders>
            <w:shd w:val="clear" w:color="auto" w:fill="auto"/>
            <w:noWrap/>
            <w:tcMar>
              <w:left w:w="58" w:type="dxa"/>
              <w:right w:w="58" w:type="dxa"/>
            </w:tcMar>
            <w:vAlign w:val="center"/>
            <w:hideMark/>
          </w:tcPr>
          <w:p w14:paraId="5329F7C5"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 </w:t>
            </w:r>
          </w:p>
        </w:tc>
      </w:tr>
      <w:tr w:rsidR="0024154B" w:rsidRPr="00882FD5" w14:paraId="5C45C9E6" w14:textId="77777777" w:rsidTr="00D42297">
        <w:trPr>
          <w:trHeight w:val="288"/>
        </w:trPr>
        <w:tc>
          <w:tcPr>
            <w:tcW w:w="1714"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57FC4A82" w14:textId="77777777" w:rsidR="0024154B" w:rsidRPr="00882FD5" w:rsidRDefault="0024154B" w:rsidP="0024154B">
            <w:pPr>
              <w:spacing w:before="0" w:line="240" w:lineRule="auto"/>
              <w:ind w:firstLineChars="100" w:firstLine="200"/>
              <w:rPr>
                <w:color w:val="000000"/>
                <w:sz w:val="20"/>
                <w:szCs w:val="20"/>
              </w:rPr>
            </w:pPr>
            <w:r w:rsidRPr="00882FD5">
              <w:rPr>
                <w:color w:val="000000"/>
                <w:sz w:val="20"/>
                <w:szCs w:val="20"/>
                <w:lang w:val="en-IN"/>
              </w:rPr>
              <w:t>Trip purpose (Base: Eat-out)</w:t>
            </w:r>
          </w:p>
        </w:tc>
        <w:tc>
          <w:tcPr>
            <w:tcW w:w="365" w:type="pct"/>
            <w:tcBorders>
              <w:top w:val="nil"/>
              <w:left w:val="double" w:sz="4" w:space="0" w:color="auto"/>
              <w:bottom w:val="nil"/>
              <w:right w:val="double" w:sz="4" w:space="0" w:color="auto"/>
            </w:tcBorders>
            <w:shd w:val="clear" w:color="auto" w:fill="auto"/>
            <w:tcMar>
              <w:left w:w="58" w:type="dxa"/>
              <w:right w:w="58" w:type="dxa"/>
            </w:tcMar>
            <w:vAlign w:val="center"/>
            <w:hideMark/>
          </w:tcPr>
          <w:p w14:paraId="04C336D8"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 </w:t>
            </w:r>
          </w:p>
        </w:tc>
        <w:tc>
          <w:tcPr>
            <w:tcW w:w="499" w:type="pct"/>
            <w:tcBorders>
              <w:top w:val="nil"/>
              <w:left w:val="double" w:sz="4" w:space="0" w:color="auto"/>
              <w:bottom w:val="nil"/>
              <w:right w:val="double" w:sz="4" w:space="0" w:color="auto"/>
            </w:tcBorders>
            <w:shd w:val="clear" w:color="auto" w:fill="auto"/>
            <w:tcMar>
              <w:left w:w="58" w:type="dxa"/>
              <w:right w:w="58" w:type="dxa"/>
            </w:tcMar>
            <w:vAlign w:val="center"/>
            <w:hideMark/>
          </w:tcPr>
          <w:p w14:paraId="501BB93C"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 </w:t>
            </w:r>
          </w:p>
        </w:tc>
        <w:tc>
          <w:tcPr>
            <w:tcW w:w="469"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529E188C"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 </w:t>
            </w:r>
          </w:p>
        </w:tc>
        <w:tc>
          <w:tcPr>
            <w:tcW w:w="466"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1620A654"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 </w:t>
            </w:r>
          </w:p>
        </w:tc>
        <w:tc>
          <w:tcPr>
            <w:tcW w:w="499"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7D999477"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 </w:t>
            </w:r>
          </w:p>
        </w:tc>
        <w:tc>
          <w:tcPr>
            <w:tcW w:w="482"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07E1A307"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 </w:t>
            </w:r>
          </w:p>
        </w:tc>
        <w:tc>
          <w:tcPr>
            <w:tcW w:w="506"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7637F884"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 </w:t>
            </w:r>
          </w:p>
        </w:tc>
      </w:tr>
      <w:tr w:rsidR="0024154B" w:rsidRPr="00882FD5" w14:paraId="3655DDD2" w14:textId="77777777" w:rsidTr="00D42297">
        <w:trPr>
          <w:trHeight w:val="288"/>
        </w:trPr>
        <w:tc>
          <w:tcPr>
            <w:tcW w:w="1714"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7C5F76C2" w14:textId="77777777" w:rsidR="0024154B" w:rsidRPr="00882FD5" w:rsidRDefault="0024154B" w:rsidP="0024154B">
            <w:pPr>
              <w:spacing w:before="0" w:line="240" w:lineRule="auto"/>
              <w:ind w:firstLineChars="300" w:firstLine="600"/>
              <w:rPr>
                <w:color w:val="000000"/>
                <w:sz w:val="20"/>
                <w:szCs w:val="20"/>
              </w:rPr>
            </w:pPr>
            <w:r w:rsidRPr="00882FD5">
              <w:rPr>
                <w:color w:val="000000"/>
                <w:sz w:val="20"/>
                <w:szCs w:val="20"/>
                <w:lang w:val="en-IN"/>
              </w:rPr>
              <w:t>Shopping purpose</w:t>
            </w:r>
          </w:p>
        </w:tc>
        <w:tc>
          <w:tcPr>
            <w:tcW w:w="365" w:type="pct"/>
            <w:tcBorders>
              <w:top w:val="nil"/>
              <w:left w:val="double" w:sz="4" w:space="0" w:color="auto"/>
              <w:bottom w:val="nil"/>
              <w:right w:val="double" w:sz="4" w:space="0" w:color="auto"/>
            </w:tcBorders>
            <w:shd w:val="clear" w:color="auto" w:fill="auto"/>
            <w:tcMar>
              <w:left w:w="58" w:type="dxa"/>
              <w:right w:w="58" w:type="dxa"/>
            </w:tcMar>
            <w:vAlign w:val="center"/>
            <w:hideMark/>
          </w:tcPr>
          <w:p w14:paraId="755BFA7E"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 </w:t>
            </w:r>
          </w:p>
        </w:tc>
        <w:tc>
          <w:tcPr>
            <w:tcW w:w="499" w:type="pct"/>
            <w:tcBorders>
              <w:top w:val="nil"/>
              <w:left w:val="double" w:sz="4" w:space="0" w:color="auto"/>
              <w:bottom w:val="nil"/>
              <w:right w:val="double" w:sz="4" w:space="0" w:color="auto"/>
            </w:tcBorders>
            <w:shd w:val="clear" w:color="auto" w:fill="auto"/>
            <w:tcMar>
              <w:left w:w="58" w:type="dxa"/>
              <w:right w:w="58" w:type="dxa"/>
            </w:tcMar>
            <w:vAlign w:val="center"/>
            <w:hideMark/>
          </w:tcPr>
          <w:p w14:paraId="64A5A417"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 xml:space="preserve">0.193 </w:t>
            </w:r>
            <w:proofErr w:type="gramStart"/>
            <w:r w:rsidRPr="00882FD5">
              <w:rPr>
                <w:color w:val="000000"/>
                <w:sz w:val="20"/>
                <w:szCs w:val="20"/>
                <w:lang w:val="en-IN"/>
              </w:rPr>
              <w:t xml:space="preserve">   (</w:t>
            </w:r>
            <w:proofErr w:type="gramEnd"/>
            <w:r w:rsidRPr="00882FD5">
              <w:rPr>
                <w:color w:val="000000"/>
                <w:sz w:val="20"/>
                <w:szCs w:val="20"/>
                <w:lang w:val="en-IN"/>
              </w:rPr>
              <w:t>1.97)</w:t>
            </w:r>
          </w:p>
        </w:tc>
        <w:tc>
          <w:tcPr>
            <w:tcW w:w="469"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4194EAFC"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w:t>
            </w:r>
          </w:p>
        </w:tc>
        <w:tc>
          <w:tcPr>
            <w:tcW w:w="466"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09079D37" w14:textId="77777777" w:rsidR="0024154B" w:rsidRPr="00882FD5" w:rsidRDefault="0024154B" w:rsidP="0024154B">
            <w:pPr>
              <w:spacing w:before="0" w:line="240" w:lineRule="auto"/>
              <w:jc w:val="right"/>
              <w:rPr>
                <w:color w:val="000000"/>
                <w:sz w:val="20"/>
                <w:szCs w:val="20"/>
              </w:rPr>
            </w:pPr>
            <w:proofErr w:type="gramStart"/>
            <w:r w:rsidRPr="00882FD5">
              <w:rPr>
                <w:color w:val="000000"/>
                <w:sz w:val="20"/>
                <w:szCs w:val="20"/>
                <w:lang w:val="en-IN"/>
              </w:rPr>
              <w:t>0.080  (</w:t>
            </w:r>
            <w:proofErr w:type="gramEnd"/>
            <w:r w:rsidRPr="00882FD5">
              <w:rPr>
                <w:color w:val="000000"/>
                <w:sz w:val="20"/>
                <w:szCs w:val="20"/>
                <w:lang w:val="en-IN"/>
              </w:rPr>
              <w:t>2.34)</w:t>
            </w:r>
          </w:p>
        </w:tc>
        <w:tc>
          <w:tcPr>
            <w:tcW w:w="499"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04270E64"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w:t>
            </w:r>
          </w:p>
        </w:tc>
        <w:tc>
          <w:tcPr>
            <w:tcW w:w="482" w:type="pct"/>
            <w:tcBorders>
              <w:top w:val="nil"/>
              <w:left w:val="double" w:sz="4" w:space="0" w:color="auto"/>
              <w:right w:val="double" w:sz="4" w:space="0" w:color="auto"/>
            </w:tcBorders>
            <w:shd w:val="clear" w:color="auto" w:fill="auto"/>
            <w:tcMar>
              <w:left w:w="58" w:type="dxa"/>
              <w:right w:w="58" w:type="dxa"/>
            </w:tcMar>
            <w:vAlign w:val="center"/>
            <w:hideMark/>
          </w:tcPr>
          <w:p w14:paraId="695FC9C6" w14:textId="77777777" w:rsidR="0024154B" w:rsidRPr="00882FD5" w:rsidRDefault="0024154B" w:rsidP="0024154B">
            <w:pPr>
              <w:spacing w:before="0" w:line="240" w:lineRule="auto"/>
              <w:jc w:val="right"/>
              <w:rPr>
                <w:color w:val="000000"/>
                <w:sz w:val="20"/>
                <w:szCs w:val="20"/>
              </w:rPr>
            </w:pPr>
            <w:proofErr w:type="gramStart"/>
            <w:r w:rsidRPr="00882FD5">
              <w:rPr>
                <w:color w:val="000000"/>
                <w:sz w:val="20"/>
                <w:szCs w:val="20"/>
                <w:lang w:val="en-IN"/>
              </w:rPr>
              <w:t>0.011  (</w:t>
            </w:r>
            <w:proofErr w:type="gramEnd"/>
            <w:r w:rsidRPr="00882FD5">
              <w:rPr>
                <w:color w:val="000000"/>
                <w:sz w:val="20"/>
                <w:szCs w:val="20"/>
                <w:lang w:val="en-IN"/>
              </w:rPr>
              <w:t>2.01)</w:t>
            </w:r>
          </w:p>
        </w:tc>
        <w:tc>
          <w:tcPr>
            <w:tcW w:w="506"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1ACC9AA8"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w:t>
            </w:r>
          </w:p>
        </w:tc>
      </w:tr>
      <w:tr w:rsidR="0024154B" w:rsidRPr="00882FD5" w14:paraId="296070CA" w14:textId="77777777" w:rsidTr="00D42297">
        <w:trPr>
          <w:trHeight w:val="300"/>
        </w:trPr>
        <w:tc>
          <w:tcPr>
            <w:tcW w:w="1714"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172BA35F" w14:textId="77777777" w:rsidR="0024154B" w:rsidRPr="00882FD5" w:rsidRDefault="0024154B" w:rsidP="0024154B">
            <w:pPr>
              <w:spacing w:before="0" w:line="240" w:lineRule="auto"/>
              <w:ind w:firstLineChars="300" w:firstLine="600"/>
              <w:rPr>
                <w:color w:val="000000"/>
                <w:sz w:val="20"/>
                <w:szCs w:val="20"/>
              </w:rPr>
            </w:pPr>
            <w:r w:rsidRPr="00882FD5">
              <w:rPr>
                <w:color w:val="000000"/>
                <w:sz w:val="20"/>
                <w:szCs w:val="20"/>
                <w:lang w:val="en-IN"/>
              </w:rPr>
              <w:t>Airport-access purpose</w:t>
            </w:r>
          </w:p>
        </w:tc>
        <w:tc>
          <w:tcPr>
            <w:tcW w:w="365" w:type="pct"/>
            <w:tcBorders>
              <w:top w:val="nil"/>
              <w:left w:val="double" w:sz="4" w:space="0" w:color="auto"/>
              <w:bottom w:val="nil"/>
              <w:right w:val="double" w:sz="4" w:space="0" w:color="auto"/>
            </w:tcBorders>
            <w:shd w:val="clear" w:color="auto" w:fill="auto"/>
            <w:tcMar>
              <w:left w:w="58" w:type="dxa"/>
              <w:right w:w="58" w:type="dxa"/>
            </w:tcMar>
            <w:vAlign w:val="center"/>
            <w:hideMark/>
          </w:tcPr>
          <w:p w14:paraId="00274470"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 </w:t>
            </w:r>
          </w:p>
        </w:tc>
        <w:tc>
          <w:tcPr>
            <w:tcW w:w="499" w:type="pct"/>
            <w:tcBorders>
              <w:top w:val="nil"/>
              <w:left w:val="double" w:sz="4" w:space="0" w:color="auto"/>
              <w:bottom w:val="nil"/>
              <w:right w:val="double" w:sz="4" w:space="0" w:color="auto"/>
            </w:tcBorders>
            <w:shd w:val="clear" w:color="auto" w:fill="auto"/>
            <w:tcMar>
              <w:left w:w="58" w:type="dxa"/>
              <w:right w:w="58" w:type="dxa"/>
            </w:tcMar>
            <w:vAlign w:val="center"/>
            <w:hideMark/>
          </w:tcPr>
          <w:p w14:paraId="7D7936C1"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 xml:space="preserve">0.459 </w:t>
            </w:r>
            <w:proofErr w:type="gramStart"/>
            <w:r w:rsidRPr="00882FD5">
              <w:rPr>
                <w:color w:val="000000"/>
                <w:sz w:val="20"/>
                <w:szCs w:val="20"/>
                <w:lang w:val="en-IN"/>
              </w:rPr>
              <w:t xml:space="preserve">   (</w:t>
            </w:r>
            <w:proofErr w:type="gramEnd"/>
            <w:r w:rsidRPr="00882FD5">
              <w:rPr>
                <w:color w:val="000000"/>
                <w:sz w:val="20"/>
                <w:szCs w:val="20"/>
                <w:lang w:val="en-IN"/>
              </w:rPr>
              <w:t>4.17)</w:t>
            </w:r>
          </w:p>
        </w:tc>
        <w:tc>
          <w:tcPr>
            <w:tcW w:w="469"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2E36818D"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w:t>
            </w:r>
          </w:p>
        </w:tc>
        <w:tc>
          <w:tcPr>
            <w:tcW w:w="466" w:type="pct"/>
            <w:tcBorders>
              <w:top w:val="nil"/>
              <w:left w:val="double" w:sz="4" w:space="0" w:color="auto"/>
              <w:bottom w:val="nil"/>
              <w:right w:val="double" w:sz="4" w:space="0" w:color="auto"/>
            </w:tcBorders>
            <w:shd w:val="clear" w:color="auto" w:fill="auto"/>
            <w:tcMar>
              <w:left w:w="58" w:type="dxa"/>
              <w:right w:w="58" w:type="dxa"/>
            </w:tcMar>
            <w:vAlign w:val="center"/>
            <w:hideMark/>
          </w:tcPr>
          <w:p w14:paraId="7C14D49D" w14:textId="77777777" w:rsidR="0024154B" w:rsidRPr="00882FD5" w:rsidRDefault="0024154B" w:rsidP="0024154B">
            <w:pPr>
              <w:spacing w:before="0" w:line="240" w:lineRule="auto"/>
              <w:jc w:val="right"/>
              <w:rPr>
                <w:color w:val="000000"/>
                <w:sz w:val="20"/>
                <w:szCs w:val="20"/>
              </w:rPr>
            </w:pPr>
            <w:r w:rsidRPr="00882FD5">
              <w:rPr>
                <w:color w:val="000000"/>
                <w:sz w:val="20"/>
                <w:szCs w:val="20"/>
              </w:rPr>
              <w:t>0.101  (2.00)</w:t>
            </w:r>
          </w:p>
        </w:tc>
        <w:tc>
          <w:tcPr>
            <w:tcW w:w="499"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462D756F"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w:t>
            </w:r>
          </w:p>
        </w:tc>
        <w:tc>
          <w:tcPr>
            <w:tcW w:w="482" w:type="pct"/>
            <w:tcBorders>
              <w:top w:val="nil"/>
              <w:left w:val="double" w:sz="4" w:space="0" w:color="auto"/>
              <w:right w:val="double" w:sz="4" w:space="0" w:color="auto"/>
            </w:tcBorders>
            <w:shd w:val="clear" w:color="auto" w:fill="auto"/>
            <w:tcMar>
              <w:left w:w="58" w:type="dxa"/>
              <w:right w:w="58" w:type="dxa"/>
            </w:tcMar>
            <w:vAlign w:val="center"/>
            <w:hideMark/>
          </w:tcPr>
          <w:p w14:paraId="58FEFA77" w14:textId="77777777" w:rsidR="0024154B" w:rsidRPr="00882FD5" w:rsidRDefault="0024154B" w:rsidP="0024154B">
            <w:pPr>
              <w:spacing w:before="0" w:line="240" w:lineRule="auto"/>
              <w:jc w:val="right"/>
              <w:rPr>
                <w:color w:val="000000"/>
                <w:sz w:val="20"/>
                <w:szCs w:val="20"/>
              </w:rPr>
            </w:pPr>
            <w:proofErr w:type="gramStart"/>
            <w:r w:rsidRPr="00882FD5">
              <w:rPr>
                <w:color w:val="000000"/>
                <w:sz w:val="20"/>
                <w:szCs w:val="20"/>
                <w:lang w:val="en-IN"/>
              </w:rPr>
              <w:t>0.083  (</w:t>
            </w:r>
            <w:proofErr w:type="gramEnd"/>
            <w:r w:rsidRPr="00882FD5">
              <w:rPr>
                <w:color w:val="000000"/>
                <w:sz w:val="20"/>
                <w:szCs w:val="20"/>
                <w:lang w:val="en-IN"/>
              </w:rPr>
              <w:t>1.97)</w:t>
            </w:r>
          </w:p>
        </w:tc>
        <w:tc>
          <w:tcPr>
            <w:tcW w:w="506" w:type="pct"/>
            <w:tcBorders>
              <w:top w:val="nil"/>
              <w:left w:val="double" w:sz="4" w:space="0" w:color="auto"/>
              <w:right w:val="double" w:sz="4" w:space="0" w:color="auto"/>
            </w:tcBorders>
            <w:shd w:val="clear" w:color="auto" w:fill="auto"/>
            <w:noWrap/>
            <w:tcMar>
              <w:left w:w="58" w:type="dxa"/>
              <w:right w:w="58" w:type="dxa"/>
            </w:tcMar>
            <w:vAlign w:val="center"/>
            <w:hideMark/>
          </w:tcPr>
          <w:p w14:paraId="48DB8A96"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w:t>
            </w:r>
          </w:p>
        </w:tc>
      </w:tr>
      <w:tr w:rsidR="0024154B" w:rsidRPr="00882FD5" w14:paraId="086D3928" w14:textId="77777777" w:rsidTr="00D42297">
        <w:trPr>
          <w:trHeight w:val="396"/>
        </w:trPr>
        <w:tc>
          <w:tcPr>
            <w:tcW w:w="1714"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73D3B61E" w14:textId="77777777" w:rsidR="0024154B" w:rsidRPr="00882FD5" w:rsidRDefault="0024154B" w:rsidP="0024154B">
            <w:pPr>
              <w:spacing w:before="0" w:line="240" w:lineRule="auto"/>
              <w:ind w:firstLineChars="300" w:firstLine="600"/>
              <w:rPr>
                <w:color w:val="000000"/>
                <w:sz w:val="20"/>
                <w:szCs w:val="20"/>
              </w:rPr>
            </w:pPr>
            <w:r w:rsidRPr="00882FD5">
              <w:rPr>
                <w:color w:val="000000"/>
                <w:sz w:val="20"/>
                <w:szCs w:val="20"/>
                <w:lang w:val="en-IN"/>
              </w:rPr>
              <w:t>Social purpose</w:t>
            </w:r>
          </w:p>
        </w:tc>
        <w:tc>
          <w:tcPr>
            <w:tcW w:w="365" w:type="pct"/>
            <w:tcBorders>
              <w:top w:val="nil"/>
              <w:left w:val="double" w:sz="4" w:space="0" w:color="auto"/>
              <w:bottom w:val="single" w:sz="4" w:space="0" w:color="auto"/>
              <w:right w:val="double" w:sz="4" w:space="0" w:color="auto"/>
            </w:tcBorders>
            <w:shd w:val="clear" w:color="auto" w:fill="auto"/>
            <w:tcMar>
              <w:left w:w="58" w:type="dxa"/>
              <w:right w:w="58" w:type="dxa"/>
            </w:tcMar>
            <w:vAlign w:val="center"/>
            <w:hideMark/>
          </w:tcPr>
          <w:p w14:paraId="1BFE9AB5"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 </w:t>
            </w:r>
          </w:p>
        </w:tc>
        <w:tc>
          <w:tcPr>
            <w:tcW w:w="499" w:type="pct"/>
            <w:tcBorders>
              <w:top w:val="nil"/>
              <w:left w:val="double" w:sz="4" w:space="0" w:color="auto"/>
              <w:bottom w:val="single" w:sz="4" w:space="0" w:color="auto"/>
              <w:right w:val="double" w:sz="4" w:space="0" w:color="auto"/>
            </w:tcBorders>
            <w:shd w:val="clear" w:color="auto" w:fill="auto"/>
            <w:tcMar>
              <w:left w:w="58" w:type="dxa"/>
              <w:right w:w="58" w:type="dxa"/>
            </w:tcMar>
            <w:vAlign w:val="center"/>
            <w:hideMark/>
          </w:tcPr>
          <w:p w14:paraId="1181C455"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 xml:space="preserve">0.224 </w:t>
            </w:r>
            <w:proofErr w:type="gramStart"/>
            <w:r w:rsidRPr="00882FD5">
              <w:rPr>
                <w:color w:val="000000"/>
                <w:sz w:val="20"/>
                <w:szCs w:val="20"/>
                <w:lang w:val="en-IN"/>
              </w:rPr>
              <w:t xml:space="preserve">   (</w:t>
            </w:r>
            <w:proofErr w:type="gramEnd"/>
            <w:r w:rsidRPr="00882FD5">
              <w:rPr>
                <w:color w:val="000000"/>
                <w:sz w:val="20"/>
                <w:szCs w:val="20"/>
                <w:lang w:val="en-IN"/>
              </w:rPr>
              <w:t>2.84)</w:t>
            </w:r>
          </w:p>
        </w:tc>
        <w:tc>
          <w:tcPr>
            <w:tcW w:w="469" w:type="pct"/>
            <w:tcBorders>
              <w:top w:val="nil"/>
              <w:left w:val="double" w:sz="4" w:space="0" w:color="auto"/>
              <w:bottom w:val="single" w:sz="4" w:space="0" w:color="auto"/>
              <w:right w:val="double" w:sz="4" w:space="0" w:color="auto"/>
            </w:tcBorders>
            <w:shd w:val="clear" w:color="auto" w:fill="auto"/>
            <w:tcMar>
              <w:left w:w="58" w:type="dxa"/>
              <w:right w:w="58" w:type="dxa"/>
            </w:tcMar>
            <w:vAlign w:val="center"/>
            <w:hideMark/>
          </w:tcPr>
          <w:p w14:paraId="3A55BBA8" w14:textId="77777777" w:rsidR="0024154B" w:rsidRPr="00882FD5" w:rsidRDefault="0024154B" w:rsidP="0024154B">
            <w:pPr>
              <w:spacing w:before="0" w:line="240" w:lineRule="auto"/>
              <w:jc w:val="right"/>
              <w:rPr>
                <w:color w:val="000000"/>
                <w:sz w:val="20"/>
                <w:szCs w:val="20"/>
              </w:rPr>
            </w:pPr>
            <w:r w:rsidRPr="00882FD5">
              <w:rPr>
                <w:color w:val="000000"/>
                <w:sz w:val="20"/>
                <w:szCs w:val="20"/>
              </w:rPr>
              <w:t> </w:t>
            </w:r>
          </w:p>
        </w:tc>
        <w:tc>
          <w:tcPr>
            <w:tcW w:w="466" w:type="pct"/>
            <w:tcBorders>
              <w:top w:val="nil"/>
              <w:left w:val="double" w:sz="4" w:space="0" w:color="auto"/>
              <w:bottom w:val="single" w:sz="4" w:space="0" w:color="auto"/>
              <w:right w:val="double" w:sz="4" w:space="0" w:color="auto"/>
            </w:tcBorders>
            <w:shd w:val="clear" w:color="auto" w:fill="auto"/>
            <w:noWrap/>
            <w:tcMar>
              <w:left w:w="58" w:type="dxa"/>
              <w:right w:w="58" w:type="dxa"/>
            </w:tcMar>
            <w:vAlign w:val="center"/>
            <w:hideMark/>
          </w:tcPr>
          <w:p w14:paraId="060D0084"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w:t>
            </w:r>
          </w:p>
        </w:tc>
        <w:tc>
          <w:tcPr>
            <w:tcW w:w="499" w:type="pct"/>
            <w:tcBorders>
              <w:top w:val="nil"/>
              <w:left w:val="double" w:sz="4" w:space="0" w:color="auto"/>
              <w:bottom w:val="single" w:sz="4" w:space="0" w:color="auto"/>
              <w:right w:val="double" w:sz="4" w:space="0" w:color="auto"/>
            </w:tcBorders>
            <w:shd w:val="clear" w:color="auto" w:fill="auto"/>
            <w:noWrap/>
            <w:tcMar>
              <w:left w:w="58" w:type="dxa"/>
              <w:right w:w="58" w:type="dxa"/>
            </w:tcMar>
            <w:vAlign w:val="center"/>
            <w:hideMark/>
          </w:tcPr>
          <w:p w14:paraId="3BD96B52"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w:t>
            </w:r>
          </w:p>
        </w:tc>
        <w:tc>
          <w:tcPr>
            <w:tcW w:w="482" w:type="pct"/>
            <w:tcBorders>
              <w:left w:val="double" w:sz="4" w:space="0" w:color="auto"/>
              <w:bottom w:val="single" w:sz="4" w:space="0" w:color="auto"/>
              <w:right w:val="double" w:sz="4" w:space="0" w:color="auto"/>
            </w:tcBorders>
            <w:shd w:val="clear" w:color="auto" w:fill="auto"/>
            <w:noWrap/>
            <w:tcMar>
              <w:left w:w="58" w:type="dxa"/>
              <w:right w:w="58" w:type="dxa"/>
            </w:tcMar>
            <w:vAlign w:val="center"/>
            <w:hideMark/>
          </w:tcPr>
          <w:p w14:paraId="1EF6F871" w14:textId="77777777" w:rsidR="0024154B" w:rsidRPr="00882FD5" w:rsidRDefault="0024154B" w:rsidP="0024154B">
            <w:pPr>
              <w:spacing w:before="0" w:line="240" w:lineRule="auto"/>
              <w:jc w:val="right"/>
              <w:rPr>
                <w:color w:val="000000"/>
                <w:sz w:val="20"/>
                <w:szCs w:val="20"/>
              </w:rPr>
            </w:pPr>
          </w:p>
        </w:tc>
        <w:tc>
          <w:tcPr>
            <w:tcW w:w="506" w:type="pct"/>
            <w:tcBorders>
              <w:top w:val="nil"/>
              <w:left w:val="double" w:sz="4" w:space="0" w:color="auto"/>
              <w:bottom w:val="single" w:sz="4" w:space="0" w:color="auto"/>
              <w:right w:val="double" w:sz="4" w:space="0" w:color="auto"/>
            </w:tcBorders>
            <w:shd w:val="clear" w:color="auto" w:fill="auto"/>
            <w:tcMar>
              <w:left w:w="58" w:type="dxa"/>
              <w:right w:w="58" w:type="dxa"/>
            </w:tcMar>
            <w:vAlign w:val="center"/>
            <w:hideMark/>
          </w:tcPr>
          <w:p w14:paraId="03A5BDC1" w14:textId="77777777" w:rsidR="0024154B" w:rsidRPr="00882FD5" w:rsidRDefault="0024154B" w:rsidP="0024154B">
            <w:pPr>
              <w:spacing w:before="0" w:line="240" w:lineRule="auto"/>
              <w:jc w:val="right"/>
              <w:rPr>
                <w:color w:val="000000"/>
                <w:sz w:val="20"/>
                <w:szCs w:val="20"/>
              </w:rPr>
            </w:pPr>
            <w:r w:rsidRPr="00882FD5">
              <w:rPr>
                <w:color w:val="000000"/>
                <w:sz w:val="20"/>
                <w:szCs w:val="20"/>
              </w:rPr>
              <w:t> </w:t>
            </w:r>
          </w:p>
        </w:tc>
      </w:tr>
      <w:tr w:rsidR="0024154B" w:rsidRPr="00882FD5" w14:paraId="221214C8" w14:textId="77777777" w:rsidTr="00C95974">
        <w:trPr>
          <w:trHeight w:val="300"/>
        </w:trPr>
        <w:tc>
          <w:tcPr>
            <w:tcW w:w="1714" w:type="pct"/>
            <w:tcBorders>
              <w:top w:val="nil"/>
              <w:left w:val="double" w:sz="4" w:space="0" w:color="auto"/>
              <w:bottom w:val="nil"/>
              <w:right w:val="double" w:sz="4" w:space="0" w:color="auto"/>
            </w:tcBorders>
            <w:shd w:val="clear" w:color="auto" w:fill="auto"/>
            <w:noWrap/>
            <w:tcMar>
              <w:left w:w="58" w:type="dxa"/>
              <w:right w:w="58" w:type="dxa"/>
            </w:tcMar>
            <w:vAlign w:val="center"/>
            <w:hideMark/>
          </w:tcPr>
          <w:p w14:paraId="6136752B" w14:textId="77777777" w:rsidR="0024154B" w:rsidRPr="00882FD5" w:rsidRDefault="0024154B" w:rsidP="0024154B">
            <w:pPr>
              <w:spacing w:before="0" w:line="240" w:lineRule="auto"/>
              <w:ind w:firstLineChars="100" w:firstLine="200"/>
              <w:rPr>
                <w:color w:val="000000"/>
                <w:sz w:val="20"/>
                <w:szCs w:val="20"/>
              </w:rPr>
            </w:pPr>
            <w:r w:rsidRPr="00882FD5">
              <w:rPr>
                <w:color w:val="000000"/>
                <w:sz w:val="20"/>
                <w:szCs w:val="20"/>
                <w:lang w:val="en-IN"/>
              </w:rPr>
              <w:t>Travel time (minutes)</w:t>
            </w:r>
          </w:p>
        </w:tc>
        <w:tc>
          <w:tcPr>
            <w:tcW w:w="3286" w:type="pct"/>
            <w:gridSpan w:val="7"/>
            <w:tcBorders>
              <w:top w:val="single" w:sz="4" w:space="0" w:color="auto"/>
              <w:left w:val="double" w:sz="4" w:space="0" w:color="auto"/>
              <w:bottom w:val="single" w:sz="4" w:space="0" w:color="auto"/>
              <w:right w:val="double" w:sz="4" w:space="0" w:color="auto"/>
            </w:tcBorders>
            <w:shd w:val="clear" w:color="auto" w:fill="auto"/>
            <w:tcMar>
              <w:left w:w="58" w:type="dxa"/>
              <w:right w:w="58" w:type="dxa"/>
            </w:tcMar>
            <w:vAlign w:val="center"/>
            <w:hideMark/>
          </w:tcPr>
          <w:p w14:paraId="0139D0F6" w14:textId="77777777" w:rsidR="0024154B" w:rsidRPr="00882FD5" w:rsidRDefault="0024154B" w:rsidP="0024154B">
            <w:pPr>
              <w:spacing w:before="0" w:line="240" w:lineRule="auto"/>
              <w:jc w:val="center"/>
              <w:rPr>
                <w:color w:val="000000"/>
                <w:sz w:val="20"/>
                <w:szCs w:val="20"/>
              </w:rPr>
            </w:pPr>
            <w:r w:rsidRPr="00882FD5">
              <w:rPr>
                <w:color w:val="000000"/>
                <w:sz w:val="20"/>
                <w:szCs w:val="20"/>
                <w:lang w:val="en-IN"/>
              </w:rPr>
              <w:t>-0.060 (-3.52)</w:t>
            </w:r>
          </w:p>
        </w:tc>
      </w:tr>
      <w:tr w:rsidR="0024154B" w:rsidRPr="00882FD5" w14:paraId="4AF36B52" w14:textId="77777777" w:rsidTr="00C95974">
        <w:trPr>
          <w:trHeight w:val="300"/>
        </w:trPr>
        <w:tc>
          <w:tcPr>
            <w:tcW w:w="1714" w:type="pct"/>
            <w:tcBorders>
              <w:top w:val="nil"/>
              <w:left w:val="double" w:sz="4" w:space="0" w:color="auto"/>
              <w:bottom w:val="single" w:sz="4" w:space="0" w:color="auto"/>
              <w:right w:val="double" w:sz="4" w:space="0" w:color="auto"/>
            </w:tcBorders>
            <w:shd w:val="clear" w:color="auto" w:fill="auto"/>
            <w:noWrap/>
            <w:tcMar>
              <w:left w:w="58" w:type="dxa"/>
              <w:right w:w="58" w:type="dxa"/>
            </w:tcMar>
            <w:vAlign w:val="center"/>
            <w:hideMark/>
          </w:tcPr>
          <w:p w14:paraId="2AB404F7" w14:textId="77777777" w:rsidR="0024154B" w:rsidRPr="00882FD5" w:rsidRDefault="0024154B" w:rsidP="0024154B">
            <w:pPr>
              <w:spacing w:before="0" w:line="240" w:lineRule="auto"/>
              <w:ind w:firstLineChars="100" w:firstLine="200"/>
              <w:rPr>
                <w:color w:val="000000"/>
                <w:sz w:val="20"/>
                <w:szCs w:val="20"/>
              </w:rPr>
            </w:pPr>
            <w:r w:rsidRPr="00882FD5">
              <w:rPr>
                <w:color w:val="000000"/>
                <w:sz w:val="20"/>
                <w:szCs w:val="20"/>
                <w:lang w:val="en-IN"/>
              </w:rPr>
              <w:t>Travel cost ($)</w:t>
            </w:r>
          </w:p>
        </w:tc>
        <w:tc>
          <w:tcPr>
            <w:tcW w:w="3286" w:type="pct"/>
            <w:gridSpan w:val="7"/>
            <w:tcBorders>
              <w:top w:val="single" w:sz="4" w:space="0" w:color="auto"/>
              <w:left w:val="double" w:sz="4" w:space="0" w:color="auto"/>
              <w:bottom w:val="single" w:sz="4" w:space="0" w:color="auto"/>
              <w:right w:val="double" w:sz="4" w:space="0" w:color="auto"/>
            </w:tcBorders>
            <w:shd w:val="clear" w:color="auto" w:fill="auto"/>
            <w:tcMar>
              <w:left w:w="58" w:type="dxa"/>
              <w:right w:w="58" w:type="dxa"/>
            </w:tcMar>
            <w:vAlign w:val="center"/>
            <w:hideMark/>
          </w:tcPr>
          <w:p w14:paraId="572F4192" w14:textId="77777777" w:rsidR="0024154B" w:rsidRPr="00882FD5" w:rsidRDefault="0024154B" w:rsidP="0024154B">
            <w:pPr>
              <w:spacing w:before="0" w:line="240" w:lineRule="auto"/>
              <w:jc w:val="center"/>
              <w:rPr>
                <w:color w:val="000000"/>
                <w:sz w:val="20"/>
                <w:szCs w:val="20"/>
              </w:rPr>
            </w:pPr>
            <w:r w:rsidRPr="00882FD5">
              <w:rPr>
                <w:color w:val="000000"/>
                <w:sz w:val="20"/>
                <w:szCs w:val="20"/>
                <w:lang w:val="en-IN"/>
              </w:rPr>
              <w:t>-0.112 (-7.52)</w:t>
            </w:r>
          </w:p>
        </w:tc>
      </w:tr>
      <w:tr w:rsidR="0024154B" w:rsidRPr="00882FD5" w14:paraId="2C19CDF7" w14:textId="77777777" w:rsidTr="00D42297">
        <w:trPr>
          <w:trHeight w:val="288"/>
        </w:trPr>
        <w:tc>
          <w:tcPr>
            <w:tcW w:w="1714" w:type="pct"/>
            <w:tcBorders>
              <w:top w:val="single" w:sz="4" w:space="0" w:color="auto"/>
              <w:left w:val="double" w:sz="4" w:space="0" w:color="auto"/>
              <w:bottom w:val="nil"/>
              <w:right w:val="double" w:sz="4" w:space="0" w:color="auto"/>
            </w:tcBorders>
            <w:shd w:val="clear" w:color="auto" w:fill="auto"/>
            <w:noWrap/>
            <w:tcMar>
              <w:left w:w="58" w:type="dxa"/>
              <w:right w:w="58" w:type="dxa"/>
            </w:tcMar>
            <w:vAlign w:val="center"/>
            <w:hideMark/>
          </w:tcPr>
          <w:p w14:paraId="776912E2" w14:textId="77777777" w:rsidR="0024154B" w:rsidRPr="00882FD5" w:rsidRDefault="0024154B" w:rsidP="0024154B">
            <w:pPr>
              <w:spacing w:before="0" w:line="240" w:lineRule="auto"/>
              <w:rPr>
                <w:b/>
                <w:bCs/>
                <w:i/>
                <w:color w:val="000000"/>
                <w:sz w:val="20"/>
                <w:szCs w:val="20"/>
              </w:rPr>
            </w:pPr>
            <w:r w:rsidRPr="00882FD5">
              <w:rPr>
                <w:b/>
                <w:bCs/>
                <w:i/>
                <w:color w:val="000000"/>
                <w:sz w:val="20"/>
                <w:szCs w:val="20"/>
              </w:rPr>
              <w:t>Endogenous outcome effects</w:t>
            </w:r>
          </w:p>
        </w:tc>
        <w:tc>
          <w:tcPr>
            <w:tcW w:w="365" w:type="pct"/>
            <w:tcBorders>
              <w:top w:val="single" w:sz="4" w:space="0" w:color="auto"/>
              <w:left w:val="double" w:sz="4" w:space="0" w:color="auto"/>
              <w:bottom w:val="nil"/>
              <w:right w:val="double" w:sz="4" w:space="0" w:color="auto"/>
            </w:tcBorders>
            <w:shd w:val="clear" w:color="auto" w:fill="auto"/>
            <w:tcMar>
              <w:left w:w="58" w:type="dxa"/>
              <w:right w:w="58" w:type="dxa"/>
            </w:tcMar>
            <w:vAlign w:val="center"/>
            <w:hideMark/>
          </w:tcPr>
          <w:p w14:paraId="15067019" w14:textId="77777777" w:rsidR="0024154B" w:rsidRPr="00882FD5" w:rsidRDefault="0024154B" w:rsidP="0024154B">
            <w:pPr>
              <w:spacing w:before="0" w:line="240" w:lineRule="auto"/>
              <w:jc w:val="right"/>
              <w:rPr>
                <w:b/>
                <w:bCs/>
                <w:color w:val="000000"/>
                <w:sz w:val="20"/>
                <w:szCs w:val="20"/>
              </w:rPr>
            </w:pPr>
          </w:p>
        </w:tc>
        <w:tc>
          <w:tcPr>
            <w:tcW w:w="499" w:type="pct"/>
            <w:tcBorders>
              <w:top w:val="single" w:sz="4" w:space="0" w:color="auto"/>
              <w:left w:val="double" w:sz="4" w:space="0" w:color="auto"/>
              <w:bottom w:val="nil"/>
              <w:right w:val="double" w:sz="4" w:space="0" w:color="auto"/>
            </w:tcBorders>
            <w:shd w:val="clear" w:color="auto" w:fill="auto"/>
            <w:tcMar>
              <w:left w:w="58" w:type="dxa"/>
              <w:right w:w="58" w:type="dxa"/>
            </w:tcMar>
            <w:vAlign w:val="center"/>
            <w:hideMark/>
          </w:tcPr>
          <w:p w14:paraId="33073CA2" w14:textId="77777777" w:rsidR="0024154B" w:rsidRPr="00882FD5" w:rsidRDefault="0024154B" w:rsidP="0024154B">
            <w:pPr>
              <w:spacing w:before="0" w:line="240" w:lineRule="auto"/>
              <w:jc w:val="right"/>
              <w:rPr>
                <w:sz w:val="20"/>
                <w:szCs w:val="20"/>
              </w:rPr>
            </w:pPr>
          </w:p>
        </w:tc>
        <w:tc>
          <w:tcPr>
            <w:tcW w:w="469" w:type="pct"/>
            <w:tcBorders>
              <w:top w:val="single" w:sz="4" w:space="0" w:color="auto"/>
              <w:left w:val="double" w:sz="4" w:space="0" w:color="auto"/>
              <w:bottom w:val="nil"/>
              <w:right w:val="double" w:sz="4" w:space="0" w:color="auto"/>
            </w:tcBorders>
            <w:shd w:val="clear" w:color="auto" w:fill="auto"/>
            <w:tcMar>
              <w:left w:w="58" w:type="dxa"/>
              <w:right w:w="58" w:type="dxa"/>
            </w:tcMar>
            <w:vAlign w:val="center"/>
            <w:hideMark/>
          </w:tcPr>
          <w:p w14:paraId="37ADEC9E" w14:textId="77777777" w:rsidR="0024154B" w:rsidRPr="00882FD5" w:rsidRDefault="0024154B" w:rsidP="0024154B">
            <w:pPr>
              <w:spacing w:before="0" w:line="240" w:lineRule="auto"/>
              <w:jc w:val="right"/>
              <w:rPr>
                <w:sz w:val="20"/>
                <w:szCs w:val="20"/>
              </w:rPr>
            </w:pPr>
          </w:p>
        </w:tc>
        <w:tc>
          <w:tcPr>
            <w:tcW w:w="466" w:type="pct"/>
            <w:tcBorders>
              <w:top w:val="single" w:sz="4" w:space="0" w:color="auto"/>
              <w:left w:val="double" w:sz="4" w:space="0" w:color="auto"/>
              <w:bottom w:val="nil"/>
              <w:right w:val="double" w:sz="4" w:space="0" w:color="auto"/>
            </w:tcBorders>
            <w:shd w:val="clear" w:color="auto" w:fill="auto"/>
            <w:tcMar>
              <w:left w:w="58" w:type="dxa"/>
              <w:right w:w="58" w:type="dxa"/>
            </w:tcMar>
            <w:vAlign w:val="center"/>
            <w:hideMark/>
          </w:tcPr>
          <w:p w14:paraId="265B341B" w14:textId="77777777" w:rsidR="0024154B" w:rsidRPr="00882FD5" w:rsidRDefault="0024154B" w:rsidP="0024154B">
            <w:pPr>
              <w:spacing w:before="0" w:line="240" w:lineRule="auto"/>
              <w:jc w:val="right"/>
              <w:rPr>
                <w:sz w:val="20"/>
                <w:szCs w:val="20"/>
              </w:rPr>
            </w:pPr>
          </w:p>
        </w:tc>
        <w:tc>
          <w:tcPr>
            <w:tcW w:w="499" w:type="pct"/>
            <w:tcBorders>
              <w:top w:val="single" w:sz="4" w:space="0" w:color="auto"/>
              <w:left w:val="double" w:sz="4" w:space="0" w:color="auto"/>
              <w:bottom w:val="nil"/>
              <w:right w:val="double" w:sz="4" w:space="0" w:color="auto"/>
            </w:tcBorders>
            <w:shd w:val="clear" w:color="auto" w:fill="auto"/>
            <w:tcMar>
              <w:left w:w="58" w:type="dxa"/>
              <w:right w:w="58" w:type="dxa"/>
            </w:tcMar>
            <w:vAlign w:val="center"/>
            <w:hideMark/>
          </w:tcPr>
          <w:p w14:paraId="13EAA6F5" w14:textId="77777777" w:rsidR="0024154B" w:rsidRPr="00882FD5" w:rsidRDefault="0024154B" w:rsidP="0024154B">
            <w:pPr>
              <w:spacing w:before="0" w:line="240" w:lineRule="auto"/>
              <w:jc w:val="right"/>
              <w:rPr>
                <w:sz w:val="20"/>
                <w:szCs w:val="20"/>
              </w:rPr>
            </w:pPr>
          </w:p>
        </w:tc>
        <w:tc>
          <w:tcPr>
            <w:tcW w:w="482" w:type="pct"/>
            <w:tcBorders>
              <w:top w:val="single" w:sz="4" w:space="0" w:color="auto"/>
              <w:left w:val="double" w:sz="4" w:space="0" w:color="auto"/>
              <w:bottom w:val="nil"/>
              <w:right w:val="double" w:sz="4" w:space="0" w:color="auto"/>
            </w:tcBorders>
            <w:shd w:val="clear" w:color="auto" w:fill="auto"/>
            <w:tcMar>
              <w:left w:w="58" w:type="dxa"/>
              <w:right w:w="58" w:type="dxa"/>
            </w:tcMar>
            <w:vAlign w:val="center"/>
            <w:hideMark/>
          </w:tcPr>
          <w:p w14:paraId="2C13D2DB" w14:textId="77777777" w:rsidR="0024154B" w:rsidRPr="00882FD5" w:rsidRDefault="0024154B" w:rsidP="0024154B">
            <w:pPr>
              <w:spacing w:before="0" w:line="240" w:lineRule="auto"/>
              <w:jc w:val="right"/>
              <w:rPr>
                <w:sz w:val="20"/>
                <w:szCs w:val="20"/>
              </w:rPr>
            </w:pPr>
          </w:p>
        </w:tc>
        <w:tc>
          <w:tcPr>
            <w:tcW w:w="506" w:type="pct"/>
            <w:tcBorders>
              <w:top w:val="single" w:sz="4" w:space="0" w:color="auto"/>
              <w:left w:val="double" w:sz="4" w:space="0" w:color="auto"/>
              <w:bottom w:val="nil"/>
              <w:right w:val="double" w:sz="4" w:space="0" w:color="auto"/>
            </w:tcBorders>
            <w:shd w:val="clear" w:color="auto" w:fill="auto"/>
            <w:tcMar>
              <w:left w:w="58" w:type="dxa"/>
              <w:right w:w="58" w:type="dxa"/>
            </w:tcMar>
            <w:vAlign w:val="center"/>
            <w:hideMark/>
          </w:tcPr>
          <w:p w14:paraId="0F8CEAD6" w14:textId="77777777" w:rsidR="0024154B" w:rsidRPr="00882FD5" w:rsidRDefault="0024154B" w:rsidP="0024154B">
            <w:pPr>
              <w:spacing w:before="0" w:line="240" w:lineRule="auto"/>
              <w:jc w:val="right"/>
              <w:rPr>
                <w:color w:val="000000"/>
                <w:sz w:val="20"/>
                <w:szCs w:val="20"/>
              </w:rPr>
            </w:pPr>
            <w:r w:rsidRPr="00882FD5">
              <w:rPr>
                <w:color w:val="000000"/>
                <w:sz w:val="20"/>
                <w:szCs w:val="20"/>
              </w:rPr>
              <w:t> </w:t>
            </w:r>
          </w:p>
        </w:tc>
      </w:tr>
      <w:tr w:rsidR="0024154B" w:rsidRPr="00882FD5" w14:paraId="5526C0F1" w14:textId="77777777" w:rsidTr="00D42297">
        <w:trPr>
          <w:trHeight w:val="288"/>
        </w:trPr>
        <w:tc>
          <w:tcPr>
            <w:tcW w:w="1714" w:type="pct"/>
            <w:tcBorders>
              <w:top w:val="nil"/>
              <w:left w:val="double" w:sz="4" w:space="0" w:color="auto"/>
              <w:right w:val="double" w:sz="4" w:space="0" w:color="auto"/>
            </w:tcBorders>
            <w:shd w:val="clear" w:color="auto" w:fill="auto"/>
            <w:noWrap/>
            <w:tcMar>
              <w:left w:w="58" w:type="dxa"/>
              <w:right w:w="58" w:type="dxa"/>
            </w:tcMar>
            <w:vAlign w:val="center"/>
            <w:hideMark/>
          </w:tcPr>
          <w:p w14:paraId="74FF3560" w14:textId="6E82625B" w:rsidR="0024154B" w:rsidRPr="00882FD5" w:rsidRDefault="0024154B" w:rsidP="0024154B">
            <w:pPr>
              <w:spacing w:before="0" w:line="240" w:lineRule="auto"/>
              <w:rPr>
                <w:color w:val="000000"/>
                <w:sz w:val="20"/>
                <w:szCs w:val="20"/>
              </w:rPr>
            </w:pPr>
            <w:r w:rsidRPr="00882FD5">
              <w:rPr>
                <w:color w:val="000000"/>
                <w:sz w:val="20"/>
                <w:szCs w:val="20"/>
              </w:rPr>
              <w:t>High</w:t>
            </w:r>
            <w:r w:rsidR="002C69D1" w:rsidRPr="00882FD5">
              <w:rPr>
                <w:color w:val="000000"/>
                <w:sz w:val="20"/>
                <w:szCs w:val="20"/>
              </w:rPr>
              <w:t>-</w:t>
            </w:r>
            <w:r w:rsidRPr="00882FD5">
              <w:rPr>
                <w:color w:val="000000"/>
                <w:sz w:val="20"/>
                <w:szCs w:val="20"/>
              </w:rPr>
              <w:t>density neighborhood (HDN) living</w:t>
            </w:r>
          </w:p>
        </w:tc>
        <w:tc>
          <w:tcPr>
            <w:tcW w:w="365" w:type="pct"/>
            <w:tcBorders>
              <w:top w:val="nil"/>
              <w:left w:val="double" w:sz="4" w:space="0" w:color="auto"/>
              <w:right w:val="double" w:sz="4" w:space="0" w:color="auto"/>
            </w:tcBorders>
            <w:shd w:val="clear" w:color="auto" w:fill="auto"/>
            <w:tcMar>
              <w:left w:w="58" w:type="dxa"/>
              <w:right w:w="58" w:type="dxa"/>
            </w:tcMar>
            <w:vAlign w:val="center"/>
            <w:hideMark/>
          </w:tcPr>
          <w:p w14:paraId="7DAF8A00" w14:textId="77777777" w:rsidR="0024154B" w:rsidRPr="00882FD5" w:rsidRDefault="0024154B" w:rsidP="0024154B">
            <w:pPr>
              <w:spacing w:before="0" w:line="240" w:lineRule="auto"/>
              <w:jc w:val="right"/>
              <w:rPr>
                <w:color w:val="000000"/>
                <w:sz w:val="20"/>
                <w:szCs w:val="20"/>
              </w:rPr>
            </w:pPr>
          </w:p>
        </w:tc>
        <w:tc>
          <w:tcPr>
            <w:tcW w:w="499" w:type="pct"/>
            <w:tcBorders>
              <w:top w:val="nil"/>
              <w:left w:val="double" w:sz="4" w:space="0" w:color="auto"/>
              <w:right w:val="double" w:sz="4" w:space="0" w:color="auto"/>
            </w:tcBorders>
            <w:shd w:val="clear" w:color="auto" w:fill="auto"/>
            <w:tcMar>
              <w:left w:w="58" w:type="dxa"/>
              <w:right w:w="58" w:type="dxa"/>
            </w:tcMar>
            <w:vAlign w:val="center"/>
            <w:hideMark/>
          </w:tcPr>
          <w:p w14:paraId="524E1204" w14:textId="77777777" w:rsidR="0024154B" w:rsidRPr="00882FD5" w:rsidRDefault="0024154B" w:rsidP="0024154B">
            <w:pPr>
              <w:spacing w:before="0" w:line="240" w:lineRule="auto"/>
              <w:jc w:val="right"/>
              <w:rPr>
                <w:color w:val="000000"/>
                <w:sz w:val="20"/>
                <w:szCs w:val="20"/>
              </w:rPr>
            </w:pPr>
            <w:r w:rsidRPr="00882FD5">
              <w:rPr>
                <w:color w:val="000000"/>
                <w:sz w:val="20"/>
                <w:szCs w:val="20"/>
              </w:rPr>
              <w:t>-0.092  (-2.12)</w:t>
            </w:r>
          </w:p>
        </w:tc>
        <w:tc>
          <w:tcPr>
            <w:tcW w:w="469" w:type="pct"/>
            <w:tcBorders>
              <w:top w:val="nil"/>
              <w:left w:val="double" w:sz="4" w:space="0" w:color="auto"/>
              <w:right w:val="double" w:sz="4" w:space="0" w:color="auto"/>
            </w:tcBorders>
            <w:shd w:val="clear" w:color="auto" w:fill="auto"/>
            <w:tcMar>
              <w:left w:w="58" w:type="dxa"/>
              <w:right w:w="58" w:type="dxa"/>
            </w:tcMar>
            <w:vAlign w:val="center"/>
            <w:hideMark/>
          </w:tcPr>
          <w:p w14:paraId="18161293" w14:textId="07ABD0FD" w:rsidR="0024154B" w:rsidRPr="00882FD5" w:rsidRDefault="0024154B" w:rsidP="0024154B">
            <w:pPr>
              <w:spacing w:before="0" w:line="240" w:lineRule="auto"/>
              <w:jc w:val="right"/>
              <w:rPr>
                <w:color w:val="000000"/>
                <w:sz w:val="20"/>
                <w:szCs w:val="20"/>
              </w:rPr>
            </w:pPr>
            <w:r w:rsidRPr="00882FD5">
              <w:rPr>
                <w:color w:val="000000"/>
                <w:sz w:val="20"/>
                <w:szCs w:val="20"/>
              </w:rPr>
              <w:t>0.167</w:t>
            </w:r>
            <w:r w:rsidR="00E56273" w:rsidRPr="00882FD5">
              <w:rPr>
                <w:color w:val="000000"/>
                <w:sz w:val="20"/>
                <w:szCs w:val="20"/>
              </w:rPr>
              <w:t xml:space="preserve"> </w:t>
            </w:r>
            <w:r w:rsidRPr="00882FD5">
              <w:rPr>
                <w:color w:val="000000"/>
                <w:sz w:val="20"/>
                <w:szCs w:val="20"/>
              </w:rPr>
              <w:t xml:space="preserve"> (3.33)</w:t>
            </w:r>
          </w:p>
        </w:tc>
        <w:tc>
          <w:tcPr>
            <w:tcW w:w="466" w:type="pct"/>
            <w:tcBorders>
              <w:top w:val="nil"/>
              <w:left w:val="double" w:sz="4" w:space="0" w:color="auto"/>
              <w:right w:val="double" w:sz="4" w:space="0" w:color="auto"/>
            </w:tcBorders>
            <w:shd w:val="clear" w:color="auto" w:fill="auto"/>
            <w:tcMar>
              <w:left w:w="58" w:type="dxa"/>
              <w:right w:w="58" w:type="dxa"/>
            </w:tcMar>
            <w:vAlign w:val="center"/>
            <w:hideMark/>
          </w:tcPr>
          <w:p w14:paraId="21D35331" w14:textId="6D086878" w:rsidR="0024154B" w:rsidRPr="00882FD5" w:rsidRDefault="00D42297" w:rsidP="0024154B">
            <w:pPr>
              <w:spacing w:before="0" w:line="240" w:lineRule="auto"/>
              <w:jc w:val="right"/>
              <w:rPr>
                <w:color w:val="000000"/>
                <w:sz w:val="20"/>
                <w:szCs w:val="20"/>
              </w:rPr>
            </w:pPr>
            <w:r w:rsidRPr="00882FD5">
              <w:rPr>
                <w:color w:val="000000"/>
                <w:sz w:val="20"/>
                <w:szCs w:val="20"/>
              </w:rPr>
              <w:t>-</w:t>
            </w:r>
          </w:p>
        </w:tc>
        <w:tc>
          <w:tcPr>
            <w:tcW w:w="499" w:type="pct"/>
            <w:tcBorders>
              <w:top w:val="nil"/>
              <w:left w:val="double" w:sz="4" w:space="0" w:color="auto"/>
              <w:right w:val="double" w:sz="4" w:space="0" w:color="auto"/>
            </w:tcBorders>
            <w:shd w:val="clear" w:color="auto" w:fill="auto"/>
            <w:tcMar>
              <w:left w:w="58" w:type="dxa"/>
              <w:right w:w="58" w:type="dxa"/>
            </w:tcMar>
            <w:vAlign w:val="center"/>
            <w:hideMark/>
          </w:tcPr>
          <w:p w14:paraId="432B44B6" w14:textId="769CB9E7" w:rsidR="0024154B" w:rsidRPr="00882FD5" w:rsidRDefault="00D42297" w:rsidP="0024154B">
            <w:pPr>
              <w:spacing w:before="0" w:line="240" w:lineRule="auto"/>
              <w:jc w:val="right"/>
              <w:rPr>
                <w:sz w:val="20"/>
                <w:szCs w:val="20"/>
              </w:rPr>
            </w:pPr>
            <w:r w:rsidRPr="00882FD5">
              <w:rPr>
                <w:sz w:val="20"/>
                <w:szCs w:val="20"/>
              </w:rPr>
              <w:t>-</w:t>
            </w:r>
          </w:p>
        </w:tc>
        <w:tc>
          <w:tcPr>
            <w:tcW w:w="482" w:type="pct"/>
            <w:tcBorders>
              <w:top w:val="nil"/>
              <w:left w:val="double" w:sz="4" w:space="0" w:color="auto"/>
              <w:right w:val="double" w:sz="4" w:space="0" w:color="auto"/>
            </w:tcBorders>
            <w:shd w:val="clear" w:color="auto" w:fill="auto"/>
            <w:tcMar>
              <w:left w:w="58" w:type="dxa"/>
              <w:right w:w="58" w:type="dxa"/>
            </w:tcMar>
            <w:vAlign w:val="center"/>
            <w:hideMark/>
          </w:tcPr>
          <w:p w14:paraId="6DF7BFA6" w14:textId="74009881" w:rsidR="0024154B" w:rsidRPr="00882FD5" w:rsidRDefault="00D42297" w:rsidP="0024154B">
            <w:pPr>
              <w:spacing w:before="0" w:line="240" w:lineRule="auto"/>
              <w:jc w:val="right"/>
              <w:rPr>
                <w:sz w:val="20"/>
                <w:szCs w:val="20"/>
              </w:rPr>
            </w:pPr>
            <w:r w:rsidRPr="00882FD5">
              <w:rPr>
                <w:sz w:val="20"/>
                <w:szCs w:val="20"/>
              </w:rPr>
              <w:t>-</w:t>
            </w:r>
          </w:p>
        </w:tc>
        <w:tc>
          <w:tcPr>
            <w:tcW w:w="506" w:type="pct"/>
            <w:tcBorders>
              <w:top w:val="nil"/>
              <w:left w:val="double" w:sz="4" w:space="0" w:color="auto"/>
              <w:right w:val="double" w:sz="4" w:space="0" w:color="auto"/>
            </w:tcBorders>
            <w:shd w:val="clear" w:color="auto" w:fill="auto"/>
            <w:tcMar>
              <w:left w:w="58" w:type="dxa"/>
              <w:right w:w="58" w:type="dxa"/>
            </w:tcMar>
            <w:vAlign w:val="center"/>
            <w:hideMark/>
          </w:tcPr>
          <w:p w14:paraId="548032B9" w14:textId="1B0437A5" w:rsidR="0024154B" w:rsidRPr="00882FD5" w:rsidRDefault="00D42297" w:rsidP="0024154B">
            <w:pPr>
              <w:spacing w:before="0" w:line="240" w:lineRule="auto"/>
              <w:jc w:val="right"/>
              <w:rPr>
                <w:color w:val="000000"/>
                <w:sz w:val="20"/>
                <w:szCs w:val="20"/>
              </w:rPr>
            </w:pPr>
            <w:r w:rsidRPr="00882FD5">
              <w:rPr>
                <w:color w:val="000000"/>
                <w:sz w:val="20"/>
                <w:szCs w:val="20"/>
              </w:rPr>
              <w:t>-</w:t>
            </w:r>
          </w:p>
        </w:tc>
      </w:tr>
      <w:tr w:rsidR="0024154B" w:rsidRPr="00882FD5" w14:paraId="1F714C55" w14:textId="77777777" w:rsidTr="00D42297">
        <w:trPr>
          <w:trHeight w:val="288"/>
        </w:trPr>
        <w:tc>
          <w:tcPr>
            <w:tcW w:w="1714" w:type="pct"/>
            <w:tcBorders>
              <w:top w:val="nil"/>
              <w:left w:val="double" w:sz="4" w:space="0" w:color="auto"/>
              <w:bottom w:val="single" w:sz="4" w:space="0" w:color="auto"/>
              <w:right w:val="double" w:sz="4" w:space="0" w:color="auto"/>
            </w:tcBorders>
            <w:shd w:val="clear" w:color="auto" w:fill="auto"/>
            <w:noWrap/>
            <w:tcMar>
              <w:left w:w="58" w:type="dxa"/>
              <w:right w:w="58" w:type="dxa"/>
            </w:tcMar>
            <w:vAlign w:val="center"/>
            <w:hideMark/>
          </w:tcPr>
          <w:p w14:paraId="4AC4C04E" w14:textId="77777777" w:rsidR="0024154B" w:rsidRPr="00882FD5" w:rsidRDefault="0024154B" w:rsidP="0024154B">
            <w:pPr>
              <w:spacing w:before="0" w:line="240" w:lineRule="auto"/>
              <w:rPr>
                <w:color w:val="000000"/>
                <w:sz w:val="20"/>
                <w:szCs w:val="20"/>
              </w:rPr>
            </w:pPr>
            <w:r w:rsidRPr="00882FD5">
              <w:rPr>
                <w:color w:val="000000"/>
                <w:sz w:val="20"/>
                <w:szCs w:val="20"/>
              </w:rPr>
              <w:t xml:space="preserve">Auto-ownership level </w:t>
            </w:r>
          </w:p>
        </w:tc>
        <w:tc>
          <w:tcPr>
            <w:tcW w:w="365" w:type="pct"/>
            <w:tcBorders>
              <w:top w:val="nil"/>
              <w:left w:val="double" w:sz="4" w:space="0" w:color="auto"/>
              <w:bottom w:val="single" w:sz="4" w:space="0" w:color="auto"/>
              <w:right w:val="double" w:sz="4" w:space="0" w:color="auto"/>
            </w:tcBorders>
            <w:shd w:val="clear" w:color="auto" w:fill="auto"/>
            <w:tcMar>
              <w:left w:w="58" w:type="dxa"/>
              <w:right w:w="58" w:type="dxa"/>
            </w:tcMar>
            <w:vAlign w:val="center"/>
            <w:hideMark/>
          </w:tcPr>
          <w:p w14:paraId="7912599B" w14:textId="77777777" w:rsidR="0024154B" w:rsidRPr="00882FD5" w:rsidRDefault="0024154B" w:rsidP="0024154B">
            <w:pPr>
              <w:spacing w:before="0" w:line="240" w:lineRule="auto"/>
              <w:jc w:val="right"/>
              <w:rPr>
                <w:color w:val="000000"/>
                <w:sz w:val="20"/>
                <w:szCs w:val="20"/>
              </w:rPr>
            </w:pPr>
          </w:p>
        </w:tc>
        <w:tc>
          <w:tcPr>
            <w:tcW w:w="499" w:type="pct"/>
            <w:tcBorders>
              <w:top w:val="nil"/>
              <w:left w:val="double" w:sz="4" w:space="0" w:color="auto"/>
              <w:bottom w:val="single" w:sz="4" w:space="0" w:color="auto"/>
              <w:right w:val="double" w:sz="4" w:space="0" w:color="auto"/>
            </w:tcBorders>
            <w:shd w:val="clear" w:color="auto" w:fill="auto"/>
            <w:tcMar>
              <w:left w:w="58" w:type="dxa"/>
              <w:right w:w="58" w:type="dxa"/>
            </w:tcMar>
            <w:vAlign w:val="center"/>
            <w:hideMark/>
          </w:tcPr>
          <w:p w14:paraId="50049761" w14:textId="77777777" w:rsidR="0024154B" w:rsidRPr="00882FD5" w:rsidRDefault="0024154B" w:rsidP="0024154B">
            <w:pPr>
              <w:spacing w:before="0" w:line="240" w:lineRule="auto"/>
              <w:jc w:val="right"/>
              <w:rPr>
                <w:color w:val="000000"/>
                <w:sz w:val="20"/>
                <w:szCs w:val="20"/>
              </w:rPr>
            </w:pPr>
            <w:r w:rsidRPr="00882FD5">
              <w:rPr>
                <w:color w:val="000000"/>
                <w:sz w:val="20"/>
                <w:szCs w:val="20"/>
              </w:rPr>
              <w:t>0.110   (3.45)</w:t>
            </w:r>
          </w:p>
        </w:tc>
        <w:tc>
          <w:tcPr>
            <w:tcW w:w="469" w:type="pct"/>
            <w:tcBorders>
              <w:top w:val="nil"/>
              <w:left w:val="double" w:sz="4" w:space="0" w:color="auto"/>
              <w:bottom w:val="single" w:sz="4" w:space="0" w:color="auto"/>
              <w:right w:val="double" w:sz="4" w:space="0" w:color="auto"/>
            </w:tcBorders>
            <w:shd w:val="clear" w:color="auto" w:fill="auto"/>
            <w:tcMar>
              <w:left w:w="58" w:type="dxa"/>
              <w:right w:w="58" w:type="dxa"/>
            </w:tcMar>
            <w:vAlign w:val="center"/>
            <w:hideMark/>
          </w:tcPr>
          <w:p w14:paraId="5B3038AE" w14:textId="62A71450" w:rsidR="0024154B" w:rsidRPr="00882FD5" w:rsidRDefault="00D42297" w:rsidP="0024154B">
            <w:pPr>
              <w:spacing w:before="0" w:line="240" w:lineRule="auto"/>
              <w:jc w:val="right"/>
              <w:rPr>
                <w:color w:val="000000"/>
                <w:sz w:val="20"/>
                <w:szCs w:val="20"/>
              </w:rPr>
            </w:pPr>
            <w:r w:rsidRPr="00882FD5">
              <w:rPr>
                <w:color w:val="000000"/>
                <w:sz w:val="20"/>
                <w:szCs w:val="20"/>
              </w:rPr>
              <w:t>-</w:t>
            </w:r>
          </w:p>
        </w:tc>
        <w:tc>
          <w:tcPr>
            <w:tcW w:w="466" w:type="pct"/>
            <w:tcBorders>
              <w:top w:val="nil"/>
              <w:left w:val="double" w:sz="4" w:space="0" w:color="auto"/>
              <w:bottom w:val="single" w:sz="4" w:space="0" w:color="auto"/>
              <w:right w:val="double" w:sz="4" w:space="0" w:color="auto"/>
            </w:tcBorders>
            <w:shd w:val="clear" w:color="auto" w:fill="auto"/>
            <w:tcMar>
              <w:left w:w="58" w:type="dxa"/>
              <w:right w:w="58" w:type="dxa"/>
            </w:tcMar>
            <w:vAlign w:val="center"/>
            <w:hideMark/>
          </w:tcPr>
          <w:p w14:paraId="63FB603F" w14:textId="7A10695D" w:rsidR="0024154B" w:rsidRPr="00882FD5" w:rsidRDefault="00D42297" w:rsidP="0024154B">
            <w:pPr>
              <w:spacing w:before="0" w:line="240" w:lineRule="auto"/>
              <w:jc w:val="right"/>
              <w:rPr>
                <w:sz w:val="20"/>
                <w:szCs w:val="20"/>
              </w:rPr>
            </w:pPr>
            <w:r w:rsidRPr="00882FD5">
              <w:rPr>
                <w:sz w:val="20"/>
                <w:szCs w:val="20"/>
              </w:rPr>
              <w:t>-</w:t>
            </w:r>
          </w:p>
        </w:tc>
        <w:tc>
          <w:tcPr>
            <w:tcW w:w="499" w:type="pct"/>
            <w:tcBorders>
              <w:top w:val="nil"/>
              <w:left w:val="double" w:sz="4" w:space="0" w:color="auto"/>
              <w:bottom w:val="single" w:sz="4" w:space="0" w:color="auto"/>
              <w:right w:val="double" w:sz="4" w:space="0" w:color="auto"/>
            </w:tcBorders>
            <w:shd w:val="clear" w:color="auto" w:fill="auto"/>
            <w:tcMar>
              <w:left w:w="58" w:type="dxa"/>
              <w:right w:w="58" w:type="dxa"/>
            </w:tcMar>
            <w:vAlign w:val="center"/>
            <w:hideMark/>
          </w:tcPr>
          <w:p w14:paraId="3DA84673" w14:textId="77777777" w:rsidR="0024154B" w:rsidRPr="00882FD5" w:rsidRDefault="0024154B" w:rsidP="0024154B">
            <w:pPr>
              <w:spacing w:before="0" w:line="240" w:lineRule="auto"/>
              <w:jc w:val="right"/>
              <w:rPr>
                <w:color w:val="000000"/>
                <w:sz w:val="20"/>
                <w:szCs w:val="20"/>
              </w:rPr>
            </w:pPr>
            <w:r w:rsidRPr="00882FD5">
              <w:rPr>
                <w:color w:val="000000"/>
                <w:sz w:val="20"/>
                <w:szCs w:val="20"/>
              </w:rPr>
              <w:t>-0.067 (-1.82)</w:t>
            </w:r>
          </w:p>
        </w:tc>
        <w:tc>
          <w:tcPr>
            <w:tcW w:w="482" w:type="pct"/>
            <w:tcBorders>
              <w:top w:val="nil"/>
              <w:left w:val="double" w:sz="4" w:space="0" w:color="auto"/>
              <w:bottom w:val="single" w:sz="4" w:space="0" w:color="auto"/>
              <w:right w:val="double" w:sz="4" w:space="0" w:color="auto"/>
            </w:tcBorders>
            <w:shd w:val="clear" w:color="auto" w:fill="auto"/>
            <w:tcMar>
              <w:left w:w="58" w:type="dxa"/>
              <w:right w:w="58" w:type="dxa"/>
            </w:tcMar>
            <w:vAlign w:val="center"/>
            <w:hideMark/>
          </w:tcPr>
          <w:p w14:paraId="7BA38363" w14:textId="2859048D" w:rsidR="0024154B" w:rsidRPr="00882FD5" w:rsidRDefault="00D42297" w:rsidP="0024154B">
            <w:pPr>
              <w:spacing w:before="0" w:line="240" w:lineRule="auto"/>
              <w:jc w:val="right"/>
              <w:rPr>
                <w:color w:val="000000"/>
                <w:sz w:val="20"/>
                <w:szCs w:val="20"/>
              </w:rPr>
            </w:pPr>
            <w:r w:rsidRPr="00882FD5">
              <w:rPr>
                <w:color w:val="000000"/>
                <w:sz w:val="20"/>
                <w:szCs w:val="20"/>
              </w:rPr>
              <w:t>-</w:t>
            </w:r>
          </w:p>
        </w:tc>
        <w:tc>
          <w:tcPr>
            <w:tcW w:w="506" w:type="pct"/>
            <w:tcBorders>
              <w:top w:val="nil"/>
              <w:left w:val="double" w:sz="4" w:space="0" w:color="auto"/>
              <w:bottom w:val="single" w:sz="4" w:space="0" w:color="auto"/>
              <w:right w:val="double" w:sz="4" w:space="0" w:color="auto"/>
            </w:tcBorders>
            <w:shd w:val="clear" w:color="auto" w:fill="auto"/>
            <w:tcMar>
              <w:left w:w="58" w:type="dxa"/>
              <w:right w:w="58" w:type="dxa"/>
            </w:tcMar>
            <w:vAlign w:val="center"/>
            <w:hideMark/>
          </w:tcPr>
          <w:p w14:paraId="4AF47675" w14:textId="77777777" w:rsidR="0024154B" w:rsidRPr="00882FD5" w:rsidRDefault="0024154B" w:rsidP="0024154B">
            <w:pPr>
              <w:spacing w:before="0" w:line="240" w:lineRule="auto"/>
              <w:jc w:val="right"/>
              <w:rPr>
                <w:color w:val="000000"/>
                <w:sz w:val="20"/>
                <w:szCs w:val="20"/>
              </w:rPr>
            </w:pPr>
            <w:r w:rsidRPr="00882FD5">
              <w:rPr>
                <w:color w:val="000000"/>
                <w:sz w:val="20"/>
                <w:szCs w:val="20"/>
              </w:rPr>
              <w:t>-0.067  (-1.82)</w:t>
            </w:r>
          </w:p>
        </w:tc>
      </w:tr>
      <w:tr w:rsidR="0024154B" w:rsidRPr="00882FD5" w14:paraId="42A5D602" w14:textId="77777777" w:rsidTr="00D42297">
        <w:trPr>
          <w:trHeight w:val="300"/>
        </w:trPr>
        <w:tc>
          <w:tcPr>
            <w:tcW w:w="1714" w:type="pct"/>
            <w:tcBorders>
              <w:top w:val="single" w:sz="4" w:space="0" w:color="auto"/>
              <w:left w:val="double" w:sz="4" w:space="0" w:color="auto"/>
              <w:bottom w:val="double" w:sz="4" w:space="0" w:color="auto"/>
              <w:right w:val="double" w:sz="4" w:space="0" w:color="auto"/>
            </w:tcBorders>
            <w:shd w:val="clear" w:color="auto" w:fill="auto"/>
            <w:noWrap/>
            <w:tcMar>
              <w:left w:w="58" w:type="dxa"/>
              <w:right w:w="58" w:type="dxa"/>
            </w:tcMar>
            <w:vAlign w:val="center"/>
            <w:hideMark/>
          </w:tcPr>
          <w:p w14:paraId="588A2CF3" w14:textId="77777777" w:rsidR="0024154B" w:rsidRPr="00882FD5" w:rsidRDefault="0024154B" w:rsidP="0024154B">
            <w:pPr>
              <w:spacing w:before="0" w:line="240" w:lineRule="auto"/>
              <w:rPr>
                <w:color w:val="000000"/>
                <w:sz w:val="20"/>
                <w:szCs w:val="20"/>
              </w:rPr>
            </w:pPr>
            <w:r w:rsidRPr="00882FD5">
              <w:rPr>
                <w:color w:val="000000"/>
                <w:sz w:val="20"/>
                <w:szCs w:val="20"/>
                <w:lang w:val="en-IN"/>
              </w:rPr>
              <w:t>Constant</w:t>
            </w:r>
          </w:p>
        </w:tc>
        <w:tc>
          <w:tcPr>
            <w:tcW w:w="365" w:type="pct"/>
            <w:tcBorders>
              <w:top w:val="single" w:sz="4" w:space="0" w:color="auto"/>
              <w:left w:val="double" w:sz="4" w:space="0" w:color="auto"/>
              <w:bottom w:val="double" w:sz="4" w:space="0" w:color="auto"/>
              <w:right w:val="double" w:sz="4" w:space="0" w:color="auto"/>
            </w:tcBorders>
            <w:shd w:val="clear" w:color="auto" w:fill="auto"/>
            <w:tcMar>
              <w:left w:w="58" w:type="dxa"/>
              <w:right w:w="58" w:type="dxa"/>
            </w:tcMar>
            <w:vAlign w:val="center"/>
            <w:hideMark/>
          </w:tcPr>
          <w:p w14:paraId="47EB3879" w14:textId="0BD76EB7" w:rsidR="0024154B" w:rsidRPr="00882FD5" w:rsidRDefault="0024154B" w:rsidP="0024154B">
            <w:pPr>
              <w:spacing w:before="0" w:line="240" w:lineRule="auto"/>
              <w:jc w:val="right"/>
              <w:rPr>
                <w:color w:val="000000"/>
                <w:sz w:val="20"/>
                <w:szCs w:val="20"/>
              </w:rPr>
            </w:pPr>
          </w:p>
        </w:tc>
        <w:tc>
          <w:tcPr>
            <w:tcW w:w="499" w:type="pct"/>
            <w:tcBorders>
              <w:top w:val="single" w:sz="4" w:space="0" w:color="auto"/>
              <w:left w:val="double" w:sz="4" w:space="0" w:color="auto"/>
              <w:bottom w:val="double" w:sz="4" w:space="0" w:color="auto"/>
              <w:right w:val="double" w:sz="4" w:space="0" w:color="auto"/>
            </w:tcBorders>
            <w:shd w:val="clear" w:color="auto" w:fill="auto"/>
            <w:noWrap/>
            <w:tcMar>
              <w:left w:w="58" w:type="dxa"/>
              <w:right w:w="58" w:type="dxa"/>
            </w:tcMar>
            <w:vAlign w:val="center"/>
            <w:hideMark/>
          </w:tcPr>
          <w:p w14:paraId="25E25DC3"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-0.</w:t>
            </w:r>
            <w:proofErr w:type="gramStart"/>
            <w:r w:rsidRPr="00882FD5">
              <w:rPr>
                <w:color w:val="000000"/>
                <w:sz w:val="20"/>
                <w:szCs w:val="20"/>
                <w:lang w:val="en-IN"/>
              </w:rPr>
              <w:t>224  (</w:t>
            </w:r>
            <w:proofErr w:type="gramEnd"/>
            <w:r w:rsidRPr="00882FD5">
              <w:rPr>
                <w:color w:val="000000"/>
                <w:sz w:val="20"/>
                <w:szCs w:val="20"/>
                <w:lang w:val="en-IN"/>
              </w:rPr>
              <w:t>-4.50)</w:t>
            </w:r>
          </w:p>
        </w:tc>
        <w:tc>
          <w:tcPr>
            <w:tcW w:w="469" w:type="pct"/>
            <w:tcBorders>
              <w:top w:val="single" w:sz="4" w:space="0" w:color="auto"/>
              <w:left w:val="double" w:sz="4" w:space="0" w:color="auto"/>
              <w:bottom w:val="double" w:sz="4" w:space="0" w:color="auto"/>
              <w:right w:val="double" w:sz="4" w:space="0" w:color="auto"/>
            </w:tcBorders>
            <w:shd w:val="clear" w:color="auto" w:fill="auto"/>
            <w:tcMar>
              <w:left w:w="58" w:type="dxa"/>
              <w:right w:w="58" w:type="dxa"/>
            </w:tcMar>
            <w:vAlign w:val="center"/>
            <w:hideMark/>
          </w:tcPr>
          <w:p w14:paraId="7833D994"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-0.266 (-6.07)</w:t>
            </w:r>
          </w:p>
        </w:tc>
        <w:tc>
          <w:tcPr>
            <w:tcW w:w="466" w:type="pct"/>
            <w:tcBorders>
              <w:top w:val="single" w:sz="4" w:space="0" w:color="auto"/>
              <w:left w:val="double" w:sz="4" w:space="0" w:color="auto"/>
              <w:bottom w:val="double" w:sz="4" w:space="0" w:color="auto"/>
              <w:right w:val="double" w:sz="4" w:space="0" w:color="auto"/>
            </w:tcBorders>
            <w:shd w:val="clear" w:color="auto" w:fill="auto"/>
            <w:tcMar>
              <w:left w:w="58" w:type="dxa"/>
              <w:right w:w="58" w:type="dxa"/>
            </w:tcMar>
            <w:vAlign w:val="center"/>
            <w:hideMark/>
          </w:tcPr>
          <w:p w14:paraId="782EF780"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-0.074 (-1.67)</w:t>
            </w:r>
          </w:p>
        </w:tc>
        <w:tc>
          <w:tcPr>
            <w:tcW w:w="499" w:type="pct"/>
            <w:tcBorders>
              <w:top w:val="single" w:sz="4" w:space="0" w:color="auto"/>
              <w:left w:val="double" w:sz="4" w:space="0" w:color="auto"/>
              <w:bottom w:val="double" w:sz="4" w:space="0" w:color="auto"/>
              <w:right w:val="double" w:sz="4" w:space="0" w:color="auto"/>
            </w:tcBorders>
            <w:shd w:val="clear" w:color="auto" w:fill="auto"/>
            <w:tcMar>
              <w:left w:w="58" w:type="dxa"/>
              <w:right w:w="58" w:type="dxa"/>
            </w:tcMar>
            <w:vAlign w:val="center"/>
            <w:hideMark/>
          </w:tcPr>
          <w:p w14:paraId="3CD9E9B4" w14:textId="77777777" w:rsidR="0024154B" w:rsidRPr="00882FD5" w:rsidRDefault="0024154B" w:rsidP="0024154B">
            <w:pPr>
              <w:spacing w:before="0" w:line="240" w:lineRule="auto"/>
              <w:jc w:val="right"/>
              <w:rPr>
                <w:color w:val="000000"/>
                <w:sz w:val="20"/>
                <w:szCs w:val="20"/>
              </w:rPr>
            </w:pPr>
            <w:proofErr w:type="gramStart"/>
            <w:r w:rsidRPr="00882FD5">
              <w:rPr>
                <w:color w:val="000000"/>
                <w:sz w:val="20"/>
                <w:szCs w:val="20"/>
                <w:lang w:val="en-IN"/>
              </w:rPr>
              <w:t>0.072  (</w:t>
            </w:r>
            <w:proofErr w:type="gramEnd"/>
            <w:r w:rsidRPr="00882FD5">
              <w:rPr>
                <w:color w:val="000000"/>
                <w:sz w:val="20"/>
                <w:szCs w:val="20"/>
                <w:lang w:val="en-IN"/>
              </w:rPr>
              <w:t>2.24)</w:t>
            </w:r>
          </w:p>
        </w:tc>
        <w:tc>
          <w:tcPr>
            <w:tcW w:w="482" w:type="pct"/>
            <w:tcBorders>
              <w:top w:val="single" w:sz="4" w:space="0" w:color="auto"/>
              <w:left w:val="double" w:sz="4" w:space="0" w:color="auto"/>
              <w:bottom w:val="double" w:sz="4" w:space="0" w:color="auto"/>
              <w:right w:val="double" w:sz="4" w:space="0" w:color="auto"/>
            </w:tcBorders>
            <w:shd w:val="clear" w:color="auto" w:fill="auto"/>
            <w:tcMar>
              <w:left w:w="58" w:type="dxa"/>
              <w:right w:w="58" w:type="dxa"/>
            </w:tcMar>
            <w:vAlign w:val="center"/>
            <w:hideMark/>
          </w:tcPr>
          <w:p w14:paraId="0EE77024"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-0.044 (-2.26)</w:t>
            </w:r>
          </w:p>
        </w:tc>
        <w:tc>
          <w:tcPr>
            <w:tcW w:w="506" w:type="pct"/>
            <w:tcBorders>
              <w:top w:val="single" w:sz="4" w:space="0" w:color="auto"/>
              <w:left w:val="double" w:sz="4" w:space="0" w:color="auto"/>
              <w:bottom w:val="double" w:sz="4" w:space="0" w:color="auto"/>
              <w:right w:val="double" w:sz="4" w:space="0" w:color="auto"/>
            </w:tcBorders>
            <w:shd w:val="clear" w:color="auto" w:fill="auto"/>
            <w:tcMar>
              <w:left w:w="58" w:type="dxa"/>
              <w:right w:w="58" w:type="dxa"/>
            </w:tcMar>
            <w:vAlign w:val="center"/>
            <w:hideMark/>
          </w:tcPr>
          <w:p w14:paraId="5FC5CF12" w14:textId="77777777" w:rsidR="0024154B" w:rsidRPr="00882FD5" w:rsidRDefault="0024154B" w:rsidP="0024154B">
            <w:pPr>
              <w:spacing w:before="0" w:line="240" w:lineRule="auto"/>
              <w:jc w:val="right"/>
              <w:rPr>
                <w:color w:val="000000"/>
                <w:sz w:val="20"/>
                <w:szCs w:val="20"/>
              </w:rPr>
            </w:pPr>
            <w:r w:rsidRPr="00882FD5">
              <w:rPr>
                <w:color w:val="000000"/>
                <w:sz w:val="20"/>
                <w:szCs w:val="20"/>
                <w:lang w:val="en-IN"/>
              </w:rPr>
              <w:t>-0.</w:t>
            </w:r>
            <w:proofErr w:type="gramStart"/>
            <w:r w:rsidRPr="00882FD5">
              <w:rPr>
                <w:color w:val="000000"/>
                <w:sz w:val="20"/>
                <w:szCs w:val="20"/>
                <w:lang w:val="en-IN"/>
              </w:rPr>
              <w:t>040  (</w:t>
            </w:r>
            <w:proofErr w:type="gramEnd"/>
            <w:r w:rsidRPr="00882FD5">
              <w:rPr>
                <w:color w:val="000000"/>
                <w:sz w:val="20"/>
                <w:szCs w:val="20"/>
                <w:lang w:val="en-IN"/>
              </w:rPr>
              <w:t>-1.99)</w:t>
            </w:r>
          </w:p>
        </w:tc>
      </w:tr>
    </w:tbl>
    <w:p w14:paraId="1D153936" w14:textId="77777777" w:rsidR="00D42297" w:rsidRPr="00882FD5" w:rsidRDefault="00D42297" w:rsidP="00D42297">
      <w:pPr>
        <w:spacing w:before="0" w:line="240" w:lineRule="auto"/>
        <w:jc w:val="both"/>
        <w:rPr>
          <w:sz w:val="20"/>
        </w:rPr>
      </w:pPr>
      <w:r w:rsidRPr="00882FD5">
        <w:rPr>
          <w:b/>
          <w:sz w:val="20"/>
        </w:rPr>
        <w:t>NOTE:</w:t>
      </w:r>
      <w:r w:rsidRPr="00882FD5">
        <w:rPr>
          <w:sz w:val="20"/>
        </w:rPr>
        <w:t xml:space="preserve"> ‘-’ indicates that the variable was not found to be statistically significant.</w:t>
      </w:r>
    </w:p>
    <w:p w14:paraId="5E6BE4A3" w14:textId="77777777" w:rsidR="0024154B" w:rsidRPr="00882FD5" w:rsidRDefault="0024154B" w:rsidP="0024154B">
      <w:pPr>
        <w:spacing w:before="0" w:line="240" w:lineRule="auto"/>
        <w:jc w:val="both"/>
      </w:pPr>
    </w:p>
    <w:p w14:paraId="240DBA88" w14:textId="77777777" w:rsidR="0024154B" w:rsidRPr="00882FD5" w:rsidRDefault="0024154B" w:rsidP="00A64848">
      <w:pPr>
        <w:spacing w:before="0" w:line="240" w:lineRule="auto"/>
        <w:jc w:val="both"/>
        <w:rPr>
          <w:bCs/>
          <w:iCs/>
        </w:rPr>
        <w:sectPr w:rsidR="0024154B" w:rsidRPr="00882FD5" w:rsidSect="003B5197">
          <w:pgSz w:w="15840" w:h="12240" w:orient="landscape"/>
          <w:pgMar w:top="1440" w:right="1440" w:bottom="1440" w:left="1440" w:header="720" w:footer="720" w:gutter="0"/>
          <w:cols w:space="720"/>
          <w:docGrid w:linePitch="360"/>
        </w:sectPr>
      </w:pPr>
    </w:p>
    <w:p w14:paraId="30A29A84" w14:textId="1974F4D5" w:rsidR="006E51C7" w:rsidRPr="00882FD5" w:rsidRDefault="000D5BA4" w:rsidP="000D5E4F">
      <w:pPr>
        <w:spacing w:before="0" w:line="240" w:lineRule="auto"/>
        <w:jc w:val="both"/>
        <w:rPr>
          <w:i/>
          <w:u w:val="single"/>
        </w:rPr>
      </w:pPr>
      <w:r w:rsidRPr="00882FD5">
        <w:rPr>
          <w:bCs/>
          <w:i/>
          <w:iCs/>
          <w:u w:val="single"/>
        </w:rPr>
        <w:lastRenderedPageBreak/>
        <w:t>Endogenous outcome</w:t>
      </w:r>
      <w:r w:rsidR="00A17951" w:rsidRPr="00882FD5">
        <w:rPr>
          <w:bCs/>
          <w:i/>
          <w:iCs/>
          <w:u w:val="single"/>
        </w:rPr>
        <w:t xml:space="preserve"> effect</w:t>
      </w:r>
      <w:r w:rsidR="009F4BA7" w:rsidRPr="00882FD5">
        <w:rPr>
          <w:bCs/>
          <w:i/>
          <w:iCs/>
          <w:u w:val="single"/>
        </w:rPr>
        <w:t xml:space="preserve"> </w:t>
      </w:r>
      <w:r w:rsidR="009F4BA7" w:rsidRPr="00882FD5">
        <w:rPr>
          <w:i/>
          <w:u w:val="single"/>
        </w:rPr>
        <w:t xml:space="preserve">(elements of the </w:t>
      </w:r>
      <w:r w:rsidR="00780B0D" w:rsidRPr="003260D1">
        <w:rPr>
          <w:b/>
          <w:i/>
          <w:u w:val="single"/>
        </w:rPr>
        <w:t>b</w:t>
      </w:r>
      <w:r w:rsidR="009F4BA7" w:rsidRPr="00882FD5">
        <w:rPr>
          <w:i/>
          <w:u w:val="single"/>
        </w:rPr>
        <w:t xml:space="preserve"> matrix)</w:t>
      </w:r>
    </w:p>
    <w:p w14:paraId="4382756D" w14:textId="77777777" w:rsidR="000D5E4F" w:rsidRDefault="00CB7D20" w:rsidP="000D5E4F">
      <w:pPr>
        <w:spacing w:before="0" w:line="240" w:lineRule="auto"/>
        <w:jc w:val="both"/>
      </w:pPr>
      <w:r w:rsidRPr="00882FD5">
        <w:t xml:space="preserve">There are two </w:t>
      </w:r>
      <w:r w:rsidR="00534DF3">
        <w:t xml:space="preserve">sets of </w:t>
      </w:r>
      <w:r w:rsidRPr="00882FD5">
        <w:t>endogenous outcome effect</w:t>
      </w:r>
      <w:r w:rsidR="00534DF3">
        <w:t>s</w:t>
      </w:r>
      <w:r w:rsidRPr="00882FD5">
        <w:t xml:space="preserve"> for the mode choice component of the joint model. First, the high-density neighborhood or HDN impact suggests that individuals residing in HDNs have a lower preference for </w:t>
      </w:r>
      <w:r w:rsidR="0089180A" w:rsidRPr="00882FD5">
        <w:t xml:space="preserve">the </w:t>
      </w:r>
      <w:r w:rsidR="0043001A" w:rsidRPr="00882FD5">
        <w:t>private vehicle</w:t>
      </w:r>
      <w:r w:rsidR="0089180A" w:rsidRPr="00882FD5">
        <w:t xml:space="preserve"> mode</w:t>
      </w:r>
      <w:r w:rsidR="00AB3CE4" w:rsidRPr="00882FD5">
        <w:t>,</w:t>
      </w:r>
      <w:r w:rsidRPr="00882FD5">
        <w:t xml:space="preserve"> but higher preference</w:t>
      </w:r>
      <w:r w:rsidR="0089180A" w:rsidRPr="00882FD5">
        <w:t>s</w:t>
      </w:r>
      <w:r w:rsidRPr="00882FD5">
        <w:t xml:space="preserve"> for </w:t>
      </w:r>
      <w:r w:rsidR="0089180A" w:rsidRPr="00882FD5">
        <w:t xml:space="preserve">the </w:t>
      </w:r>
      <w:r w:rsidRPr="00882FD5">
        <w:t xml:space="preserve">bike and </w:t>
      </w:r>
      <w:r w:rsidR="0043001A" w:rsidRPr="00882FD5">
        <w:t>HD</w:t>
      </w:r>
      <w:r w:rsidRPr="00882FD5">
        <w:t xml:space="preserve"> RH modes (private and pooled). </w:t>
      </w:r>
      <w:r w:rsidR="00A33939" w:rsidRPr="00882FD5">
        <w:t xml:space="preserve">The second </w:t>
      </w:r>
      <w:r w:rsidR="00534DF3">
        <w:t xml:space="preserve">set of </w:t>
      </w:r>
      <w:r w:rsidR="00A33939" w:rsidRPr="00882FD5">
        <w:t xml:space="preserve">endogenous </w:t>
      </w:r>
      <w:r w:rsidR="000B7878" w:rsidRPr="00882FD5">
        <w:t>outcome effects relate to auto-ownership effects on mode choice. As one would anticipate, high auto-ownership is associated with a higher pre</w:t>
      </w:r>
      <w:r w:rsidR="00901417" w:rsidRPr="00882FD5">
        <w:t>ference for private vehicle use. Interestingly, our results also suggest that individuals in higher auto-ownership households have lower preferences for pooled RH (HD or AV)</w:t>
      </w:r>
      <w:r w:rsidR="00AB3CE4" w:rsidRPr="00882FD5">
        <w:t>,</w:t>
      </w:r>
      <w:r w:rsidR="00901417" w:rsidRPr="00882FD5">
        <w:t xml:space="preserve"> which is presumably because such individuals are more used to traveling in private and in the comfort of their own</w:t>
      </w:r>
      <w:r w:rsidR="00850FFD" w:rsidRPr="00882FD5">
        <w:t xml:space="preserve"> car</w:t>
      </w:r>
      <w:r w:rsidR="00901417" w:rsidRPr="00882FD5">
        <w:t>.</w:t>
      </w:r>
    </w:p>
    <w:p w14:paraId="6ED2C9B8" w14:textId="4C5DBF58" w:rsidR="00A33939" w:rsidRPr="00882FD5" w:rsidRDefault="00901417" w:rsidP="000D5E4F">
      <w:pPr>
        <w:spacing w:before="0" w:line="240" w:lineRule="auto"/>
        <w:jc w:val="both"/>
      </w:pPr>
      <w:r w:rsidRPr="00882FD5">
        <w:t xml:space="preserve"> </w:t>
      </w:r>
    </w:p>
    <w:p w14:paraId="279180BF" w14:textId="7B317F3B" w:rsidR="00834F12" w:rsidRPr="00882FD5" w:rsidRDefault="00834F12" w:rsidP="006C7497">
      <w:pPr>
        <w:pStyle w:val="ListParagraph"/>
        <w:numPr>
          <w:ilvl w:val="2"/>
          <w:numId w:val="25"/>
        </w:numPr>
        <w:spacing w:before="0" w:line="240" w:lineRule="auto"/>
        <w:contextualSpacing w:val="0"/>
        <w:jc w:val="both"/>
        <w:rPr>
          <w:bCs/>
          <w:i/>
          <w:iCs/>
        </w:rPr>
      </w:pPr>
      <w:bookmarkStart w:id="13" w:name="_Hlk100659647"/>
      <w:r w:rsidRPr="00882FD5">
        <w:rPr>
          <w:bCs/>
          <w:i/>
          <w:iCs/>
        </w:rPr>
        <w:t xml:space="preserve">Correlations between </w:t>
      </w:r>
      <w:r w:rsidR="00B574CA" w:rsidRPr="00882FD5">
        <w:rPr>
          <w:bCs/>
          <w:i/>
          <w:iCs/>
        </w:rPr>
        <w:t>M</w:t>
      </w:r>
      <w:r w:rsidRPr="00882FD5">
        <w:rPr>
          <w:bCs/>
          <w:i/>
          <w:iCs/>
        </w:rPr>
        <w:t xml:space="preserve">ain </w:t>
      </w:r>
      <w:r w:rsidR="00B574CA" w:rsidRPr="00882FD5">
        <w:rPr>
          <w:bCs/>
          <w:i/>
          <w:iCs/>
        </w:rPr>
        <w:t>O</w:t>
      </w:r>
      <w:r w:rsidRPr="00882FD5">
        <w:rPr>
          <w:bCs/>
          <w:i/>
          <w:iCs/>
        </w:rPr>
        <w:t xml:space="preserve">utcomes and </w:t>
      </w:r>
      <w:r w:rsidR="00B574CA" w:rsidRPr="00882FD5">
        <w:rPr>
          <w:bCs/>
          <w:i/>
          <w:iCs/>
        </w:rPr>
        <w:t>L</w:t>
      </w:r>
      <w:r w:rsidRPr="00882FD5">
        <w:rPr>
          <w:bCs/>
          <w:i/>
          <w:iCs/>
        </w:rPr>
        <w:t xml:space="preserve">atent </w:t>
      </w:r>
      <w:r w:rsidR="00B574CA" w:rsidRPr="00882FD5">
        <w:rPr>
          <w:bCs/>
          <w:i/>
          <w:iCs/>
        </w:rPr>
        <w:t>C</w:t>
      </w:r>
      <w:r w:rsidRPr="00882FD5">
        <w:rPr>
          <w:bCs/>
          <w:i/>
          <w:iCs/>
        </w:rPr>
        <w:t>onstructs</w:t>
      </w:r>
      <w:r w:rsidR="0089180A" w:rsidRPr="00882FD5">
        <w:rPr>
          <w:bCs/>
          <w:i/>
          <w:iCs/>
        </w:rPr>
        <w:t xml:space="preserve"> (elements of the </w:t>
      </w:r>
      <w:r w:rsidR="000D5E4F" w:rsidRPr="00882FD5">
        <w:rPr>
          <w:position w:val="-12"/>
        </w:rPr>
        <w:object w:dxaOrig="480" w:dyaOrig="360" w14:anchorId="2BE50B74">
          <v:shape id="_x0000_i1201" type="#_x0000_t75" style="width:24pt;height:18pt" o:ole="">
            <v:imagedata r:id="rId351" o:title=""/>
          </v:shape>
          <o:OLEObject Type="Embed" ProgID="Equation.DSMT4" ShapeID="_x0000_i1201" DrawAspect="Content" ObjectID="_1738155098" r:id="rId352"/>
        </w:object>
      </w:r>
      <w:r w:rsidR="0089180A" w:rsidRPr="00882FD5">
        <w:t xml:space="preserve"> and </w:t>
      </w:r>
      <w:r w:rsidR="000D5E4F" w:rsidRPr="00882FD5">
        <w:rPr>
          <w:position w:val="-12"/>
        </w:rPr>
        <w:object w:dxaOrig="480" w:dyaOrig="360" w14:anchorId="0CF52C86">
          <v:shape id="_x0000_i1202" type="#_x0000_t75" style="width:24pt;height:18pt" o:ole="">
            <v:imagedata r:id="rId353" o:title=""/>
          </v:shape>
          <o:OLEObject Type="Embed" ProgID="Equation.DSMT4" ShapeID="_x0000_i1202" DrawAspect="Content" ObjectID="_1738155099" r:id="rId354"/>
        </w:object>
      </w:r>
      <w:r w:rsidR="000D5E4F">
        <w:t xml:space="preserve"> </w:t>
      </w:r>
      <w:r w:rsidR="0089180A" w:rsidRPr="00882FD5">
        <w:t>matrices)</w:t>
      </w:r>
    </w:p>
    <w:p w14:paraId="1404DE41" w14:textId="1D5C1104" w:rsidR="00E26566" w:rsidRPr="00882FD5" w:rsidRDefault="002554AC" w:rsidP="000D5E4F">
      <w:pPr>
        <w:spacing w:before="0" w:line="240" w:lineRule="auto"/>
        <w:jc w:val="both"/>
      </w:pPr>
      <w:r w:rsidRPr="00882FD5">
        <w:t xml:space="preserve">Our proposed model allows the error terms of the latent constructs to be correlated with the error terms of the main outcomes. Among all the possible correlations, </w:t>
      </w:r>
      <w:r w:rsidR="00AB3CE4" w:rsidRPr="00882FD5">
        <w:t>five</w:t>
      </w:r>
      <w:r w:rsidRPr="00882FD5">
        <w:t xml:space="preserve"> correlation terms turned out to be significant. These estimated correlations</w:t>
      </w:r>
      <w:r w:rsidR="00534DF3">
        <w:t xml:space="preserve"> (and</w:t>
      </w:r>
      <w:r w:rsidRPr="00882FD5">
        <w:t xml:space="preserve"> t-stats</w:t>
      </w:r>
      <w:r w:rsidR="00534DF3">
        <w:t>)</w:t>
      </w:r>
      <w:r w:rsidRPr="00882FD5">
        <w:t xml:space="preserve"> are as follows: GLP and HDN living with a correlation of +0.121 (t-stat</w:t>
      </w:r>
      <w:r w:rsidR="00AC64F3" w:rsidRPr="00882FD5">
        <w:t xml:space="preserve"> </w:t>
      </w:r>
      <w:r w:rsidRPr="00882FD5">
        <w:t>=</w:t>
      </w:r>
      <w:r w:rsidR="00AC64F3" w:rsidRPr="00882FD5">
        <w:t xml:space="preserve"> </w:t>
      </w:r>
      <w:r w:rsidRPr="00882FD5">
        <w:t>2.22), GLP and the Bicycle mode with a correlation of +0.142</w:t>
      </w:r>
      <w:r w:rsidR="00E26566" w:rsidRPr="00882FD5">
        <w:t>*</w:t>
      </w:r>
      <w:r w:rsidRPr="00882FD5">
        <w:t xml:space="preserve"> (t-stat</w:t>
      </w:r>
      <w:r w:rsidR="00AC64F3" w:rsidRPr="00882FD5">
        <w:t xml:space="preserve"> </w:t>
      </w:r>
      <w:r w:rsidRPr="00882FD5">
        <w:t>=</w:t>
      </w:r>
      <w:r w:rsidR="00AC64F3" w:rsidRPr="00882FD5">
        <w:t xml:space="preserve"> </w:t>
      </w:r>
      <w:r w:rsidRPr="00882FD5">
        <w:t xml:space="preserve">2.85), LLP and HDN living with a correlation of -0.090 (t-stat = -1.89), LLP and auto-ownership with a correlation of </w:t>
      </w:r>
      <w:r w:rsidR="00E26566" w:rsidRPr="00882FD5">
        <w:t>+</w:t>
      </w:r>
      <w:r w:rsidRPr="00882FD5">
        <w:t>0.105 (t-stat</w:t>
      </w:r>
      <w:r w:rsidR="00AC64F3" w:rsidRPr="00882FD5">
        <w:t xml:space="preserve"> </w:t>
      </w:r>
      <w:r w:rsidRPr="00882FD5">
        <w:t>=</w:t>
      </w:r>
      <w:r w:rsidR="00AC64F3" w:rsidRPr="00882FD5">
        <w:t xml:space="preserve"> </w:t>
      </w:r>
      <w:r w:rsidRPr="00882FD5">
        <w:t>3.00), and LLP and the Private vehicle mode with a correlation</w:t>
      </w:r>
      <w:r w:rsidR="00E26566" w:rsidRPr="00882FD5">
        <w:t xml:space="preserve"> </w:t>
      </w:r>
      <w:r w:rsidRPr="00882FD5">
        <w:t xml:space="preserve">of </w:t>
      </w:r>
      <w:r w:rsidR="00E26566" w:rsidRPr="00882FD5">
        <w:t>+</w:t>
      </w:r>
      <w:r w:rsidRPr="00882FD5">
        <w:t>0.11</w:t>
      </w:r>
      <w:r w:rsidR="00E26566" w:rsidRPr="00882FD5">
        <w:t>4* (t-stat</w:t>
      </w:r>
      <w:r w:rsidR="00AC64F3" w:rsidRPr="00882FD5">
        <w:t xml:space="preserve"> </w:t>
      </w:r>
      <w:r w:rsidR="00E26566" w:rsidRPr="00882FD5">
        <w:t>=</w:t>
      </w:r>
      <w:r w:rsidR="00AC64F3" w:rsidRPr="00882FD5">
        <w:t xml:space="preserve"> </w:t>
      </w:r>
      <w:r w:rsidR="00E26566" w:rsidRPr="00882FD5">
        <w:t xml:space="preserve">2.12) [the * indicates that the correlations with the alternatives in the mode choice model </w:t>
      </w:r>
      <w:r w:rsidR="00003DCD" w:rsidRPr="00882FD5">
        <w:t xml:space="preserve">are </w:t>
      </w:r>
      <w:r w:rsidR="00E26566" w:rsidRPr="00882FD5">
        <w:t>with respect to the error differenced terms with Public Transport as the base]. Analyzing the signs of these correlations and the signs of the direct effects of the latent constructs on the main outcomes reveal</w:t>
      </w:r>
      <w:r w:rsidR="00003DCD" w:rsidRPr="00882FD5">
        <w:t>s</w:t>
      </w:r>
      <w:r w:rsidR="00E26566" w:rsidRPr="00882FD5">
        <w:t xml:space="preserve"> that ignoring these endogeneity effects will consistently overestimate the self-selection effects and underestimate the “true” causal HDN effect on the main outcomes</w:t>
      </w:r>
      <w:r w:rsidR="004D1F92" w:rsidRPr="00882FD5">
        <w:t xml:space="preserve"> for this particular empirical context</w:t>
      </w:r>
      <w:r w:rsidR="00AB3CE4" w:rsidRPr="00882FD5">
        <w:t xml:space="preserve">, as we further illustrate in Section 5. </w:t>
      </w:r>
    </w:p>
    <w:p w14:paraId="13B9517E" w14:textId="77777777" w:rsidR="00A64848" w:rsidRPr="00882FD5" w:rsidRDefault="00A64848" w:rsidP="000D5E4F">
      <w:pPr>
        <w:spacing w:before="0" w:line="240" w:lineRule="auto"/>
        <w:jc w:val="both"/>
        <w:rPr>
          <w:b/>
          <w:bCs/>
        </w:rPr>
      </w:pPr>
    </w:p>
    <w:p w14:paraId="0FA48D6B" w14:textId="07FC954D" w:rsidR="00457FD0" w:rsidRPr="00882FD5" w:rsidRDefault="00DA3B58" w:rsidP="006C7497">
      <w:pPr>
        <w:pStyle w:val="ListParagraph"/>
        <w:numPr>
          <w:ilvl w:val="1"/>
          <w:numId w:val="25"/>
        </w:numPr>
        <w:spacing w:before="0" w:line="240" w:lineRule="auto"/>
        <w:ind w:left="450" w:hanging="450"/>
        <w:contextualSpacing w:val="0"/>
        <w:jc w:val="both"/>
        <w:rPr>
          <w:b/>
        </w:rPr>
      </w:pPr>
      <w:r w:rsidRPr="00882FD5">
        <w:rPr>
          <w:b/>
          <w:bCs/>
        </w:rPr>
        <w:t xml:space="preserve">Data </w:t>
      </w:r>
      <w:r w:rsidR="00B574CA" w:rsidRPr="00882FD5">
        <w:rPr>
          <w:b/>
          <w:bCs/>
        </w:rPr>
        <w:t>F</w:t>
      </w:r>
      <w:r w:rsidRPr="00882FD5">
        <w:rPr>
          <w:b/>
          <w:bCs/>
        </w:rPr>
        <w:t xml:space="preserve">it </w:t>
      </w:r>
      <w:r w:rsidR="00B574CA" w:rsidRPr="00882FD5">
        <w:rPr>
          <w:b/>
          <w:bCs/>
        </w:rPr>
        <w:t>C</w:t>
      </w:r>
      <w:r w:rsidRPr="00882FD5">
        <w:rPr>
          <w:b/>
          <w:bCs/>
        </w:rPr>
        <w:t>omparison</w:t>
      </w:r>
    </w:p>
    <w:p w14:paraId="177E2989" w14:textId="0895DC5E" w:rsidR="00A64848" w:rsidRDefault="00457FD0" w:rsidP="000D5E4F">
      <w:pPr>
        <w:spacing w:before="0" w:line="240" w:lineRule="auto"/>
        <w:jc w:val="both"/>
        <w:rPr>
          <w:color w:val="000000"/>
        </w:rPr>
      </w:pPr>
      <w:r w:rsidRPr="00882FD5">
        <w:t>W</w:t>
      </w:r>
      <w:r w:rsidR="00906447" w:rsidRPr="00882FD5">
        <w:t>e compare the data fit measures of our proposed model</w:t>
      </w:r>
      <w:r w:rsidR="0089180A" w:rsidRPr="00882FD5">
        <w:t>,</w:t>
      </w:r>
      <w:r w:rsidR="00906447" w:rsidRPr="00882FD5">
        <w:t xml:space="preserve"> which considers the </w:t>
      </w:r>
      <w:r w:rsidR="00534DF3">
        <w:t xml:space="preserve">endogeneity of the </w:t>
      </w:r>
      <w:r w:rsidR="00906447" w:rsidRPr="00882FD5">
        <w:t>latent construct</w:t>
      </w:r>
      <w:r w:rsidR="00534DF3">
        <w:t xml:space="preserve">s to the </w:t>
      </w:r>
      <w:r w:rsidR="00906447" w:rsidRPr="00882FD5">
        <w:t>main outcomes</w:t>
      </w:r>
      <w:r w:rsidR="00534DF3">
        <w:t xml:space="preserve"> </w:t>
      </w:r>
      <w:r w:rsidR="00906447" w:rsidRPr="00882FD5">
        <w:t>(we call our</w:t>
      </w:r>
      <w:r w:rsidR="00886BD3" w:rsidRPr="00882FD5">
        <w:t xml:space="preserve"> proposed</w:t>
      </w:r>
      <w:r w:rsidR="00906447" w:rsidRPr="00882FD5">
        <w:t xml:space="preserve"> model </w:t>
      </w:r>
      <w:r w:rsidR="00AB3CE4" w:rsidRPr="00882FD5">
        <w:t>FLEX</w:t>
      </w:r>
      <w:r w:rsidR="00906447" w:rsidRPr="00882FD5">
        <w:t>-GHDM)</w:t>
      </w:r>
      <w:r w:rsidR="0089180A" w:rsidRPr="00882FD5">
        <w:t>,</w:t>
      </w:r>
      <w:r w:rsidR="00906447" w:rsidRPr="00882FD5">
        <w:t xml:space="preserve"> with the traditional GHDM model (T</w:t>
      </w:r>
      <w:r w:rsidR="00AB3CE4" w:rsidRPr="00882FD5">
        <w:t>RAD</w:t>
      </w:r>
      <w:r w:rsidR="00906447" w:rsidRPr="00882FD5">
        <w:t>-GHDM)</w:t>
      </w:r>
      <w:r w:rsidR="00AB3CE4" w:rsidRPr="00882FD5">
        <w:t xml:space="preserve">. </w:t>
      </w:r>
      <w:r w:rsidR="00886BD3" w:rsidRPr="00882FD5">
        <w:t>The T</w:t>
      </w:r>
      <w:r w:rsidR="0081492C" w:rsidRPr="00882FD5">
        <w:t>RAD</w:t>
      </w:r>
      <w:r w:rsidR="00886BD3" w:rsidRPr="00882FD5">
        <w:t xml:space="preserve">-GHDM model is estimated by </w:t>
      </w:r>
      <w:r w:rsidR="00AB3CE4" w:rsidRPr="00882FD5">
        <w:t>ignoring</w:t>
      </w:r>
      <w:r w:rsidR="00886BD3" w:rsidRPr="00882FD5">
        <w:t xml:space="preserve"> </w:t>
      </w:r>
      <w:r w:rsidR="00534DF3">
        <w:t xml:space="preserve">the </w:t>
      </w:r>
      <w:r w:rsidR="00886BD3" w:rsidRPr="00882FD5">
        <w:t xml:space="preserve">endogeneity </w:t>
      </w:r>
      <w:r w:rsidR="00534DF3">
        <w:t>of</w:t>
      </w:r>
      <w:r w:rsidR="00534DF3" w:rsidRPr="00882FD5">
        <w:t xml:space="preserve"> </w:t>
      </w:r>
      <w:r w:rsidR="00886BD3" w:rsidRPr="00882FD5">
        <w:t>the latent construct</w:t>
      </w:r>
      <w:r w:rsidR="00534DF3">
        <w:t>s; that is,</w:t>
      </w:r>
      <w:r w:rsidR="00886BD3" w:rsidRPr="00882FD5">
        <w:t xml:space="preserve"> by considering </w:t>
      </w:r>
      <w:r w:rsidR="00886BD3" w:rsidRPr="00882FD5">
        <w:rPr>
          <w:position w:val="-12"/>
        </w:rPr>
        <w:object w:dxaOrig="480" w:dyaOrig="360" w14:anchorId="2D00E4AB">
          <v:shape id="_x0000_i1203" type="#_x0000_t75" style="width:24pt;height:18pt" o:ole="">
            <v:imagedata r:id="rId351" o:title=""/>
          </v:shape>
          <o:OLEObject Type="Embed" ProgID="Equation.DSMT4" ShapeID="_x0000_i1203" DrawAspect="Content" ObjectID="_1738155100" r:id="rId355"/>
        </w:object>
      </w:r>
      <w:r w:rsidR="00B574CA" w:rsidRPr="00882FD5">
        <w:t xml:space="preserve"> </w:t>
      </w:r>
      <w:r w:rsidR="00886BD3" w:rsidRPr="00882FD5">
        <w:t xml:space="preserve">and </w:t>
      </w:r>
      <w:r w:rsidR="00886BD3" w:rsidRPr="00882FD5">
        <w:rPr>
          <w:position w:val="-12"/>
        </w:rPr>
        <w:object w:dxaOrig="480" w:dyaOrig="360" w14:anchorId="16514D97">
          <v:shape id="_x0000_i1204" type="#_x0000_t75" style="width:24pt;height:18pt" o:ole="">
            <v:imagedata r:id="rId353" o:title=""/>
          </v:shape>
          <o:OLEObject Type="Embed" ProgID="Equation.DSMT4" ShapeID="_x0000_i1204" DrawAspect="Content" ObjectID="_1738155101" r:id="rId356"/>
        </w:object>
      </w:r>
      <w:r w:rsidR="00B574CA" w:rsidRPr="00882FD5">
        <w:t xml:space="preserve"> </w:t>
      </w:r>
      <w:r w:rsidR="00886BD3" w:rsidRPr="00882FD5">
        <w:t>to be zero matrices</w:t>
      </w:r>
      <w:r w:rsidR="00DA3B58" w:rsidRPr="00882FD5">
        <w:t xml:space="preserve">. </w:t>
      </w:r>
      <w:r w:rsidR="00D65E09" w:rsidRPr="00882FD5">
        <w:t>Table 6 provides the log-likelihood values at convergence for both models</w:t>
      </w:r>
      <w:r w:rsidR="00E37F50" w:rsidRPr="00882FD5">
        <w:t xml:space="preserve"> (first row), and </w:t>
      </w:r>
      <w:r w:rsidR="00E91613" w:rsidRPr="00882FD5">
        <w:t xml:space="preserve">related statistics. The BIC measure </w:t>
      </w:r>
      <w:r w:rsidR="00066361" w:rsidRPr="00882FD5">
        <w:t xml:space="preserve">(fourth row) and the adjusted likelihood ratio index (fifth row) both </w:t>
      </w:r>
      <w:r w:rsidR="009A11CC" w:rsidRPr="00882FD5">
        <w:t>favor</w:t>
      </w:r>
      <w:r w:rsidR="00E91613" w:rsidRPr="00882FD5">
        <w:t xml:space="preserve"> the FLEX</w:t>
      </w:r>
      <w:r w:rsidR="00191850" w:rsidRPr="00882FD5">
        <w:t>-GHDM</w:t>
      </w:r>
      <w:r w:rsidR="00E91613" w:rsidRPr="00882FD5">
        <w:t xml:space="preserve"> model</w:t>
      </w:r>
      <w:r w:rsidR="00066361" w:rsidRPr="00882FD5">
        <w:t xml:space="preserve">. Further, a </w:t>
      </w:r>
      <w:r w:rsidR="00E37F50" w:rsidRPr="00882FD5">
        <w:t>likelihood ratio test (</w:t>
      </w:r>
      <w:r w:rsidR="00066361" w:rsidRPr="00882FD5">
        <w:t>sixth</w:t>
      </w:r>
      <w:r w:rsidR="00E37F50" w:rsidRPr="00882FD5">
        <w:t xml:space="preserve"> row) </w:t>
      </w:r>
      <w:r w:rsidR="00066361" w:rsidRPr="00882FD5">
        <w:t>indicates that the superior fit of the FLEX</w:t>
      </w:r>
      <w:r w:rsidR="00191850" w:rsidRPr="00882FD5">
        <w:t>-GHDM</w:t>
      </w:r>
      <w:r w:rsidR="00066361" w:rsidRPr="00882FD5">
        <w:t xml:space="preserve"> model is statistically significant </w:t>
      </w:r>
      <w:r w:rsidR="00792473" w:rsidRPr="00882FD5">
        <w:t>at the 0.05 level of significance (and, in fact, at any reasonable level of significance)</w:t>
      </w:r>
      <w:r w:rsidR="00D65E09" w:rsidRPr="00882FD5">
        <w:t xml:space="preserve">. </w:t>
      </w:r>
      <w:r w:rsidR="003A424B" w:rsidRPr="00882FD5">
        <w:t xml:space="preserve">To </w:t>
      </w:r>
      <w:r w:rsidR="00066361" w:rsidRPr="00882FD5">
        <w:t xml:space="preserve">further </w:t>
      </w:r>
      <w:r w:rsidR="003A424B" w:rsidRPr="00882FD5">
        <w:t xml:space="preserve">understand the gains in prediction for our proposed model over the </w:t>
      </w:r>
      <w:r w:rsidR="0081492C" w:rsidRPr="00882FD5">
        <w:t>TRAD</w:t>
      </w:r>
      <w:r w:rsidR="003A424B" w:rsidRPr="00882FD5">
        <w:t xml:space="preserve">-GHDM model, </w:t>
      </w:r>
      <w:r w:rsidR="00DA3B58" w:rsidRPr="00882FD5">
        <w:t xml:space="preserve">we compute the predictive </w:t>
      </w:r>
      <w:r w:rsidR="00391ED3" w:rsidRPr="00882FD5">
        <w:t>log-</w:t>
      </w:r>
      <w:r w:rsidR="00DA3B58" w:rsidRPr="00882FD5">
        <w:t>like</w:t>
      </w:r>
      <w:r w:rsidR="003A424B" w:rsidRPr="00882FD5">
        <w:t>l</w:t>
      </w:r>
      <w:r w:rsidR="00DA3B58" w:rsidRPr="00882FD5">
        <w:t>ihood at convergence for only the main outcome variables</w:t>
      </w:r>
      <w:r w:rsidR="00534DF3">
        <w:t xml:space="preserve"> (that is, the HDN, auto-ownership, and modal choices)</w:t>
      </w:r>
      <w:r w:rsidR="00DA3B58" w:rsidRPr="00882FD5">
        <w:t xml:space="preserve"> in the GHDM</w:t>
      </w:r>
      <w:r w:rsidR="003A424B" w:rsidRPr="00882FD5">
        <w:t xml:space="preserve"> framework</w:t>
      </w:r>
      <w:r w:rsidR="00534DF3">
        <w:t xml:space="preserve"> (see the penultimate row of Table 6)</w:t>
      </w:r>
      <w:r w:rsidR="00FD39C8" w:rsidRPr="00882FD5">
        <w:t xml:space="preserve">. </w:t>
      </w:r>
      <w:r w:rsidR="00391ED3" w:rsidRPr="00882FD5">
        <w:t>This again favors the FLEX</w:t>
      </w:r>
      <w:r w:rsidR="00191850" w:rsidRPr="00882FD5">
        <w:t>-GHDM</w:t>
      </w:r>
      <w:r w:rsidR="00391ED3" w:rsidRPr="00882FD5">
        <w:t xml:space="preserve"> model. </w:t>
      </w:r>
      <w:r w:rsidR="00B55754" w:rsidRPr="00882FD5">
        <w:t xml:space="preserve">We can also use an informal likelihood ratio index test to compare the two models </w:t>
      </w:r>
      <w:r w:rsidR="00FE15CA" w:rsidRPr="00882FD5">
        <w:t xml:space="preserve">on predicting </w:t>
      </w:r>
      <w:r w:rsidR="00391ED3" w:rsidRPr="00882FD5">
        <w:t xml:space="preserve">only </w:t>
      </w:r>
      <w:r w:rsidR="00FE15CA" w:rsidRPr="00882FD5">
        <w:t xml:space="preserve">the </w:t>
      </w:r>
      <w:r w:rsidR="00534DF3">
        <w:t xml:space="preserve">main </w:t>
      </w:r>
      <w:r w:rsidR="00FE15CA" w:rsidRPr="00882FD5">
        <w:t>outcome</w:t>
      </w:r>
      <w:r w:rsidR="00534DF3">
        <w:t>s</w:t>
      </w:r>
      <w:r w:rsidR="00FE15CA" w:rsidRPr="00882FD5">
        <w:t>. Such a</w:t>
      </w:r>
      <w:r w:rsidR="00391ED3" w:rsidRPr="00882FD5">
        <w:t>n informal</w:t>
      </w:r>
      <w:r w:rsidR="00FE15CA" w:rsidRPr="00882FD5">
        <w:t xml:space="preserve"> </w:t>
      </w:r>
      <w:r w:rsidR="00D75B91" w:rsidRPr="00882FD5">
        <w:rPr>
          <w:color w:val="000000"/>
        </w:rPr>
        <w:t>test confirms the statistical superiority of the FLEX-GHDM over the TRAD-GHDM model</w:t>
      </w:r>
      <w:r w:rsidR="00391ED3" w:rsidRPr="00882FD5">
        <w:rPr>
          <w:color w:val="000000"/>
        </w:rPr>
        <w:t xml:space="preserve"> (se</w:t>
      </w:r>
      <w:r w:rsidR="00772767" w:rsidRPr="00882FD5">
        <w:rPr>
          <w:color w:val="000000"/>
        </w:rPr>
        <w:t>e</w:t>
      </w:r>
      <w:r w:rsidR="00391ED3" w:rsidRPr="00882FD5">
        <w:rPr>
          <w:color w:val="000000"/>
        </w:rPr>
        <w:t xml:space="preserve"> the last row of Table 6)</w:t>
      </w:r>
      <w:r w:rsidR="00D75B91" w:rsidRPr="00882FD5">
        <w:rPr>
          <w:color w:val="000000"/>
        </w:rPr>
        <w:t>.</w:t>
      </w:r>
    </w:p>
    <w:p w14:paraId="7833CA00" w14:textId="77777777" w:rsidR="000D5E4F" w:rsidRPr="00882FD5" w:rsidRDefault="000D5E4F" w:rsidP="000D5E4F">
      <w:pPr>
        <w:spacing w:before="0" w:line="240" w:lineRule="auto"/>
        <w:jc w:val="both"/>
        <w:rPr>
          <w:color w:val="000000"/>
        </w:rPr>
      </w:pPr>
    </w:p>
    <w:p w14:paraId="0EA0B35D" w14:textId="19CEB694" w:rsidR="00D75B91" w:rsidRPr="00882FD5" w:rsidRDefault="00D75B91" w:rsidP="000D5E4F">
      <w:pPr>
        <w:pStyle w:val="Caption"/>
        <w:keepNext/>
        <w:keepLines/>
        <w:spacing w:before="0" w:after="0"/>
        <w:rPr>
          <w:rFonts w:ascii="Times New Roman" w:hAnsi="Times New Roman" w:cs="Times New Roman"/>
          <w:b/>
          <w:bCs/>
          <w:i w:val="0"/>
          <w:iCs w:val="0"/>
          <w:color w:val="auto"/>
          <w:sz w:val="24"/>
          <w:szCs w:val="24"/>
        </w:rPr>
      </w:pPr>
      <w:r w:rsidRPr="00882FD5">
        <w:rPr>
          <w:rFonts w:ascii="Times New Roman" w:hAnsi="Times New Roman" w:cs="Times New Roman"/>
          <w:b/>
          <w:bCs/>
          <w:i w:val="0"/>
          <w:iCs w:val="0"/>
          <w:color w:val="auto"/>
          <w:sz w:val="24"/>
          <w:szCs w:val="24"/>
        </w:rPr>
        <w:lastRenderedPageBreak/>
        <w:t>T</w:t>
      </w:r>
      <w:r w:rsidR="00051EDB" w:rsidRPr="00882FD5">
        <w:rPr>
          <w:rFonts w:ascii="Times New Roman" w:hAnsi="Times New Roman" w:cs="Times New Roman"/>
          <w:b/>
          <w:bCs/>
          <w:i w:val="0"/>
          <w:iCs w:val="0"/>
          <w:color w:val="auto"/>
          <w:sz w:val="24"/>
          <w:szCs w:val="24"/>
        </w:rPr>
        <w:t>ABLE</w:t>
      </w:r>
      <w:r w:rsidRPr="00882FD5">
        <w:rPr>
          <w:rFonts w:ascii="Times New Roman" w:hAnsi="Times New Roman" w:cs="Times New Roman"/>
          <w:b/>
          <w:bCs/>
          <w:i w:val="0"/>
          <w:iCs w:val="0"/>
          <w:color w:val="auto"/>
          <w:sz w:val="24"/>
          <w:szCs w:val="24"/>
        </w:rPr>
        <w:t xml:space="preserve"> 6</w:t>
      </w:r>
      <w:r w:rsidR="00051EDB" w:rsidRPr="00882FD5">
        <w:rPr>
          <w:rFonts w:ascii="Times New Roman" w:hAnsi="Times New Roman" w:cs="Times New Roman"/>
          <w:b/>
          <w:bCs/>
          <w:i w:val="0"/>
          <w:iCs w:val="0"/>
          <w:color w:val="auto"/>
          <w:sz w:val="24"/>
          <w:szCs w:val="24"/>
        </w:rPr>
        <w:t xml:space="preserve"> </w:t>
      </w:r>
      <w:r w:rsidRPr="00882FD5">
        <w:rPr>
          <w:rFonts w:ascii="Times New Roman" w:hAnsi="Times New Roman" w:cs="Times New Roman"/>
          <w:b/>
          <w:bCs/>
          <w:i w:val="0"/>
          <w:iCs w:val="0"/>
          <w:color w:val="auto"/>
          <w:sz w:val="24"/>
          <w:szCs w:val="24"/>
        </w:rPr>
        <w:t xml:space="preserve"> Disaggregate Data Fit Measures</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260"/>
        <w:gridCol w:w="2098"/>
        <w:gridCol w:w="47"/>
        <w:gridCol w:w="1925"/>
      </w:tblGrid>
      <w:tr w:rsidR="00D75B91" w:rsidRPr="00882FD5" w14:paraId="6B9FC3EE" w14:textId="77777777" w:rsidTr="006C7497">
        <w:trPr>
          <w:trHeight w:val="288"/>
        </w:trPr>
        <w:tc>
          <w:tcPr>
            <w:tcW w:w="2613" w:type="pct"/>
            <w:vMerge w:val="restart"/>
            <w:tcBorders>
              <w:top w:val="double" w:sz="4" w:space="0" w:color="auto"/>
              <w:right w:val="double" w:sz="4" w:space="0" w:color="auto"/>
            </w:tcBorders>
            <w:shd w:val="clear" w:color="auto" w:fill="auto"/>
            <w:noWrap/>
            <w:vAlign w:val="center"/>
            <w:hideMark/>
          </w:tcPr>
          <w:p w14:paraId="460DAAA3" w14:textId="77777777" w:rsidR="00D75B91" w:rsidRPr="00882FD5" w:rsidRDefault="00D75B91" w:rsidP="000D5E4F">
            <w:pPr>
              <w:keepNext/>
              <w:keepLines/>
              <w:spacing w:before="0" w:line="240" w:lineRule="auto"/>
              <w:contextualSpacing/>
              <w:rPr>
                <w:b/>
                <w:bCs/>
                <w:color w:val="000000"/>
                <w:sz w:val="20"/>
                <w:szCs w:val="20"/>
              </w:rPr>
            </w:pPr>
            <w:r w:rsidRPr="00882FD5">
              <w:rPr>
                <w:b/>
                <w:bCs/>
                <w:color w:val="000000"/>
                <w:sz w:val="20"/>
                <w:szCs w:val="20"/>
              </w:rPr>
              <w:t>Summary Statistics</w:t>
            </w:r>
          </w:p>
        </w:tc>
        <w:tc>
          <w:tcPr>
            <w:tcW w:w="2387" w:type="pct"/>
            <w:gridSpan w:val="3"/>
            <w:tcBorders>
              <w:left w:val="double" w:sz="4" w:space="0" w:color="auto"/>
            </w:tcBorders>
            <w:shd w:val="clear" w:color="auto" w:fill="auto"/>
            <w:noWrap/>
            <w:vAlign w:val="center"/>
            <w:hideMark/>
          </w:tcPr>
          <w:p w14:paraId="1557FD5E" w14:textId="77777777" w:rsidR="00D75B91" w:rsidRPr="00882FD5" w:rsidRDefault="00D75B91" w:rsidP="000D5E4F">
            <w:pPr>
              <w:keepNext/>
              <w:keepLines/>
              <w:spacing w:before="0" w:line="240" w:lineRule="auto"/>
              <w:contextualSpacing/>
              <w:jc w:val="center"/>
              <w:rPr>
                <w:b/>
                <w:bCs/>
                <w:color w:val="000000"/>
                <w:sz w:val="20"/>
                <w:szCs w:val="20"/>
              </w:rPr>
            </w:pPr>
            <w:r w:rsidRPr="00882FD5">
              <w:rPr>
                <w:b/>
                <w:bCs/>
                <w:color w:val="000000"/>
                <w:sz w:val="20"/>
                <w:szCs w:val="20"/>
              </w:rPr>
              <w:t>Model</w:t>
            </w:r>
          </w:p>
        </w:tc>
      </w:tr>
      <w:tr w:rsidR="00D75B91" w:rsidRPr="00882FD5" w14:paraId="4BFF2352" w14:textId="77777777" w:rsidTr="006C7497">
        <w:trPr>
          <w:trHeight w:val="288"/>
        </w:trPr>
        <w:tc>
          <w:tcPr>
            <w:tcW w:w="2613" w:type="pct"/>
            <w:vMerge/>
            <w:tcBorders>
              <w:bottom w:val="double" w:sz="4" w:space="0" w:color="auto"/>
              <w:right w:val="double" w:sz="4" w:space="0" w:color="auto"/>
            </w:tcBorders>
            <w:vAlign w:val="center"/>
            <w:hideMark/>
          </w:tcPr>
          <w:p w14:paraId="6B2C77EC" w14:textId="77777777" w:rsidR="00D75B91" w:rsidRPr="00882FD5" w:rsidRDefault="00D75B91" w:rsidP="000D5E4F">
            <w:pPr>
              <w:keepNext/>
              <w:keepLines/>
              <w:spacing w:before="0" w:line="240" w:lineRule="auto"/>
              <w:contextualSpacing/>
              <w:rPr>
                <w:b/>
                <w:bCs/>
                <w:color w:val="000000"/>
                <w:sz w:val="20"/>
                <w:szCs w:val="20"/>
              </w:rPr>
            </w:pPr>
          </w:p>
        </w:tc>
        <w:tc>
          <w:tcPr>
            <w:tcW w:w="1232" w:type="pct"/>
            <w:gridSpan w:val="2"/>
            <w:tcBorders>
              <w:left w:val="double" w:sz="4" w:space="0" w:color="auto"/>
              <w:bottom w:val="double" w:sz="4" w:space="0" w:color="auto"/>
            </w:tcBorders>
            <w:shd w:val="clear" w:color="auto" w:fill="auto"/>
            <w:noWrap/>
            <w:vAlign w:val="center"/>
            <w:hideMark/>
          </w:tcPr>
          <w:p w14:paraId="24017952" w14:textId="42DDF48A" w:rsidR="00D75B91" w:rsidRPr="00882FD5" w:rsidRDefault="00D75B91" w:rsidP="000D5E4F">
            <w:pPr>
              <w:keepNext/>
              <w:keepLines/>
              <w:spacing w:before="0" w:line="240" w:lineRule="auto"/>
              <w:contextualSpacing/>
              <w:jc w:val="center"/>
              <w:rPr>
                <w:b/>
                <w:bCs/>
                <w:color w:val="000000"/>
                <w:sz w:val="20"/>
                <w:szCs w:val="20"/>
              </w:rPr>
            </w:pPr>
            <w:r w:rsidRPr="00882FD5">
              <w:rPr>
                <w:b/>
                <w:bCs/>
                <w:color w:val="000000"/>
                <w:sz w:val="20"/>
                <w:szCs w:val="20"/>
              </w:rPr>
              <w:t>TRAD-GHDM</w:t>
            </w:r>
          </w:p>
        </w:tc>
        <w:tc>
          <w:tcPr>
            <w:tcW w:w="1155" w:type="pct"/>
            <w:tcBorders>
              <w:bottom w:val="double" w:sz="4" w:space="0" w:color="auto"/>
            </w:tcBorders>
            <w:shd w:val="clear" w:color="auto" w:fill="auto"/>
            <w:noWrap/>
            <w:vAlign w:val="center"/>
            <w:hideMark/>
          </w:tcPr>
          <w:p w14:paraId="6797F782" w14:textId="395E7CD6" w:rsidR="00D75B91" w:rsidRPr="00882FD5" w:rsidRDefault="00D75B91" w:rsidP="000D5E4F">
            <w:pPr>
              <w:keepNext/>
              <w:keepLines/>
              <w:spacing w:before="0" w:line="240" w:lineRule="auto"/>
              <w:contextualSpacing/>
              <w:jc w:val="center"/>
              <w:rPr>
                <w:b/>
                <w:bCs/>
                <w:color w:val="000000"/>
                <w:sz w:val="20"/>
                <w:szCs w:val="20"/>
              </w:rPr>
            </w:pPr>
            <w:r w:rsidRPr="00882FD5">
              <w:rPr>
                <w:b/>
                <w:bCs/>
                <w:color w:val="000000"/>
                <w:sz w:val="20"/>
                <w:szCs w:val="20"/>
              </w:rPr>
              <w:t>FLEX-GHDM</w:t>
            </w:r>
          </w:p>
        </w:tc>
      </w:tr>
      <w:tr w:rsidR="00D75B91" w:rsidRPr="00882FD5" w14:paraId="151F7969" w14:textId="77777777" w:rsidTr="006C7497">
        <w:trPr>
          <w:trHeight w:val="288"/>
        </w:trPr>
        <w:tc>
          <w:tcPr>
            <w:tcW w:w="2613" w:type="pct"/>
            <w:tcBorders>
              <w:top w:val="double" w:sz="4" w:space="0" w:color="auto"/>
              <w:bottom w:val="single" w:sz="4" w:space="0" w:color="auto"/>
              <w:right w:val="double" w:sz="4" w:space="0" w:color="auto"/>
            </w:tcBorders>
            <w:shd w:val="clear" w:color="auto" w:fill="auto"/>
            <w:noWrap/>
            <w:vAlign w:val="center"/>
            <w:hideMark/>
          </w:tcPr>
          <w:p w14:paraId="15FAEC9D" w14:textId="5F0FA0BA" w:rsidR="00D75B91" w:rsidRPr="00882FD5" w:rsidRDefault="00D65E09" w:rsidP="000D5E4F">
            <w:pPr>
              <w:keepNext/>
              <w:keepLines/>
              <w:spacing w:before="0" w:line="240" w:lineRule="auto"/>
              <w:contextualSpacing/>
              <w:rPr>
                <w:color w:val="000000"/>
                <w:sz w:val="20"/>
                <w:szCs w:val="20"/>
              </w:rPr>
            </w:pPr>
            <w:r w:rsidRPr="00882FD5">
              <w:rPr>
                <w:color w:val="000000"/>
                <w:sz w:val="20"/>
                <w:szCs w:val="20"/>
              </w:rPr>
              <w:t>L</w:t>
            </w:r>
            <w:r w:rsidR="00D75B91" w:rsidRPr="00882FD5">
              <w:rPr>
                <w:color w:val="000000"/>
                <w:sz w:val="20"/>
                <w:szCs w:val="20"/>
              </w:rPr>
              <w:t>og-likelihood at convergence</w:t>
            </w:r>
          </w:p>
        </w:tc>
        <w:tc>
          <w:tcPr>
            <w:tcW w:w="1232" w:type="pct"/>
            <w:gridSpan w:val="2"/>
            <w:tcBorders>
              <w:top w:val="double" w:sz="4" w:space="0" w:color="auto"/>
              <w:left w:val="double" w:sz="4" w:space="0" w:color="auto"/>
              <w:bottom w:val="single" w:sz="4" w:space="0" w:color="auto"/>
            </w:tcBorders>
            <w:shd w:val="clear" w:color="auto" w:fill="auto"/>
            <w:noWrap/>
            <w:vAlign w:val="center"/>
            <w:hideMark/>
          </w:tcPr>
          <w:p w14:paraId="5654051F" w14:textId="04CF44B8" w:rsidR="00D75B91" w:rsidRPr="00882FD5" w:rsidRDefault="00D75B91" w:rsidP="000D5E4F">
            <w:pPr>
              <w:keepNext/>
              <w:keepLines/>
              <w:spacing w:before="0" w:line="240" w:lineRule="auto"/>
              <w:contextualSpacing/>
              <w:jc w:val="right"/>
              <w:rPr>
                <w:color w:val="000000"/>
                <w:sz w:val="20"/>
                <w:szCs w:val="20"/>
              </w:rPr>
            </w:pPr>
            <w:r w:rsidRPr="00882FD5">
              <w:rPr>
                <w:color w:val="000000"/>
                <w:sz w:val="20"/>
                <w:szCs w:val="20"/>
              </w:rPr>
              <w:t>-</w:t>
            </w:r>
            <w:r w:rsidR="00E95A91" w:rsidRPr="00882FD5">
              <w:rPr>
                <w:color w:val="000000"/>
                <w:sz w:val="20"/>
                <w:szCs w:val="20"/>
              </w:rPr>
              <w:t>1</w:t>
            </w:r>
            <w:r w:rsidR="00373DDB" w:rsidRPr="00882FD5">
              <w:rPr>
                <w:color w:val="000000"/>
                <w:sz w:val="20"/>
                <w:szCs w:val="20"/>
              </w:rPr>
              <w:t>72,</w:t>
            </w:r>
            <w:r w:rsidR="003F2DD5" w:rsidRPr="00882FD5">
              <w:rPr>
                <w:color w:val="000000"/>
                <w:sz w:val="20"/>
                <w:szCs w:val="20"/>
              </w:rPr>
              <w:t>273.83</w:t>
            </w:r>
          </w:p>
        </w:tc>
        <w:tc>
          <w:tcPr>
            <w:tcW w:w="1155" w:type="pct"/>
            <w:tcBorders>
              <w:top w:val="double" w:sz="4" w:space="0" w:color="auto"/>
              <w:bottom w:val="single" w:sz="4" w:space="0" w:color="auto"/>
            </w:tcBorders>
            <w:shd w:val="clear" w:color="auto" w:fill="auto"/>
            <w:noWrap/>
            <w:vAlign w:val="center"/>
            <w:hideMark/>
          </w:tcPr>
          <w:p w14:paraId="7055580A" w14:textId="1C9D56D1" w:rsidR="00D75B91" w:rsidRPr="00882FD5" w:rsidRDefault="00373DDB" w:rsidP="000D5E4F">
            <w:pPr>
              <w:keepNext/>
              <w:keepLines/>
              <w:spacing w:before="0" w:line="240" w:lineRule="auto"/>
              <w:contextualSpacing/>
              <w:jc w:val="right"/>
              <w:rPr>
                <w:color w:val="000000"/>
                <w:sz w:val="20"/>
                <w:szCs w:val="20"/>
              </w:rPr>
            </w:pPr>
            <w:r w:rsidRPr="00882FD5">
              <w:rPr>
                <w:color w:val="000000"/>
                <w:sz w:val="20"/>
                <w:szCs w:val="20"/>
              </w:rPr>
              <w:t>-172,115.23</w:t>
            </w:r>
          </w:p>
        </w:tc>
      </w:tr>
      <w:tr w:rsidR="00D75B91" w:rsidRPr="00882FD5" w14:paraId="0933A8E7" w14:textId="77777777" w:rsidTr="006C7497">
        <w:trPr>
          <w:trHeight w:val="288"/>
        </w:trPr>
        <w:tc>
          <w:tcPr>
            <w:tcW w:w="2613" w:type="pct"/>
            <w:tcBorders>
              <w:top w:val="single" w:sz="4" w:space="0" w:color="auto"/>
              <w:right w:val="double" w:sz="4" w:space="0" w:color="auto"/>
            </w:tcBorders>
            <w:shd w:val="clear" w:color="auto" w:fill="auto"/>
            <w:noWrap/>
            <w:vAlign w:val="center"/>
            <w:hideMark/>
          </w:tcPr>
          <w:p w14:paraId="73817BB2" w14:textId="22142F38" w:rsidR="00D75B91" w:rsidRPr="00882FD5" w:rsidRDefault="00D75B91" w:rsidP="000D5E4F">
            <w:pPr>
              <w:keepNext/>
              <w:keepLines/>
              <w:spacing w:before="0" w:line="240" w:lineRule="auto"/>
              <w:contextualSpacing/>
              <w:rPr>
                <w:color w:val="000000"/>
                <w:sz w:val="20"/>
                <w:szCs w:val="20"/>
              </w:rPr>
            </w:pPr>
            <w:r w:rsidRPr="00882FD5">
              <w:rPr>
                <w:color w:val="000000"/>
                <w:sz w:val="20"/>
                <w:szCs w:val="20"/>
              </w:rPr>
              <w:t xml:space="preserve">Number of </w:t>
            </w:r>
            <w:r w:rsidR="00373DDB" w:rsidRPr="00882FD5">
              <w:rPr>
                <w:color w:val="000000"/>
                <w:sz w:val="20"/>
                <w:szCs w:val="20"/>
              </w:rPr>
              <w:t xml:space="preserve">non-constant </w:t>
            </w:r>
            <w:r w:rsidRPr="00882FD5">
              <w:rPr>
                <w:color w:val="000000"/>
                <w:sz w:val="20"/>
                <w:szCs w:val="20"/>
              </w:rPr>
              <w:t>parameters</w:t>
            </w:r>
          </w:p>
        </w:tc>
        <w:tc>
          <w:tcPr>
            <w:tcW w:w="1232" w:type="pct"/>
            <w:gridSpan w:val="2"/>
            <w:tcBorders>
              <w:top w:val="single" w:sz="4" w:space="0" w:color="auto"/>
              <w:left w:val="double" w:sz="4" w:space="0" w:color="auto"/>
            </w:tcBorders>
            <w:shd w:val="clear" w:color="auto" w:fill="auto"/>
            <w:noWrap/>
            <w:vAlign w:val="center"/>
            <w:hideMark/>
          </w:tcPr>
          <w:p w14:paraId="4973519A" w14:textId="128B6E42" w:rsidR="00D75B91" w:rsidRPr="00882FD5" w:rsidRDefault="00D65E09" w:rsidP="000D5E4F">
            <w:pPr>
              <w:keepNext/>
              <w:keepLines/>
              <w:spacing w:before="0" w:line="240" w:lineRule="auto"/>
              <w:contextualSpacing/>
              <w:jc w:val="right"/>
              <w:rPr>
                <w:color w:val="000000"/>
                <w:sz w:val="20"/>
                <w:szCs w:val="20"/>
              </w:rPr>
            </w:pPr>
            <w:r w:rsidRPr="00882FD5">
              <w:rPr>
                <w:color w:val="000000"/>
                <w:sz w:val="20"/>
                <w:szCs w:val="20"/>
              </w:rPr>
              <w:t>88</w:t>
            </w:r>
          </w:p>
        </w:tc>
        <w:tc>
          <w:tcPr>
            <w:tcW w:w="1155" w:type="pct"/>
            <w:tcBorders>
              <w:top w:val="single" w:sz="4" w:space="0" w:color="auto"/>
            </w:tcBorders>
            <w:shd w:val="clear" w:color="auto" w:fill="auto"/>
            <w:noWrap/>
            <w:vAlign w:val="center"/>
            <w:hideMark/>
          </w:tcPr>
          <w:p w14:paraId="680E5730" w14:textId="77777777" w:rsidR="00D75B91" w:rsidRPr="00882FD5" w:rsidRDefault="00D75B91" w:rsidP="000D5E4F">
            <w:pPr>
              <w:keepNext/>
              <w:keepLines/>
              <w:spacing w:before="0" w:line="240" w:lineRule="auto"/>
              <w:contextualSpacing/>
              <w:jc w:val="right"/>
              <w:rPr>
                <w:color w:val="000000"/>
                <w:sz w:val="20"/>
                <w:szCs w:val="20"/>
              </w:rPr>
            </w:pPr>
            <w:r w:rsidRPr="00882FD5">
              <w:rPr>
                <w:color w:val="000000"/>
                <w:sz w:val="20"/>
                <w:szCs w:val="20"/>
              </w:rPr>
              <w:t>93</w:t>
            </w:r>
          </w:p>
        </w:tc>
      </w:tr>
      <w:tr w:rsidR="00E91613" w:rsidRPr="00882FD5" w14:paraId="382AA63D" w14:textId="77777777" w:rsidTr="006C7497">
        <w:trPr>
          <w:trHeight w:val="288"/>
        </w:trPr>
        <w:tc>
          <w:tcPr>
            <w:tcW w:w="2613" w:type="pct"/>
            <w:tcBorders>
              <w:right w:val="double" w:sz="4" w:space="0" w:color="auto"/>
            </w:tcBorders>
            <w:shd w:val="clear" w:color="auto" w:fill="auto"/>
            <w:noWrap/>
            <w:vAlign w:val="center"/>
          </w:tcPr>
          <w:p w14:paraId="0B09F788" w14:textId="3CCFA6B1" w:rsidR="00E91613" w:rsidRPr="00882FD5" w:rsidRDefault="00E91613" w:rsidP="000D5E4F">
            <w:pPr>
              <w:keepNext/>
              <w:keepLines/>
              <w:spacing w:before="0" w:line="240" w:lineRule="auto"/>
              <w:contextualSpacing/>
              <w:rPr>
                <w:color w:val="000000"/>
                <w:sz w:val="20"/>
                <w:szCs w:val="20"/>
              </w:rPr>
            </w:pPr>
            <w:r w:rsidRPr="00882FD5">
              <w:rPr>
                <w:color w:val="000000"/>
                <w:sz w:val="20"/>
                <w:szCs w:val="20"/>
              </w:rPr>
              <w:t xml:space="preserve">Constants-only </w:t>
            </w:r>
            <w:r w:rsidR="00066361" w:rsidRPr="00882FD5">
              <w:rPr>
                <w:color w:val="000000"/>
                <w:sz w:val="20"/>
                <w:szCs w:val="20"/>
              </w:rPr>
              <w:t>l</w:t>
            </w:r>
            <w:r w:rsidRPr="00882FD5">
              <w:rPr>
                <w:color w:val="000000"/>
                <w:sz w:val="20"/>
                <w:szCs w:val="20"/>
              </w:rPr>
              <w:t>og-</w:t>
            </w:r>
            <w:r w:rsidR="00066361" w:rsidRPr="00882FD5">
              <w:rPr>
                <w:color w:val="000000"/>
                <w:sz w:val="20"/>
                <w:szCs w:val="20"/>
              </w:rPr>
              <w:t>l</w:t>
            </w:r>
            <w:r w:rsidRPr="00882FD5">
              <w:rPr>
                <w:color w:val="000000"/>
                <w:sz w:val="20"/>
                <w:szCs w:val="20"/>
              </w:rPr>
              <w:t>ikelihood</w:t>
            </w:r>
          </w:p>
        </w:tc>
        <w:tc>
          <w:tcPr>
            <w:tcW w:w="2387" w:type="pct"/>
            <w:gridSpan w:val="3"/>
            <w:tcBorders>
              <w:left w:val="double" w:sz="4" w:space="0" w:color="auto"/>
            </w:tcBorders>
            <w:shd w:val="clear" w:color="auto" w:fill="auto"/>
            <w:noWrap/>
            <w:vAlign w:val="center"/>
          </w:tcPr>
          <w:p w14:paraId="31558060" w14:textId="0A118A02" w:rsidR="00E91613" w:rsidRPr="00882FD5" w:rsidRDefault="00E91613" w:rsidP="000D5E4F">
            <w:pPr>
              <w:keepNext/>
              <w:keepLines/>
              <w:spacing w:before="0" w:line="240" w:lineRule="auto"/>
              <w:contextualSpacing/>
              <w:jc w:val="center"/>
              <w:rPr>
                <w:color w:val="000000"/>
                <w:sz w:val="20"/>
                <w:szCs w:val="20"/>
              </w:rPr>
            </w:pPr>
            <w:r w:rsidRPr="00882FD5">
              <w:rPr>
                <w:color w:val="000000"/>
                <w:sz w:val="20"/>
                <w:szCs w:val="20"/>
              </w:rPr>
              <w:t>-</w:t>
            </w:r>
            <w:r w:rsidR="003F2DD5" w:rsidRPr="00882FD5">
              <w:rPr>
                <w:color w:val="000000"/>
                <w:sz w:val="20"/>
                <w:szCs w:val="20"/>
              </w:rPr>
              <w:t>17</w:t>
            </w:r>
            <w:r w:rsidR="009A11CC" w:rsidRPr="00882FD5">
              <w:rPr>
                <w:color w:val="000000"/>
                <w:sz w:val="20"/>
                <w:szCs w:val="20"/>
              </w:rPr>
              <w:t>9,</w:t>
            </w:r>
            <w:r w:rsidR="003F2DD5" w:rsidRPr="00882FD5">
              <w:rPr>
                <w:color w:val="000000"/>
                <w:sz w:val="20"/>
                <w:szCs w:val="20"/>
              </w:rPr>
              <w:t>670.41</w:t>
            </w:r>
          </w:p>
        </w:tc>
      </w:tr>
      <w:tr w:rsidR="00D75B91" w:rsidRPr="00882FD5" w14:paraId="67C31193" w14:textId="77777777" w:rsidTr="006C7497">
        <w:trPr>
          <w:trHeight w:val="288"/>
        </w:trPr>
        <w:tc>
          <w:tcPr>
            <w:tcW w:w="2613" w:type="pct"/>
            <w:tcBorders>
              <w:right w:val="double" w:sz="4" w:space="0" w:color="auto"/>
            </w:tcBorders>
            <w:shd w:val="clear" w:color="auto" w:fill="auto"/>
            <w:noWrap/>
            <w:vAlign w:val="center"/>
            <w:hideMark/>
          </w:tcPr>
          <w:p w14:paraId="1DE35EF1" w14:textId="77777777" w:rsidR="00D75B91" w:rsidRPr="00882FD5" w:rsidRDefault="00D75B91" w:rsidP="000D5E4F">
            <w:pPr>
              <w:keepNext/>
              <w:keepLines/>
              <w:spacing w:before="0" w:line="240" w:lineRule="auto"/>
              <w:contextualSpacing/>
              <w:rPr>
                <w:color w:val="000000"/>
                <w:sz w:val="20"/>
                <w:szCs w:val="20"/>
              </w:rPr>
            </w:pPr>
            <w:bookmarkStart w:id="14" w:name="_Hlk109876602"/>
            <w:r w:rsidRPr="00882FD5">
              <w:rPr>
                <w:color w:val="000000"/>
                <w:sz w:val="20"/>
                <w:szCs w:val="20"/>
              </w:rPr>
              <w:t>Bayesian Information Criterion (BIC)</w:t>
            </w:r>
            <w:bookmarkEnd w:id="14"/>
          </w:p>
        </w:tc>
        <w:tc>
          <w:tcPr>
            <w:tcW w:w="1232" w:type="pct"/>
            <w:gridSpan w:val="2"/>
            <w:tcBorders>
              <w:left w:val="double" w:sz="4" w:space="0" w:color="auto"/>
            </w:tcBorders>
            <w:shd w:val="clear" w:color="auto" w:fill="auto"/>
            <w:noWrap/>
            <w:vAlign w:val="center"/>
            <w:hideMark/>
          </w:tcPr>
          <w:p w14:paraId="36BDFFCB" w14:textId="218DFB61" w:rsidR="00D75B91" w:rsidRPr="00882FD5" w:rsidRDefault="009A11CC" w:rsidP="000D5E4F">
            <w:pPr>
              <w:keepNext/>
              <w:keepLines/>
              <w:spacing w:before="0" w:line="240" w:lineRule="auto"/>
              <w:contextualSpacing/>
              <w:jc w:val="right"/>
              <w:rPr>
                <w:color w:val="000000"/>
                <w:sz w:val="20"/>
                <w:szCs w:val="20"/>
              </w:rPr>
            </w:pPr>
            <w:r w:rsidRPr="00882FD5">
              <w:rPr>
                <w:color w:val="000000"/>
                <w:sz w:val="20"/>
                <w:szCs w:val="20"/>
              </w:rPr>
              <w:t>172,724.81</w:t>
            </w:r>
          </w:p>
        </w:tc>
        <w:tc>
          <w:tcPr>
            <w:tcW w:w="1155" w:type="pct"/>
            <w:shd w:val="clear" w:color="auto" w:fill="auto"/>
            <w:noWrap/>
            <w:vAlign w:val="center"/>
            <w:hideMark/>
          </w:tcPr>
          <w:p w14:paraId="320AEA16" w14:textId="328CFF6B" w:rsidR="00D75B91" w:rsidRPr="00882FD5" w:rsidRDefault="009A11CC" w:rsidP="000D5E4F">
            <w:pPr>
              <w:keepNext/>
              <w:keepLines/>
              <w:spacing w:before="0" w:line="240" w:lineRule="auto"/>
              <w:contextualSpacing/>
              <w:jc w:val="right"/>
              <w:rPr>
                <w:color w:val="000000"/>
                <w:sz w:val="20"/>
                <w:szCs w:val="20"/>
              </w:rPr>
            </w:pPr>
            <w:r w:rsidRPr="00882FD5">
              <w:rPr>
                <w:color w:val="000000"/>
                <w:sz w:val="20"/>
                <w:szCs w:val="20"/>
              </w:rPr>
              <w:t>172,583.29</w:t>
            </w:r>
          </w:p>
        </w:tc>
      </w:tr>
      <w:tr w:rsidR="00D75B91" w:rsidRPr="00882FD5" w14:paraId="39A8EF6E" w14:textId="77777777" w:rsidTr="006C7497">
        <w:trPr>
          <w:trHeight w:val="288"/>
        </w:trPr>
        <w:tc>
          <w:tcPr>
            <w:tcW w:w="2613" w:type="pct"/>
            <w:tcBorders>
              <w:right w:val="double" w:sz="4" w:space="0" w:color="auto"/>
            </w:tcBorders>
            <w:shd w:val="clear" w:color="auto" w:fill="auto"/>
            <w:noWrap/>
            <w:vAlign w:val="center"/>
            <w:hideMark/>
          </w:tcPr>
          <w:p w14:paraId="676AA1FB" w14:textId="5DE832C3" w:rsidR="00D75B91" w:rsidRPr="00882FD5" w:rsidRDefault="00792473" w:rsidP="000D5E4F">
            <w:pPr>
              <w:keepNext/>
              <w:keepLines/>
              <w:spacing w:before="0" w:line="240" w:lineRule="auto"/>
              <w:contextualSpacing/>
              <w:rPr>
                <w:color w:val="000000"/>
                <w:sz w:val="20"/>
                <w:szCs w:val="20"/>
              </w:rPr>
            </w:pPr>
            <w:r w:rsidRPr="00882FD5">
              <w:rPr>
                <w:color w:val="000000"/>
                <w:sz w:val="20"/>
                <w:szCs w:val="20"/>
              </w:rPr>
              <w:t>A</w:t>
            </w:r>
            <w:r w:rsidR="00D75B91" w:rsidRPr="00882FD5">
              <w:rPr>
                <w:color w:val="000000"/>
                <w:sz w:val="20"/>
                <w:szCs w:val="20"/>
              </w:rPr>
              <w:t>djusted likelihood ratio index</w:t>
            </w:r>
          </w:p>
        </w:tc>
        <w:tc>
          <w:tcPr>
            <w:tcW w:w="1232" w:type="pct"/>
            <w:gridSpan w:val="2"/>
            <w:tcBorders>
              <w:left w:val="double" w:sz="4" w:space="0" w:color="auto"/>
            </w:tcBorders>
            <w:shd w:val="clear" w:color="auto" w:fill="auto"/>
            <w:noWrap/>
            <w:vAlign w:val="center"/>
            <w:hideMark/>
          </w:tcPr>
          <w:p w14:paraId="00D50E2D" w14:textId="5785FD11" w:rsidR="00D75B91" w:rsidRPr="00882FD5" w:rsidRDefault="00D75B91" w:rsidP="000D5E4F">
            <w:pPr>
              <w:keepNext/>
              <w:keepLines/>
              <w:spacing w:before="0" w:line="240" w:lineRule="auto"/>
              <w:contextualSpacing/>
              <w:jc w:val="right"/>
              <w:rPr>
                <w:color w:val="000000"/>
                <w:sz w:val="20"/>
                <w:szCs w:val="20"/>
              </w:rPr>
            </w:pPr>
            <w:r w:rsidRPr="00882FD5">
              <w:rPr>
                <w:color w:val="000000"/>
                <w:sz w:val="20"/>
                <w:szCs w:val="20"/>
              </w:rPr>
              <w:t>0.0</w:t>
            </w:r>
            <w:r w:rsidR="007607AB" w:rsidRPr="00882FD5">
              <w:rPr>
                <w:color w:val="000000"/>
                <w:sz w:val="20"/>
                <w:szCs w:val="20"/>
              </w:rPr>
              <w:t>407</w:t>
            </w:r>
          </w:p>
        </w:tc>
        <w:tc>
          <w:tcPr>
            <w:tcW w:w="1155" w:type="pct"/>
            <w:shd w:val="clear" w:color="auto" w:fill="auto"/>
            <w:noWrap/>
            <w:vAlign w:val="center"/>
            <w:hideMark/>
          </w:tcPr>
          <w:p w14:paraId="088D8EB8" w14:textId="23F3652B" w:rsidR="00D75B91" w:rsidRPr="00882FD5" w:rsidRDefault="00D75B91" w:rsidP="000D5E4F">
            <w:pPr>
              <w:keepNext/>
              <w:keepLines/>
              <w:spacing w:before="0" w:line="240" w:lineRule="auto"/>
              <w:contextualSpacing/>
              <w:jc w:val="right"/>
              <w:rPr>
                <w:color w:val="000000"/>
                <w:sz w:val="20"/>
                <w:szCs w:val="20"/>
              </w:rPr>
            </w:pPr>
            <w:r w:rsidRPr="00882FD5">
              <w:rPr>
                <w:color w:val="000000"/>
                <w:sz w:val="20"/>
                <w:szCs w:val="20"/>
              </w:rPr>
              <w:t>0.0</w:t>
            </w:r>
            <w:r w:rsidR="007607AB" w:rsidRPr="00882FD5">
              <w:rPr>
                <w:color w:val="000000"/>
                <w:sz w:val="20"/>
                <w:szCs w:val="20"/>
              </w:rPr>
              <w:t>415</w:t>
            </w:r>
          </w:p>
        </w:tc>
      </w:tr>
      <w:tr w:rsidR="00D75B91" w:rsidRPr="00882FD5" w14:paraId="3A6D6B0F" w14:textId="77777777" w:rsidTr="006C7497">
        <w:trPr>
          <w:trHeight w:val="288"/>
        </w:trPr>
        <w:tc>
          <w:tcPr>
            <w:tcW w:w="2613" w:type="pct"/>
            <w:tcBorders>
              <w:right w:val="double" w:sz="4" w:space="0" w:color="auto"/>
            </w:tcBorders>
            <w:shd w:val="clear" w:color="auto" w:fill="auto"/>
            <w:noWrap/>
            <w:vAlign w:val="center"/>
            <w:hideMark/>
          </w:tcPr>
          <w:p w14:paraId="20F611FD" w14:textId="2FF039FC" w:rsidR="00D75B91" w:rsidRPr="00882FD5" w:rsidRDefault="00D75B91" w:rsidP="000D5E4F">
            <w:pPr>
              <w:keepNext/>
              <w:keepLines/>
              <w:spacing w:before="0" w:line="240" w:lineRule="auto"/>
              <w:contextualSpacing/>
              <w:rPr>
                <w:color w:val="000000"/>
                <w:sz w:val="20"/>
                <w:szCs w:val="20"/>
              </w:rPr>
            </w:pPr>
            <w:r w:rsidRPr="00882FD5">
              <w:rPr>
                <w:color w:val="000000"/>
                <w:sz w:val="20"/>
                <w:szCs w:val="20"/>
              </w:rPr>
              <w:t xml:space="preserve">Likelihood </w:t>
            </w:r>
            <w:r w:rsidR="00066361" w:rsidRPr="00882FD5">
              <w:rPr>
                <w:color w:val="000000"/>
                <w:sz w:val="20"/>
                <w:szCs w:val="20"/>
              </w:rPr>
              <w:t>r</w:t>
            </w:r>
            <w:r w:rsidRPr="00882FD5">
              <w:rPr>
                <w:color w:val="000000"/>
                <w:sz w:val="20"/>
                <w:szCs w:val="20"/>
              </w:rPr>
              <w:t>atio (LR) test</w:t>
            </w:r>
          </w:p>
        </w:tc>
        <w:tc>
          <w:tcPr>
            <w:tcW w:w="2387" w:type="pct"/>
            <w:gridSpan w:val="3"/>
            <w:tcBorders>
              <w:left w:val="double" w:sz="4" w:space="0" w:color="auto"/>
            </w:tcBorders>
            <w:shd w:val="clear" w:color="auto" w:fill="auto"/>
            <w:noWrap/>
            <w:vAlign w:val="center"/>
            <w:hideMark/>
          </w:tcPr>
          <w:p w14:paraId="1B1CC990" w14:textId="3F9599E0" w:rsidR="00D75B91" w:rsidRPr="00882FD5" w:rsidRDefault="00D75B91" w:rsidP="000D5E4F">
            <w:pPr>
              <w:keepNext/>
              <w:keepLines/>
              <w:spacing w:before="0" w:line="240" w:lineRule="auto"/>
              <w:contextualSpacing/>
              <w:jc w:val="center"/>
              <w:rPr>
                <w:rFonts w:ascii="Cambria Math" w:hAnsi="Cambria Math"/>
                <w:i/>
                <w:color w:val="000000"/>
                <w:sz w:val="20"/>
                <w:szCs w:val="20"/>
              </w:rPr>
            </w:pPr>
            <w:r w:rsidRPr="00882FD5">
              <w:rPr>
                <w:color w:val="000000"/>
                <w:sz w:val="20"/>
                <w:szCs w:val="20"/>
              </w:rPr>
              <w:t xml:space="preserve">LR = </w:t>
            </w:r>
            <w:r w:rsidR="003F2DD5" w:rsidRPr="00882FD5">
              <w:rPr>
                <w:color w:val="000000"/>
                <w:sz w:val="20"/>
                <w:szCs w:val="20"/>
              </w:rPr>
              <w:t>317.2</w:t>
            </w:r>
            <w:r w:rsidR="00B76181" w:rsidRPr="00882FD5">
              <w:rPr>
                <w:color w:val="000000"/>
                <w:sz w:val="20"/>
                <w:szCs w:val="20"/>
              </w:rPr>
              <w:t xml:space="preserve"> &gt;</w:t>
            </w:r>
            <w:r w:rsidR="006C7497" w:rsidRPr="00882FD5">
              <w:rPr>
                <w:position w:val="-16"/>
                <w:sz w:val="20"/>
                <w:szCs w:val="20"/>
              </w:rPr>
              <w:object w:dxaOrig="760" w:dyaOrig="420" w14:anchorId="336833BD">
                <v:shape id="_x0000_i1205" type="#_x0000_t75" style="width:38.15pt;height:21pt" o:ole="" o:preferrelative="f">
                  <v:imagedata r:id="rId357" o:title=""/>
                  <o:lock v:ext="edit" aspectratio="f"/>
                </v:shape>
                <o:OLEObject Type="Embed" ProgID="Equation.DSMT4" ShapeID="_x0000_i1205" DrawAspect="Content" ObjectID="_1738155102" r:id="rId358"/>
              </w:object>
            </w:r>
            <w:r w:rsidR="00B76181" w:rsidRPr="00882FD5">
              <w:rPr>
                <w:sz w:val="20"/>
                <w:szCs w:val="20"/>
              </w:rPr>
              <w:t xml:space="preserve">= </w:t>
            </w:r>
            <w:r w:rsidR="003F2DD5" w:rsidRPr="00882FD5">
              <w:rPr>
                <w:sz w:val="20"/>
                <w:szCs w:val="20"/>
              </w:rPr>
              <w:t>11.07</w:t>
            </w:r>
            <w:r w:rsidR="00B75BAE" w:rsidRPr="00882FD5">
              <w:rPr>
                <w:sz w:val="20"/>
                <w:szCs w:val="20"/>
              </w:rPr>
              <w:t>0</w:t>
            </w:r>
          </w:p>
        </w:tc>
      </w:tr>
      <w:tr w:rsidR="00B75BAE" w:rsidRPr="00882FD5" w14:paraId="183B0432" w14:textId="77777777" w:rsidTr="006C7497">
        <w:trPr>
          <w:trHeight w:val="288"/>
        </w:trPr>
        <w:tc>
          <w:tcPr>
            <w:tcW w:w="2613" w:type="pct"/>
            <w:tcBorders>
              <w:right w:val="double" w:sz="4" w:space="0" w:color="auto"/>
            </w:tcBorders>
            <w:shd w:val="clear" w:color="auto" w:fill="auto"/>
            <w:noWrap/>
            <w:vAlign w:val="center"/>
          </w:tcPr>
          <w:p w14:paraId="1550936A" w14:textId="0C17149C" w:rsidR="00B75BAE" w:rsidRPr="00882FD5" w:rsidRDefault="00B75BAE" w:rsidP="000D5E4F">
            <w:pPr>
              <w:keepNext/>
              <w:keepLines/>
              <w:spacing w:before="0" w:line="240" w:lineRule="auto"/>
              <w:contextualSpacing/>
              <w:rPr>
                <w:color w:val="000000"/>
                <w:sz w:val="20"/>
                <w:szCs w:val="20"/>
              </w:rPr>
            </w:pPr>
            <w:r w:rsidRPr="00882FD5">
              <w:rPr>
                <w:color w:val="000000"/>
                <w:sz w:val="20"/>
                <w:szCs w:val="20"/>
              </w:rPr>
              <w:t>Predictive log-likelihood of only main outcomes</w:t>
            </w:r>
          </w:p>
        </w:tc>
        <w:tc>
          <w:tcPr>
            <w:tcW w:w="1193" w:type="pct"/>
            <w:tcBorders>
              <w:left w:val="double" w:sz="4" w:space="0" w:color="auto"/>
            </w:tcBorders>
            <w:shd w:val="clear" w:color="auto" w:fill="auto"/>
            <w:noWrap/>
            <w:vAlign w:val="center"/>
          </w:tcPr>
          <w:p w14:paraId="7A5E0468" w14:textId="13EC1C6D" w:rsidR="00B75BAE" w:rsidRPr="00882FD5" w:rsidRDefault="00B75BAE" w:rsidP="000D5E4F">
            <w:pPr>
              <w:keepNext/>
              <w:keepLines/>
              <w:spacing w:before="0" w:line="240" w:lineRule="auto"/>
              <w:contextualSpacing/>
              <w:jc w:val="right"/>
              <w:rPr>
                <w:color w:val="000000"/>
                <w:sz w:val="20"/>
                <w:szCs w:val="20"/>
              </w:rPr>
            </w:pPr>
            <w:r w:rsidRPr="00882FD5">
              <w:rPr>
                <w:color w:val="000000"/>
                <w:sz w:val="20"/>
                <w:szCs w:val="20"/>
              </w:rPr>
              <w:t>-9684.33</w:t>
            </w:r>
          </w:p>
        </w:tc>
        <w:tc>
          <w:tcPr>
            <w:tcW w:w="1194" w:type="pct"/>
            <w:gridSpan w:val="2"/>
            <w:shd w:val="clear" w:color="auto" w:fill="auto"/>
            <w:vAlign w:val="center"/>
          </w:tcPr>
          <w:p w14:paraId="4F33FB42" w14:textId="640B3FF0" w:rsidR="00B75BAE" w:rsidRPr="00882FD5" w:rsidRDefault="00B75BAE" w:rsidP="000D5E4F">
            <w:pPr>
              <w:keepNext/>
              <w:keepLines/>
              <w:spacing w:before="0" w:line="240" w:lineRule="auto"/>
              <w:contextualSpacing/>
              <w:jc w:val="right"/>
              <w:rPr>
                <w:color w:val="000000"/>
                <w:sz w:val="20"/>
                <w:szCs w:val="20"/>
              </w:rPr>
            </w:pPr>
            <w:r w:rsidRPr="00882FD5">
              <w:rPr>
                <w:color w:val="000000"/>
                <w:sz w:val="20"/>
                <w:szCs w:val="20"/>
              </w:rPr>
              <w:t>-9620.90</w:t>
            </w:r>
          </w:p>
        </w:tc>
      </w:tr>
      <w:tr w:rsidR="00066361" w:rsidRPr="00882FD5" w14:paraId="3A117D6B" w14:textId="77777777" w:rsidTr="006C7497">
        <w:trPr>
          <w:trHeight w:val="288"/>
        </w:trPr>
        <w:tc>
          <w:tcPr>
            <w:tcW w:w="2613" w:type="pct"/>
            <w:tcBorders>
              <w:bottom w:val="double" w:sz="4" w:space="0" w:color="auto"/>
              <w:right w:val="double" w:sz="4" w:space="0" w:color="auto"/>
            </w:tcBorders>
            <w:shd w:val="clear" w:color="auto" w:fill="auto"/>
            <w:noWrap/>
            <w:vAlign w:val="center"/>
          </w:tcPr>
          <w:p w14:paraId="72E37C7D" w14:textId="356F6AE1" w:rsidR="00066361" w:rsidRPr="00882FD5" w:rsidRDefault="00534DF3" w:rsidP="000D5E4F">
            <w:pPr>
              <w:keepNext/>
              <w:keepLines/>
              <w:spacing w:before="0" w:line="240" w:lineRule="auto"/>
              <w:contextualSpacing/>
              <w:rPr>
                <w:color w:val="000000"/>
                <w:sz w:val="20"/>
                <w:szCs w:val="20"/>
              </w:rPr>
            </w:pPr>
            <w:r>
              <w:rPr>
                <w:color w:val="000000"/>
                <w:sz w:val="20"/>
                <w:szCs w:val="20"/>
              </w:rPr>
              <w:t>Informal p</w:t>
            </w:r>
            <w:r w:rsidR="00066361" w:rsidRPr="00882FD5">
              <w:rPr>
                <w:color w:val="000000"/>
                <w:sz w:val="20"/>
                <w:szCs w:val="20"/>
              </w:rPr>
              <w:t>redictive likelihood ratio test</w:t>
            </w:r>
            <w:r>
              <w:rPr>
                <w:color w:val="000000"/>
                <w:sz w:val="20"/>
                <w:szCs w:val="20"/>
              </w:rPr>
              <w:t xml:space="preserve"> of only main outcomes</w:t>
            </w:r>
          </w:p>
        </w:tc>
        <w:tc>
          <w:tcPr>
            <w:tcW w:w="2387" w:type="pct"/>
            <w:gridSpan w:val="3"/>
            <w:tcBorders>
              <w:left w:val="double" w:sz="4" w:space="0" w:color="auto"/>
            </w:tcBorders>
            <w:shd w:val="clear" w:color="auto" w:fill="auto"/>
            <w:noWrap/>
            <w:vAlign w:val="center"/>
          </w:tcPr>
          <w:p w14:paraId="559E6EE7" w14:textId="20C6E4CC" w:rsidR="00066361" w:rsidRPr="00882FD5" w:rsidRDefault="00B75BAE" w:rsidP="000D5E4F">
            <w:pPr>
              <w:keepNext/>
              <w:keepLines/>
              <w:spacing w:before="0" w:line="240" w:lineRule="auto"/>
              <w:contextualSpacing/>
              <w:jc w:val="center"/>
              <w:rPr>
                <w:color w:val="000000"/>
                <w:sz w:val="20"/>
                <w:szCs w:val="20"/>
              </w:rPr>
            </w:pPr>
            <w:r w:rsidRPr="00882FD5">
              <w:rPr>
                <w:color w:val="000000"/>
                <w:sz w:val="20"/>
                <w:szCs w:val="20"/>
              </w:rPr>
              <w:t>LR = 126.86 &gt;</w:t>
            </w:r>
            <w:r w:rsidR="006C7497" w:rsidRPr="00882FD5">
              <w:rPr>
                <w:position w:val="-16"/>
                <w:sz w:val="20"/>
                <w:szCs w:val="20"/>
              </w:rPr>
              <w:object w:dxaOrig="760" w:dyaOrig="420" w14:anchorId="6BE73AC7">
                <v:shape id="_x0000_i1206" type="#_x0000_t75" style="width:38.15pt;height:21pt" o:ole="" o:preferrelative="f">
                  <v:imagedata r:id="rId357" o:title=""/>
                  <o:lock v:ext="edit" aspectratio="f"/>
                </v:shape>
                <o:OLEObject Type="Embed" ProgID="Equation.DSMT4" ShapeID="_x0000_i1206" DrawAspect="Content" ObjectID="_1738155103" r:id="rId359"/>
              </w:object>
            </w:r>
            <w:r w:rsidRPr="00882FD5">
              <w:rPr>
                <w:sz w:val="20"/>
                <w:szCs w:val="20"/>
              </w:rPr>
              <w:t>= 11.070</w:t>
            </w:r>
          </w:p>
        </w:tc>
      </w:tr>
    </w:tbl>
    <w:p w14:paraId="0005D8CD" w14:textId="4650BBB9" w:rsidR="006C7497" w:rsidRPr="006C7497" w:rsidRDefault="006910F9" w:rsidP="00A64848">
      <w:pPr>
        <w:spacing w:before="0" w:line="240" w:lineRule="auto"/>
        <w:jc w:val="both"/>
        <w:rPr>
          <w:color w:val="000000"/>
        </w:rPr>
      </w:pPr>
      <w:r w:rsidRPr="00882FD5">
        <w:rPr>
          <w:color w:val="000000"/>
        </w:rPr>
        <w:t xml:space="preserve"> </w:t>
      </w:r>
    </w:p>
    <w:p w14:paraId="603658D8" w14:textId="64632E46" w:rsidR="00834F12" w:rsidRPr="006C7497" w:rsidRDefault="00905D69" w:rsidP="006C7497">
      <w:pPr>
        <w:pStyle w:val="ListParagraph"/>
        <w:numPr>
          <w:ilvl w:val="0"/>
          <w:numId w:val="25"/>
        </w:numPr>
        <w:spacing w:before="0" w:line="240" w:lineRule="auto"/>
        <w:jc w:val="both"/>
        <w:rPr>
          <w:b/>
        </w:rPr>
      </w:pPr>
      <w:r w:rsidRPr="006C7497">
        <w:rPr>
          <w:b/>
        </w:rPr>
        <w:t xml:space="preserve">ESTIMATING </w:t>
      </w:r>
      <w:r w:rsidR="00003DCD" w:rsidRPr="006C7497">
        <w:rPr>
          <w:b/>
        </w:rPr>
        <w:t xml:space="preserve">THE </w:t>
      </w:r>
      <w:r w:rsidRPr="006C7497">
        <w:rPr>
          <w:b/>
        </w:rPr>
        <w:t>“TRUE” EFFECTS OF RESIDENTIAL LOCATION ON AUTO-OWNERSHIP AND MODE CHOICE</w:t>
      </w:r>
    </w:p>
    <w:p w14:paraId="1C8A0EA1" w14:textId="1F1EA2EF" w:rsidR="00AF1FB9" w:rsidRPr="006C7497" w:rsidRDefault="00EE2CD7" w:rsidP="000D5E4F">
      <w:pPr>
        <w:autoSpaceDE w:val="0"/>
        <w:autoSpaceDN w:val="0"/>
        <w:adjustRightInd w:val="0"/>
        <w:spacing w:before="0" w:line="240" w:lineRule="auto"/>
        <w:jc w:val="both"/>
        <w:rPr>
          <w:lang w:eastAsia="ja-JP"/>
        </w:rPr>
      </w:pPr>
      <w:r w:rsidRPr="006C7497">
        <w:rPr>
          <w:lang w:eastAsia="ja-JP"/>
        </w:rPr>
        <w:t xml:space="preserve">For our study, there are three effects associated with </w:t>
      </w:r>
      <w:r w:rsidR="007906C9" w:rsidRPr="006C7497">
        <w:rPr>
          <w:lang w:eastAsia="ja-JP"/>
        </w:rPr>
        <w:t xml:space="preserve">the relationship between </w:t>
      </w:r>
      <w:r w:rsidRPr="006C7497">
        <w:rPr>
          <w:lang w:eastAsia="ja-JP"/>
        </w:rPr>
        <w:t xml:space="preserve">HDN living propensity </w:t>
      </w:r>
      <w:r w:rsidR="007906C9" w:rsidRPr="006C7497">
        <w:rPr>
          <w:lang w:eastAsia="ja-JP"/>
        </w:rPr>
        <w:t xml:space="preserve">on the one hand and </w:t>
      </w:r>
      <w:r w:rsidRPr="006C7497">
        <w:rPr>
          <w:lang w:eastAsia="ja-JP"/>
        </w:rPr>
        <w:t>auto-ownership</w:t>
      </w:r>
      <w:r w:rsidR="007906C9" w:rsidRPr="006C7497">
        <w:rPr>
          <w:lang w:eastAsia="ja-JP"/>
        </w:rPr>
        <w:t>/</w:t>
      </w:r>
      <w:r w:rsidRPr="006C7497">
        <w:rPr>
          <w:lang w:eastAsia="ja-JP"/>
        </w:rPr>
        <w:t xml:space="preserve">mode choice </w:t>
      </w:r>
      <w:r w:rsidR="007906C9" w:rsidRPr="006C7497">
        <w:rPr>
          <w:lang w:eastAsia="ja-JP"/>
        </w:rPr>
        <w:t>on the other</w:t>
      </w:r>
      <w:r w:rsidRPr="006C7497">
        <w:rPr>
          <w:lang w:eastAsia="ja-JP"/>
        </w:rPr>
        <w:t xml:space="preserve">: (1) the </w:t>
      </w:r>
      <w:r w:rsidRPr="006C7497">
        <w:rPr>
          <w:i/>
          <w:lang w:eastAsia="ja-JP"/>
        </w:rPr>
        <w:t xml:space="preserve">“true” causal </w:t>
      </w:r>
      <w:r w:rsidRPr="006C7497">
        <w:rPr>
          <w:lang w:eastAsia="ja-JP"/>
        </w:rPr>
        <w:t>effect</w:t>
      </w:r>
      <w:r w:rsidR="007906C9" w:rsidRPr="006C7497">
        <w:rPr>
          <w:lang w:eastAsia="ja-JP"/>
        </w:rPr>
        <w:t xml:space="preserve"> of HDN living on auto-ownership/mode </w:t>
      </w:r>
      <w:r w:rsidR="00EA13EB" w:rsidRPr="006C7497">
        <w:rPr>
          <w:lang w:eastAsia="ja-JP"/>
        </w:rPr>
        <w:t xml:space="preserve">choice, </w:t>
      </w:r>
      <w:r w:rsidRPr="006C7497">
        <w:t xml:space="preserve">(2) </w:t>
      </w:r>
      <w:r w:rsidR="007906C9" w:rsidRPr="006C7497">
        <w:rPr>
          <w:lang w:eastAsia="ja-JP"/>
        </w:rPr>
        <w:t>an associative</w:t>
      </w:r>
      <w:r w:rsidRPr="006C7497">
        <w:rPr>
          <w:lang w:eastAsia="ja-JP"/>
        </w:rPr>
        <w:t xml:space="preserve"> </w:t>
      </w:r>
      <w:r w:rsidRPr="006C7497">
        <w:rPr>
          <w:i/>
          <w:lang w:eastAsia="ja-JP"/>
        </w:rPr>
        <w:t>sample selection effect</w:t>
      </w:r>
      <w:r w:rsidR="007906C9" w:rsidRPr="006C7497">
        <w:rPr>
          <w:i/>
          <w:lang w:eastAsia="ja-JP"/>
        </w:rPr>
        <w:t>,</w:t>
      </w:r>
      <w:r w:rsidRPr="006C7497">
        <w:rPr>
          <w:lang w:eastAsia="ja-JP"/>
        </w:rPr>
        <w:t xml:space="preserve"> and (3) the </w:t>
      </w:r>
      <w:r w:rsidRPr="006C7497">
        <w:rPr>
          <w:i/>
          <w:lang w:eastAsia="ja-JP"/>
        </w:rPr>
        <w:t xml:space="preserve">latent construct </w:t>
      </w:r>
      <w:r w:rsidR="00AB3CE4" w:rsidRPr="006C7497">
        <w:rPr>
          <w:lang w:eastAsia="ja-JP"/>
        </w:rPr>
        <w:t>(</w:t>
      </w:r>
      <w:r w:rsidR="00AB3CE4" w:rsidRPr="006C7497">
        <w:rPr>
          <w:i/>
          <w:lang w:eastAsia="ja-JP"/>
        </w:rPr>
        <w:t>LC</w:t>
      </w:r>
      <w:r w:rsidR="00AB3CE4" w:rsidRPr="006C7497">
        <w:rPr>
          <w:lang w:eastAsia="ja-JP"/>
        </w:rPr>
        <w:t>)</w:t>
      </w:r>
      <w:r w:rsidR="00AB3CE4" w:rsidRPr="006C7497">
        <w:rPr>
          <w:i/>
          <w:lang w:eastAsia="ja-JP"/>
        </w:rPr>
        <w:t xml:space="preserve"> </w:t>
      </w:r>
      <w:r w:rsidRPr="006C7497">
        <w:rPr>
          <w:i/>
          <w:lang w:eastAsia="ja-JP"/>
        </w:rPr>
        <w:t>endogeneity effect</w:t>
      </w:r>
      <w:r w:rsidRPr="006C7497">
        <w:rPr>
          <w:lang w:eastAsia="ja-JP"/>
        </w:rPr>
        <w:t xml:space="preserve">. </w:t>
      </w:r>
      <w:r w:rsidR="00B462E2" w:rsidRPr="006C7497">
        <w:rPr>
          <w:lang w:eastAsia="ja-JP"/>
        </w:rPr>
        <w:t>To tease out these components of the total effect of HDN living on travel behavior choices, we use the “average treatment effects” metric</w:t>
      </w:r>
      <w:r w:rsidR="00073BE3" w:rsidRPr="006C7497">
        <w:rPr>
          <w:lang w:eastAsia="ja-JP"/>
        </w:rPr>
        <w:t xml:space="preserve"> (see Appendix </w:t>
      </w:r>
      <w:r w:rsidR="008B4F68" w:rsidRPr="006C7497">
        <w:rPr>
          <w:lang w:eastAsia="ja-JP"/>
        </w:rPr>
        <w:t>C</w:t>
      </w:r>
      <w:r w:rsidR="00073BE3" w:rsidRPr="006C7497">
        <w:rPr>
          <w:lang w:eastAsia="ja-JP"/>
        </w:rPr>
        <w:t xml:space="preserve"> for details on the computation process)</w:t>
      </w:r>
      <w:r w:rsidR="00AB3CE4" w:rsidRPr="006C7497">
        <w:rPr>
          <w:lang w:eastAsia="ja-JP"/>
        </w:rPr>
        <w:t>.</w:t>
      </w:r>
      <w:r w:rsidR="00B462E2" w:rsidRPr="006C7497">
        <w:rPr>
          <w:lang w:eastAsia="ja-JP"/>
        </w:rPr>
        <w:t xml:space="preserve"> </w:t>
      </w:r>
    </w:p>
    <w:p w14:paraId="5D9D8E11" w14:textId="748DFAAC" w:rsidR="008A29E2" w:rsidRPr="00882FD5" w:rsidRDefault="00834F12" w:rsidP="000D5E4F">
      <w:pPr>
        <w:autoSpaceDE w:val="0"/>
        <w:autoSpaceDN w:val="0"/>
        <w:adjustRightInd w:val="0"/>
        <w:spacing w:before="0" w:line="240" w:lineRule="auto"/>
        <w:ind w:firstLine="720"/>
        <w:jc w:val="both"/>
      </w:pPr>
      <w:r w:rsidRPr="006C7497">
        <w:t xml:space="preserve">Table </w:t>
      </w:r>
      <w:r w:rsidR="00051EDB" w:rsidRPr="006C7497">
        <w:t>7</w:t>
      </w:r>
      <w:r w:rsidRPr="006C7497">
        <w:t xml:space="preserve"> presents the </w:t>
      </w:r>
      <w:r w:rsidR="00184784" w:rsidRPr="006C7497">
        <w:t xml:space="preserve">magnitude effect as well as the </w:t>
      </w:r>
      <w:r w:rsidR="00482F54" w:rsidRPr="006C7497">
        <w:t>contributing percentages</w:t>
      </w:r>
      <w:r w:rsidR="00F86DDC" w:rsidRPr="006C7497">
        <w:t xml:space="preserve"> (in parentheses)</w:t>
      </w:r>
      <w:r w:rsidR="00482F54" w:rsidRPr="006C7497">
        <w:t xml:space="preserve"> of each of the </w:t>
      </w:r>
      <w:r w:rsidR="00AB3CE4" w:rsidRPr="006C7497">
        <w:t xml:space="preserve">three </w:t>
      </w:r>
      <w:r w:rsidR="00482F54" w:rsidRPr="006C7497">
        <w:t>effects</w:t>
      </w:r>
      <w:r w:rsidR="00A242D0" w:rsidRPr="006C7497">
        <w:t xml:space="preserve"> for the </w:t>
      </w:r>
      <w:r w:rsidR="00184784" w:rsidRPr="006C7497">
        <w:t>TRAD</w:t>
      </w:r>
      <w:r w:rsidR="00A242D0" w:rsidRPr="006C7497">
        <w:t xml:space="preserve">-GHDM and </w:t>
      </w:r>
      <w:r w:rsidR="00184784" w:rsidRPr="006C7497">
        <w:t>FLEX-</w:t>
      </w:r>
      <w:r w:rsidR="00A242D0" w:rsidRPr="006C7497">
        <w:t>GHDM</w:t>
      </w:r>
      <w:r w:rsidR="00F86DDC" w:rsidRPr="006C7497">
        <w:t>.</w:t>
      </w:r>
      <w:r w:rsidR="00184784" w:rsidRPr="006C7497">
        <w:t xml:space="preserve"> </w:t>
      </w:r>
      <w:r w:rsidR="00AB3CE4" w:rsidRPr="006C7497">
        <w:t>The top row</w:t>
      </w:r>
      <w:r w:rsidR="0089180A" w:rsidRPr="006C7497">
        <w:t xml:space="preserve"> panel</w:t>
      </w:r>
      <w:r w:rsidR="00AB3CE4" w:rsidRPr="006C7497">
        <w:t xml:space="preserve"> </w:t>
      </w:r>
      <w:r w:rsidR="00AF1FB9" w:rsidRPr="006C7497">
        <w:t xml:space="preserve">provides </w:t>
      </w:r>
      <w:r w:rsidR="00AB3CE4" w:rsidRPr="006C7497">
        <w:t xml:space="preserve">the </w:t>
      </w:r>
      <w:r w:rsidR="00717BCB" w:rsidRPr="006C7497">
        <w:t xml:space="preserve">three </w:t>
      </w:r>
      <w:r w:rsidR="00AB3CE4" w:rsidRPr="006C7497">
        <w:t>HDN</w:t>
      </w:r>
      <w:r w:rsidR="00717BCB" w:rsidRPr="006C7497">
        <w:t>-associated</w:t>
      </w:r>
      <w:r w:rsidR="00AB3CE4" w:rsidRPr="006C7497">
        <w:t xml:space="preserve"> living </w:t>
      </w:r>
      <w:r w:rsidR="00717BCB" w:rsidRPr="006C7497">
        <w:t xml:space="preserve">effects </w:t>
      </w:r>
      <w:r w:rsidR="00AB3CE4" w:rsidRPr="006C7497">
        <w:t xml:space="preserve">on </w:t>
      </w:r>
      <w:r w:rsidR="00717BCB" w:rsidRPr="006C7497">
        <w:t>auto</w:t>
      </w:r>
      <w:r w:rsidR="0082193C" w:rsidRPr="006C7497">
        <w:t>-</w:t>
      </w:r>
      <w:r w:rsidR="00717BCB" w:rsidRPr="006C7497">
        <w:t>ownership level</w:t>
      </w:r>
      <w:r w:rsidR="00003DCD" w:rsidRPr="006C7497">
        <w:t>s,</w:t>
      </w:r>
      <w:r w:rsidR="00CE5503" w:rsidRPr="006C7497">
        <w:t xml:space="preserve"> </w:t>
      </w:r>
      <w:r w:rsidR="00717BCB" w:rsidRPr="006C7497">
        <w:t xml:space="preserve">while the bottom two row panels provide the HDN-associated living effects </w:t>
      </w:r>
      <w:r w:rsidR="00AB3CE4" w:rsidRPr="006C7497">
        <w:t xml:space="preserve">on </w:t>
      </w:r>
      <w:r w:rsidR="00003DCD" w:rsidRPr="006C7497">
        <w:t xml:space="preserve">the </w:t>
      </w:r>
      <w:r w:rsidR="007906C9" w:rsidRPr="006C7497">
        <w:t xml:space="preserve">choice of the </w:t>
      </w:r>
      <w:r w:rsidR="00AB3CE4" w:rsidRPr="006C7497">
        <w:t>private vehicle and bicycle modes</w:t>
      </w:r>
      <w:r w:rsidR="0089180A" w:rsidRPr="006C7497">
        <w:t xml:space="preserve"> (we focus on the HDN</w:t>
      </w:r>
      <w:r w:rsidR="0089180A" w:rsidRPr="00882FD5">
        <w:t xml:space="preserve"> effects only on these two alternatives to keep the discussion focused, and also because these two alternatives are directly impacted by the HDN outcome; see Table 5)</w:t>
      </w:r>
      <w:r w:rsidR="00AB3CE4" w:rsidRPr="00882FD5">
        <w:t>.</w:t>
      </w:r>
      <w:r w:rsidR="0089180A" w:rsidRPr="00882FD5">
        <w:t xml:space="preserve"> </w:t>
      </w:r>
      <w:r w:rsidR="007B5F56" w:rsidRPr="00882FD5">
        <w:t>Beginning with the top row panel of Table 7, t</w:t>
      </w:r>
      <w:r w:rsidR="00CE5503" w:rsidRPr="00882FD5">
        <w:t>he “true” causal effect of HDN living on auto-ownership is estimated as -0.24 in the TRAD-GHDM model and -0.29 in the FLEX-GHDM model. The way to interpret this is as follow</w:t>
      </w:r>
      <w:r w:rsidR="0016477E" w:rsidRPr="00882FD5">
        <w:t>s. I</w:t>
      </w:r>
      <w:r w:rsidR="00CE5503" w:rsidRPr="00882FD5">
        <w:t xml:space="preserve">f a random individual is </w:t>
      </w:r>
      <w:r w:rsidR="0016477E" w:rsidRPr="00882FD5">
        <w:t xml:space="preserve">supplanted from a non-HDN to an HDN, </w:t>
      </w:r>
      <w:r w:rsidR="0082193C" w:rsidRPr="00882FD5">
        <w:t>auto-</w:t>
      </w:r>
      <w:r w:rsidR="0016477E" w:rsidRPr="00882FD5">
        <w:t xml:space="preserve">ownership will, on average, reduce by </w:t>
      </w:r>
      <w:r w:rsidR="00794680" w:rsidRPr="00882FD5">
        <w:t xml:space="preserve">0.24 based on the TRAD-GHDM and by </w:t>
      </w:r>
      <w:r w:rsidR="0016477E" w:rsidRPr="00882FD5">
        <w:t>0.29</w:t>
      </w:r>
      <w:r w:rsidR="00794680" w:rsidRPr="00882FD5">
        <w:t xml:space="preserve"> based on the FLEX-GHDM</w:t>
      </w:r>
      <w:r w:rsidR="0016477E" w:rsidRPr="00882FD5">
        <w:t xml:space="preserve">; equivalently, if 100 random individuals are transplanted from a non-HDN environment to an HDN environment, there would be a reduction </w:t>
      </w:r>
      <w:r w:rsidR="0089180A" w:rsidRPr="00882FD5">
        <w:t xml:space="preserve">(among these 100 individuals) </w:t>
      </w:r>
      <w:r w:rsidR="0016477E" w:rsidRPr="00882FD5">
        <w:t xml:space="preserve">of </w:t>
      </w:r>
      <w:r w:rsidR="00794680" w:rsidRPr="00882FD5">
        <w:t xml:space="preserve">24 vehicles according to the TRAD-GHDM and </w:t>
      </w:r>
      <w:r w:rsidR="0016477E" w:rsidRPr="00882FD5">
        <w:t xml:space="preserve">29 vehicles </w:t>
      </w:r>
      <w:r w:rsidR="00794680" w:rsidRPr="00882FD5">
        <w:t xml:space="preserve">according to the </w:t>
      </w:r>
      <w:r w:rsidR="00D418DC" w:rsidRPr="00882FD5">
        <w:t>FLEX-GHDM. Essentially, by ignoring the endogeneity</w:t>
      </w:r>
      <w:r w:rsidR="00F06A3B" w:rsidRPr="00882FD5">
        <w:t xml:space="preserve"> of the two latent constructs </w:t>
      </w:r>
      <w:r w:rsidR="007B5F56" w:rsidRPr="00882FD5">
        <w:t>to</w:t>
      </w:r>
      <w:r w:rsidR="00F06A3B" w:rsidRPr="00882FD5">
        <w:t xml:space="preserve"> the main outcomes</w:t>
      </w:r>
      <w:r w:rsidR="00D418DC" w:rsidRPr="00882FD5">
        <w:t xml:space="preserve">, the TRAD-GHDM increases the correlative associative effect between HDN living and </w:t>
      </w:r>
      <w:r w:rsidR="00747129" w:rsidRPr="00882FD5">
        <w:t>auto-</w:t>
      </w:r>
      <w:r w:rsidR="00D418DC" w:rsidRPr="00882FD5">
        <w:t>ownership (that is, incorrectly elevates the sample selection effect), thereby underestimating the true HDN causal effect on auto</w:t>
      </w:r>
      <w:r w:rsidR="0082193C" w:rsidRPr="00882FD5">
        <w:t>-</w:t>
      </w:r>
      <w:r w:rsidR="00D418DC" w:rsidRPr="00882FD5">
        <w:t xml:space="preserve">ownership. </w:t>
      </w:r>
      <w:r w:rsidR="00F06A3B" w:rsidRPr="00882FD5">
        <w:t xml:space="preserve">This is also clearly noticeable in the relative percentage of the three effects (shown in parenthesis) in Table 7. </w:t>
      </w:r>
      <w:r w:rsidR="007B5F56" w:rsidRPr="00882FD5">
        <w:t xml:space="preserve">A similar result is evident from the bottom two rows in which the TRAD-GHDM underestimates the “true” </w:t>
      </w:r>
      <w:r w:rsidR="008A29E2" w:rsidRPr="00882FD5">
        <w:t xml:space="preserve">negative </w:t>
      </w:r>
      <w:r w:rsidR="007B5F56" w:rsidRPr="00882FD5">
        <w:t xml:space="preserve">causal effect of HDN living on </w:t>
      </w:r>
      <w:r w:rsidR="008A29E2" w:rsidRPr="00882FD5">
        <w:t xml:space="preserve">private vehicle mode choice and also underestimates the “true” positive causal effect of HDN living on the bicycling mode. </w:t>
      </w:r>
      <w:r w:rsidR="00612928" w:rsidRPr="00882FD5">
        <w:t xml:space="preserve">Overall, in our particular empirical context, the results suggest that efforts at neo-urbanist designs that focus on neighborhood densification and </w:t>
      </w:r>
      <w:r w:rsidR="006A794E" w:rsidRPr="00882FD5">
        <w:t xml:space="preserve">investments in </w:t>
      </w:r>
      <w:r w:rsidR="00612928" w:rsidRPr="00882FD5">
        <w:t xml:space="preserve">improved bicycling infrastructures </w:t>
      </w:r>
      <w:r w:rsidR="006A794E" w:rsidRPr="00882FD5">
        <w:t>may get</w:t>
      </w:r>
      <w:r w:rsidR="004479AB" w:rsidRPr="00882FD5">
        <w:t xml:space="preserve"> </w:t>
      </w:r>
      <w:r w:rsidR="006A794E" w:rsidRPr="00882FD5">
        <w:t>undervalued in planning and policy decisions</w:t>
      </w:r>
      <w:r w:rsidR="00A344A3" w:rsidRPr="00882FD5">
        <w:t xml:space="preserve"> if the endogeneity of latent constructs is ignored</w:t>
      </w:r>
      <w:r w:rsidR="006A794E" w:rsidRPr="00882FD5">
        <w:t xml:space="preserve">. Of course, whether this result would </w:t>
      </w:r>
      <w:r w:rsidR="006A794E" w:rsidRPr="00882FD5">
        <w:lastRenderedPageBreak/>
        <w:t xml:space="preserve">be universally applicable (that is, transferable) to other metropolitan areas is an open question; most likely, there will be specific local elements </w:t>
      </w:r>
      <w:r w:rsidR="00674CD8" w:rsidRPr="00882FD5">
        <w:t>related to</w:t>
      </w:r>
      <w:r w:rsidR="006A794E" w:rsidRPr="00882FD5">
        <w:t xml:space="preserve"> infrastructure investment level</w:t>
      </w:r>
      <w:r w:rsidR="00674CD8" w:rsidRPr="00882FD5">
        <w:t>s</w:t>
      </w:r>
      <w:r w:rsidR="006A794E" w:rsidRPr="00882FD5">
        <w:t xml:space="preserve">, </w:t>
      </w:r>
      <w:r w:rsidR="001A7B6A" w:rsidRPr="00882FD5">
        <w:t xml:space="preserve">public </w:t>
      </w:r>
      <w:r w:rsidR="006A794E" w:rsidRPr="00882FD5">
        <w:t xml:space="preserve">environmental-consciousness levels, and overall </w:t>
      </w:r>
      <w:r w:rsidR="001A7B6A" w:rsidRPr="00882FD5">
        <w:t>activity-</w:t>
      </w:r>
      <w:r w:rsidR="006A794E" w:rsidRPr="00882FD5">
        <w:t xml:space="preserve">travel behaviors that </w:t>
      </w:r>
      <w:r w:rsidR="00967F30" w:rsidRPr="00882FD5">
        <w:t>will</w:t>
      </w:r>
      <w:r w:rsidR="006A794E" w:rsidRPr="00882FD5">
        <w:t xml:space="preserve"> either </w:t>
      </w:r>
      <w:r w:rsidR="001A7B6A" w:rsidRPr="00882FD5">
        <w:t xml:space="preserve">elevate this undervaluation of the </w:t>
      </w:r>
      <w:r w:rsidR="00A344A3" w:rsidRPr="00882FD5">
        <w:t xml:space="preserve">effectiveness </w:t>
      </w:r>
      <w:r w:rsidR="001A7B6A" w:rsidRPr="00882FD5">
        <w:t xml:space="preserve">of neo-urbanist designs or </w:t>
      </w:r>
      <w:r w:rsidR="00A344A3" w:rsidRPr="00882FD5">
        <w:t xml:space="preserve">temper this undervaluation. </w:t>
      </w:r>
      <w:bookmarkStart w:id="15" w:name="_Hlk120960121"/>
      <w:r w:rsidR="00A344A3" w:rsidRPr="00882FD5">
        <w:t xml:space="preserve">In any case, </w:t>
      </w:r>
      <w:r w:rsidR="0055590F" w:rsidRPr="00882FD5">
        <w:t xml:space="preserve">the extent of </w:t>
      </w:r>
      <w:r w:rsidR="008F6299" w:rsidRPr="00882FD5">
        <w:t xml:space="preserve">difference </w:t>
      </w:r>
      <w:r w:rsidR="0055590F" w:rsidRPr="00882FD5">
        <w:t xml:space="preserve">in the HDN effect </w:t>
      </w:r>
      <w:r w:rsidR="008F6299" w:rsidRPr="00882FD5">
        <w:t>between ignoring and not ignoring the latent construct endogeneity is likely to be local context-</w:t>
      </w:r>
      <w:r w:rsidR="0049685F" w:rsidRPr="00882FD5">
        <w:t xml:space="preserve">specific and </w:t>
      </w:r>
      <w:r w:rsidR="008F6299" w:rsidRPr="00882FD5">
        <w:t xml:space="preserve">will require </w:t>
      </w:r>
      <w:r w:rsidR="00A344A3" w:rsidRPr="00882FD5">
        <w:t xml:space="preserve">estimating </w:t>
      </w:r>
      <w:r w:rsidR="008F6299" w:rsidRPr="00882FD5">
        <w:t>the</w:t>
      </w:r>
      <w:r w:rsidR="00A344A3" w:rsidRPr="00882FD5">
        <w:t xml:space="preserve"> FLEX-GHDM</w:t>
      </w:r>
      <w:r w:rsidR="007249A1" w:rsidRPr="00882FD5">
        <w:t xml:space="preserve"> i</w:t>
      </w:r>
      <w:r w:rsidR="008F6299" w:rsidRPr="00882FD5">
        <w:t xml:space="preserve">n the local context. </w:t>
      </w:r>
    </w:p>
    <w:bookmarkEnd w:id="15"/>
    <w:p w14:paraId="3FD961CA" w14:textId="05D68B34" w:rsidR="00B4078C" w:rsidRPr="00882FD5" w:rsidRDefault="004479AB" w:rsidP="000D5E4F">
      <w:pPr>
        <w:spacing w:before="0" w:line="240" w:lineRule="auto"/>
        <w:ind w:firstLine="720"/>
        <w:jc w:val="both"/>
      </w:pPr>
      <w:r w:rsidRPr="00882FD5">
        <w:t xml:space="preserve">Overall, our study continues to emphasize the value of neo-urbanist design in reducing traffic through decreased </w:t>
      </w:r>
      <w:r w:rsidR="00747129" w:rsidRPr="00882FD5">
        <w:t>auto-</w:t>
      </w:r>
      <w:r w:rsidRPr="00882FD5">
        <w:t xml:space="preserve">ownership levels and more non-motorized mode use. </w:t>
      </w:r>
      <w:r w:rsidR="00B4078C" w:rsidRPr="00882FD5">
        <w:t>This</w:t>
      </w:r>
      <w:r w:rsidRPr="00882FD5">
        <w:t xml:space="preserve"> </w:t>
      </w:r>
      <w:r w:rsidR="00CE5503" w:rsidRPr="00882FD5">
        <w:t xml:space="preserve">may </w:t>
      </w:r>
      <w:r w:rsidRPr="00882FD5">
        <w:t>be achieved</w:t>
      </w:r>
      <w:r w:rsidR="00B4078C" w:rsidRPr="00882FD5">
        <w:t>, among other ways,</w:t>
      </w:r>
      <w:r w:rsidRPr="00882FD5">
        <w:t xml:space="preserve"> </w:t>
      </w:r>
      <w:r w:rsidR="00CE5503" w:rsidRPr="00882FD5">
        <w:rPr>
          <w:bCs/>
        </w:rPr>
        <w:t xml:space="preserve">through transit-oriented development </w:t>
      </w:r>
      <w:r w:rsidR="00CD4B63" w:rsidRPr="00882FD5">
        <w:rPr>
          <w:bCs/>
        </w:rPr>
        <w:t>(</w:t>
      </w:r>
      <w:r w:rsidR="00CE5503" w:rsidRPr="00882FD5">
        <w:rPr>
          <w:bCs/>
        </w:rPr>
        <w:t>TOD</w:t>
      </w:r>
      <w:r w:rsidR="00CD4B63" w:rsidRPr="00882FD5">
        <w:rPr>
          <w:bCs/>
        </w:rPr>
        <w:t>) and bicycling infrastructure</w:t>
      </w:r>
      <w:r w:rsidR="00B4078C" w:rsidRPr="00882FD5">
        <w:rPr>
          <w:bCs/>
        </w:rPr>
        <w:t xml:space="preserve"> improvements</w:t>
      </w:r>
      <w:r w:rsidR="00CD4B63" w:rsidRPr="00882FD5">
        <w:rPr>
          <w:bCs/>
        </w:rPr>
        <w:t xml:space="preserve">. In fact, </w:t>
      </w:r>
      <w:r w:rsidR="005123D9" w:rsidRPr="00882FD5">
        <w:rPr>
          <w:bCs/>
        </w:rPr>
        <w:t>such</w:t>
      </w:r>
      <w:r w:rsidR="00CD4B63" w:rsidRPr="00882FD5">
        <w:rPr>
          <w:bCs/>
        </w:rPr>
        <w:t xml:space="preserve"> </w:t>
      </w:r>
      <w:r w:rsidR="005123D9" w:rsidRPr="00882FD5">
        <w:rPr>
          <w:bCs/>
        </w:rPr>
        <w:t xml:space="preserve">efforts </w:t>
      </w:r>
      <w:r w:rsidR="00CD4B63" w:rsidRPr="00882FD5">
        <w:rPr>
          <w:bCs/>
        </w:rPr>
        <w:t xml:space="preserve">can have a </w:t>
      </w:r>
      <w:r w:rsidR="005123D9" w:rsidRPr="00882FD5">
        <w:rPr>
          <w:bCs/>
        </w:rPr>
        <w:t xml:space="preserve">mutually reinforcing and </w:t>
      </w:r>
      <w:r w:rsidR="00B4078C" w:rsidRPr="00882FD5">
        <w:rPr>
          <w:bCs/>
        </w:rPr>
        <w:t>snowballing</w:t>
      </w:r>
      <w:r w:rsidR="00CD4B63" w:rsidRPr="00882FD5">
        <w:rPr>
          <w:bCs/>
        </w:rPr>
        <w:t xml:space="preserve"> effect</w:t>
      </w:r>
      <w:r w:rsidR="005123D9" w:rsidRPr="00882FD5">
        <w:rPr>
          <w:bCs/>
        </w:rPr>
        <w:t xml:space="preserve"> with, for example, </w:t>
      </w:r>
      <w:r w:rsidR="00CD4B63" w:rsidRPr="00882FD5">
        <w:rPr>
          <w:bCs/>
        </w:rPr>
        <w:t>improved bicycling infrastructure enhancing transit stop accessibility</w:t>
      </w:r>
      <w:r w:rsidR="00B4078C" w:rsidRPr="00882FD5">
        <w:rPr>
          <w:bCs/>
        </w:rPr>
        <w:t xml:space="preserve"> and increasing transit use</w:t>
      </w:r>
      <w:r w:rsidR="00CD4B63" w:rsidRPr="00882FD5">
        <w:rPr>
          <w:bCs/>
        </w:rPr>
        <w:t xml:space="preserve">. </w:t>
      </w:r>
      <w:r w:rsidR="00CD4B63" w:rsidRPr="00882FD5">
        <w:t xml:space="preserve">However, from a policy standpoint, affordability becomes a critical equity issue for TOD housing in particular and neo-urbanist housing in general. </w:t>
      </w:r>
      <w:r w:rsidR="00B4078C" w:rsidRPr="00882FD5">
        <w:t>For instance</w:t>
      </w:r>
      <w:r w:rsidR="00CD4B63" w:rsidRPr="00882FD5">
        <w:t>, transit-proximal settlements have attractive property values and provide convenient opportunities for activity engagement, thereby creating high demand and leading to surges in housing prices. This translates to an affordability paradox wherein high-income households who tend to use private vehicles more often live nearer to transit, while low-income households who use transit more are priced out of such housing (Dong, 2017). In</w:t>
      </w:r>
      <w:r w:rsidR="005123D9" w:rsidRPr="00882FD5">
        <w:t>deed</w:t>
      </w:r>
      <w:r w:rsidR="00CD4B63" w:rsidRPr="00882FD5">
        <w:t xml:space="preserve">, due to this affordability and housing price imbalance, low-income households sometimes find it more reasonable to own a private vehicle (even if that causes financial stress) than to locate close to transit areas, which in turn, increases </w:t>
      </w:r>
      <w:r w:rsidR="00E51A8A">
        <w:t>private auto</w:t>
      </w:r>
      <w:r w:rsidR="00E51A8A" w:rsidRPr="00882FD5">
        <w:t xml:space="preserve"> </w:t>
      </w:r>
      <w:r w:rsidR="00CD4B63" w:rsidRPr="00882FD5">
        <w:t xml:space="preserve">dependency. </w:t>
      </w:r>
      <w:r w:rsidR="005123D9" w:rsidRPr="00882FD5">
        <w:t>Thus, t</w:t>
      </w:r>
      <w:r w:rsidR="00B4078C" w:rsidRPr="00882FD5">
        <w:t xml:space="preserve">o </w:t>
      </w:r>
      <w:r w:rsidR="005123D9" w:rsidRPr="00882FD5">
        <w:t xml:space="preserve">reap the benefits of </w:t>
      </w:r>
      <w:r w:rsidR="00B4078C" w:rsidRPr="00882FD5">
        <w:t xml:space="preserve">neo-urbanist forms </w:t>
      </w:r>
      <w:r w:rsidR="005123D9" w:rsidRPr="00882FD5">
        <w:t xml:space="preserve">on reduced motorized travel, </w:t>
      </w:r>
      <w:r w:rsidR="00B4078C" w:rsidRPr="00882FD5">
        <w:t>there needs to be a synergistic approach among the several elements of housing affordability, transit operations, and integrated bicycling/walking infrastructure.</w:t>
      </w:r>
    </w:p>
    <w:p w14:paraId="5F85D79D" w14:textId="3BF18AA3" w:rsidR="00CD4B63" w:rsidRPr="00882FD5" w:rsidRDefault="00CD4B63" w:rsidP="000D5E4F">
      <w:pPr>
        <w:autoSpaceDE w:val="0"/>
        <w:autoSpaceDN w:val="0"/>
        <w:adjustRightInd w:val="0"/>
        <w:spacing w:before="0" w:line="240" w:lineRule="auto"/>
        <w:ind w:firstLine="720"/>
        <w:jc w:val="both"/>
      </w:pPr>
    </w:p>
    <w:p w14:paraId="0AE2210B" w14:textId="76FFD72B" w:rsidR="0024154B" w:rsidRPr="00882FD5" w:rsidRDefault="0024154B" w:rsidP="000D5E4F">
      <w:pPr>
        <w:spacing w:before="0" w:line="240" w:lineRule="auto"/>
        <w:rPr>
          <w:b/>
        </w:rPr>
      </w:pPr>
      <w:r w:rsidRPr="00882FD5">
        <w:rPr>
          <w:b/>
          <w:bCs/>
          <w:color w:val="222222"/>
          <w:shd w:val="clear" w:color="auto" w:fill="FFFFFF"/>
        </w:rPr>
        <w:t xml:space="preserve">TABLE </w:t>
      </w:r>
      <w:r w:rsidR="00AE11CF" w:rsidRPr="00882FD5">
        <w:rPr>
          <w:b/>
          <w:bCs/>
          <w:color w:val="222222"/>
          <w:shd w:val="clear" w:color="auto" w:fill="FFFFFF"/>
        </w:rPr>
        <w:t>7</w:t>
      </w:r>
      <w:r w:rsidRPr="00882FD5">
        <w:rPr>
          <w:b/>
        </w:rPr>
        <w:t xml:space="preserve"> Quantifying HDN Living Effect on Auto-Ownership and Modal Preferences </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16"/>
        <w:gridCol w:w="2556"/>
        <w:gridCol w:w="2558"/>
      </w:tblGrid>
      <w:tr w:rsidR="0024154B" w:rsidRPr="00882FD5" w14:paraId="354C373A" w14:textId="77777777" w:rsidTr="002F5AE8">
        <w:trPr>
          <w:trHeight w:val="288"/>
        </w:trPr>
        <w:tc>
          <w:tcPr>
            <w:tcW w:w="2259" w:type="pct"/>
            <w:tcBorders>
              <w:top w:val="double" w:sz="4" w:space="0" w:color="auto"/>
              <w:bottom w:val="double" w:sz="4" w:space="0" w:color="auto"/>
            </w:tcBorders>
            <w:shd w:val="clear" w:color="auto" w:fill="auto"/>
            <w:tcMar>
              <w:top w:w="15" w:type="dxa"/>
              <w:left w:w="108" w:type="dxa"/>
              <w:bottom w:w="0" w:type="dxa"/>
              <w:right w:w="108" w:type="dxa"/>
            </w:tcMar>
            <w:vAlign w:val="center"/>
            <w:hideMark/>
          </w:tcPr>
          <w:p w14:paraId="201A5D98" w14:textId="77777777" w:rsidR="0024154B" w:rsidRPr="00882FD5" w:rsidRDefault="0024154B" w:rsidP="0024154B">
            <w:pPr>
              <w:spacing w:before="0" w:line="240" w:lineRule="auto"/>
              <w:rPr>
                <w:b/>
                <w:bCs/>
                <w:color w:val="000000"/>
                <w:sz w:val="22"/>
                <w:szCs w:val="22"/>
              </w:rPr>
            </w:pPr>
            <w:r w:rsidRPr="00882FD5">
              <w:rPr>
                <w:b/>
                <w:bCs/>
                <w:color w:val="000000"/>
                <w:sz w:val="22"/>
                <w:szCs w:val="22"/>
              </w:rPr>
              <w:t>Metric</w:t>
            </w:r>
          </w:p>
        </w:tc>
        <w:tc>
          <w:tcPr>
            <w:tcW w:w="1370" w:type="pct"/>
            <w:tcBorders>
              <w:top w:val="double" w:sz="4" w:space="0" w:color="auto"/>
              <w:bottom w:val="double" w:sz="4" w:space="0" w:color="auto"/>
            </w:tcBorders>
            <w:shd w:val="clear" w:color="auto" w:fill="auto"/>
            <w:tcMar>
              <w:top w:w="15" w:type="dxa"/>
              <w:left w:w="108" w:type="dxa"/>
              <w:bottom w:w="0" w:type="dxa"/>
              <w:right w:w="108" w:type="dxa"/>
            </w:tcMar>
            <w:vAlign w:val="center"/>
            <w:hideMark/>
          </w:tcPr>
          <w:p w14:paraId="2E854558" w14:textId="77777777" w:rsidR="0024154B" w:rsidRPr="00882FD5" w:rsidRDefault="0024154B" w:rsidP="0024154B">
            <w:pPr>
              <w:tabs>
                <w:tab w:val="left" w:pos="455"/>
              </w:tabs>
              <w:spacing w:before="0" w:line="240" w:lineRule="auto"/>
              <w:jc w:val="center"/>
              <w:rPr>
                <w:b/>
                <w:bCs/>
                <w:color w:val="000000"/>
                <w:sz w:val="22"/>
                <w:szCs w:val="22"/>
              </w:rPr>
            </w:pPr>
            <w:r w:rsidRPr="00882FD5">
              <w:rPr>
                <w:b/>
                <w:bCs/>
                <w:color w:val="000000"/>
                <w:sz w:val="22"/>
                <w:szCs w:val="22"/>
              </w:rPr>
              <w:t>TRAD-GHDM</w:t>
            </w:r>
          </w:p>
        </w:tc>
        <w:tc>
          <w:tcPr>
            <w:tcW w:w="1371" w:type="pct"/>
            <w:tcBorders>
              <w:top w:val="double" w:sz="4" w:space="0" w:color="auto"/>
              <w:bottom w:val="double" w:sz="4" w:space="0" w:color="auto"/>
            </w:tcBorders>
            <w:shd w:val="clear" w:color="auto" w:fill="auto"/>
            <w:tcMar>
              <w:top w:w="15" w:type="dxa"/>
              <w:left w:w="108" w:type="dxa"/>
              <w:bottom w:w="0" w:type="dxa"/>
              <w:right w:w="108" w:type="dxa"/>
            </w:tcMar>
            <w:vAlign w:val="center"/>
            <w:hideMark/>
          </w:tcPr>
          <w:p w14:paraId="49C2127E" w14:textId="77777777" w:rsidR="0024154B" w:rsidRPr="00882FD5" w:rsidRDefault="0024154B" w:rsidP="0024154B">
            <w:pPr>
              <w:tabs>
                <w:tab w:val="left" w:pos="455"/>
              </w:tabs>
              <w:spacing w:before="0" w:line="240" w:lineRule="auto"/>
              <w:jc w:val="center"/>
              <w:rPr>
                <w:b/>
                <w:bCs/>
                <w:color w:val="000000"/>
                <w:sz w:val="22"/>
                <w:szCs w:val="22"/>
              </w:rPr>
            </w:pPr>
            <w:r w:rsidRPr="00882FD5">
              <w:rPr>
                <w:b/>
                <w:bCs/>
                <w:color w:val="000000"/>
                <w:sz w:val="22"/>
                <w:szCs w:val="22"/>
              </w:rPr>
              <w:t>FLEX-GHDM</w:t>
            </w:r>
          </w:p>
        </w:tc>
      </w:tr>
      <w:tr w:rsidR="0024154B" w:rsidRPr="00882FD5" w14:paraId="4A6FB323" w14:textId="77777777" w:rsidTr="002F5AE8">
        <w:trPr>
          <w:trHeight w:val="288"/>
        </w:trPr>
        <w:tc>
          <w:tcPr>
            <w:tcW w:w="5000" w:type="pct"/>
            <w:gridSpan w:val="3"/>
            <w:tcBorders>
              <w:top w:val="double" w:sz="4" w:space="0" w:color="auto"/>
            </w:tcBorders>
            <w:shd w:val="clear" w:color="auto" w:fill="auto"/>
            <w:tcMar>
              <w:top w:w="15" w:type="dxa"/>
              <w:left w:w="108" w:type="dxa"/>
              <w:bottom w:w="0" w:type="dxa"/>
              <w:right w:w="108" w:type="dxa"/>
            </w:tcMar>
            <w:vAlign w:val="center"/>
          </w:tcPr>
          <w:p w14:paraId="47EF828A" w14:textId="77777777" w:rsidR="0024154B" w:rsidRPr="00882FD5" w:rsidRDefault="0024154B" w:rsidP="0024154B">
            <w:pPr>
              <w:tabs>
                <w:tab w:val="left" w:pos="455"/>
              </w:tabs>
              <w:spacing w:before="0" w:line="240" w:lineRule="auto"/>
              <w:rPr>
                <w:b/>
                <w:bCs/>
                <w:i/>
                <w:color w:val="000000"/>
                <w:sz w:val="22"/>
                <w:szCs w:val="22"/>
              </w:rPr>
            </w:pPr>
            <w:r w:rsidRPr="00882FD5">
              <w:rPr>
                <w:b/>
                <w:bCs/>
                <w:i/>
                <w:color w:val="000000"/>
                <w:sz w:val="22"/>
                <w:szCs w:val="22"/>
              </w:rPr>
              <w:t xml:space="preserve">HDN effect auto-ownership: </w:t>
            </w:r>
            <w:r w:rsidRPr="00882FD5">
              <w:rPr>
                <w:bCs/>
                <w:i/>
                <w:color w:val="000000"/>
                <w:sz w:val="22"/>
                <w:szCs w:val="22"/>
                <w:u w:val="single"/>
              </w:rPr>
              <w:t>magnitude change (% contribution)</w:t>
            </w:r>
          </w:p>
        </w:tc>
      </w:tr>
      <w:tr w:rsidR="0024154B" w:rsidRPr="00882FD5" w14:paraId="4FD646EC" w14:textId="77777777" w:rsidTr="002F5AE8">
        <w:trPr>
          <w:trHeight w:val="288"/>
        </w:trPr>
        <w:tc>
          <w:tcPr>
            <w:tcW w:w="2259" w:type="pct"/>
            <w:tcBorders>
              <w:bottom w:val="nil"/>
            </w:tcBorders>
            <w:shd w:val="clear" w:color="auto" w:fill="auto"/>
            <w:tcMar>
              <w:top w:w="15" w:type="dxa"/>
              <w:left w:w="108" w:type="dxa"/>
              <w:bottom w:w="0" w:type="dxa"/>
              <w:right w:w="108" w:type="dxa"/>
            </w:tcMar>
            <w:vAlign w:val="center"/>
            <w:hideMark/>
          </w:tcPr>
          <w:p w14:paraId="3A3818BC" w14:textId="77777777" w:rsidR="0024154B" w:rsidRPr="00882FD5" w:rsidRDefault="0024154B" w:rsidP="0024154B">
            <w:pPr>
              <w:spacing w:before="0" w:line="240" w:lineRule="auto"/>
              <w:rPr>
                <w:bCs/>
                <w:color w:val="000000"/>
                <w:sz w:val="22"/>
                <w:szCs w:val="22"/>
              </w:rPr>
            </w:pPr>
            <w:r w:rsidRPr="00882FD5">
              <w:rPr>
                <w:bCs/>
                <w:color w:val="000000"/>
                <w:sz w:val="22"/>
                <w:szCs w:val="22"/>
              </w:rPr>
              <w:t>“True” causal HDN effect %</w:t>
            </w:r>
          </w:p>
        </w:tc>
        <w:tc>
          <w:tcPr>
            <w:tcW w:w="1370" w:type="pct"/>
            <w:tcBorders>
              <w:bottom w:val="nil"/>
            </w:tcBorders>
            <w:shd w:val="clear" w:color="auto" w:fill="auto"/>
            <w:tcMar>
              <w:top w:w="15" w:type="dxa"/>
              <w:left w:w="108" w:type="dxa"/>
              <w:bottom w:w="0" w:type="dxa"/>
              <w:right w:w="108" w:type="dxa"/>
            </w:tcMar>
            <w:vAlign w:val="center"/>
            <w:hideMark/>
          </w:tcPr>
          <w:p w14:paraId="1519C808" w14:textId="77777777" w:rsidR="0024154B" w:rsidRPr="00882FD5" w:rsidRDefault="0024154B" w:rsidP="0024154B">
            <w:pPr>
              <w:tabs>
                <w:tab w:val="decimal" w:pos="873"/>
              </w:tabs>
              <w:spacing w:before="0" w:line="240" w:lineRule="auto"/>
              <w:jc w:val="right"/>
              <w:rPr>
                <w:bCs/>
                <w:color w:val="000000"/>
                <w:sz w:val="22"/>
                <w:szCs w:val="22"/>
              </w:rPr>
            </w:pPr>
            <w:r w:rsidRPr="00882FD5">
              <w:rPr>
                <w:bCs/>
                <w:color w:val="000000"/>
                <w:sz w:val="22"/>
                <w:szCs w:val="22"/>
              </w:rPr>
              <w:t>-0.24 (69.3%)</w:t>
            </w:r>
          </w:p>
        </w:tc>
        <w:tc>
          <w:tcPr>
            <w:tcW w:w="1371" w:type="pct"/>
            <w:tcBorders>
              <w:bottom w:val="nil"/>
            </w:tcBorders>
            <w:shd w:val="clear" w:color="auto" w:fill="auto"/>
            <w:tcMar>
              <w:top w:w="15" w:type="dxa"/>
              <w:left w:w="108" w:type="dxa"/>
              <w:bottom w:w="0" w:type="dxa"/>
              <w:right w:w="108" w:type="dxa"/>
            </w:tcMar>
            <w:vAlign w:val="center"/>
            <w:hideMark/>
          </w:tcPr>
          <w:p w14:paraId="191B8552" w14:textId="77777777" w:rsidR="0024154B" w:rsidRPr="00882FD5" w:rsidRDefault="0024154B" w:rsidP="0024154B">
            <w:pPr>
              <w:tabs>
                <w:tab w:val="decimal" w:pos="955"/>
              </w:tabs>
              <w:spacing w:before="0" w:line="240" w:lineRule="auto"/>
              <w:jc w:val="right"/>
              <w:rPr>
                <w:bCs/>
                <w:color w:val="000000"/>
                <w:sz w:val="22"/>
                <w:szCs w:val="22"/>
              </w:rPr>
            </w:pPr>
            <w:r w:rsidRPr="00882FD5">
              <w:rPr>
                <w:bCs/>
                <w:color w:val="000000"/>
                <w:sz w:val="22"/>
                <w:szCs w:val="22"/>
              </w:rPr>
              <w:t>-0.29 (85.4%)</w:t>
            </w:r>
          </w:p>
        </w:tc>
      </w:tr>
      <w:tr w:rsidR="0024154B" w:rsidRPr="00882FD5" w14:paraId="48B51E0D" w14:textId="77777777" w:rsidTr="002F5AE8">
        <w:trPr>
          <w:trHeight w:val="288"/>
        </w:trPr>
        <w:tc>
          <w:tcPr>
            <w:tcW w:w="2259" w:type="pct"/>
            <w:tcBorders>
              <w:top w:val="nil"/>
              <w:bottom w:val="nil"/>
            </w:tcBorders>
            <w:shd w:val="clear" w:color="auto" w:fill="auto"/>
            <w:tcMar>
              <w:top w:w="15" w:type="dxa"/>
              <w:left w:w="108" w:type="dxa"/>
              <w:bottom w:w="0" w:type="dxa"/>
              <w:right w:w="108" w:type="dxa"/>
            </w:tcMar>
            <w:vAlign w:val="center"/>
            <w:hideMark/>
          </w:tcPr>
          <w:p w14:paraId="6A6BA50C" w14:textId="77777777" w:rsidR="0024154B" w:rsidRPr="00882FD5" w:rsidRDefault="0024154B" w:rsidP="0024154B">
            <w:pPr>
              <w:spacing w:before="0" w:line="240" w:lineRule="auto"/>
              <w:rPr>
                <w:bCs/>
                <w:color w:val="000000"/>
                <w:sz w:val="22"/>
                <w:szCs w:val="22"/>
              </w:rPr>
            </w:pPr>
            <w:r w:rsidRPr="00882FD5">
              <w:rPr>
                <w:bCs/>
                <w:color w:val="000000"/>
                <w:sz w:val="22"/>
                <w:szCs w:val="22"/>
              </w:rPr>
              <w:t>Estimated self-selection effect %</w:t>
            </w:r>
          </w:p>
        </w:tc>
        <w:tc>
          <w:tcPr>
            <w:tcW w:w="1370" w:type="pct"/>
            <w:tcBorders>
              <w:top w:val="nil"/>
              <w:bottom w:val="nil"/>
            </w:tcBorders>
            <w:shd w:val="clear" w:color="auto" w:fill="auto"/>
            <w:tcMar>
              <w:top w:w="15" w:type="dxa"/>
              <w:left w:w="108" w:type="dxa"/>
              <w:bottom w:w="0" w:type="dxa"/>
              <w:right w:w="108" w:type="dxa"/>
            </w:tcMar>
            <w:vAlign w:val="center"/>
            <w:hideMark/>
          </w:tcPr>
          <w:p w14:paraId="3EA7AAFB" w14:textId="77777777" w:rsidR="0024154B" w:rsidRPr="00882FD5" w:rsidRDefault="0024154B" w:rsidP="0024154B">
            <w:pPr>
              <w:tabs>
                <w:tab w:val="decimal" w:pos="873"/>
              </w:tabs>
              <w:spacing w:before="0" w:line="240" w:lineRule="auto"/>
              <w:jc w:val="right"/>
              <w:rPr>
                <w:bCs/>
                <w:color w:val="000000"/>
                <w:sz w:val="22"/>
                <w:szCs w:val="22"/>
              </w:rPr>
            </w:pPr>
            <w:r w:rsidRPr="00882FD5">
              <w:rPr>
                <w:bCs/>
                <w:color w:val="000000"/>
                <w:sz w:val="22"/>
                <w:szCs w:val="22"/>
              </w:rPr>
              <w:t>-0.10 (30.7%)</w:t>
            </w:r>
          </w:p>
        </w:tc>
        <w:tc>
          <w:tcPr>
            <w:tcW w:w="1371" w:type="pct"/>
            <w:tcBorders>
              <w:top w:val="nil"/>
              <w:bottom w:val="nil"/>
            </w:tcBorders>
            <w:shd w:val="clear" w:color="auto" w:fill="auto"/>
            <w:tcMar>
              <w:top w:w="15" w:type="dxa"/>
              <w:left w:w="108" w:type="dxa"/>
              <w:bottom w:w="0" w:type="dxa"/>
              <w:right w:w="108" w:type="dxa"/>
            </w:tcMar>
            <w:vAlign w:val="center"/>
            <w:hideMark/>
          </w:tcPr>
          <w:p w14:paraId="41572F0F" w14:textId="77777777" w:rsidR="0024154B" w:rsidRPr="00882FD5" w:rsidRDefault="0024154B" w:rsidP="0024154B">
            <w:pPr>
              <w:tabs>
                <w:tab w:val="decimal" w:pos="955"/>
              </w:tabs>
              <w:spacing w:before="0" w:line="240" w:lineRule="auto"/>
              <w:jc w:val="right"/>
              <w:rPr>
                <w:bCs/>
                <w:color w:val="000000"/>
                <w:sz w:val="22"/>
                <w:szCs w:val="22"/>
              </w:rPr>
            </w:pPr>
            <w:r w:rsidRPr="00882FD5">
              <w:rPr>
                <w:bCs/>
                <w:color w:val="000000"/>
                <w:sz w:val="22"/>
                <w:szCs w:val="22"/>
              </w:rPr>
              <w:t>-0.02   (5.5%)</w:t>
            </w:r>
          </w:p>
        </w:tc>
      </w:tr>
      <w:tr w:rsidR="0024154B" w:rsidRPr="00882FD5" w14:paraId="13EF6501" w14:textId="77777777" w:rsidTr="002F5AE8">
        <w:trPr>
          <w:trHeight w:val="288"/>
        </w:trPr>
        <w:tc>
          <w:tcPr>
            <w:tcW w:w="2259" w:type="pct"/>
            <w:tcBorders>
              <w:top w:val="nil"/>
            </w:tcBorders>
            <w:shd w:val="clear" w:color="auto" w:fill="auto"/>
            <w:tcMar>
              <w:top w:w="15" w:type="dxa"/>
              <w:left w:w="108" w:type="dxa"/>
              <w:bottom w:w="0" w:type="dxa"/>
              <w:right w:w="108" w:type="dxa"/>
            </w:tcMar>
            <w:vAlign w:val="center"/>
            <w:hideMark/>
          </w:tcPr>
          <w:p w14:paraId="674EBD20" w14:textId="77777777" w:rsidR="0024154B" w:rsidRPr="00882FD5" w:rsidRDefault="0024154B" w:rsidP="0024154B">
            <w:pPr>
              <w:spacing w:before="0" w:line="240" w:lineRule="auto"/>
              <w:rPr>
                <w:bCs/>
                <w:color w:val="000000"/>
                <w:sz w:val="22"/>
                <w:szCs w:val="22"/>
              </w:rPr>
            </w:pPr>
            <w:r w:rsidRPr="00882FD5">
              <w:rPr>
                <w:bCs/>
                <w:color w:val="000000"/>
                <w:sz w:val="22"/>
                <w:szCs w:val="22"/>
              </w:rPr>
              <w:t>Estimated EC endogeneity effect %</w:t>
            </w:r>
          </w:p>
        </w:tc>
        <w:tc>
          <w:tcPr>
            <w:tcW w:w="1370" w:type="pct"/>
            <w:tcBorders>
              <w:top w:val="nil"/>
            </w:tcBorders>
            <w:shd w:val="clear" w:color="auto" w:fill="auto"/>
            <w:tcMar>
              <w:top w:w="15" w:type="dxa"/>
              <w:left w:w="108" w:type="dxa"/>
              <w:bottom w:w="0" w:type="dxa"/>
              <w:right w:w="108" w:type="dxa"/>
            </w:tcMar>
            <w:vAlign w:val="center"/>
            <w:hideMark/>
          </w:tcPr>
          <w:p w14:paraId="52BA5DC0" w14:textId="77777777" w:rsidR="0024154B" w:rsidRPr="00882FD5" w:rsidRDefault="0024154B" w:rsidP="0024154B">
            <w:pPr>
              <w:tabs>
                <w:tab w:val="decimal" w:pos="873"/>
              </w:tabs>
              <w:spacing w:before="0" w:line="240" w:lineRule="auto"/>
              <w:jc w:val="right"/>
              <w:rPr>
                <w:bCs/>
                <w:color w:val="000000"/>
                <w:sz w:val="22"/>
                <w:szCs w:val="22"/>
              </w:rPr>
            </w:pPr>
            <w:r w:rsidRPr="00882FD5">
              <w:rPr>
                <w:bCs/>
                <w:color w:val="000000"/>
                <w:sz w:val="22"/>
                <w:szCs w:val="22"/>
              </w:rPr>
              <w:t>-</w:t>
            </w:r>
          </w:p>
        </w:tc>
        <w:tc>
          <w:tcPr>
            <w:tcW w:w="1371" w:type="pct"/>
            <w:tcBorders>
              <w:top w:val="nil"/>
            </w:tcBorders>
            <w:shd w:val="clear" w:color="auto" w:fill="auto"/>
            <w:tcMar>
              <w:top w:w="15" w:type="dxa"/>
              <w:left w:w="108" w:type="dxa"/>
              <w:bottom w:w="0" w:type="dxa"/>
              <w:right w:w="108" w:type="dxa"/>
            </w:tcMar>
            <w:vAlign w:val="center"/>
            <w:hideMark/>
          </w:tcPr>
          <w:p w14:paraId="52AB6285" w14:textId="77777777" w:rsidR="0024154B" w:rsidRPr="00882FD5" w:rsidRDefault="0024154B" w:rsidP="0024154B">
            <w:pPr>
              <w:tabs>
                <w:tab w:val="decimal" w:pos="955"/>
              </w:tabs>
              <w:spacing w:before="0" w:line="240" w:lineRule="auto"/>
              <w:jc w:val="right"/>
              <w:rPr>
                <w:bCs/>
                <w:color w:val="000000"/>
                <w:sz w:val="22"/>
                <w:szCs w:val="22"/>
              </w:rPr>
            </w:pPr>
            <w:r w:rsidRPr="00882FD5">
              <w:rPr>
                <w:bCs/>
                <w:color w:val="000000"/>
                <w:sz w:val="22"/>
                <w:szCs w:val="22"/>
              </w:rPr>
              <w:t>-0.03   (9.1%)</w:t>
            </w:r>
          </w:p>
        </w:tc>
      </w:tr>
      <w:tr w:rsidR="0024154B" w:rsidRPr="00882FD5" w14:paraId="1A8BDE21" w14:textId="77777777" w:rsidTr="002F5AE8">
        <w:trPr>
          <w:trHeight w:val="288"/>
        </w:trPr>
        <w:tc>
          <w:tcPr>
            <w:tcW w:w="5000" w:type="pct"/>
            <w:gridSpan w:val="3"/>
            <w:shd w:val="clear" w:color="auto" w:fill="auto"/>
            <w:tcMar>
              <w:top w:w="15" w:type="dxa"/>
              <w:left w:w="108" w:type="dxa"/>
              <w:bottom w:w="0" w:type="dxa"/>
              <w:right w:w="108" w:type="dxa"/>
            </w:tcMar>
            <w:vAlign w:val="center"/>
          </w:tcPr>
          <w:p w14:paraId="6202A549" w14:textId="0FE37463" w:rsidR="0024154B" w:rsidRPr="00882FD5" w:rsidRDefault="0024154B" w:rsidP="0024154B">
            <w:pPr>
              <w:tabs>
                <w:tab w:val="decimal" w:pos="955"/>
              </w:tabs>
              <w:spacing w:before="0" w:line="240" w:lineRule="auto"/>
              <w:rPr>
                <w:b/>
                <w:bCs/>
                <w:i/>
                <w:color w:val="000000"/>
                <w:sz w:val="22"/>
                <w:szCs w:val="22"/>
              </w:rPr>
            </w:pPr>
            <w:r w:rsidRPr="00882FD5">
              <w:rPr>
                <w:b/>
                <w:bCs/>
                <w:i/>
                <w:color w:val="000000"/>
                <w:sz w:val="22"/>
                <w:szCs w:val="22"/>
              </w:rPr>
              <w:t xml:space="preserve">HDN effect on the </w:t>
            </w:r>
            <w:r w:rsidR="00747129" w:rsidRPr="00882FD5">
              <w:rPr>
                <w:b/>
                <w:bCs/>
                <w:i/>
                <w:color w:val="000000"/>
                <w:sz w:val="22"/>
                <w:szCs w:val="22"/>
              </w:rPr>
              <w:t>private vehicle</w:t>
            </w:r>
            <w:r w:rsidR="00003DCD" w:rsidRPr="00882FD5">
              <w:rPr>
                <w:b/>
                <w:bCs/>
                <w:i/>
                <w:color w:val="000000"/>
                <w:sz w:val="22"/>
                <w:szCs w:val="22"/>
              </w:rPr>
              <w:t xml:space="preserve"> </w:t>
            </w:r>
            <w:r w:rsidRPr="00882FD5">
              <w:rPr>
                <w:b/>
                <w:bCs/>
                <w:i/>
                <w:color w:val="000000"/>
                <w:sz w:val="22"/>
                <w:szCs w:val="22"/>
              </w:rPr>
              <w:t>mode in the mode choice model:</w:t>
            </w:r>
            <w:r w:rsidRPr="00882FD5">
              <w:rPr>
                <w:bCs/>
                <w:i/>
                <w:color w:val="000000"/>
                <w:sz w:val="22"/>
                <w:szCs w:val="22"/>
                <w:u w:val="single"/>
              </w:rPr>
              <w:t xml:space="preserve"> % share change (% contribution)</w:t>
            </w:r>
          </w:p>
        </w:tc>
      </w:tr>
      <w:tr w:rsidR="0024154B" w:rsidRPr="00882FD5" w14:paraId="41D0BB06" w14:textId="77777777" w:rsidTr="002F5AE8">
        <w:trPr>
          <w:trHeight w:val="288"/>
        </w:trPr>
        <w:tc>
          <w:tcPr>
            <w:tcW w:w="2259" w:type="pct"/>
            <w:tcBorders>
              <w:bottom w:val="nil"/>
            </w:tcBorders>
            <w:shd w:val="clear" w:color="auto" w:fill="auto"/>
            <w:tcMar>
              <w:top w:w="15" w:type="dxa"/>
              <w:left w:w="108" w:type="dxa"/>
              <w:bottom w:w="0" w:type="dxa"/>
              <w:right w:w="108" w:type="dxa"/>
            </w:tcMar>
            <w:vAlign w:val="center"/>
            <w:hideMark/>
          </w:tcPr>
          <w:p w14:paraId="02D54E17" w14:textId="77777777" w:rsidR="0024154B" w:rsidRPr="00882FD5" w:rsidRDefault="0024154B" w:rsidP="0024154B">
            <w:pPr>
              <w:spacing w:before="0" w:line="240" w:lineRule="auto"/>
              <w:rPr>
                <w:bCs/>
                <w:color w:val="000000"/>
                <w:sz w:val="22"/>
                <w:szCs w:val="22"/>
              </w:rPr>
            </w:pPr>
            <w:r w:rsidRPr="00882FD5">
              <w:rPr>
                <w:bCs/>
                <w:color w:val="000000"/>
                <w:sz w:val="22"/>
                <w:szCs w:val="22"/>
              </w:rPr>
              <w:t>“True” causal HDN effect %</w:t>
            </w:r>
          </w:p>
        </w:tc>
        <w:tc>
          <w:tcPr>
            <w:tcW w:w="1370" w:type="pct"/>
            <w:tcBorders>
              <w:bottom w:val="nil"/>
            </w:tcBorders>
            <w:shd w:val="clear" w:color="auto" w:fill="auto"/>
            <w:tcMar>
              <w:top w:w="15" w:type="dxa"/>
              <w:left w:w="108" w:type="dxa"/>
              <w:bottom w:w="0" w:type="dxa"/>
              <w:right w:w="108" w:type="dxa"/>
            </w:tcMar>
            <w:vAlign w:val="center"/>
            <w:hideMark/>
          </w:tcPr>
          <w:p w14:paraId="4C218160" w14:textId="77777777" w:rsidR="0024154B" w:rsidRPr="00882FD5" w:rsidRDefault="0024154B" w:rsidP="0024154B">
            <w:pPr>
              <w:spacing w:before="0" w:line="240" w:lineRule="auto"/>
              <w:jc w:val="right"/>
              <w:rPr>
                <w:bCs/>
                <w:color w:val="000000"/>
                <w:sz w:val="22"/>
                <w:szCs w:val="22"/>
              </w:rPr>
            </w:pPr>
            <w:r w:rsidRPr="00882FD5">
              <w:rPr>
                <w:bCs/>
                <w:color w:val="000000"/>
                <w:sz w:val="22"/>
                <w:szCs w:val="22"/>
              </w:rPr>
              <w:t>-2.3% (55.3%)</w:t>
            </w:r>
          </w:p>
        </w:tc>
        <w:tc>
          <w:tcPr>
            <w:tcW w:w="1371" w:type="pct"/>
            <w:tcBorders>
              <w:bottom w:val="nil"/>
            </w:tcBorders>
            <w:shd w:val="clear" w:color="auto" w:fill="auto"/>
            <w:tcMar>
              <w:top w:w="15" w:type="dxa"/>
              <w:left w:w="108" w:type="dxa"/>
              <w:bottom w:w="0" w:type="dxa"/>
              <w:right w:w="108" w:type="dxa"/>
            </w:tcMar>
            <w:vAlign w:val="center"/>
            <w:hideMark/>
          </w:tcPr>
          <w:p w14:paraId="3C6D227C" w14:textId="77777777" w:rsidR="0024154B" w:rsidRPr="00882FD5" w:rsidRDefault="0024154B" w:rsidP="0024154B">
            <w:pPr>
              <w:spacing w:before="0" w:line="240" w:lineRule="auto"/>
              <w:jc w:val="right"/>
              <w:rPr>
                <w:bCs/>
                <w:color w:val="000000"/>
                <w:sz w:val="22"/>
                <w:szCs w:val="22"/>
              </w:rPr>
            </w:pPr>
            <w:r w:rsidRPr="00882FD5">
              <w:rPr>
                <w:bCs/>
                <w:color w:val="000000"/>
                <w:sz w:val="22"/>
                <w:szCs w:val="22"/>
              </w:rPr>
              <w:t>-3.1% (73.2%)</w:t>
            </w:r>
          </w:p>
        </w:tc>
      </w:tr>
      <w:tr w:rsidR="0024154B" w:rsidRPr="00882FD5" w14:paraId="684001C1" w14:textId="77777777" w:rsidTr="002F5AE8">
        <w:trPr>
          <w:trHeight w:val="288"/>
        </w:trPr>
        <w:tc>
          <w:tcPr>
            <w:tcW w:w="2259" w:type="pct"/>
            <w:tcBorders>
              <w:top w:val="nil"/>
              <w:bottom w:val="nil"/>
            </w:tcBorders>
            <w:shd w:val="clear" w:color="auto" w:fill="auto"/>
            <w:tcMar>
              <w:top w:w="15" w:type="dxa"/>
              <w:left w:w="108" w:type="dxa"/>
              <w:bottom w:w="0" w:type="dxa"/>
              <w:right w:w="108" w:type="dxa"/>
            </w:tcMar>
            <w:vAlign w:val="center"/>
            <w:hideMark/>
          </w:tcPr>
          <w:p w14:paraId="7FA3B60F" w14:textId="77777777" w:rsidR="0024154B" w:rsidRPr="00882FD5" w:rsidRDefault="0024154B" w:rsidP="0024154B">
            <w:pPr>
              <w:spacing w:before="0" w:line="240" w:lineRule="auto"/>
              <w:rPr>
                <w:bCs/>
                <w:color w:val="000000"/>
                <w:sz w:val="22"/>
                <w:szCs w:val="22"/>
              </w:rPr>
            </w:pPr>
            <w:r w:rsidRPr="00882FD5">
              <w:rPr>
                <w:bCs/>
                <w:color w:val="000000"/>
                <w:sz w:val="22"/>
                <w:szCs w:val="22"/>
              </w:rPr>
              <w:t>Estimated self-selection effect %</w:t>
            </w:r>
          </w:p>
        </w:tc>
        <w:tc>
          <w:tcPr>
            <w:tcW w:w="1370" w:type="pct"/>
            <w:tcBorders>
              <w:top w:val="nil"/>
              <w:bottom w:val="nil"/>
            </w:tcBorders>
            <w:shd w:val="clear" w:color="auto" w:fill="auto"/>
            <w:tcMar>
              <w:top w:w="15" w:type="dxa"/>
              <w:left w:w="108" w:type="dxa"/>
              <w:bottom w:w="0" w:type="dxa"/>
              <w:right w:w="108" w:type="dxa"/>
            </w:tcMar>
            <w:vAlign w:val="center"/>
            <w:hideMark/>
          </w:tcPr>
          <w:p w14:paraId="468C5855" w14:textId="77777777" w:rsidR="0024154B" w:rsidRPr="00882FD5" w:rsidRDefault="0024154B" w:rsidP="0024154B">
            <w:pPr>
              <w:spacing w:before="0" w:line="240" w:lineRule="auto"/>
              <w:jc w:val="right"/>
              <w:rPr>
                <w:bCs/>
                <w:color w:val="000000"/>
                <w:sz w:val="22"/>
                <w:szCs w:val="22"/>
              </w:rPr>
            </w:pPr>
            <w:r w:rsidRPr="00882FD5">
              <w:rPr>
                <w:bCs/>
                <w:color w:val="000000"/>
                <w:sz w:val="22"/>
                <w:szCs w:val="22"/>
              </w:rPr>
              <w:t>-1.9% (44.7%)</w:t>
            </w:r>
          </w:p>
        </w:tc>
        <w:tc>
          <w:tcPr>
            <w:tcW w:w="1371" w:type="pct"/>
            <w:tcBorders>
              <w:top w:val="nil"/>
              <w:bottom w:val="nil"/>
            </w:tcBorders>
            <w:shd w:val="clear" w:color="auto" w:fill="auto"/>
            <w:tcMar>
              <w:top w:w="15" w:type="dxa"/>
              <w:left w:w="108" w:type="dxa"/>
              <w:bottom w:w="0" w:type="dxa"/>
              <w:right w:w="108" w:type="dxa"/>
            </w:tcMar>
            <w:vAlign w:val="center"/>
            <w:hideMark/>
          </w:tcPr>
          <w:p w14:paraId="11258A86" w14:textId="77777777" w:rsidR="0024154B" w:rsidRPr="00882FD5" w:rsidRDefault="0024154B" w:rsidP="0024154B">
            <w:pPr>
              <w:spacing w:before="0" w:line="240" w:lineRule="auto"/>
              <w:jc w:val="right"/>
              <w:rPr>
                <w:bCs/>
                <w:color w:val="000000"/>
                <w:sz w:val="22"/>
                <w:szCs w:val="22"/>
              </w:rPr>
            </w:pPr>
            <w:r w:rsidRPr="00882FD5">
              <w:rPr>
                <w:bCs/>
                <w:color w:val="000000"/>
                <w:sz w:val="22"/>
                <w:szCs w:val="22"/>
              </w:rPr>
              <w:t>-0.6% (14.7%)</w:t>
            </w:r>
          </w:p>
        </w:tc>
      </w:tr>
      <w:tr w:rsidR="0024154B" w:rsidRPr="00882FD5" w14:paraId="34A19297" w14:textId="77777777" w:rsidTr="002F5AE8">
        <w:trPr>
          <w:trHeight w:val="288"/>
        </w:trPr>
        <w:tc>
          <w:tcPr>
            <w:tcW w:w="2259" w:type="pct"/>
            <w:tcBorders>
              <w:top w:val="nil"/>
            </w:tcBorders>
            <w:shd w:val="clear" w:color="auto" w:fill="auto"/>
            <w:tcMar>
              <w:top w:w="15" w:type="dxa"/>
              <w:left w:w="108" w:type="dxa"/>
              <w:bottom w:w="0" w:type="dxa"/>
              <w:right w:w="108" w:type="dxa"/>
            </w:tcMar>
            <w:vAlign w:val="center"/>
            <w:hideMark/>
          </w:tcPr>
          <w:p w14:paraId="7A904976" w14:textId="77777777" w:rsidR="0024154B" w:rsidRPr="00882FD5" w:rsidRDefault="0024154B" w:rsidP="0024154B">
            <w:pPr>
              <w:spacing w:before="0" w:line="240" w:lineRule="auto"/>
              <w:rPr>
                <w:bCs/>
                <w:color w:val="000000"/>
                <w:sz w:val="22"/>
                <w:szCs w:val="22"/>
              </w:rPr>
            </w:pPr>
            <w:r w:rsidRPr="00882FD5">
              <w:rPr>
                <w:bCs/>
                <w:color w:val="000000"/>
                <w:sz w:val="22"/>
                <w:szCs w:val="22"/>
              </w:rPr>
              <w:t>Estimated EC endogeneity effect %</w:t>
            </w:r>
          </w:p>
        </w:tc>
        <w:tc>
          <w:tcPr>
            <w:tcW w:w="1370" w:type="pct"/>
            <w:tcBorders>
              <w:top w:val="nil"/>
            </w:tcBorders>
            <w:shd w:val="clear" w:color="auto" w:fill="auto"/>
            <w:tcMar>
              <w:top w:w="15" w:type="dxa"/>
              <w:left w:w="108" w:type="dxa"/>
              <w:bottom w:w="0" w:type="dxa"/>
              <w:right w:w="108" w:type="dxa"/>
            </w:tcMar>
            <w:vAlign w:val="center"/>
            <w:hideMark/>
          </w:tcPr>
          <w:p w14:paraId="0C5F39D8" w14:textId="77777777" w:rsidR="0024154B" w:rsidRPr="00882FD5" w:rsidRDefault="0024154B" w:rsidP="0024154B">
            <w:pPr>
              <w:spacing w:before="0" w:line="240" w:lineRule="auto"/>
              <w:jc w:val="right"/>
              <w:rPr>
                <w:bCs/>
                <w:color w:val="000000"/>
                <w:sz w:val="22"/>
                <w:szCs w:val="22"/>
              </w:rPr>
            </w:pPr>
            <w:r w:rsidRPr="00882FD5">
              <w:rPr>
                <w:bCs/>
                <w:color w:val="000000"/>
                <w:sz w:val="22"/>
                <w:szCs w:val="22"/>
              </w:rPr>
              <w:t>-</w:t>
            </w:r>
          </w:p>
        </w:tc>
        <w:tc>
          <w:tcPr>
            <w:tcW w:w="1371" w:type="pct"/>
            <w:tcBorders>
              <w:top w:val="nil"/>
            </w:tcBorders>
            <w:shd w:val="clear" w:color="auto" w:fill="auto"/>
            <w:tcMar>
              <w:top w:w="15" w:type="dxa"/>
              <w:left w:w="108" w:type="dxa"/>
              <w:bottom w:w="0" w:type="dxa"/>
              <w:right w:w="108" w:type="dxa"/>
            </w:tcMar>
            <w:vAlign w:val="center"/>
            <w:hideMark/>
          </w:tcPr>
          <w:p w14:paraId="3C3ABE41" w14:textId="77777777" w:rsidR="0024154B" w:rsidRPr="00882FD5" w:rsidRDefault="0024154B" w:rsidP="0024154B">
            <w:pPr>
              <w:spacing w:before="0" w:line="240" w:lineRule="auto"/>
              <w:jc w:val="right"/>
              <w:rPr>
                <w:bCs/>
                <w:color w:val="000000"/>
                <w:sz w:val="22"/>
                <w:szCs w:val="22"/>
              </w:rPr>
            </w:pPr>
            <w:r w:rsidRPr="00882FD5">
              <w:rPr>
                <w:bCs/>
                <w:color w:val="000000"/>
                <w:sz w:val="22"/>
                <w:szCs w:val="22"/>
              </w:rPr>
              <w:t>-0.5% (12.1%)</w:t>
            </w:r>
          </w:p>
        </w:tc>
      </w:tr>
      <w:tr w:rsidR="0024154B" w:rsidRPr="00882FD5" w14:paraId="41A1D6CE" w14:textId="77777777" w:rsidTr="002F5AE8">
        <w:trPr>
          <w:trHeight w:val="288"/>
        </w:trPr>
        <w:tc>
          <w:tcPr>
            <w:tcW w:w="5000" w:type="pct"/>
            <w:gridSpan w:val="3"/>
            <w:shd w:val="clear" w:color="auto" w:fill="auto"/>
            <w:tcMar>
              <w:top w:w="15" w:type="dxa"/>
              <w:left w:w="108" w:type="dxa"/>
              <w:bottom w:w="0" w:type="dxa"/>
              <w:right w:w="108" w:type="dxa"/>
            </w:tcMar>
            <w:vAlign w:val="center"/>
          </w:tcPr>
          <w:p w14:paraId="35816F91" w14:textId="77777777" w:rsidR="0024154B" w:rsidRPr="00882FD5" w:rsidRDefault="0024154B" w:rsidP="0024154B">
            <w:pPr>
              <w:spacing w:before="0" w:line="240" w:lineRule="auto"/>
              <w:rPr>
                <w:b/>
                <w:bCs/>
                <w:i/>
                <w:color w:val="000000"/>
                <w:sz w:val="22"/>
                <w:szCs w:val="22"/>
              </w:rPr>
            </w:pPr>
            <w:r w:rsidRPr="00882FD5">
              <w:rPr>
                <w:b/>
                <w:bCs/>
                <w:i/>
                <w:color w:val="000000"/>
                <w:sz w:val="22"/>
                <w:szCs w:val="22"/>
              </w:rPr>
              <w:t xml:space="preserve">HDN effect on the bicycle mode in the mode choice model: </w:t>
            </w:r>
            <w:r w:rsidRPr="00882FD5">
              <w:rPr>
                <w:bCs/>
                <w:i/>
                <w:color w:val="000000"/>
                <w:sz w:val="22"/>
                <w:szCs w:val="22"/>
                <w:u w:val="single"/>
              </w:rPr>
              <w:t>% share change (% contribution)</w:t>
            </w:r>
          </w:p>
        </w:tc>
      </w:tr>
      <w:tr w:rsidR="0024154B" w:rsidRPr="00882FD5" w14:paraId="261291EC" w14:textId="77777777" w:rsidTr="002F5AE8">
        <w:trPr>
          <w:trHeight w:val="288"/>
        </w:trPr>
        <w:tc>
          <w:tcPr>
            <w:tcW w:w="2259" w:type="pct"/>
            <w:tcBorders>
              <w:bottom w:val="nil"/>
            </w:tcBorders>
            <w:shd w:val="clear" w:color="auto" w:fill="auto"/>
            <w:tcMar>
              <w:top w:w="15" w:type="dxa"/>
              <w:left w:w="108" w:type="dxa"/>
              <w:bottom w:w="0" w:type="dxa"/>
              <w:right w:w="108" w:type="dxa"/>
            </w:tcMar>
            <w:vAlign w:val="center"/>
            <w:hideMark/>
          </w:tcPr>
          <w:p w14:paraId="78BA8176" w14:textId="77777777" w:rsidR="0024154B" w:rsidRPr="00882FD5" w:rsidRDefault="0024154B" w:rsidP="0024154B">
            <w:pPr>
              <w:spacing w:before="0" w:line="240" w:lineRule="auto"/>
              <w:rPr>
                <w:bCs/>
                <w:color w:val="000000"/>
                <w:sz w:val="22"/>
                <w:szCs w:val="22"/>
              </w:rPr>
            </w:pPr>
            <w:r w:rsidRPr="00882FD5">
              <w:rPr>
                <w:bCs/>
                <w:color w:val="000000"/>
                <w:sz w:val="22"/>
                <w:szCs w:val="22"/>
              </w:rPr>
              <w:t>“True” causal HDN effect %</w:t>
            </w:r>
          </w:p>
        </w:tc>
        <w:tc>
          <w:tcPr>
            <w:tcW w:w="1370" w:type="pct"/>
            <w:tcBorders>
              <w:bottom w:val="nil"/>
            </w:tcBorders>
            <w:shd w:val="clear" w:color="auto" w:fill="auto"/>
            <w:tcMar>
              <w:top w:w="15" w:type="dxa"/>
              <w:left w:w="108" w:type="dxa"/>
              <w:bottom w:w="0" w:type="dxa"/>
              <w:right w:w="108" w:type="dxa"/>
            </w:tcMar>
            <w:vAlign w:val="center"/>
            <w:hideMark/>
          </w:tcPr>
          <w:p w14:paraId="260589E6" w14:textId="77777777" w:rsidR="0024154B" w:rsidRPr="00882FD5" w:rsidRDefault="0024154B" w:rsidP="0024154B">
            <w:pPr>
              <w:spacing w:before="0" w:line="240" w:lineRule="auto"/>
              <w:jc w:val="right"/>
              <w:rPr>
                <w:bCs/>
                <w:color w:val="000000"/>
                <w:sz w:val="22"/>
                <w:szCs w:val="22"/>
              </w:rPr>
            </w:pPr>
            <w:r w:rsidRPr="00882FD5">
              <w:rPr>
                <w:bCs/>
                <w:color w:val="000000"/>
                <w:sz w:val="22"/>
                <w:szCs w:val="22"/>
              </w:rPr>
              <w:t>6.7% (68.2%)</w:t>
            </w:r>
          </w:p>
        </w:tc>
        <w:tc>
          <w:tcPr>
            <w:tcW w:w="1371" w:type="pct"/>
            <w:tcBorders>
              <w:bottom w:val="nil"/>
            </w:tcBorders>
            <w:shd w:val="clear" w:color="auto" w:fill="auto"/>
            <w:tcMar>
              <w:top w:w="15" w:type="dxa"/>
              <w:left w:w="108" w:type="dxa"/>
              <w:bottom w:w="0" w:type="dxa"/>
              <w:right w:w="108" w:type="dxa"/>
            </w:tcMar>
            <w:vAlign w:val="center"/>
            <w:hideMark/>
          </w:tcPr>
          <w:p w14:paraId="3D88041D" w14:textId="77777777" w:rsidR="0024154B" w:rsidRPr="00882FD5" w:rsidRDefault="0024154B" w:rsidP="0024154B">
            <w:pPr>
              <w:spacing w:before="0" w:line="240" w:lineRule="auto"/>
              <w:jc w:val="right"/>
              <w:rPr>
                <w:bCs/>
                <w:color w:val="000000"/>
                <w:sz w:val="22"/>
                <w:szCs w:val="22"/>
              </w:rPr>
            </w:pPr>
            <w:r w:rsidRPr="00882FD5">
              <w:rPr>
                <w:bCs/>
                <w:color w:val="000000"/>
                <w:sz w:val="22"/>
                <w:szCs w:val="22"/>
              </w:rPr>
              <w:t>8.0% (81.2%)</w:t>
            </w:r>
          </w:p>
        </w:tc>
      </w:tr>
      <w:tr w:rsidR="0024154B" w:rsidRPr="00882FD5" w14:paraId="20F91757" w14:textId="77777777" w:rsidTr="002F5AE8">
        <w:trPr>
          <w:trHeight w:val="288"/>
        </w:trPr>
        <w:tc>
          <w:tcPr>
            <w:tcW w:w="2259" w:type="pct"/>
            <w:tcBorders>
              <w:top w:val="nil"/>
              <w:bottom w:val="nil"/>
            </w:tcBorders>
            <w:shd w:val="clear" w:color="auto" w:fill="auto"/>
            <w:tcMar>
              <w:top w:w="15" w:type="dxa"/>
              <w:left w:w="108" w:type="dxa"/>
              <w:bottom w:w="0" w:type="dxa"/>
              <w:right w:w="108" w:type="dxa"/>
            </w:tcMar>
            <w:vAlign w:val="center"/>
            <w:hideMark/>
          </w:tcPr>
          <w:p w14:paraId="3174C5DB" w14:textId="77777777" w:rsidR="0024154B" w:rsidRPr="00882FD5" w:rsidRDefault="0024154B" w:rsidP="0024154B">
            <w:pPr>
              <w:spacing w:before="0" w:line="240" w:lineRule="auto"/>
              <w:rPr>
                <w:bCs/>
                <w:color w:val="000000"/>
                <w:sz w:val="22"/>
                <w:szCs w:val="22"/>
              </w:rPr>
            </w:pPr>
            <w:r w:rsidRPr="00882FD5">
              <w:rPr>
                <w:bCs/>
                <w:color w:val="000000"/>
                <w:sz w:val="22"/>
                <w:szCs w:val="22"/>
              </w:rPr>
              <w:t>Estimated self-selection effect %</w:t>
            </w:r>
          </w:p>
        </w:tc>
        <w:tc>
          <w:tcPr>
            <w:tcW w:w="1370" w:type="pct"/>
            <w:tcBorders>
              <w:top w:val="nil"/>
              <w:bottom w:val="nil"/>
            </w:tcBorders>
            <w:shd w:val="clear" w:color="auto" w:fill="auto"/>
            <w:tcMar>
              <w:top w:w="15" w:type="dxa"/>
              <w:left w:w="108" w:type="dxa"/>
              <w:bottom w:w="0" w:type="dxa"/>
              <w:right w:w="108" w:type="dxa"/>
            </w:tcMar>
            <w:vAlign w:val="center"/>
            <w:hideMark/>
          </w:tcPr>
          <w:p w14:paraId="67D72218" w14:textId="77777777" w:rsidR="0024154B" w:rsidRPr="00882FD5" w:rsidRDefault="0024154B" w:rsidP="0024154B">
            <w:pPr>
              <w:spacing w:before="0" w:line="240" w:lineRule="auto"/>
              <w:jc w:val="right"/>
              <w:rPr>
                <w:bCs/>
                <w:color w:val="000000"/>
                <w:sz w:val="22"/>
                <w:szCs w:val="22"/>
              </w:rPr>
            </w:pPr>
            <w:r w:rsidRPr="00882FD5">
              <w:rPr>
                <w:bCs/>
                <w:color w:val="000000"/>
                <w:sz w:val="22"/>
                <w:szCs w:val="22"/>
              </w:rPr>
              <w:t>3.2%  (31.8%)</w:t>
            </w:r>
          </w:p>
        </w:tc>
        <w:tc>
          <w:tcPr>
            <w:tcW w:w="1371" w:type="pct"/>
            <w:tcBorders>
              <w:top w:val="nil"/>
              <w:bottom w:val="nil"/>
            </w:tcBorders>
            <w:shd w:val="clear" w:color="auto" w:fill="auto"/>
            <w:tcMar>
              <w:top w:w="15" w:type="dxa"/>
              <w:left w:w="108" w:type="dxa"/>
              <w:bottom w:w="0" w:type="dxa"/>
              <w:right w:w="108" w:type="dxa"/>
            </w:tcMar>
            <w:vAlign w:val="center"/>
            <w:hideMark/>
          </w:tcPr>
          <w:p w14:paraId="4343F41F" w14:textId="77777777" w:rsidR="0024154B" w:rsidRPr="00882FD5" w:rsidRDefault="0024154B" w:rsidP="0024154B">
            <w:pPr>
              <w:spacing w:before="0" w:line="240" w:lineRule="auto"/>
              <w:jc w:val="right"/>
              <w:rPr>
                <w:bCs/>
                <w:color w:val="000000"/>
                <w:sz w:val="22"/>
                <w:szCs w:val="22"/>
              </w:rPr>
            </w:pPr>
            <w:r w:rsidRPr="00882FD5">
              <w:rPr>
                <w:bCs/>
                <w:color w:val="000000"/>
                <w:sz w:val="22"/>
                <w:szCs w:val="22"/>
              </w:rPr>
              <w:t>1.1% (10.7%)</w:t>
            </w:r>
          </w:p>
        </w:tc>
      </w:tr>
      <w:tr w:rsidR="0024154B" w:rsidRPr="00882FD5" w14:paraId="187557FF" w14:textId="77777777" w:rsidTr="002F5AE8">
        <w:trPr>
          <w:trHeight w:val="288"/>
        </w:trPr>
        <w:tc>
          <w:tcPr>
            <w:tcW w:w="2259" w:type="pct"/>
            <w:tcBorders>
              <w:top w:val="nil"/>
            </w:tcBorders>
            <w:shd w:val="clear" w:color="auto" w:fill="auto"/>
            <w:tcMar>
              <w:top w:w="15" w:type="dxa"/>
              <w:left w:w="108" w:type="dxa"/>
              <w:bottom w:w="0" w:type="dxa"/>
              <w:right w:w="108" w:type="dxa"/>
            </w:tcMar>
            <w:vAlign w:val="center"/>
            <w:hideMark/>
          </w:tcPr>
          <w:p w14:paraId="0F01226D" w14:textId="77777777" w:rsidR="0024154B" w:rsidRPr="00882FD5" w:rsidRDefault="0024154B" w:rsidP="0024154B">
            <w:pPr>
              <w:spacing w:before="0" w:line="240" w:lineRule="auto"/>
              <w:rPr>
                <w:bCs/>
                <w:color w:val="000000"/>
                <w:sz w:val="22"/>
                <w:szCs w:val="22"/>
              </w:rPr>
            </w:pPr>
            <w:r w:rsidRPr="00882FD5">
              <w:rPr>
                <w:bCs/>
                <w:color w:val="000000"/>
                <w:sz w:val="22"/>
                <w:szCs w:val="22"/>
              </w:rPr>
              <w:t>Estimated EC endogeneity effect %</w:t>
            </w:r>
          </w:p>
        </w:tc>
        <w:tc>
          <w:tcPr>
            <w:tcW w:w="1370" w:type="pct"/>
            <w:tcBorders>
              <w:top w:val="nil"/>
            </w:tcBorders>
            <w:shd w:val="clear" w:color="auto" w:fill="auto"/>
            <w:tcMar>
              <w:top w:w="15" w:type="dxa"/>
              <w:left w:w="108" w:type="dxa"/>
              <w:bottom w:w="0" w:type="dxa"/>
              <w:right w:w="108" w:type="dxa"/>
            </w:tcMar>
            <w:vAlign w:val="center"/>
            <w:hideMark/>
          </w:tcPr>
          <w:p w14:paraId="39925D74" w14:textId="77777777" w:rsidR="0024154B" w:rsidRPr="00882FD5" w:rsidRDefault="0024154B" w:rsidP="0024154B">
            <w:pPr>
              <w:spacing w:before="0" w:line="240" w:lineRule="auto"/>
              <w:jc w:val="right"/>
              <w:rPr>
                <w:bCs/>
                <w:color w:val="000000"/>
                <w:sz w:val="22"/>
                <w:szCs w:val="22"/>
              </w:rPr>
            </w:pPr>
            <w:r w:rsidRPr="00882FD5">
              <w:rPr>
                <w:bCs/>
                <w:color w:val="000000"/>
                <w:sz w:val="22"/>
                <w:szCs w:val="22"/>
              </w:rPr>
              <w:t>-</w:t>
            </w:r>
          </w:p>
        </w:tc>
        <w:tc>
          <w:tcPr>
            <w:tcW w:w="1371" w:type="pct"/>
            <w:tcBorders>
              <w:top w:val="nil"/>
            </w:tcBorders>
            <w:shd w:val="clear" w:color="auto" w:fill="auto"/>
            <w:tcMar>
              <w:top w:w="15" w:type="dxa"/>
              <w:left w:w="108" w:type="dxa"/>
              <w:bottom w:w="0" w:type="dxa"/>
              <w:right w:w="108" w:type="dxa"/>
            </w:tcMar>
            <w:vAlign w:val="center"/>
            <w:hideMark/>
          </w:tcPr>
          <w:p w14:paraId="3F180B46" w14:textId="77777777" w:rsidR="0024154B" w:rsidRPr="00882FD5" w:rsidRDefault="0024154B" w:rsidP="0024154B">
            <w:pPr>
              <w:spacing w:before="0" w:line="240" w:lineRule="auto"/>
              <w:jc w:val="right"/>
              <w:rPr>
                <w:bCs/>
                <w:color w:val="000000"/>
                <w:sz w:val="22"/>
                <w:szCs w:val="22"/>
              </w:rPr>
            </w:pPr>
            <w:r w:rsidRPr="00882FD5">
              <w:rPr>
                <w:bCs/>
                <w:color w:val="000000"/>
                <w:sz w:val="22"/>
                <w:szCs w:val="22"/>
              </w:rPr>
              <w:t>0.8%   (8.1%)</w:t>
            </w:r>
          </w:p>
        </w:tc>
      </w:tr>
    </w:tbl>
    <w:p w14:paraId="06074FFA" w14:textId="436E345D" w:rsidR="00A64848" w:rsidRDefault="00A64848" w:rsidP="000D5E4F">
      <w:pPr>
        <w:spacing w:before="0" w:line="240" w:lineRule="auto"/>
        <w:jc w:val="both"/>
      </w:pPr>
    </w:p>
    <w:bookmarkEnd w:id="13"/>
    <w:p w14:paraId="4E530D51" w14:textId="485A2B69" w:rsidR="00834F12" w:rsidRPr="006C7497" w:rsidRDefault="00834F12" w:rsidP="006C7497">
      <w:pPr>
        <w:pStyle w:val="ListParagraph"/>
        <w:numPr>
          <w:ilvl w:val="0"/>
          <w:numId w:val="25"/>
        </w:numPr>
        <w:spacing w:before="0" w:line="240" w:lineRule="auto"/>
        <w:jc w:val="both"/>
        <w:rPr>
          <w:b/>
          <w:bCs/>
        </w:rPr>
      </w:pPr>
      <w:r w:rsidRPr="006C7497">
        <w:rPr>
          <w:b/>
          <w:bCs/>
        </w:rPr>
        <w:t>CONCLUSION</w:t>
      </w:r>
      <w:r w:rsidR="00B4078C" w:rsidRPr="006C7497">
        <w:rPr>
          <w:b/>
          <w:bCs/>
        </w:rPr>
        <w:t>S</w:t>
      </w:r>
    </w:p>
    <w:p w14:paraId="38DC449C" w14:textId="36828DA6" w:rsidR="00210149" w:rsidRPr="00882FD5" w:rsidRDefault="004D3C29" w:rsidP="000D5E4F">
      <w:pPr>
        <w:spacing w:before="0" w:line="240" w:lineRule="auto"/>
        <w:jc w:val="both"/>
        <w:rPr>
          <w:color w:val="000000" w:themeColor="text1"/>
        </w:rPr>
      </w:pPr>
      <w:bookmarkStart w:id="16" w:name="_Hlk103277152"/>
      <w:r w:rsidRPr="00882FD5">
        <w:rPr>
          <w:color w:val="000000" w:themeColor="text1"/>
        </w:rPr>
        <w:t>In our current effort,</w:t>
      </w:r>
      <w:r w:rsidR="007C440B" w:rsidRPr="00882FD5">
        <w:rPr>
          <w:color w:val="000000" w:themeColor="text1"/>
        </w:rPr>
        <w:t xml:space="preserve"> we propose a methodological framework</w:t>
      </w:r>
      <w:r w:rsidR="00BD199B" w:rsidRPr="00882FD5">
        <w:rPr>
          <w:color w:val="000000" w:themeColor="text1"/>
        </w:rPr>
        <w:t xml:space="preserve"> based on Bhat’s (</w:t>
      </w:r>
      <w:r w:rsidR="006329B2" w:rsidRPr="00882FD5">
        <w:rPr>
          <w:color w:val="000000" w:themeColor="text1"/>
        </w:rPr>
        <w:t>2015</w:t>
      </w:r>
      <w:r w:rsidR="00575D15" w:rsidRPr="00882FD5">
        <w:rPr>
          <w:color w:val="000000" w:themeColor="text1"/>
        </w:rPr>
        <w:t>a</w:t>
      </w:r>
      <w:r w:rsidR="00BD199B" w:rsidRPr="00882FD5">
        <w:rPr>
          <w:color w:val="000000" w:themeColor="text1"/>
        </w:rPr>
        <w:t>) GHDM</w:t>
      </w:r>
      <w:r w:rsidR="007C440B" w:rsidRPr="00882FD5">
        <w:rPr>
          <w:color w:val="000000" w:themeColor="text1"/>
        </w:rPr>
        <w:t xml:space="preserve"> </w:t>
      </w:r>
      <w:r w:rsidR="00BD199B" w:rsidRPr="00882FD5">
        <w:rPr>
          <w:color w:val="000000" w:themeColor="text1"/>
        </w:rPr>
        <w:t>framework</w:t>
      </w:r>
      <w:r w:rsidR="005123D9" w:rsidRPr="00882FD5">
        <w:rPr>
          <w:color w:val="000000" w:themeColor="text1"/>
        </w:rPr>
        <w:t xml:space="preserve"> that </w:t>
      </w:r>
      <w:r w:rsidR="007C440B" w:rsidRPr="00882FD5">
        <w:rPr>
          <w:color w:val="000000" w:themeColor="text1"/>
        </w:rPr>
        <w:t xml:space="preserve">accounts for the endogeneity of the latent constructs </w:t>
      </w:r>
      <w:r w:rsidR="00BD199B" w:rsidRPr="00882FD5">
        <w:rPr>
          <w:color w:val="000000" w:themeColor="text1"/>
        </w:rPr>
        <w:t xml:space="preserve">while </w:t>
      </w:r>
      <w:r w:rsidRPr="00882FD5">
        <w:rPr>
          <w:color w:val="000000" w:themeColor="text1"/>
        </w:rPr>
        <w:t xml:space="preserve">investigating </w:t>
      </w:r>
      <w:r w:rsidR="005123D9" w:rsidRPr="00882FD5">
        <w:rPr>
          <w:color w:val="000000" w:themeColor="text1"/>
        </w:rPr>
        <w:t xml:space="preserve">the relationship between </w:t>
      </w:r>
      <w:r w:rsidRPr="00882FD5">
        <w:rPr>
          <w:color w:val="000000" w:themeColor="text1"/>
        </w:rPr>
        <w:t xml:space="preserve">residential location </w:t>
      </w:r>
      <w:r w:rsidR="005123D9" w:rsidRPr="00882FD5">
        <w:rPr>
          <w:color w:val="000000" w:themeColor="text1"/>
        </w:rPr>
        <w:t xml:space="preserve">and two markers of </w:t>
      </w:r>
      <w:r w:rsidR="00210149" w:rsidRPr="00882FD5">
        <w:rPr>
          <w:color w:val="000000" w:themeColor="text1"/>
        </w:rPr>
        <w:t xml:space="preserve">travel </w:t>
      </w:r>
      <w:r w:rsidR="005123D9" w:rsidRPr="00882FD5">
        <w:rPr>
          <w:color w:val="000000" w:themeColor="text1"/>
        </w:rPr>
        <w:t>behavior (</w:t>
      </w:r>
      <w:r w:rsidRPr="00882FD5">
        <w:rPr>
          <w:color w:val="000000" w:themeColor="text1"/>
        </w:rPr>
        <w:t>auto-ownership levels and rank-based travel mode preferences of individuals</w:t>
      </w:r>
      <w:r w:rsidR="005123D9" w:rsidRPr="00882FD5">
        <w:rPr>
          <w:color w:val="000000" w:themeColor="text1"/>
        </w:rPr>
        <w:t>)</w:t>
      </w:r>
      <w:r w:rsidRPr="00882FD5">
        <w:rPr>
          <w:color w:val="000000" w:themeColor="text1"/>
        </w:rPr>
        <w:t xml:space="preserve"> within a hypothetical futuristic </w:t>
      </w:r>
      <w:r w:rsidRPr="00882FD5">
        <w:rPr>
          <w:color w:val="000000" w:themeColor="text1"/>
        </w:rPr>
        <w:lastRenderedPageBreak/>
        <w:t xml:space="preserve">autonomous vehicle (AV) landscape. </w:t>
      </w:r>
      <w:bookmarkEnd w:id="16"/>
      <w:r w:rsidR="004C7810" w:rsidRPr="00882FD5">
        <w:rPr>
          <w:color w:val="000000" w:themeColor="text1"/>
        </w:rPr>
        <w:t xml:space="preserve">The data for this study is drawn from the 2019 multi-city Transformative Technologies in Transportation (T4) Survey for the city of Austin. </w:t>
      </w:r>
      <w:r w:rsidR="004F5DB5" w:rsidRPr="00882FD5">
        <w:rPr>
          <w:color w:val="000000" w:themeColor="text1"/>
        </w:rPr>
        <w:t>Our</w:t>
      </w:r>
      <w:r w:rsidR="00226EE2" w:rsidRPr="00882FD5">
        <w:rPr>
          <w:color w:val="000000" w:themeColor="text1"/>
        </w:rPr>
        <w:t xml:space="preserve"> results reveal the presence of significant endogeneity effects, i.e., significant unobserved correlations between the main outcomes and the latent constructs used.</w:t>
      </w:r>
      <w:r w:rsidR="00EC30F8" w:rsidRPr="00882FD5">
        <w:rPr>
          <w:color w:val="000000" w:themeColor="text1"/>
        </w:rPr>
        <w:t xml:space="preserve"> Specifically, the unobserved correlations between </w:t>
      </w:r>
      <w:r w:rsidR="004C7810" w:rsidRPr="00882FD5">
        <w:rPr>
          <w:color w:val="000000" w:themeColor="text1"/>
        </w:rPr>
        <w:t>Green Lifestyle Propensity (</w:t>
      </w:r>
      <w:r w:rsidR="00EC30F8" w:rsidRPr="00882FD5">
        <w:t>GLP</w:t>
      </w:r>
      <w:r w:rsidR="004C7810" w:rsidRPr="00882FD5">
        <w:t>)</w:t>
      </w:r>
      <w:r w:rsidR="00EC30F8" w:rsidRPr="00882FD5">
        <w:t xml:space="preserve"> and HDN living, GLP and the Bicycle mode</w:t>
      </w:r>
      <w:r w:rsidR="004C7810" w:rsidRPr="00882FD5">
        <w:t>,</w:t>
      </w:r>
      <w:r w:rsidR="00EC30F8" w:rsidRPr="00882FD5">
        <w:t xml:space="preserve"> LLP and HDN living, LLP and auto-ownership, and LLP and the </w:t>
      </w:r>
      <w:r w:rsidR="00003DCD" w:rsidRPr="00882FD5">
        <w:t>p</w:t>
      </w:r>
      <w:r w:rsidR="00EC30F8" w:rsidRPr="00882FD5">
        <w:t xml:space="preserve">rivate vehicle mode </w:t>
      </w:r>
      <w:r w:rsidR="004C7810" w:rsidRPr="00882FD5">
        <w:t>are found to be statistically significant.</w:t>
      </w:r>
      <w:r w:rsidR="004C7810" w:rsidRPr="00882FD5">
        <w:rPr>
          <w:color w:val="000000" w:themeColor="text1"/>
        </w:rPr>
        <w:t xml:space="preserve"> </w:t>
      </w:r>
      <w:r w:rsidR="00226EE2" w:rsidRPr="00882FD5">
        <w:rPr>
          <w:color w:val="000000" w:themeColor="text1"/>
        </w:rPr>
        <w:t xml:space="preserve">Moreover, ignoring such endogeneity effects, as done in earlier studies, </w:t>
      </w:r>
      <w:r w:rsidR="00210149" w:rsidRPr="00882FD5">
        <w:rPr>
          <w:color w:val="000000" w:themeColor="text1"/>
        </w:rPr>
        <w:t xml:space="preserve">can </w:t>
      </w:r>
      <w:r w:rsidR="00226EE2" w:rsidRPr="00882FD5">
        <w:rPr>
          <w:color w:val="000000" w:themeColor="text1"/>
        </w:rPr>
        <w:t xml:space="preserve">underestimate the “true” causal impact of HDN on the main outcomes. </w:t>
      </w:r>
      <w:r w:rsidR="00210149" w:rsidRPr="00882FD5">
        <w:rPr>
          <w:color w:val="000000" w:themeColor="text1"/>
        </w:rPr>
        <w:t>Additionally, b</w:t>
      </w:r>
      <w:r w:rsidR="00401DCE" w:rsidRPr="00882FD5">
        <w:rPr>
          <w:color w:val="000000" w:themeColor="text1"/>
        </w:rPr>
        <w:t>y</w:t>
      </w:r>
      <w:r w:rsidRPr="00882FD5">
        <w:rPr>
          <w:color w:val="000000" w:themeColor="text1"/>
        </w:rPr>
        <w:t xml:space="preserve"> evaluating the average treatment effect of residential density, we are able to quantify the contribution of </w:t>
      </w:r>
      <w:r w:rsidR="00B81362" w:rsidRPr="00882FD5">
        <w:rPr>
          <w:color w:val="000000" w:themeColor="text1"/>
        </w:rPr>
        <w:t xml:space="preserve">the </w:t>
      </w:r>
      <w:r w:rsidR="005145E6" w:rsidRPr="00882FD5">
        <w:rPr>
          <w:color w:val="000000" w:themeColor="text1"/>
        </w:rPr>
        <w:t>“</w:t>
      </w:r>
      <w:r w:rsidR="00B81362" w:rsidRPr="00882FD5">
        <w:rPr>
          <w:color w:val="000000" w:themeColor="text1"/>
        </w:rPr>
        <w:t>endogeneity effects”, the</w:t>
      </w:r>
      <w:r w:rsidRPr="00882FD5">
        <w:rPr>
          <w:color w:val="000000" w:themeColor="text1"/>
        </w:rPr>
        <w:t xml:space="preserve"> “spurious” </w:t>
      </w:r>
      <w:r w:rsidR="00B81362" w:rsidRPr="00882FD5">
        <w:rPr>
          <w:color w:val="000000" w:themeColor="text1"/>
        </w:rPr>
        <w:t>self-selection</w:t>
      </w:r>
      <w:r w:rsidRPr="00882FD5">
        <w:rPr>
          <w:color w:val="000000" w:themeColor="text1"/>
        </w:rPr>
        <w:t xml:space="preserve"> effects</w:t>
      </w:r>
      <w:r w:rsidR="00003DCD" w:rsidRPr="00882FD5">
        <w:rPr>
          <w:color w:val="000000" w:themeColor="text1"/>
        </w:rPr>
        <w:t>,</w:t>
      </w:r>
      <w:r w:rsidRPr="00882FD5">
        <w:rPr>
          <w:color w:val="000000" w:themeColor="text1"/>
        </w:rPr>
        <w:t xml:space="preserve"> </w:t>
      </w:r>
      <w:r w:rsidR="00B81362" w:rsidRPr="00882FD5">
        <w:rPr>
          <w:color w:val="000000" w:themeColor="text1"/>
        </w:rPr>
        <w:t xml:space="preserve">and the “true” BE effects </w:t>
      </w:r>
      <w:r w:rsidRPr="00882FD5">
        <w:rPr>
          <w:color w:val="000000" w:themeColor="text1"/>
        </w:rPr>
        <w:t xml:space="preserve">on auto-ownership and mode choice behavior. </w:t>
      </w:r>
      <w:r w:rsidR="001D4ED9" w:rsidRPr="00882FD5">
        <w:rPr>
          <w:color w:val="000000" w:themeColor="text1"/>
        </w:rPr>
        <w:t xml:space="preserve">The “true” causal effects of HDN living on auto-ownership suggests that on average, auto-ownership level </w:t>
      </w:r>
      <w:r w:rsidR="00210149" w:rsidRPr="00882FD5">
        <w:rPr>
          <w:color w:val="000000" w:themeColor="text1"/>
        </w:rPr>
        <w:t>w</w:t>
      </w:r>
      <w:r w:rsidR="001D4ED9" w:rsidRPr="00882FD5">
        <w:rPr>
          <w:color w:val="000000" w:themeColor="text1"/>
        </w:rPr>
        <w:t>ould reduce by about 29% when a</w:t>
      </w:r>
      <w:r w:rsidR="00210149" w:rsidRPr="00882FD5">
        <w:rPr>
          <w:color w:val="000000" w:themeColor="text1"/>
        </w:rPr>
        <w:t xml:space="preserve"> random</w:t>
      </w:r>
      <w:r w:rsidR="001D4ED9" w:rsidRPr="00882FD5">
        <w:rPr>
          <w:color w:val="000000" w:themeColor="text1"/>
        </w:rPr>
        <w:t xml:space="preserve"> individual is shifted from a non-HDN to an HDN. Furthermore, </w:t>
      </w:r>
      <w:r w:rsidR="00210149" w:rsidRPr="00882FD5">
        <w:rPr>
          <w:color w:val="000000" w:themeColor="text1"/>
        </w:rPr>
        <w:t xml:space="preserve">such a shift would increase non-work </w:t>
      </w:r>
      <w:r w:rsidR="001D4ED9" w:rsidRPr="00882FD5">
        <w:rPr>
          <w:color w:val="000000" w:themeColor="text1"/>
        </w:rPr>
        <w:t>bi</w:t>
      </w:r>
      <w:r w:rsidR="00FC29FE" w:rsidRPr="00882FD5">
        <w:rPr>
          <w:color w:val="000000" w:themeColor="text1"/>
        </w:rPr>
        <w:t>cycle</w:t>
      </w:r>
      <w:r w:rsidR="001D4ED9" w:rsidRPr="00882FD5">
        <w:rPr>
          <w:color w:val="000000" w:themeColor="text1"/>
        </w:rPr>
        <w:t xml:space="preserve"> </w:t>
      </w:r>
      <w:r w:rsidR="00210149" w:rsidRPr="00882FD5">
        <w:rPr>
          <w:color w:val="000000" w:themeColor="text1"/>
        </w:rPr>
        <w:t xml:space="preserve">mode share </w:t>
      </w:r>
      <w:r w:rsidR="001D4ED9" w:rsidRPr="00882FD5">
        <w:rPr>
          <w:color w:val="000000" w:themeColor="text1"/>
        </w:rPr>
        <w:t xml:space="preserve">by 8% and </w:t>
      </w:r>
      <w:r w:rsidR="00210149" w:rsidRPr="00882FD5">
        <w:rPr>
          <w:color w:val="000000" w:themeColor="text1"/>
        </w:rPr>
        <w:t xml:space="preserve">decrease non-work </w:t>
      </w:r>
      <w:r w:rsidR="001D4ED9" w:rsidRPr="00882FD5">
        <w:rPr>
          <w:color w:val="000000" w:themeColor="text1"/>
        </w:rPr>
        <w:t xml:space="preserve">private vehicle </w:t>
      </w:r>
      <w:r w:rsidR="00210149" w:rsidRPr="00882FD5">
        <w:rPr>
          <w:color w:val="000000" w:themeColor="text1"/>
        </w:rPr>
        <w:t xml:space="preserve">share </w:t>
      </w:r>
      <w:r w:rsidR="001D4ED9" w:rsidRPr="00882FD5">
        <w:rPr>
          <w:color w:val="000000" w:themeColor="text1"/>
        </w:rPr>
        <w:t>by 3.1</w:t>
      </w:r>
      <w:r w:rsidR="00210149" w:rsidRPr="00882FD5">
        <w:rPr>
          <w:color w:val="000000" w:themeColor="text1"/>
        </w:rPr>
        <w:t>%</w:t>
      </w:r>
      <w:r w:rsidR="001D4ED9" w:rsidRPr="00882FD5">
        <w:rPr>
          <w:color w:val="000000" w:themeColor="text1"/>
        </w:rPr>
        <w:t>.</w:t>
      </w:r>
      <w:r w:rsidR="00FC29FE" w:rsidRPr="00882FD5">
        <w:rPr>
          <w:color w:val="000000" w:themeColor="text1"/>
        </w:rPr>
        <w:t xml:space="preserve"> </w:t>
      </w:r>
      <w:r w:rsidR="00EC30F8" w:rsidRPr="00882FD5">
        <w:rPr>
          <w:color w:val="000000" w:themeColor="text1"/>
        </w:rPr>
        <w:t xml:space="preserve">Overall, our results highlight the </w:t>
      </w:r>
      <w:r w:rsidR="00210149" w:rsidRPr="00882FD5">
        <w:rPr>
          <w:color w:val="000000" w:themeColor="text1"/>
        </w:rPr>
        <w:t xml:space="preserve">need to recognize </w:t>
      </w:r>
      <w:r w:rsidR="00EC30F8" w:rsidRPr="00882FD5">
        <w:rPr>
          <w:color w:val="000000" w:themeColor="text1"/>
        </w:rPr>
        <w:t xml:space="preserve">dependency structures between attitudinal factors and </w:t>
      </w:r>
      <w:r w:rsidR="00210149" w:rsidRPr="00882FD5">
        <w:rPr>
          <w:color w:val="000000" w:themeColor="text1"/>
        </w:rPr>
        <w:t xml:space="preserve">travel-based </w:t>
      </w:r>
      <w:r w:rsidR="00EC30F8" w:rsidRPr="00882FD5">
        <w:rPr>
          <w:color w:val="000000" w:themeColor="text1"/>
        </w:rPr>
        <w:t xml:space="preserve">outcomes </w:t>
      </w:r>
      <w:r w:rsidR="00210149" w:rsidRPr="00882FD5">
        <w:rPr>
          <w:color w:val="000000" w:themeColor="text1"/>
        </w:rPr>
        <w:t>of interest</w:t>
      </w:r>
      <w:r w:rsidR="00EC30F8" w:rsidRPr="00882FD5">
        <w:rPr>
          <w:color w:val="000000" w:themeColor="text1"/>
        </w:rPr>
        <w:t xml:space="preserve">. </w:t>
      </w:r>
    </w:p>
    <w:p w14:paraId="6884C70B" w14:textId="6944574F" w:rsidR="00EC30F8" w:rsidRPr="00882FD5" w:rsidRDefault="00210149" w:rsidP="006C7497">
      <w:pPr>
        <w:spacing w:before="0" w:line="240" w:lineRule="auto"/>
        <w:ind w:firstLine="720"/>
        <w:jc w:val="both"/>
        <w:rPr>
          <w:color w:val="000000" w:themeColor="text1"/>
        </w:rPr>
      </w:pPr>
      <w:r w:rsidRPr="00882FD5">
        <w:rPr>
          <w:color w:val="000000" w:themeColor="text1"/>
        </w:rPr>
        <w:t>Of course</w:t>
      </w:r>
      <w:r w:rsidR="00EC30F8" w:rsidRPr="00882FD5">
        <w:rPr>
          <w:color w:val="000000" w:themeColor="text1"/>
        </w:rPr>
        <w:t xml:space="preserve">, as with </w:t>
      </w:r>
      <w:r w:rsidRPr="00882FD5">
        <w:rPr>
          <w:color w:val="000000" w:themeColor="text1"/>
        </w:rPr>
        <w:t xml:space="preserve">all </w:t>
      </w:r>
      <w:r w:rsidR="00EC30F8" w:rsidRPr="00882FD5">
        <w:rPr>
          <w:color w:val="000000" w:themeColor="text1"/>
        </w:rPr>
        <w:t>research efforts, our work is not without limitations.</w:t>
      </w:r>
      <w:r w:rsidR="004C7810" w:rsidRPr="00882FD5">
        <w:rPr>
          <w:color w:val="000000" w:themeColor="text1"/>
        </w:rPr>
        <w:t xml:space="preserve"> </w:t>
      </w:r>
      <w:r w:rsidR="00EC30F8" w:rsidRPr="00882FD5">
        <w:rPr>
          <w:color w:val="000000" w:themeColor="text1"/>
        </w:rPr>
        <w:t>First, the</w:t>
      </w:r>
      <w:r w:rsidR="00132643" w:rsidRPr="00882FD5">
        <w:rPr>
          <w:color w:val="000000" w:themeColor="text1"/>
        </w:rPr>
        <w:t>re is a temporal component in the</w:t>
      </w:r>
      <w:r w:rsidR="00EC30F8" w:rsidRPr="00882FD5">
        <w:rPr>
          <w:color w:val="000000" w:themeColor="text1"/>
        </w:rPr>
        <w:t xml:space="preserve"> interactions between attitude and behavior</w:t>
      </w:r>
      <w:r w:rsidR="00132643" w:rsidRPr="00882FD5">
        <w:rPr>
          <w:color w:val="000000" w:themeColor="text1"/>
        </w:rPr>
        <w:t xml:space="preserve">, </w:t>
      </w:r>
      <w:r w:rsidR="00EC30F8" w:rsidRPr="00882FD5">
        <w:rPr>
          <w:color w:val="000000" w:themeColor="text1"/>
        </w:rPr>
        <w:t xml:space="preserve">which cross-sectional data would </w:t>
      </w:r>
      <w:r w:rsidR="00132643" w:rsidRPr="00882FD5">
        <w:rPr>
          <w:color w:val="000000" w:themeColor="text1"/>
        </w:rPr>
        <w:t xml:space="preserve">not be able </w:t>
      </w:r>
      <w:r w:rsidR="00EC30F8" w:rsidRPr="00882FD5">
        <w:rPr>
          <w:color w:val="000000" w:themeColor="text1"/>
        </w:rPr>
        <w:t>to capture. However, panel data are expensive and rare to come by</w:t>
      </w:r>
      <w:r w:rsidR="00132643" w:rsidRPr="00882FD5">
        <w:rPr>
          <w:color w:val="000000" w:themeColor="text1"/>
        </w:rPr>
        <w:t>.</w:t>
      </w:r>
      <w:r w:rsidR="00EC30F8" w:rsidRPr="00882FD5">
        <w:rPr>
          <w:color w:val="000000" w:themeColor="text1"/>
        </w:rPr>
        <w:t xml:space="preserve"> </w:t>
      </w:r>
      <w:r w:rsidRPr="00882FD5">
        <w:rPr>
          <w:color w:val="000000" w:themeColor="text1"/>
        </w:rPr>
        <w:t xml:space="preserve">Besides, panel data are themselves subject to other </w:t>
      </w:r>
      <w:r w:rsidR="00132643" w:rsidRPr="00882FD5">
        <w:rPr>
          <w:color w:val="000000" w:themeColor="text1"/>
        </w:rPr>
        <w:t xml:space="preserve">problematic </w:t>
      </w:r>
      <w:r w:rsidRPr="00882FD5">
        <w:rPr>
          <w:color w:val="000000" w:themeColor="text1"/>
        </w:rPr>
        <w:t xml:space="preserve">issues, such as unobserved changes in the environment </w:t>
      </w:r>
      <w:r w:rsidR="00132643" w:rsidRPr="00882FD5">
        <w:rPr>
          <w:color w:val="000000" w:themeColor="text1"/>
        </w:rPr>
        <w:t xml:space="preserve">(between </w:t>
      </w:r>
      <w:r w:rsidRPr="00882FD5">
        <w:rPr>
          <w:color w:val="000000" w:themeColor="text1"/>
        </w:rPr>
        <w:t xml:space="preserve">one time period </w:t>
      </w:r>
      <w:r w:rsidR="00132643" w:rsidRPr="00882FD5">
        <w:rPr>
          <w:color w:val="000000" w:themeColor="text1"/>
        </w:rPr>
        <w:t xml:space="preserve">and </w:t>
      </w:r>
      <w:r w:rsidRPr="00882FD5">
        <w:rPr>
          <w:color w:val="000000" w:themeColor="text1"/>
        </w:rPr>
        <w:t>another</w:t>
      </w:r>
      <w:r w:rsidR="00132643" w:rsidRPr="00882FD5">
        <w:rPr>
          <w:color w:val="000000" w:themeColor="text1"/>
        </w:rPr>
        <w:t>)</w:t>
      </w:r>
      <w:r w:rsidRPr="00882FD5">
        <w:rPr>
          <w:color w:val="000000" w:themeColor="text1"/>
        </w:rPr>
        <w:t xml:space="preserve"> get</w:t>
      </w:r>
      <w:r w:rsidR="00132643" w:rsidRPr="00882FD5">
        <w:rPr>
          <w:color w:val="000000" w:themeColor="text1"/>
        </w:rPr>
        <w:t>ting</w:t>
      </w:r>
      <w:r w:rsidRPr="00882FD5">
        <w:rPr>
          <w:color w:val="000000" w:themeColor="text1"/>
        </w:rPr>
        <w:t xml:space="preserve"> comingled with “true” causal effects. In any case, </w:t>
      </w:r>
      <w:r w:rsidR="00EC30F8" w:rsidRPr="00882FD5">
        <w:rPr>
          <w:color w:val="000000" w:themeColor="text1"/>
        </w:rPr>
        <w:t xml:space="preserve">panel data </w:t>
      </w:r>
      <w:r w:rsidRPr="00882FD5">
        <w:rPr>
          <w:color w:val="000000" w:themeColor="text1"/>
        </w:rPr>
        <w:t xml:space="preserve">analysis </w:t>
      </w:r>
      <w:r w:rsidR="00132643" w:rsidRPr="00882FD5">
        <w:rPr>
          <w:color w:val="000000" w:themeColor="text1"/>
        </w:rPr>
        <w:t>sh</w:t>
      </w:r>
      <w:r w:rsidRPr="00882FD5">
        <w:rPr>
          <w:color w:val="000000" w:themeColor="text1"/>
        </w:rPr>
        <w:t xml:space="preserve">ould </w:t>
      </w:r>
      <w:r w:rsidR="00EC30F8" w:rsidRPr="00882FD5">
        <w:rPr>
          <w:color w:val="000000" w:themeColor="text1"/>
        </w:rPr>
        <w:t>provide</w:t>
      </w:r>
      <w:r w:rsidRPr="00882FD5">
        <w:rPr>
          <w:color w:val="000000" w:themeColor="text1"/>
        </w:rPr>
        <w:t xml:space="preserve"> additional </w:t>
      </w:r>
      <w:r w:rsidR="00EC30F8" w:rsidRPr="00882FD5">
        <w:rPr>
          <w:color w:val="000000" w:themeColor="text1"/>
        </w:rPr>
        <w:t xml:space="preserve">insights </w:t>
      </w:r>
      <w:r w:rsidR="00003DCD" w:rsidRPr="00882FD5">
        <w:rPr>
          <w:color w:val="000000" w:themeColor="text1"/>
        </w:rPr>
        <w:t>into</w:t>
      </w:r>
      <w:r w:rsidR="00132643" w:rsidRPr="00882FD5">
        <w:rPr>
          <w:color w:val="000000" w:themeColor="text1"/>
        </w:rPr>
        <w:t xml:space="preserve"> cross-temporal</w:t>
      </w:r>
      <w:r w:rsidR="00EC30F8" w:rsidRPr="00882FD5">
        <w:rPr>
          <w:color w:val="000000" w:themeColor="text1"/>
        </w:rPr>
        <w:t xml:space="preserve"> behavior-attitude interactions</w:t>
      </w:r>
      <w:r w:rsidR="00132643" w:rsidRPr="00882FD5">
        <w:rPr>
          <w:color w:val="000000" w:themeColor="text1"/>
        </w:rPr>
        <w:t>, and would be a fruitful avenue for further research</w:t>
      </w:r>
      <w:r w:rsidR="00EC30F8" w:rsidRPr="00882FD5">
        <w:rPr>
          <w:color w:val="000000" w:themeColor="text1"/>
        </w:rPr>
        <w:t>.</w:t>
      </w:r>
      <w:r w:rsidR="004C7810" w:rsidRPr="00882FD5">
        <w:rPr>
          <w:color w:val="000000" w:themeColor="text1"/>
        </w:rPr>
        <w:t xml:space="preserve"> S</w:t>
      </w:r>
      <w:r w:rsidR="00EC30F8" w:rsidRPr="00882FD5">
        <w:rPr>
          <w:color w:val="000000" w:themeColor="text1"/>
        </w:rPr>
        <w:t>econd,</w:t>
      </w:r>
      <w:r w:rsidR="004C7810" w:rsidRPr="00882FD5">
        <w:rPr>
          <w:color w:val="000000" w:themeColor="text1"/>
        </w:rPr>
        <w:t xml:space="preserve"> in our study, we achieved better model fit using the causal structure in which attitudes (latent constructs) impact behavior (travel-related choices) </w:t>
      </w:r>
      <w:r w:rsidR="00132643" w:rsidRPr="00882FD5">
        <w:rPr>
          <w:color w:val="000000" w:themeColor="text1"/>
        </w:rPr>
        <w:t>after accommodating unobserved error correlations</w:t>
      </w:r>
      <w:r w:rsidR="004C7810" w:rsidRPr="00882FD5">
        <w:rPr>
          <w:color w:val="000000" w:themeColor="text1"/>
        </w:rPr>
        <w:t xml:space="preserve">. However, </w:t>
      </w:r>
      <w:r w:rsidR="00132643" w:rsidRPr="00882FD5">
        <w:rPr>
          <w:color w:val="000000" w:themeColor="text1"/>
        </w:rPr>
        <w:t xml:space="preserve">it is possible that this causal structure itself is different across individuals, which could be accounted for through the </w:t>
      </w:r>
      <w:r w:rsidR="004C7810" w:rsidRPr="00882FD5">
        <w:rPr>
          <w:color w:val="222222"/>
        </w:rPr>
        <w:t>us</w:t>
      </w:r>
      <w:r w:rsidR="00132643" w:rsidRPr="00882FD5">
        <w:rPr>
          <w:color w:val="222222"/>
        </w:rPr>
        <w:t>e</w:t>
      </w:r>
      <w:r w:rsidR="004C7810" w:rsidRPr="00882FD5">
        <w:rPr>
          <w:color w:val="222222"/>
        </w:rPr>
        <w:t xml:space="preserve"> </w:t>
      </w:r>
      <w:r w:rsidR="00132643" w:rsidRPr="00882FD5">
        <w:rPr>
          <w:color w:val="222222"/>
        </w:rPr>
        <w:t xml:space="preserve">of </w:t>
      </w:r>
      <w:r w:rsidR="004C7810" w:rsidRPr="00882FD5">
        <w:rPr>
          <w:color w:val="222222"/>
        </w:rPr>
        <w:t>a latent class approach</w:t>
      </w:r>
      <w:r w:rsidR="00132643" w:rsidRPr="00882FD5">
        <w:rPr>
          <w:color w:val="222222"/>
        </w:rPr>
        <w:t xml:space="preserve"> as in </w:t>
      </w:r>
      <w:r w:rsidR="00560C1A" w:rsidRPr="00882FD5">
        <w:rPr>
          <w:color w:val="222222"/>
        </w:rPr>
        <w:t>Sharda et al. (2019)</w:t>
      </w:r>
      <w:r w:rsidR="00132643" w:rsidRPr="00882FD5">
        <w:rPr>
          <w:color w:val="222222"/>
        </w:rPr>
        <w:t xml:space="preserve">. Third, from a substantive standpoint, a multi-dimensional characterization of residential living rather than a simple binary classification of HDN versus non-HDN living would </w:t>
      </w:r>
      <w:r w:rsidR="003164F7" w:rsidRPr="00882FD5">
        <w:rPr>
          <w:color w:val="222222"/>
        </w:rPr>
        <w:t xml:space="preserve">be a better representation of </w:t>
      </w:r>
      <w:r w:rsidR="00003DCD" w:rsidRPr="00882FD5">
        <w:rPr>
          <w:color w:val="222222"/>
        </w:rPr>
        <w:t xml:space="preserve">the </w:t>
      </w:r>
      <w:r w:rsidR="003164F7" w:rsidRPr="00882FD5">
        <w:rPr>
          <w:color w:val="222222"/>
        </w:rPr>
        <w:t xml:space="preserve">living environment and would provide richer insights </w:t>
      </w:r>
      <w:r w:rsidR="00003DCD" w:rsidRPr="00882FD5">
        <w:rPr>
          <w:color w:val="222222"/>
        </w:rPr>
        <w:t>into</w:t>
      </w:r>
      <w:r w:rsidR="003164F7" w:rsidRPr="00882FD5">
        <w:rPr>
          <w:color w:val="222222"/>
        </w:rPr>
        <w:t xml:space="preserve"> the relationship between the living environment and travel outcomes. Finally, the analysis could be extended to include the walk mode as well as to distinguish between autonomous and human-driven variants of the private vehicle mode. </w:t>
      </w:r>
    </w:p>
    <w:p w14:paraId="0DCE8970" w14:textId="66F67CC4" w:rsidR="00EC30F8" w:rsidRPr="00882FD5" w:rsidRDefault="00EC30F8" w:rsidP="006C7497">
      <w:pPr>
        <w:spacing w:before="0" w:line="240" w:lineRule="auto"/>
        <w:jc w:val="both"/>
        <w:rPr>
          <w:color w:val="000000" w:themeColor="text1"/>
        </w:rPr>
      </w:pPr>
    </w:p>
    <w:p w14:paraId="101E51EB" w14:textId="77777777" w:rsidR="006C7497" w:rsidRDefault="006C7497" w:rsidP="006C7497">
      <w:pPr>
        <w:pStyle w:val="NormalWeb"/>
        <w:shd w:val="clear" w:color="auto" w:fill="FFFFFF"/>
        <w:spacing w:before="0" w:beforeAutospacing="0" w:after="0" w:afterAutospacing="0" w:line="240" w:lineRule="auto"/>
        <w:jc w:val="both"/>
        <w:textAlignment w:val="baseline"/>
        <w:rPr>
          <w:color w:val="333333"/>
          <w:bdr w:val="none" w:sz="0" w:space="0" w:color="auto" w:frame="1"/>
        </w:rPr>
      </w:pPr>
      <w:r w:rsidRPr="00576B82">
        <w:rPr>
          <w:b/>
        </w:rPr>
        <w:t>ACKNOWLEDGMENTS</w:t>
      </w:r>
      <w:r w:rsidRPr="00882FD5">
        <w:rPr>
          <w:color w:val="333333"/>
          <w:bdr w:val="none" w:sz="0" w:space="0" w:color="auto" w:frame="1"/>
        </w:rPr>
        <w:t xml:space="preserve"> </w:t>
      </w:r>
    </w:p>
    <w:p w14:paraId="1D948263" w14:textId="0B070EDC" w:rsidR="006C7497" w:rsidRPr="00D61CFC" w:rsidRDefault="00421225" w:rsidP="00D61CFC">
      <w:pPr>
        <w:pStyle w:val="NormalWeb"/>
        <w:shd w:val="clear" w:color="auto" w:fill="FFFFFF"/>
        <w:spacing w:before="0" w:beforeAutospacing="0" w:after="0" w:afterAutospacing="0" w:line="240" w:lineRule="auto"/>
        <w:jc w:val="both"/>
        <w:textAlignment w:val="baseline"/>
        <w:rPr>
          <w:color w:val="333333"/>
          <w:bdr w:val="none" w:sz="0" w:space="0" w:color="auto" w:frame="1"/>
        </w:rPr>
      </w:pPr>
      <w:r w:rsidRPr="00882FD5">
        <w:rPr>
          <w:color w:val="333333"/>
          <w:bdr w:val="none" w:sz="0" w:space="0" w:color="auto" w:frame="1"/>
        </w:rPr>
        <w:t xml:space="preserve">The authors would like to acknowledge a number of individuals who worked together in designing the T4 survey (of which the Austin survey used in this study was a part), including Sara Khoeini, Ram M. Pendyala, Deborah Salon, Giovanni Circella, Patricia L. Mokhtarian, Michael Maness, Nikhil </w:t>
      </w:r>
      <w:proofErr w:type="spellStart"/>
      <w:r w:rsidRPr="00882FD5">
        <w:rPr>
          <w:color w:val="333333"/>
          <w:bdr w:val="none" w:sz="0" w:space="0" w:color="auto" w:frame="1"/>
        </w:rPr>
        <w:t>Mennon</w:t>
      </w:r>
      <w:proofErr w:type="spellEnd"/>
      <w:r w:rsidRPr="00882FD5">
        <w:rPr>
          <w:color w:val="333333"/>
          <w:bdr w:val="none" w:sz="0" w:space="0" w:color="auto" w:frame="1"/>
        </w:rPr>
        <w:t xml:space="preserve">, Denise Capasso da Silva, Irfan Batur, Felipe Dias, Shuqing Kang, and </w:t>
      </w:r>
      <w:proofErr w:type="spellStart"/>
      <w:r w:rsidRPr="00882FD5">
        <w:rPr>
          <w:color w:val="333333"/>
          <w:bdr w:val="none" w:sz="0" w:space="0" w:color="auto" w:frame="1"/>
        </w:rPr>
        <w:t>Yongsung</w:t>
      </w:r>
      <w:proofErr w:type="spellEnd"/>
      <w:r w:rsidRPr="00882FD5">
        <w:rPr>
          <w:color w:val="333333"/>
          <w:bdr w:val="none" w:sz="0" w:space="0" w:color="auto" w:frame="1"/>
        </w:rPr>
        <w:t xml:space="preserve"> Lee</w:t>
      </w:r>
      <w:r w:rsidR="00F50577" w:rsidRPr="00882FD5">
        <w:rPr>
          <w:color w:val="333333"/>
          <w:bdr w:val="none" w:sz="0" w:space="0" w:color="auto" w:frame="1"/>
        </w:rPr>
        <w:t>.</w:t>
      </w:r>
      <w:r w:rsidR="00D61CFC" w:rsidRPr="00D61CFC">
        <w:rPr>
          <w:color w:val="000000"/>
        </w:rPr>
        <w:t xml:space="preserve"> </w:t>
      </w:r>
      <w:r w:rsidR="00220299">
        <w:t xml:space="preserve">The authors are also grateful to the five anonymous reviewers who provided useful comments on an earlier version of this paper. </w:t>
      </w:r>
      <w:r w:rsidR="00941397" w:rsidRPr="00F706DC">
        <w:rPr>
          <w:color w:val="000000"/>
        </w:rPr>
        <w:t xml:space="preserve">This research was partially supported by the </w:t>
      </w:r>
      <w:r w:rsidR="00941397" w:rsidRPr="00F706DC">
        <w:rPr>
          <w:color w:val="222222"/>
          <w:shd w:val="clear" w:color="auto" w:fill="FFFFFF"/>
        </w:rPr>
        <w:t>Cooperative Mobility for Competitive Megaregions (CM</w:t>
      </w:r>
      <w:r w:rsidR="00941397" w:rsidRPr="00F706DC">
        <w:rPr>
          <w:color w:val="222222"/>
          <w:shd w:val="clear" w:color="auto" w:fill="FFFFFF"/>
          <w:vertAlign w:val="superscript"/>
        </w:rPr>
        <w:t>2</w:t>
      </w:r>
      <w:r w:rsidR="00941397" w:rsidRPr="00F706DC">
        <w:rPr>
          <w:color w:val="222222"/>
          <w:shd w:val="clear" w:color="auto" w:fill="FFFFFF"/>
        </w:rPr>
        <w:t xml:space="preserve">) </w:t>
      </w:r>
      <w:r w:rsidR="00941397" w:rsidRPr="00F706DC">
        <w:rPr>
          <w:color w:val="000000"/>
        </w:rPr>
        <w:t xml:space="preserve">Center </w:t>
      </w:r>
      <w:r w:rsidR="00941397" w:rsidRPr="00F706DC">
        <w:t xml:space="preserve">(Grant No. 69A3551747135) </w:t>
      </w:r>
      <w:r w:rsidR="00941397" w:rsidRPr="00F706DC">
        <w:rPr>
          <w:color w:val="000000"/>
        </w:rPr>
        <w:t xml:space="preserve">and the Center for Teaching Old Models New Tricks (TOMNET) </w:t>
      </w:r>
      <w:r w:rsidR="00941397" w:rsidRPr="00F706DC">
        <w:t>(Grant No. 69A3551747116)</w:t>
      </w:r>
      <w:r w:rsidR="00941397" w:rsidRPr="00F706DC">
        <w:rPr>
          <w:color w:val="000000"/>
        </w:rPr>
        <w:t>, both of which are Tier 1 University Transportation Centers sponsored by the U.S. Department of Transportation</w:t>
      </w:r>
      <w:r w:rsidR="00D61CFC" w:rsidRPr="00C75A07">
        <w:rPr>
          <w:color w:val="000000"/>
        </w:rPr>
        <w:t xml:space="preserve">. </w:t>
      </w:r>
      <w:r w:rsidR="00F50577" w:rsidRPr="00882FD5">
        <w:rPr>
          <w:color w:val="333333"/>
          <w:bdr w:val="none" w:sz="0" w:space="0" w:color="auto" w:frame="1"/>
        </w:rPr>
        <w:t xml:space="preserve"> </w:t>
      </w:r>
      <w:r w:rsidRPr="00882FD5">
        <w:rPr>
          <w:color w:val="333333"/>
          <w:bdr w:val="none" w:sz="0" w:space="0" w:color="auto" w:frame="1"/>
        </w:rPr>
        <w:t xml:space="preserve"> </w:t>
      </w:r>
    </w:p>
    <w:p w14:paraId="4B5EB03B" w14:textId="3A7EAF5A" w:rsidR="00EA13EB" w:rsidRPr="00882FD5" w:rsidRDefault="00EA13EB" w:rsidP="0042089A">
      <w:pPr>
        <w:spacing w:before="0" w:line="240" w:lineRule="auto"/>
        <w:rPr>
          <w:color w:val="333333"/>
        </w:rPr>
      </w:pPr>
      <w:r w:rsidRPr="00882FD5">
        <w:rPr>
          <w:color w:val="333333"/>
        </w:rPr>
        <w:br w:type="page"/>
      </w:r>
    </w:p>
    <w:p w14:paraId="511B725B" w14:textId="6F1A9B2A" w:rsidR="00644EE0" w:rsidRPr="00882FD5" w:rsidRDefault="00644EE0" w:rsidP="0042089A">
      <w:pPr>
        <w:spacing w:before="0" w:line="240" w:lineRule="auto"/>
        <w:jc w:val="center"/>
        <w:rPr>
          <w:color w:val="333333"/>
        </w:rPr>
      </w:pPr>
      <w:r w:rsidRPr="00882FD5">
        <w:rPr>
          <w:b/>
          <w:sz w:val="28"/>
        </w:rPr>
        <w:lastRenderedPageBreak/>
        <w:t>Appendix A</w:t>
      </w:r>
    </w:p>
    <w:p w14:paraId="179E89E6" w14:textId="77777777" w:rsidR="0042089A" w:rsidRDefault="0042089A" w:rsidP="0042089A">
      <w:pPr>
        <w:keepNext/>
        <w:spacing w:before="0" w:line="240" w:lineRule="auto"/>
        <w:jc w:val="both"/>
        <w:rPr>
          <w:noProof/>
        </w:rPr>
      </w:pPr>
    </w:p>
    <w:p w14:paraId="24FEE673" w14:textId="4A5C9B5C" w:rsidR="00644EE0" w:rsidRPr="00882FD5" w:rsidRDefault="00644EE0" w:rsidP="0042089A">
      <w:pPr>
        <w:keepNext/>
        <w:spacing w:before="0" w:line="240" w:lineRule="auto"/>
        <w:jc w:val="both"/>
      </w:pPr>
      <w:r w:rsidRPr="00882FD5">
        <w:rPr>
          <w:noProof/>
        </w:rPr>
        <w:t xml:space="preserve">Define a matrix </w:t>
      </w:r>
      <w:r w:rsidRPr="00882FD5">
        <w:rPr>
          <w:b/>
          <w:noProof/>
        </w:rPr>
        <w:t>M</w:t>
      </w:r>
      <w:r w:rsidRPr="00882FD5">
        <w:rPr>
          <w:noProof/>
        </w:rPr>
        <w:t xml:space="preserve"> of size </w:t>
      </w:r>
      <w:r w:rsidR="0042089A" w:rsidRPr="00882FD5">
        <w:rPr>
          <w:noProof/>
          <w:position w:val="-18"/>
        </w:rPr>
        <w:object w:dxaOrig="1880" w:dyaOrig="480" w14:anchorId="3D7F30F4">
          <v:shape id="_x0000_i1207" type="#_x0000_t75" style="width:94.3pt;height:23.55pt" o:ole="">
            <v:imagedata r:id="rId274" o:title=""/>
          </v:shape>
          <o:OLEObject Type="Embed" ProgID="Equation.DSMT4" ShapeID="_x0000_i1207" DrawAspect="Content" ObjectID="_1738155104" r:id="rId360"/>
        </w:object>
      </w:r>
      <w:r w:rsidR="00852CF5">
        <w:rPr>
          <w:noProof/>
        </w:rPr>
        <w:t xml:space="preserve"> </w:t>
      </w:r>
      <w:r w:rsidR="00852CF5" w:rsidRPr="00852CF5">
        <w:rPr>
          <w:position w:val="-10"/>
        </w:rPr>
        <w:object w:dxaOrig="360" w:dyaOrig="320" w14:anchorId="76066981">
          <v:shape id="_x0000_i1208" type="#_x0000_t75" style="width:18.45pt;height:16.3pt" o:ole="">
            <v:imagedata r:id="rId361" o:title=""/>
          </v:shape>
          <o:OLEObject Type="Embed" ProgID="Equation.DSMT4" ShapeID="_x0000_i1208" DrawAspect="Content" ObjectID="_1738155105" r:id="rId362"/>
        </w:object>
      </w:r>
      <w:r w:rsidR="00E51A8A">
        <w:t>,</w:t>
      </w:r>
      <w:r w:rsidR="00E51A8A" w:rsidRPr="00700D34">
        <w:rPr>
          <w:position w:val="-6"/>
        </w:rPr>
        <w:object w:dxaOrig="260" w:dyaOrig="340" w14:anchorId="36B5074C">
          <v:shape id="_x0000_i1209" type="#_x0000_t75" style="width:12.85pt;height:17.15pt" o:ole="">
            <v:imagedata r:id="rId363" o:title=""/>
          </v:shape>
          <o:OLEObject Type="Embed" ProgID="Equation.DSMT4" ShapeID="_x0000_i1209" DrawAspect="Content" ObjectID="_1738155106" r:id="rId364"/>
        </w:object>
      </w:r>
      <w:r w:rsidR="00E51A8A">
        <w:t xml:space="preserve">, and </w:t>
      </w:r>
      <w:r w:rsidR="00E51A8A" w:rsidRPr="00700D34">
        <w:rPr>
          <w:position w:val="-6"/>
        </w:rPr>
        <w:object w:dxaOrig="260" w:dyaOrig="340" w14:anchorId="4203D24E">
          <v:shape id="_x0000_i1210" type="#_x0000_t75" style="width:12.85pt;height:17.15pt" o:ole="">
            <v:imagedata r:id="rId365" o:title=""/>
          </v:shape>
          <o:OLEObject Type="Embed" ProgID="Equation.DSMT4" ShapeID="_x0000_i1210" DrawAspect="Content" ObjectID="_1738155107" r:id="rId366"/>
        </w:object>
      </w:r>
      <w:r w:rsidR="00E51A8A">
        <w:t>are as defined in the main text)</w:t>
      </w:r>
      <w:r w:rsidRPr="00882FD5">
        <w:rPr>
          <w:noProof/>
        </w:rPr>
        <w:t xml:space="preserve">. </w:t>
      </w:r>
      <w:r w:rsidRPr="00882FD5">
        <w:t xml:space="preserve">Fill all the elements of the matrix with zeros. Then, insert an identity matrix of size </w:t>
      </w:r>
      <w:r w:rsidRPr="00882FD5">
        <w:rPr>
          <w:i/>
        </w:rPr>
        <w:t>N</w:t>
      </w:r>
      <w:r w:rsidRPr="00882FD5">
        <w:t xml:space="preserve"> into the first </w:t>
      </w:r>
      <w:r w:rsidRPr="00882FD5">
        <w:rPr>
          <w:i/>
        </w:rPr>
        <w:t>N</w:t>
      </w:r>
      <w:r w:rsidRPr="00882FD5">
        <w:t xml:space="preserve"> rows and </w:t>
      </w:r>
      <w:r w:rsidRPr="00882FD5">
        <w:rPr>
          <w:i/>
        </w:rPr>
        <w:t>N</w:t>
      </w:r>
      <w:r w:rsidRPr="00882FD5">
        <w:t xml:space="preserve"> columns of the matrix </w:t>
      </w:r>
      <w:r w:rsidRPr="003260D1">
        <w:rPr>
          <w:b/>
        </w:rPr>
        <w:t>M</w:t>
      </w:r>
      <w:r w:rsidRPr="00882FD5">
        <w:t>. Next, consider the rows from</w:t>
      </w:r>
      <w:r w:rsidR="00852CF5">
        <w:t xml:space="preserve"> </w:t>
      </w:r>
      <w:r w:rsidR="00852CF5" w:rsidRPr="00852CF5">
        <w:rPr>
          <w:position w:val="-6"/>
        </w:rPr>
        <w:object w:dxaOrig="560" w:dyaOrig="279" w14:anchorId="0C1441E6">
          <v:shape id="_x0000_i1211" type="#_x0000_t75" style="width:27.85pt;height:14.15pt" o:ole="">
            <v:imagedata r:id="rId367" o:title=""/>
          </v:shape>
          <o:OLEObject Type="Embed" ProgID="Equation.DSMT4" ShapeID="_x0000_i1211" DrawAspect="Content" ObjectID="_1738155108" r:id="rId368"/>
        </w:object>
      </w:r>
      <w:r w:rsidRPr="00882FD5">
        <w:t xml:space="preserve"> to</w:t>
      </w:r>
      <w:r w:rsidR="00852CF5">
        <w:t xml:space="preserve"> </w:t>
      </w:r>
      <w:r w:rsidR="00852CF5" w:rsidRPr="00852CF5">
        <w:rPr>
          <w:position w:val="-12"/>
        </w:rPr>
        <w:object w:dxaOrig="940" w:dyaOrig="360" w14:anchorId="70734CD2">
          <v:shape id="_x0000_i1212" type="#_x0000_t75" style="width:47.15pt;height:18pt" o:ole="">
            <v:imagedata r:id="rId369" o:title=""/>
          </v:shape>
          <o:OLEObject Type="Embed" ProgID="Equation.DSMT4" ShapeID="_x0000_i1212" DrawAspect="Content" ObjectID="_1738155109" r:id="rId370"/>
        </w:object>
      </w:r>
      <w:r w:rsidRPr="00882FD5">
        <w:t xml:space="preserve">, and columns from </w:t>
      </w:r>
      <w:r w:rsidR="00852CF5" w:rsidRPr="00852CF5">
        <w:rPr>
          <w:position w:val="-6"/>
        </w:rPr>
        <w:object w:dxaOrig="560" w:dyaOrig="279" w14:anchorId="37F3DE62">
          <v:shape id="_x0000_i1213" type="#_x0000_t75" style="width:27.85pt;height:14.15pt" o:ole="">
            <v:imagedata r:id="rId367" o:title=""/>
          </v:shape>
          <o:OLEObject Type="Embed" ProgID="Equation.DSMT4" ShapeID="_x0000_i1213" DrawAspect="Content" ObjectID="_1738155110" r:id="rId371"/>
        </w:object>
      </w:r>
      <w:r w:rsidR="00852CF5">
        <w:t xml:space="preserve"> </w:t>
      </w:r>
      <w:r w:rsidRPr="00882FD5">
        <w:t>to</w:t>
      </w:r>
      <w:r w:rsidR="00852CF5">
        <w:t xml:space="preserve"> </w:t>
      </w:r>
      <w:r w:rsidR="00852CF5" w:rsidRPr="00852CF5">
        <w:rPr>
          <w:position w:val="-12"/>
        </w:rPr>
        <w:object w:dxaOrig="639" w:dyaOrig="360" w14:anchorId="23FB9587">
          <v:shape id="_x0000_i1214" type="#_x0000_t75" style="width:32.15pt;height:18pt" o:ole="">
            <v:imagedata r:id="rId372" o:title=""/>
          </v:shape>
          <o:OLEObject Type="Embed" ProgID="Equation.DSMT4" ShapeID="_x0000_i1214" DrawAspect="Content" ObjectID="_1738155111" r:id="rId373"/>
        </w:object>
      </w:r>
      <w:r w:rsidRPr="00882FD5">
        <w:t xml:space="preserve"> </w:t>
      </w:r>
      <w:r w:rsidRPr="00882FD5">
        <w:rPr>
          <w:rFonts w:eastAsiaTheme="minorEastAsia"/>
        </w:rPr>
        <w:t>(</w:t>
      </w:r>
      <w:r w:rsidRPr="00882FD5">
        <w:t xml:space="preserve">these rows and columns correspond to the first ranked variable), and </w:t>
      </w:r>
      <w:r w:rsidRPr="00882FD5">
        <w:rPr>
          <w:rFonts w:eastAsiaTheme="minorEastAsia"/>
        </w:rPr>
        <w:t xml:space="preserve">do the following: in the </w:t>
      </w:r>
      <w:r w:rsidRPr="00882FD5">
        <w:t>first row, place an entry of ‘1’ in the column corresponding to the second-ranked alternative, and a ‘-1’ in the column corresponding to the first-ranked alternative; in the second row, place an entry of ‘1’ in the column corresponding to the third-ranked alternative, and a ‘-1’ in the column corresponding to the second-ranked alternative; and so on until placing an entry of ‘-1’ in the column corresponding to the penultimate-ranked alternative, and a ‘1’ in the column corresponding to the last-ranked alternative. Repeat this entire step for the second</w:t>
      </w:r>
      <w:r w:rsidR="00003DCD" w:rsidRPr="00882FD5">
        <w:t>-</w:t>
      </w:r>
      <w:r w:rsidRPr="00882FD5">
        <w:t>ranked variable (if present) in the next</w:t>
      </w:r>
      <w:r w:rsidR="00852CF5">
        <w:t xml:space="preserve"> </w:t>
      </w:r>
      <w:r w:rsidR="00852CF5" w:rsidRPr="00852CF5">
        <w:rPr>
          <w:position w:val="-12"/>
        </w:rPr>
        <w:object w:dxaOrig="560" w:dyaOrig="360" w14:anchorId="1ED8E623">
          <v:shape id="_x0000_i1215" type="#_x0000_t75" style="width:27.85pt;height:18pt" o:ole="">
            <v:imagedata r:id="rId374" o:title=""/>
          </v:shape>
          <o:OLEObject Type="Embed" ProgID="Equation.DSMT4" ShapeID="_x0000_i1215" DrawAspect="Content" ObjectID="_1738155112" r:id="rId375"/>
        </w:object>
      </w:r>
      <w:r w:rsidRPr="00882FD5">
        <w:rPr>
          <w:rFonts w:eastAsiaTheme="minorEastAsia"/>
        </w:rPr>
        <w:t xml:space="preserve"> rows and</w:t>
      </w:r>
      <w:r w:rsidR="00852CF5">
        <w:rPr>
          <w:rFonts w:eastAsiaTheme="minorEastAsia"/>
        </w:rPr>
        <w:t xml:space="preserve"> </w:t>
      </w:r>
      <w:r w:rsidR="00852CF5" w:rsidRPr="00852CF5">
        <w:rPr>
          <w:rFonts w:eastAsiaTheme="minorEastAsia"/>
          <w:position w:val="-12"/>
        </w:rPr>
        <w:object w:dxaOrig="240" w:dyaOrig="360" w14:anchorId="0F26B666">
          <v:shape id="_x0000_i1216" type="#_x0000_t75" style="width:12pt;height:18pt" o:ole="">
            <v:imagedata r:id="rId376" o:title=""/>
          </v:shape>
          <o:OLEObject Type="Embed" ProgID="Equation.DSMT4" ShapeID="_x0000_i1216" DrawAspect="Content" ObjectID="_1738155113" r:id="rId377"/>
        </w:object>
      </w:r>
      <w:r w:rsidRPr="00882FD5">
        <w:rPr>
          <w:rFonts w:eastAsiaTheme="minorEastAsia"/>
        </w:rPr>
        <w:t xml:space="preserve"> columns. Continue this procedure for all </w:t>
      </w:r>
      <w:r w:rsidRPr="00882FD5">
        <w:rPr>
          <w:rFonts w:eastAsiaTheme="minorEastAsia"/>
          <w:i/>
        </w:rPr>
        <w:t>G</w:t>
      </w:r>
      <w:r w:rsidR="00003DCD" w:rsidRPr="00882FD5">
        <w:rPr>
          <w:rFonts w:eastAsiaTheme="minorEastAsia"/>
          <w:i/>
        </w:rPr>
        <w:t>-</w:t>
      </w:r>
      <w:r w:rsidRPr="00882FD5">
        <w:rPr>
          <w:rFonts w:eastAsiaTheme="minorEastAsia"/>
        </w:rPr>
        <w:t>ranked variables.</w:t>
      </w:r>
      <w:r w:rsidRPr="00882FD5">
        <w:t xml:space="preserve"> Thus, in the case of N=2, G=1 with</w:t>
      </w:r>
      <w:r w:rsidR="00852CF5">
        <w:t xml:space="preserve"> </w:t>
      </w:r>
      <w:r w:rsidR="00852CF5" w:rsidRPr="00852CF5">
        <w:rPr>
          <w:position w:val="-12"/>
        </w:rPr>
        <w:object w:dxaOrig="220" w:dyaOrig="360" w14:anchorId="0EA4010C">
          <v:shape id="_x0000_i1217" type="#_x0000_t75" style="width:11.15pt;height:18pt" o:ole="">
            <v:imagedata r:id="rId378" o:title=""/>
          </v:shape>
          <o:OLEObject Type="Embed" ProgID="Equation.DSMT4" ShapeID="_x0000_i1217" DrawAspect="Content" ObjectID="_1738155114" r:id="rId379"/>
        </w:object>
      </w:r>
      <w:r w:rsidRPr="00882FD5">
        <w:t xml:space="preserve">=5, if the first individual’s ranking (from </w:t>
      </w:r>
      <w:r w:rsidR="00003DCD" w:rsidRPr="00882FD5">
        <w:t xml:space="preserve">the </w:t>
      </w:r>
      <w:r w:rsidRPr="00882FD5">
        <w:t xml:space="preserve">top choice to </w:t>
      </w:r>
      <w:r w:rsidR="00003DCD" w:rsidRPr="00882FD5">
        <w:t xml:space="preserve">the </w:t>
      </w:r>
      <w:r w:rsidRPr="00882FD5">
        <w:t xml:space="preserve">last choice) is 4&gt;1&gt;2&gt;3&gt;5, then the </w:t>
      </w:r>
      <w:r w:rsidRPr="00882FD5">
        <w:rPr>
          <w:b/>
        </w:rPr>
        <w:t>M</w:t>
      </w:r>
      <w:r w:rsidRPr="00882FD5">
        <w:t xml:space="preserve"> matrix for this individual is as below:</w:t>
      </w:r>
    </w:p>
    <w:p w14:paraId="61190B5F" w14:textId="77777777" w:rsidR="00687995" w:rsidRPr="00882FD5" w:rsidRDefault="00687995" w:rsidP="0042089A">
      <w:pPr>
        <w:keepNext/>
        <w:spacing w:before="0" w:line="240" w:lineRule="auto"/>
        <w:jc w:val="both"/>
      </w:pPr>
    </w:p>
    <w:p w14:paraId="607F7A4D" w14:textId="0BC8CB10" w:rsidR="00C325C9" w:rsidRPr="00882FD5" w:rsidRDefault="00E51A8A" w:rsidP="0042089A">
      <w:pPr>
        <w:spacing w:before="0" w:line="240" w:lineRule="auto"/>
      </w:pPr>
      <w:r w:rsidRPr="00882FD5">
        <w:rPr>
          <w:position w:val="-102"/>
        </w:rPr>
        <w:object w:dxaOrig="3879" w:dyaOrig="2160" w14:anchorId="5385DA7B">
          <v:shape id="_x0000_i1218" type="#_x0000_t75" style="width:184.7pt;height:108pt" o:ole="">
            <v:imagedata r:id="rId380" o:title=""/>
          </v:shape>
          <o:OLEObject Type="Embed" ProgID="Equation.DSMT4" ShapeID="_x0000_i1218" DrawAspect="Content" ObjectID="_1738155115" r:id="rId381"/>
        </w:object>
      </w:r>
    </w:p>
    <w:p w14:paraId="7DE8876B" w14:textId="77777777" w:rsidR="00C325C9" w:rsidRPr="00882FD5" w:rsidRDefault="00C325C9" w:rsidP="0042089A">
      <w:pPr>
        <w:spacing w:before="0" w:line="240" w:lineRule="auto"/>
      </w:pPr>
      <w:r w:rsidRPr="00882FD5">
        <w:br w:type="page"/>
      </w:r>
    </w:p>
    <w:p w14:paraId="509C7C9E" w14:textId="01971867" w:rsidR="00C325C9" w:rsidRPr="00882FD5" w:rsidRDefault="00C325C9" w:rsidP="0042089A">
      <w:pPr>
        <w:spacing w:before="0" w:line="240" w:lineRule="auto"/>
        <w:jc w:val="center"/>
        <w:rPr>
          <w:b/>
          <w:sz w:val="28"/>
          <w:lang w:eastAsia="ja-JP"/>
        </w:rPr>
      </w:pPr>
      <w:r w:rsidRPr="00882FD5">
        <w:rPr>
          <w:b/>
          <w:sz w:val="28"/>
          <w:lang w:eastAsia="ja-JP"/>
        </w:rPr>
        <w:lastRenderedPageBreak/>
        <w:t>Appendix B</w:t>
      </w:r>
    </w:p>
    <w:p w14:paraId="0D581682" w14:textId="77777777" w:rsidR="0042089A" w:rsidRDefault="0042089A" w:rsidP="0042089A">
      <w:pPr>
        <w:spacing w:before="0" w:line="240" w:lineRule="auto"/>
        <w:jc w:val="both"/>
        <w:rPr>
          <w:lang w:eastAsia="ja-JP"/>
        </w:rPr>
      </w:pPr>
    </w:p>
    <w:p w14:paraId="1E65890D" w14:textId="0C615720" w:rsidR="00C325C9" w:rsidRDefault="00C325C9" w:rsidP="0042089A">
      <w:pPr>
        <w:spacing w:before="0" w:line="240" w:lineRule="auto"/>
        <w:jc w:val="both"/>
        <w:rPr>
          <w:lang w:eastAsia="ja-JP"/>
        </w:rPr>
      </w:pPr>
      <w:r w:rsidRPr="00882FD5">
        <w:rPr>
          <w:lang w:eastAsia="ja-JP"/>
        </w:rPr>
        <w:t xml:space="preserve">The travel attribute values (levels) for each mode were carefully designed to simulate realistic scenarios according to our region of interest (Austin, Texas). Several logical checks for scenario building were in place, such as ensuring that the travel times of pooled ride-hailing are always </w:t>
      </w:r>
      <w:r w:rsidR="008D5B3E">
        <w:rPr>
          <w:lang w:eastAsia="ja-JP"/>
        </w:rPr>
        <w:t>larger</w:t>
      </w:r>
      <w:r w:rsidRPr="00882FD5">
        <w:rPr>
          <w:lang w:eastAsia="ja-JP"/>
        </w:rPr>
        <w:t xml:space="preserve"> than that of private ride-hailing and private vehicle modes</w:t>
      </w:r>
      <w:r w:rsidR="008D5B3E">
        <w:rPr>
          <w:lang w:eastAsia="ja-JP"/>
        </w:rPr>
        <w:t>;</w:t>
      </w:r>
      <w:r w:rsidRPr="00882FD5">
        <w:rPr>
          <w:lang w:eastAsia="ja-JP"/>
        </w:rPr>
        <w:t xml:space="preserve"> travel costs of pooled ride-hailing are always less than that of private ride-hailing</w:t>
      </w:r>
      <w:r w:rsidR="008D5B3E">
        <w:rPr>
          <w:lang w:eastAsia="ja-JP"/>
        </w:rPr>
        <w:t>;</w:t>
      </w:r>
      <w:r w:rsidRPr="00882FD5">
        <w:rPr>
          <w:lang w:eastAsia="ja-JP"/>
        </w:rPr>
        <w:t xml:space="preserve"> and so on. A total </w:t>
      </w:r>
      <w:r w:rsidR="00003DCD" w:rsidRPr="00882FD5">
        <w:rPr>
          <w:lang w:eastAsia="ja-JP"/>
        </w:rPr>
        <w:t xml:space="preserve">of </w:t>
      </w:r>
      <w:r w:rsidRPr="00882FD5">
        <w:rPr>
          <w:lang w:eastAsia="ja-JP"/>
        </w:rPr>
        <w:t>36 scenarios were developed for the survey, and each user was presented with one of the scenarios drawn at random.</w:t>
      </w:r>
    </w:p>
    <w:p w14:paraId="1887F034" w14:textId="77777777" w:rsidR="0042089A" w:rsidRPr="00882FD5" w:rsidRDefault="0042089A" w:rsidP="0042089A">
      <w:pPr>
        <w:spacing w:before="0" w:line="240" w:lineRule="auto"/>
        <w:jc w:val="both"/>
        <w:rPr>
          <w:lang w:eastAsia="ja-JP"/>
        </w:rPr>
      </w:pPr>
    </w:p>
    <w:p w14:paraId="38476E6C" w14:textId="0AB57C03" w:rsidR="00C325C9" w:rsidRPr="00882FD5" w:rsidRDefault="00C325C9" w:rsidP="00C325C9">
      <w:pPr>
        <w:spacing w:before="0" w:line="259" w:lineRule="auto"/>
        <w:rPr>
          <w:b/>
          <w:lang w:eastAsia="ja-JP"/>
        </w:rPr>
      </w:pPr>
      <w:r w:rsidRPr="00882FD5">
        <w:rPr>
          <w:b/>
          <w:lang w:eastAsia="ja-JP"/>
        </w:rPr>
        <w:t xml:space="preserve">TABLE B.1 SP </w:t>
      </w:r>
      <w:r w:rsidR="00E57AD5" w:rsidRPr="00882FD5">
        <w:rPr>
          <w:b/>
          <w:lang w:eastAsia="ja-JP"/>
        </w:rPr>
        <w:t>A</w:t>
      </w:r>
      <w:r w:rsidRPr="00882FD5">
        <w:rPr>
          <w:b/>
          <w:lang w:eastAsia="ja-JP"/>
        </w:rPr>
        <w:t xml:space="preserve">ttribute </w:t>
      </w:r>
      <w:r w:rsidR="00E57AD5" w:rsidRPr="00882FD5">
        <w:rPr>
          <w:b/>
          <w:lang w:eastAsia="ja-JP"/>
        </w:rPr>
        <w:t>Levels</w:t>
      </w:r>
    </w:p>
    <w:tbl>
      <w:tblPr>
        <w:tblW w:w="9660" w:type="dxa"/>
        <w:tblInd w:w="-5" w:type="dxa"/>
        <w:tblLook w:val="04A0" w:firstRow="1" w:lastRow="0" w:firstColumn="1" w:lastColumn="0" w:noHBand="0" w:noVBand="1"/>
      </w:tblPr>
      <w:tblGrid>
        <w:gridCol w:w="2000"/>
        <w:gridCol w:w="2800"/>
        <w:gridCol w:w="2620"/>
        <w:gridCol w:w="2240"/>
      </w:tblGrid>
      <w:tr w:rsidR="00C325C9" w:rsidRPr="00882FD5" w14:paraId="630AE432" w14:textId="77777777" w:rsidTr="00A8346F">
        <w:trPr>
          <w:trHeight w:val="432"/>
        </w:trPr>
        <w:tc>
          <w:tcPr>
            <w:tcW w:w="2000" w:type="dxa"/>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2763EFA4" w14:textId="77777777" w:rsidR="00C325C9" w:rsidRPr="00882FD5" w:rsidRDefault="00C325C9">
            <w:pPr>
              <w:spacing w:before="0" w:line="240" w:lineRule="auto"/>
              <w:jc w:val="center"/>
              <w:rPr>
                <w:b/>
                <w:bCs/>
                <w:color w:val="000000"/>
                <w:sz w:val="22"/>
                <w:szCs w:val="22"/>
              </w:rPr>
            </w:pPr>
            <w:r w:rsidRPr="00882FD5">
              <w:rPr>
                <w:b/>
                <w:bCs/>
                <w:color w:val="000000"/>
                <w:sz w:val="22"/>
                <w:szCs w:val="22"/>
              </w:rPr>
              <w:t>Modes</w:t>
            </w:r>
          </w:p>
        </w:tc>
        <w:tc>
          <w:tcPr>
            <w:tcW w:w="2800" w:type="dxa"/>
            <w:tcBorders>
              <w:top w:val="double" w:sz="4" w:space="0" w:color="auto"/>
              <w:left w:val="nil"/>
              <w:bottom w:val="single" w:sz="4" w:space="0" w:color="auto"/>
              <w:right w:val="single" w:sz="4" w:space="0" w:color="auto"/>
            </w:tcBorders>
            <w:shd w:val="clear" w:color="auto" w:fill="auto"/>
            <w:noWrap/>
            <w:vAlign w:val="center"/>
            <w:hideMark/>
          </w:tcPr>
          <w:p w14:paraId="3FED2837" w14:textId="77777777" w:rsidR="00C325C9" w:rsidRPr="00882FD5" w:rsidRDefault="00C325C9">
            <w:pPr>
              <w:spacing w:before="0" w:line="240" w:lineRule="auto"/>
              <w:jc w:val="center"/>
              <w:rPr>
                <w:b/>
                <w:bCs/>
                <w:color w:val="000000"/>
                <w:sz w:val="22"/>
                <w:szCs w:val="22"/>
              </w:rPr>
            </w:pPr>
            <w:r w:rsidRPr="00882FD5">
              <w:rPr>
                <w:b/>
                <w:bCs/>
                <w:color w:val="000000"/>
                <w:sz w:val="22"/>
                <w:szCs w:val="22"/>
              </w:rPr>
              <w:t>Travel time (in minutes)</w:t>
            </w:r>
          </w:p>
        </w:tc>
        <w:tc>
          <w:tcPr>
            <w:tcW w:w="2620" w:type="dxa"/>
            <w:tcBorders>
              <w:top w:val="double" w:sz="4" w:space="0" w:color="auto"/>
              <w:left w:val="nil"/>
              <w:bottom w:val="single" w:sz="4" w:space="0" w:color="auto"/>
              <w:right w:val="single" w:sz="4" w:space="0" w:color="auto"/>
            </w:tcBorders>
            <w:shd w:val="clear" w:color="auto" w:fill="auto"/>
            <w:noWrap/>
            <w:vAlign w:val="center"/>
            <w:hideMark/>
          </w:tcPr>
          <w:p w14:paraId="082CA452" w14:textId="77777777" w:rsidR="00C325C9" w:rsidRPr="00882FD5" w:rsidRDefault="00C325C9">
            <w:pPr>
              <w:spacing w:before="0" w:line="240" w:lineRule="auto"/>
              <w:jc w:val="center"/>
              <w:rPr>
                <w:b/>
                <w:bCs/>
                <w:color w:val="000000"/>
                <w:sz w:val="22"/>
                <w:szCs w:val="22"/>
              </w:rPr>
            </w:pPr>
            <w:r w:rsidRPr="00882FD5">
              <w:rPr>
                <w:b/>
                <w:bCs/>
                <w:color w:val="000000"/>
                <w:sz w:val="22"/>
                <w:szCs w:val="22"/>
              </w:rPr>
              <w:t>Travel cost (in $)</w:t>
            </w:r>
          </w:p>
        </w:tc>
        <w:tc>
          <w:tcPr>
            <w:tcW w:w="2240" w:type="dxa"/>
            <w:tcBorders>
              <w:top w:val="double" w:sz="4" w:space="0" w:color="auto"/>
              <w:left w:val="nil"/>
              <w:bottom w:val="single" w:sz="4" w:space="0" w:color="auto"/>
              <w:right w:val="double" w:sz="4" w:space="0" w:color="auto"/>
            </w:tcBorders>
            <w:shd w:val="clear" w:color="auto" w:fill="auto"/>
            <w:noWrap/>
            <w:vAlign w:val="center"/>
            <w:hideMark/>
          </w:tcPr>
          <w:p w14:paraId="33A88534" w14:textId="77777777" w:rsidR="00C325C9" w:rsidRPr="00882FD5" w:rsidRDefault="00C325C9">
            <w:pPr>
              <w:spacing w:before="0" w:line="240" w:lineRule="auto"/>
              <w:jc w:val="center"/>
              <w:rPr>
                <w:b/>
                <w:bCs/>
                <w:color w:val="000000"/>
                <w:sz w:val="22"/>
                <w:szCs w:val="22"/>
              </w:rPr>
            </w:pPr>
            <w:r w:rsidRPr="00882FD5">
              <w:rPr>
                <w:b/>
                <w:bCs/>
                <w:color w:val="000000"/>
                <w:sz w:val="22"/>
                <w:szCs w:val="22"/>
              </w:rPr>
              <w:t>Wait time (in minutes)</w:t>
            </w:r>
          </w:p>
        </w:tc>
      </w:tr>
      <w:tr w:rsidR="00C325C9" w:rsidRPr="00882FD5" w14:paraId="6D979F04" w14:textId="77777777" w:rsidTr="00A8346F">
        <w:trPr>
          <w:trHeight w:val="432"/>
        </w:trPr>
        <w:tc>
          <w:tcPr>
            <w:tcW w:w="2000"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33E136DE" w14:textId="77777777" w:rsidR="00C325C9" w:rsidRPr="00882FD5" w:rsidRDefault="00C325C9" w:rsidP="00A8346F">
            <w:pPr>
              <w:spacing w:before="0" w:line="240" w:lineRule="auto"/>
              <w:jc w:val="center"/>
              <w:rPr>
                <w:b/>
                <w:bCs/>
                <w:color w:val="000000"/>
                <w:sz w:val="22"/>
                <w:szCs w:val="22"/>
              </w:rPr>
            </w:pPr>
            <w:r w:rsidRPr="00882FD5">
              <w:rPr>
                <w:b/>
                <w:bCs/>
                <w:color w:val="000000"/>
                <w:sz w:val="22"/>
                <w:szCs w:val="22"/>
                <w:lang w:val="en-IN"/>
              </w:rPr>
              <w:t>Public Transport (base)</w:t>
            </w:r>
          </w:p>
        </w:tc>
        <w:tc>
          <w:tcPr>
            <w:tcW w:w="2800" w:type="dxa"/>
            <w:tcBorders>
              <w:top w:val="single" w:sz="4" w:space="0" w:color="auto"/>
              <w:left w:val="nil"/>
              <w:bottom w:val="single" w:sz="4" w:space="0" w:color="auto"/>
              <w:right w:val="single" w:sz="4" w:space="0" w:color="auto"/>
            </w:tcBorders>
            <w:shd w:val="clear" w:color="auto" w:fill="auto"/>
            <w:noWrap/>
            <w:vAlign w:val="center"/>
            <w:hideMark/>
          </w:tcPr>
          <w:p w14:paraId="6202C148" w14:textId="77777777" w:rsidR="00C325C9" w:rsidRPr="00882FD5" w:rsidRDefault="00C325C9" w:rsidP="00A8346F">
            <w:pPr>
              <w:spacing w:before="0" w:line="240" w:lineRule="auto"/>
              <w:jc w:val="center"/>
              <w:rPr>
                <w:color w:val="000000"/>
                <w:sz w:val="22"/>
                <w:szCs w:val="22"/>
              </w:rPr>
            </w:pPr>
            <w:r w:rsidRPr="00882FD5">
              <w:rPr>
                <w:color w:val="000000"/>
                <w:sz w:val="22"/>
                <w:szCs w:val="22"/>
              </w:rPr>
              <w:t>9 to 108 (31 levels)</w:t>
            </w:r>
          </w:p>
        </w:tc>
        <w:tc>
          <w:tcPr>
            <w:tcW w:w="2620" w:type="dxa"/>
            <w:tcBorders>
              <w:top w:val="single" w:sz="4" w:space="0" w:color="auto"/>
              <w:left w:val="nil"/>
              <w:bottom w:val="single" w:sz="4" w:space="0" w:color="auto"/>
              <w:right w:val="single" w:sz="4" w:space="0" w:color="auto"/>
            </w:tcBorders>
            <w:shd w:val="clear" w:color="auto" w:fill="auto"/>
            <w:noWrap/>
            <w:vAlign w:val="center"/>
            <w:hideMark/>
          </w:tcPr>
          <w:p w14:paraId="1EBDD0CF" w14:textId="77777777" w:rsidR="00C325C9" w:rsidRPr="00882FD5" w:rsidRDefault="00C325C9" w:rsidP="00A8346F">
            <w:pPr>
              <w:spacing w:before="0" w:line="240" w:lineRule="auto"/>
              <w:jc w:val="center"/>
              <w:rPr>
                <w:color w:val="000000"/>
                <w:sz w:val="22"/>
                <w:szCs w:val="22"/>
              </w:rPr>
            </w:pPr>
            <w:r w:rsidRPr="00882FD5">
              <w:rPr>
                <w:color w:val="000000"/>
                <w:sz w:val="22"/>
                <w:szCs w:val="22"/>
              </w:rPr>
              <w:t>0.75, 1.25, 1.75 (3 levels)</w:t>
            </w:r>
          </w:p>
        </w:tc>
        <w:tc>
          <w:tcPr>
            <w:tcW w:w="2240" w:type="dxa"/>
            <w:tcBorders>
              <w:top w:val="single" w:sz="4" w:space="0" w:color="auto"/>
              <w:left w:val="nil"/>
              <w:bottom w:val="single" w:sz="4" w:space="0" w:color="auto"/>
              <w:right w:val="double" w:sz="4" w:space="0" w:color="auto"/>
            </w:tcBorders>
            <w:shd w:val="clear" w:color="auto" w:fill="auto"/>
            <w:noWrap/>
            <w:vAlign w:val="center"/>
            <w:hideMark/>
          </w:tcPr>
          <w:p w14:paraId="73004D05" w14:textId="77777777" w:rsidR="00C325C9" w:rsidRPr="00882FD5" w:rsidRDefault="00C325C9" w:rsidP="00A8346F">
            <w:pPr>
              <w:spacing w:before="0" w:line="240" w:lineRule="auto"/>
              <w:jc w:val="center"/>
              <w:rPr>
                <w:color w:val="000000"/>
                <w:sz w:val="22"/>
                <w:szCs w:val="22"/>
              </w:rPr>
            </w:pPr>
            <w:r w:rsidRPr="00882FD5">
              <w:rPr>
                <w:color w:val="000000"/>
                <w:sz w:val="22"/>
                <w:szCs w:val="22"/>
              </w:rPr>
              <w:t>5, 10, 15 (3 levels)</w:t>
            </w:r>
          </w:p>
        </w:tc>
      </w:tr>
      <w:tr w:rsidR="00C325C9" w:rsidRPr="00882FD5" w14:paraId="140DF432" w14:textId="77777777" w:rsidTr="00A8346F">
        <w:trPr>
          <w:trHeight w:val="432"/>
        </w:trPr>
        <w:tc>
          <w:tcPr>
            <w:tcW w:w="2000"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6CBC535D" w14:textId="77777777" w:rsidR="00C325C9" w:rsidRPr="00882FD5" w:rsidRDefault="00C325C9" w:rsidP="00A8346F">
            <w:pPr>
              <w:spacing w:before="0" w:line="240" w:lineRule="auto"/>
              <w:jc w:val="center"/>
              <w:rPr>
                <w:b/>
                <w:bCs/>
                <w:color w:val="000000"/>
                <w:sz w:val="22"/>
                <w:szCs w:val="22"/>
              </w:rPr>
            </w:pPr>
            <w:r w:rsidRPr="00882FD5">
              <w:rPr>
                <w:b/>
                <w:bCs/>
                <w:color w:val="000000"/>
                <w:sz w:val="22"/>
                <w:szCs w:val="22"/>
                <w:lang w:val="en-IN"/>
              </w:rPr>
              <w:t>Private vehicle (HD or AV)</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14:paraId="0FD6FAD1" w14:textId="77777777" w:rsidR="00C325C9" w:rsidRPr="00882FD5" w:rsidRDefault="00C325C9" w:rsidP="00A8346F">
            <w:pPr>
              <w:spacing w:before="0" w:line="240" w:lineRule="auto"/>
              <w:jc w:val="center"/>
              <w:rPr>
                <w:color w:val="000000"/>
                <w:sz w:val="22"/>
                <w:szCs w:val="22"/>
              </w:rPr>
            </w:pPr>
            <w:r w:rsidRPr="00882FD5">
              <w:rPr>
                <w:color w:val="000000"/>
                <w:sz w:val="22"/>
                <w:szCs w:val="22"/>
              </w:rPr>
              <w:t>5, 17, 24, 36, 48 (5 levels)</w:t>
            </w:r>
          </w:p>
        </w:tc>
        <w:tc>
          <w:tcPr>
            <w:tcW w:w="2620" w:type="dxa"/>
            <w:tcBorders>
              <w:top w:val="single" w:sz="4" w:space="0" w:color="auto"/>
              <w:left w:val="nil"/>
              <w:bottom w:val="single" w:sz="4" w:space="0" w:color="auto"/>
              <w:right w:val="single" w:sz="4" w:space="0" w:color="auto"/>
            </w:tcBorders>
            <w:shd w:val="clear" w:color="auto" w:fill="auto"/>
            <w:noWrap/>
            <w:vAlign w:val="center"/>
            <w:hideMark/>
          </w:tcPr>
          <w:p w14:paraId="4560EA49" w14:textId="77777777" w:rsidR="00C325C9" w:rsidRPr="00882FD5" w:rsidRDefault="00C325C9" w:rsidP="00A8346F">
            <w:pPr>
              <w:spacing w:before="0" w:line="240" w:lineRule="auto"/>
              <w:jc w:val="center"/>
              <w:rPr>
                <w:color w:val="000000"/>
                <w:sz w:val="22"/>
                <w:szCs w:val="22"/>
              </w:rPr>
            </w:pPr>
            <w:r w:rsidRPr="00882FD5">
              <w:rPr>
                <w:color w:val="000000"/>
                <w:sz w:val="22"/>
                <w:szCs w:val="22"/>
              </w:rPr>
              <w:t>0.25 to 19 (31 levels)</w:t>
            </w:r>
          </w:p>
        </w:tc>
        <w:tc>
          <w:tcPr>
            <w:tcW w:w="2240" w:type="dxa"/>
            <w:tcBorders>
              <w:top w:val="single" w:sz="4" w:space="0" w:color="auto"/>
              <w:left w:val="nil"/>
              <w:bottom w:val="single" w:sz="4" w:space="0" w:color="auto"/>
              <w:right w:val="double" w:sz="4" w:space="0" w:color="auto"/>
            </w:tcBorders>
            <w:shd w:val="clear" w:color="auto" w:fill="auto"/>
            <w:noWrap/>
            <w:vAlign w:val="center"/>
            <w:hideMark/>
          </w:tcPr>
          <w:p w14:paraId="3208BB80" w14:textId="77777777" w:rsidR="00C325C9" w:rsidRPr="00882FD5" w:rsidRDefault="00C325C9" w:rsidP="00A8346F">
            <w:pPr>
              <w:spacing w:before="0" w:line="240" w:lineRule="auto"/>
              <w:jc w:val="center"/>
              <w:rPr>
                <w:color w:val="000000"/>
                <w:sz w:val="22"/>
                <w:szCs w:val="22"/>
              </w:rPr>
            </w:pPr>
            <w:r w:rsidRPr="00882FD5">
              <w:rPr>
                <w:color w:val="000000"/>
                <w:sz w:val="22"/>
                <w:szCs w:val="22"/>
              </w:rPr>
              <w:t>0</w:t>
            </w:r>
          </w:p>
        </w:tc>
      </w:tr>
      <w:tr w:rsidR="00C325C9" w:rsidRPr="00882FD5" w14:paraId="718F445D" w14:textId="77777777" w:rsidTr="00A8346F">
        <w:trPr>
          <w:trHeight w:val="432"/>
        </w:trPr>
        <w:tc>
          <w:tcPr>
            <w:tcW w:w="2000"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765DDBB5" w14:textId="77777777" w:rsidR="00C325C9" w:rsidRPr="00882FD5" w:rsidRDefault="00C325C9" w:rsidP="00A8346F">
            <w:pPr>
              <w:spacing w:before="0" w:line="240" w:lineRule="auto"/>
              <w:jc w:val="center"/>
              <w:rPr>
                <w:b/>
                <w:bCs/>
                <w:color w:val="000000"/>
                <w:sz w:val="22"/>
                <w:szCs w:val="22"/>
              </w:rPr>
            </w:pPr>
            <w:r w:rsidRPr="00882FD5">
              <w:rPr>
                <w:b/>
                <w:bCs/>
                <w:color w:val="000000"/>
                <w:sz w:val="22"/>
                <w:szCs w:val="22"/>
                <w:lang w:val="en-IN"/>
              </w:rPr>
              <w:t>Bicycle</w:t>
            </w:r>
          </w:p>
        </w:tc>
        <w:tc>
          <w:tcPr>
            <w:tcW w:w="2800" w:type="dxa"/>
            <w:tcBorders>
              <w:top w:val="single" w:sz="4" w:space="0" w:color="auto"/>
              <w:left w:val="nil"/>
              <w:bottom w:val="single" w:sz="4" w:space="0" w:color="auto"/>
              <w:right w:val="single" w:sz="4" w:space="0" w:color="auto"/>
            </w:tcBorders>
            <w:shd w:val="clear" w:color="auto" w:fill="auto"/>
            <w:noWrap/>
            <w:vAlign w:val="center"/>
            <w:hideMark/>
          </w:tcPr>
          <w:p w14:paraId="09C29BC7" w14:textId="77777777" w:rsidR="00C325C9" w:rsidRPr="00882FD5" w:rsidRDefault="00C325C9" w:rsidP="00A8346F">
            <w:pPr>
              <w:spacing w:before="0" w:line="240" w:lineRule="auto"/>
              <w:jc w:val="center"/>
              <w:rPr>
                <w:color w:val="000000"/>
                <w:sz w:val="22"/>
                <w:szCs w:val="22"/>
              </w:rPr>
            </w:pPr>
            <w:r w:rsidRPr="00882FD5">
              <w:rPr>
                <w:color w:val="000000"/>
                <w:sz w:val="22"/>
                <w:szCs w:val="22"/>
              </w:rPr>
              <w:t>9 to 108 (31 levels)</w:t>
            </w:r>
          </w:p>
        </w:tc>
        <w:tc>
          <w:tcPr>
            <w:tcW w:w="2620" w:type="dxa"/>
            <w:tcBorders>
              <w:top w:val="single" w:sz="4" w:space="0" w:color="auto"/>
              <w:left w:val="nil"/>
              <w:bottom w:val="single" w:sz="4" w:space="0" w:color="auto"/>
              <w:right w:val="single" w:sz="4" w:space="0" w:color="auto"/>
            </w:tcBorders>
            <w:shd w:val="clear" w:color="auto" w:fill="auto"/>
            <w:noWrap/>
            <w:vAlign w:val="center"/>
            <w:hideMark/>
          </w:tcPr>
          <w:p w14:paraId="09DEDFDD" w14:textId="77777777" w:rsidR="00C325C9" w:rsidRPr="00882FD5" w:rsidRDefault="00C325C9" w:rsidP="00A8346F">
            <w:pPr>
              <w:spacing w:before="0" w:line="240" w:lineRule="auto"/>
              <w:jc w:val="center"/>
              <w:rPr>
                <w:color w:val="000000"/>
                <w:sz w:val="22"/>
                <w:szCs w:val="22"/>
              </w:rPr>
            </w:pPr>
            <w:r w:rsidRPr="00882FD5">
              <w:rPr>
                <w:color w:val="000000"/>
                <w:sz w:val="22"/>
                <w:szCs w:val="22"/>
              </w:rPr>
              <w:t>0</w:t>
            </w:r>
          </w:p>
        </w:tc>
        <w:tc>
          <w:tcPr>
            <w:tcW w:w="2240" w:type="dxa"/>
            <w:tcBorders>
              <w:top w:val="single" w:sz="4" w:space="0" w:color="auto"/>
              <w:left w:val="nil"/>
              <w:bottom w:val="single" w:sz="4" w:space="0" w:color="auto"/>
              <w:right w:val="double" w:sz="4" w:space="0" w:color="auto"/>
            </w:tcBorders>
            <w:shd w:val="clear" w:color="auto" w:fill="auto"/>
            <w:noWrap/>
            <w:vAlign w:val="center"/>
            <w:hideMark/>
          </w:tcPr>
          <w:p w14:paraId="463EC819" w14:textId="77777777" w:rsidR="00C325C9" w:rsidRPr="00882FD5" w:rsidRDefault="00C325C9" w:rsidP="00A8346F">
            <w:pPr>
              <w:spacing w:before="0" w:line="240" w:lineRule="auto"/>
              <w:jc w:val="center"/>
              <w:rPr>
                <w:color w:val="000000"/>
                <w:sz w:val="22"/>
                <w:szCs w:val="22"/>
              </w:rPr>
            </w:pPr>
            <w:r w:rsidRPr="00882FD5">
              <w:rPr>
                <w:color w:val="000000"/>
                <w:sz w:val="22"/>
                <w:szCs w:val="22"/>
              </w:rPr>
              <w:t>0</w:t>
            </w:r>
          </w:p>
        </w:tc>
      </w:tr>
      <w:tr w:rsidR="00C325C9" w:rsidRPr="00882FD5" w14:paraId="4170652F" w14:textId="77777777" w:rsidTr="00A8346F">
        <w:trPr>
          <w:trHeight w:val="432"/>
        </w:trPr>
        <w:tc>
          <w:tcPr>
            <w:tcW w:w="2000"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203EA976" w14:textId="77777777" w:rsidR="00C325C9" w:rsidRPr="00882FD5" w:rsidRDefault="00C325C9" w:rsidP="00A8346F">
            <w:pPr>
              <w:spacing w:before="0" w:line="240" w:lineRule="auto"/>
              <w:jc w:val="center"/>
              <w:rPr>
                <w:b/>
                <w:bCs/>
                <w:color w:val="000000"/>
                <w:sz w:val="22"/>
                <w:szCs w:val="22"/>
              </w:rPr>
            </w:pPr>
            <w:r w:rsidRPr="00882FD5">
              <w:rPr>
                <w:b/>
                <w:bCs/>
                <w:color w:val="000000"/>
                <w:sz w:val="22"/>
                <w:szCs w:val="22"/>
                <w:lang w:val="en-IN"/>
              </w:rPr>
              <w:t>HD private RH</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14:paraId="1EF7C925" w14:textId="77777777" w:rsidR="00C325C9" w:rsidRPr="00882FD5" w:rsidRDefault="00C325C9" w:rsidP="00A8346F">
            <w:pPr>
              <w:spacing w:before="0" w:line="240" w:lineRule="auto"/>
              <w:jc w:val="center"/>
              <w:rPr>
                <w:color w:val="000000"/>
                <w:sz w:val="22"/>
                <w:szCs w:val="22"/>
              </w:rPr>
            </w:pPr>
            <w:r w:rsidRPr="00882FD5">
              <w:rPr>
                <w:color w:val="000000"/>
                <w:sz w:val="22"/>
                <w:szCs w:val="22"/>
              </w:rPr>
              <w:t>5, 17, 24, 36, 48 (5 levels)</w:t>
            </w:r>
          </w:p>
        </w:tc>
        <w:tc>
          <w:tcPr>
            <w:tcW w:w="2620" w:type="dxa"/>
            <w:tcBorders>
              <w:top w:val="single" w:sz="4" w:space="0" w:color="auto"/>
              <w:left w:val="nil"/>
              <w:bottom w:val="single" w:sz="4" w:space="0" w:color="auto"/>
              <w:right w:val="single" w:sz="4" w:space="0" w:color="auto"/>
            </w:tcBorders>
            <w:shd w:val="clear" w:color="auto" w:fill="auto"/>
            <w:noWrap/>
            <w:vAlign w:val="center"/>
            <w:hideMark/>
          </w:tcPr>
          <w:p w14:paraId="22EC498A" w14:textId="77777777" w:rsidR="00C325C9" w:rsidRPr="00882FD5" w:rsidRDefault="00C325C9" w:rsidP="00A8346F">
            <w:pPr>
              <w:spacing w:before="0" w:line="240" w:lineRule="auto"/>
              <w:jc w:val="center"/>
              <w:rPr>
                <w:color w:val="000000"/>
                <w:sz w:val="22"/>
                <w:szCs w:val="22"/>
              </w:rPr>
            </w:pPr>
            <w:r w:rsidRPr="00882FD5">
              <w:rPr>
                <w:color w:val="000000"/>
                <w:sz w:val="22"/>
                <w:szCs w:val="22"/>
              </w:rPr>
              <w:t>4.50 to 60 (12 levels)</w:t>
            </w:r>
          </w:p>
        </w:tc>
        <w:tc>
          <w:tcPr>
            <w:tcW w:w="2240" w:type="dxa"/>
            <w:tcBorders>
              <w:top w:val="single" w:sz="4" w:space="0" w:color="auto"/>
              <w:left w:val="nil"/>
              <w:bottom w:val="single" w:sz="4" w:space="0" w:color="auto"/>
              <w:right w:val="double" w:sz="4" w:space="0" w:color="auto"/>
            </w:tcBorders>
            <w:shd w:val="clear" w:color="auto" w:fill="auto"/>
            <w:noWrap/>
            <w:vAlign w:val="center"/>
            <w:hideMark/>
          </w:tcPr>
          <w:p w14:paraId="5DCDF658" w14:textId="77777777" w:rsidR="00C325C9" w:rsidRPr="00882FD5" w:rsidRDefault="00C325C9" w:rsidP="00A8346F">
            <w:pPr>
              <w:spacing w:before="0" w:line="240" w:lineRule="auto"/>
              <w:jc w:val="center"/>
              <w:rPr>
                <w:color w:val="000000"/>
                <w:sz w:val="22"/>
                <w:szCs w:val="22"/>
              </w:rPr>
            </w:pPr>
            <w:r w:rsidRPr="00882FD5">
              <w:rPr>
                <w:color w:val="000000"/>
                <w:sz w:val="22"/>
                <w:szCs w:val="22"/>
              </w:rPr>
              <w:t>3, 6, 9 (3 levels)</w:t>
            </w:r>
          </w:p>
        </w:tc>
      </w:tr>
      <w:tr w:rsidR="00C325C9" w:rsidRPr="00882FD5" w14:paraId="365EEDEB" w14:textId="77777777" w:rsidTr="00A8346F">
        <w:trPr>
          <w:trHeight w:val="432"/>
        </w:trPr>
        <w:tc>
          <w:tcPr>
            <w:tcW w:w="2000"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0FE6A667" w14:textId="77777777" w:rsidR="00C325C9" w:rsidRPr="00882FD5" w:rsidRDefault="00C325C9" w:rsidP="00A8346F">
            <w:pPr>
              <w:spacing w:before="0" w:line="240" w:lineRule="auto"/>
              <w:jc w:val="center"/>
              <w:rPr>
                <w:b/>
                <w:bCs/>
                <w:color w:val="000000"/>
                <w:sz w:val="22"/>
                <w:szCs w:val="22"/>
              </w:rPr>
            </w:pPr>
            <w:r w:rsidRPr="00882FD5">
              <w:rPr>
                <w:b/>
                <w:bCs/>
                <w:color w:val="000000"/>
                <w:sz w:val="22"/>
                <w:szCs w:val="22"/>
                <w:lang w:val="en-IN"/>
              </w:rPr>
              <w:t>HD pooled RH</w:t>
            </w:r>
          </w:p>
        </w:tc>
        <w:tc>
          <w:tcPr>
            <w:tcW w:w="2800" w:type="dxa"/>
            <w:tcBorders>
              <w:top w:val="single" w:sz="4" w:space="0" w:color="auto"/>
              <w:left w:val="nil"/>
              <w:bottom w:val="single" w:sz="4" w:space="0" w:color="auto"/>
              <w:right w:val="single" w:sz="4" w:space="0" w:color="auto"/>
            </w:tcBorders>
            <w:shd w:val="clear" w:color="auto" w:fill="auto"/>
            <w:noWrap/>
            <w:vAlign w:val="center"/>
            <w:hideMark/>
          </w:tcPr>
          <w:p w14:paraId="1E8A673B" w14:textId="77777777" w:rsidR="00C325C9" w:rsidRPr="00882FD5" w:rsidRDefault="00C325C9" w:rsidP="00A8346F">
            <w:pPr>
              <w:spacing w:before="0" w:line="240" w:lineRule="auto"/>
              <w:jc w:val="center"/>
              <w:rPr>
                <w:color w:val="000000"/>
                <w:sz w:val="22"/>
                <w:szCs w:val="22"/>
              </w:rPr>
            </w:pPr>
            <w:r w:rsidRPr="00882FD5">
              <w:rPr>
                <w:color w:val="000000"/>
                <w:sz w:val="22"/>
                <w:szCs w:val="22"/>
              </w:rPr>
              <w:t>10 to 63 (15 levels)</w:t>
            </w:r>
          </w:p>
        </w:tc>
        <w:tc>
          <w:tcPr>
            <w:tcW w:w="2620" w:type="dxa"/>
            <w:tcBorders>
              <w:top w:val="single" w:sz="4" w:space="0" w:color="auto"/>
              <w:left w:val="nil"/>
              <w:bottom w:val="single" w:sz="4" w:space="0" w:color="auto"/>
              <w:right w:val="single" w:sz="4" w:space="0" w:color="auto"/>
            </w:tcBorders>
            <w:shd w:val="clear" w:color="auto" w:fill="auto"/>
            <w:noWrap/>
            <w:vAlign w:val="center"/>
            <w:hideMark/>
          </w:tcPr>
          <w:p w14:paraId="3EA7038C" w14:textId="77777777" w:rsidR="00C325C9" w:rsidRPr="00882FD5" w:rsidRDefault="00C325C9" w:rsidP="00A8346F">
            <w:pPr>
              <w:spacing w:before="0" w:line="240" w:lineRule="auto"/>
              <w:jc w:val="center"/>
              <w:rPr>
                <w:color w:val="000000"/>
                <w:sz w:val="22"/>
                <w:szCs w:val="22"/>
              </w:rPr>
            </w:pPr>
            <w:r w:rsidRPr="00882FD5">
              <w:rPr>
                <w:color w:val="000000"/>
                <w:sz w:val="22"/>
                <w:szCs w:val="22"/>
              </w:rPr>
              <w:t>1.5 to 54 (31 levels)</w:t>
            </w:r>
          </w:p>
        </w:tc>
        <w:tc>
          <w:tcPr>
            <w:tcW w:w="2240" w:type="dxa"/>
            <w:tcBorders>
              <w:top w:val="single" w:sz="4" w:space="0" w:color="auto"/>
              <w:left w:val="nil"/>
              <w:bottom w:val="single" w:sz="4" w:space="0" w:color="auto"/>
              <w:right w:val="double" w:sz="4" w:space="0" w:color="auto"/>
            </w:tcBorders>
            <w:shd w:val="clear" w:color="auto" w:fill="auto"/>
            <w:noWrap/>
            <w:vAlign w:val="center"/>
            <w:hideMark/>
          </w:tcPr>
          <w:p w14:paraId="283FE5C8" w14:textId="77777777" w:rsidR="00C325C9" w:rsidRPr="00882FD5" w:rsidRDefault="00C325C9" w:rsidP="00A8346F">
            <w:pPr>
              <w:spacing w:before="0" w:line="240" w:lineRule="auto"/>
              <w:jc w:val="center"/>
              <w:rPr>
                <w:color w:val="000000"/>
                <w:sz w:val="22"/>
                <w:szCs w:val="22"/>
              </w:rPr>
            </w:pPr>
            <w:r w:rsidRPr="00882FD5">
              <w:rPr>
                <w:color w:val="000000"/>
                <w:sz w:val="22"/>
                <w:szCs w:val="22"/>
              </w:rPr>
              <w:t>4 to 14 (9 levels)</w:t>
            </w:r>
          </w:p>
        </w:tc>
      </w:tr>
      <w:tr w:rsidR="00C325C9" w:rsidRPr="00882FD5" w14:paraId="14709A6B" w14:textId="77777777" w:rsidTr="00A8346F">
        <w:trPr>
          <w:trHeight w:val="432"/>
        </w:trPr>
        <w:tc>
          <w:tcPr>
            <w:tcW w:w="2000"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72DA160D" w14:textId="77777777" w:rsidR="00C325C9" w:rsidRPr="00882FD5" w:rsidRDefault="00C325C9" w:rsidP="00A8346F">
            <w:pPr>
              <w:spacing w:before="0" w:line="240" w:lineRule="auto"/>
              <w:jc w:val="center"/>
              <w:rPr>
                <w:b/>
                <w:bCs/>
                <w:color w:val="000000"/>
                <w:sz w:val="22"/>
                <w:szCs w:val="22"/>
              </w:rPr>
            </w:pPr>
            <w:r w:rsidRPr="00882FD5">
              <w:rPr>
                <w:b/>
                <w:bCs/>
                <w:color w:val="000000"/>
                <w:sz w:val="22"/>
                <w:szCs w:val="22"/>
                <w:lang w:val="en-IN"/>
              </w:rPr>
              <w:t>AV private RH</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14:paraId="338CEE14" w14:textId="77777777" w:rsidR="00C325C9" w:rsidRPr="00882FD5" w:rsidRDefault="00C325C9" w:rsidP="00A8346F">
            <w:pPr>
              <w:spacing w:before="0" w:line="240" w:lineRule="auto"/>
              <w:jc w:val="center"/>
              <w:rPr>
                <w:color w:val="000000"/>
                <w:sz w:val="22"/>
                <w:szCs w:val="22"/>
              </w:rPr>
            </w:pPr>
            <w:r w:rsidRPr="00882FD5">
              <w:rPr>
                <w:color w:val="000000"/>
                <w:sz w:val="22"/>
                <w:szCs w:val="22"/>
              </w:rPr>
              <w:t>5, 17, 24, 36, 48 (5 levels)</w:t>
            </w:r>
          </w:p>
        </w:tc>
        <w:tc>
          <w:tcPr>
            <w:tcW w:w="2620" w:type="dxa"/>
            <w:tcBorders>
              <w:top w:val="single" w:sz="4" w:space="0" w:color="auto"/>
              <w:left w:val="nil"/>
              <w:bottom w:val="single" w:sz="4" w:space="0" w:color="auto"/>
              <w:right w:val="single" w:sz="4" w:space="0" w:color="auto"/>
            </w:tcBorders>
            <w:shd w:val="clear" w:color="auto" w:fill="auto"/>
            <w:vAlign w:val="center"/>
            <w:hideMark/>
          </w:tcPr>
          <w:p w14:paraId="40964AC2" w14:textId="77777777" w:rsidR="00C325C9" w:rsidRPr="00882FD5" w:rsidRDefault="00C325C9" w:rsidP="00A8346F">
            <w:pPr>
              <w:spacing w:before="0" w:line="240" w:lineRule="auto"/>
              <w:jc w:val="center"/>
              <w:rPr>
                <w:color w:val="000000"/>
                <w:sz w:val="22"/>
                <w:szCs w:val="22"/>
              </w:rPr>
            </w:pPr>
            <w:r w:rsidRPr="00882FD5">
              <w:rPr>
                <w:color w:val="000000"/>
                <w:sz w:val="22"/>
                <w:szCs w:val="22"/>
              </w:rPr>
              <w:t>2 to 78 (31 levels)</w:t>
            </w:r>
          </w:p>
        </w:tc>
        <w:tc>
          <w:tcPr>
            <w:tcW w:w="2240" w:type="dxa"/>
            <w:tcBorders>
              <w:top w:val="single" w:sz="4" w:space="0" w:color="auto"/>
              <w:left w:val="nil"/>
              <w:bottom w:val="single" w:sz="4" w:space="0" w:color="auto"/>
              <w:right w:val="double" w:sz="4" w:space="0" w:color="auto"/>
            </w:tcBorders>
            <w:shd w:val="clear" w:color="auto" w:fill="auto"/>
            <w:noWrap/>
            <w:vAlign w:val="center"/>
            <w:hideMark/>
          </w:tcPr>
          <w:p w14:paraId="60BED7FB" w14:textId="77777777" w:rsidR="00C325C9" w:rsidRPr="00882FD5" w:rsidRDefault="00C325C9" w:rsidP="00A8346F">
            <w:pPr>
              <w:spacing w:before="0" w:line="240" w:lineRule="auto"/>
              <w:jc w:val="center"/>
              <w:rPr>
                <w:color w:val="000000"/>
                <w:sz w:val="22"/>
                <w:szCs w:val="22"/>
              </w:rPr>
            </w:pPr>
            <w:r w:rsidRPr="00882FD5">
              <w:rPr>
                <w:color w:val="000000"/>
                <w:sz w:val="22"/>
                <w:szCs w:val="22"/>
              </w:rPr>
              <w:t>3, 6, 9 (3 levels)</w:t>
            </w:r>
          </w:p>
        </w:tc>
      </w:tr>
      <w:tr w:rsidR="00C325C9" w:rsidRPr="00882FD5" w14:paraId="67A0D214" w14:textId="77777777" w:rsidTr="00A8346F">
        <w:trPr>
          <w:trHeight w:val="432"/>
        </w:trPr>
        <w:tc>
          <w:tcPr>
            <w:tcW w:w="2000" w:type="dxa"/>
            <w:tcBorders>
              <w:top w:val="single" w:sz="4" w:space="0" w:color="auto"/>
              <w:left w:val="double" w:sz="4" w:space="0" w:color="auto"/>
              <w:bottom w:val="double" w:sz="4" w:space="0" w:color="auto"/>
              <w:right w:val="single" w:sz="4" w:space="0" w:color="auto"/>
            </w:tcBorders>
            <w:shd w:val="clear" w:color="auto" w:fill="auto"/>
            <w:noWrap/>
            <w:vAlign w:val="center"/>
            <w:hideMark/>
          </w:tcPr>
          <w:p w14:paraId="3EE0B35E" w14:textId="77777777" w:rsidR="00C325C9" w:rsidRPr="00882FD5" w:rsidRDefault="00C325C9" w:rsidP="00A8346F">
            <w:pPr>
              <w:spacing w:before="0" w:line="240" w:lineRule="auto"/>
              <w:jc w:val="center"/>
              <w:rPr>
                <w:b/>
                <w:bCs/>
                <w:color w:val="000000"/>
                <w:sz w:val="22"/>
                <w:szCs w:val="22"/>
              </w:rPr>
            </w:pPr>
            <w:r w:rsidRPr="00882FD5">
              <w:rPr>
                <w:b/>
                <w:bCs/>
                <w:color w:val="000000"/>
                <w:sz w:val="22"/>
                <w:szCs w:val="22"/>
                <w:lang w:val="en-IN"/>
              </w:rPr>
              <w:t>AV pooled RH</w:t>
            </w:r>
          </w:p>
        </w:tc>
        <w:tc>
          <w:tcPr>
            <w:tcW w:w="2800" w:type="dxa"/>
            <w:tcBorders>
              <w:top w:val="single" w:sz="4" w:space="0" w:color="auto"/>
              <w:left w:val="nil"/>
              <w:bottom w:val="double" w:sz="4" w:space="0" w:color="auto"/>
              <w:right w:val="single" w:sz="4" w:space="0" w:color="auto"/>
            </w:tcBorders>
            <w:shd w:val="clear" w:color="auto" w:fill="auto"/>
            <w:noWrap/>
            <w:vAlign w:val="center"/>
            <w:hideMark/>
          </w:tcPr>
          <w:p w14:paraId="4D4DF557" w14:textId="77777777" w:rsidR="00C325C9" w:rsidRPr="00882FD5" w:rsidRDefault="00C325C9" w:rsidP="00A8346F">
            <w:pPr>
              <w:spacing w:before="0" w:line="240" w:lineRule="auto"/>
              <w:jc w:val="center"/>
              <w:rPr>
                <w:color w:val="000000"/>
                <w:sz w:val="22"/>
                <w:szCs w:val="22"/>
              </w:rPr>
            </w:pPr>
            <w:r w:rsidRPr="00882FD5">
              <w:rPr>
                <w:color w:val="000000"/>
                <w:sz w:val="22"/>
                <w:szCs w:val="22"/>
              </w:rPr>
              <w:t>10 to 63 (15 levels)</w:t>
            </w:r>
          </w:p>
        </w:tc>
        <w:tc>
          <w:tcPr>
            <w:tcW w:w="2620" w:type="dxa"/>
            <w:tcBorders>
              <w:top w:val="single" w:sz="4" w:space="0" w:color="auto"/>
              <w:left w:val="nil"/>
              <w:bottom w:val="double" w:sz="4" w:space="0" w:color="auto"/>
              <w:right w:val="single" w:sz="4" w:space="0" w:color="auto"/>
            </w:tcBorders>
            <w:shd w:val="clear" w:color="auto" w:fill="auto"/>
            <w:noWrap/>
            <w:vAlign w:val="center"/>
            <w:hideMark/>
          </w:tcPr>
          <w:p w14:paraId="42C9DC6D" w14:textId="77777777" w:rsidR="00C325C9" w:rsidRPr="00882FD5" w:rsidRDefault="00C325C9" w:rsidP="00A8346F">
            <w:pPr>
              <w:spacing w:before="0" w:line="240" w:lineRule="auto"/>
              <w:jc w:val="center"/>
              <w:rPr>
                <w:color w:val="000000"/>
                <w:sz w:val="22"/>
                <w:szCs w:val="22"/>
              </w:rPr>
            </w:pPr>
            <w:r w:rsidRPr="00882FD5">
              <w:rPr>
                <w:color w:val="000000"/>
                <w:sz w:val="22"/>
                <w:szCs w:val="22"/>
              </w:rPr>
              <w:t>1.5 to 58.5 (44 levels)</w:t>
            </w:r>
          </w:p>
        </w:tc>
        <w:tc>
          <w:tcPr>
            <w:tcW w:w="2240" w:type="dxa"/>
            <w:tcBorders>
              <w:top w:val="single" w:sz="4" w:space="0" w:color="auto"/>
              <w:left w:val="nil"/>
              <w:bottom w:val="double" w:sz="4" w:space="0" w:color="auto"/>
              <w:right w:val="double" w:sz="4" w:space="0" w:color="auto"/>
            </w:tcBorders>
            <w:shd w:val="clear" w:color="auto" w:fill="auto"/>
            <w:noWrap/>
            <w:vAlign w:val="center"/>
            <w:hideMark/>
          </w:tcPr>
          <w:p w14:paraId="551A28EC" w14:textId="77777777" w:rsidR="00C325C9" w:rsidRPr="00882FD5" w:rsidRDefault="00C325C9" w:rsidP="00A8346F">
            <w:pPr>
              <w:spacing w:before="0" w:line="240" w:lineRule="auto"/>
              <w:jc w:val="center"/>
              <w:rPr>
                <w:color w:val="000000"/>
                <w:sz w:val="22"/>
                <w:szCs w:val="22"/>
              </w:rPr>
            </w:pPr>
            <w:r w:rsidRPr="00882FD5">
              <w:rPr>
                <w:color w:val="000000"/>
                <w:sz w:val="22"/>
                <w:szCs w:val="22"/>
              </w:rPr>
              <w:t>4 to 14 (9 levels)</w:t>
            </w:r>
          </w:p>
        </w:tc>
      </w:tr>
    </w:tbl>
    <w:p w14:paraId="618BAD00" w14:textId="77777777" w:rsidR="00C325C9" w:rsidRPr="00882FD5" w:rsidRDefault="00C325C9" w:rsidP="0042089A">
      <w:pPr>
        <w:spacing w:before="0" w:line="240" w:lineRule="auto"/>
      </w:pPr>
      <w:r w:rsidRPr="00882FD5">
        <w:br w:type="page"/>
      </w:r>
    </w:p>
    <w:p w14:paraId="5D697F88" w14:textId="1AE133A9" w:rsidR="00C325C9" w:rsidRPr="00882FD5" w:rsidRDefault="00C325C9" w:rsidP="0042089A">
      <w:pPr>
        <w:autoSpaceDE w:val="0"/>
        <w:autoSpaceDN w:val="0"/>
        <w:adjustRightInd w:val="0"/>
        <w:spacing w:before="0" w:line="240" w:lineRule="auto"/>
        <w:jc w:val="center"/>
        <w:rPr>
          <w:b/>
          <w:sz w:val="28"/>
          <w:lang w:eastAsia="ja-JP"/>
        </w:rPr>
      </w:pPr>
      <w:r w:rsidRPr="00882FD5">
        <w:rPr>
          <w:b/>
          <w:sz w:val="28"/>
          <w:lang w:eastAsia="ja-JP"/>
        </w:rPr>
        <w:lastRenderedPageBreak/>
        <w:t>Appendix C</w:t>
      </w:r>
    </w:p>
    <w:p w14:paraId="334559C5" w14:textId="77777777" w:rsidR="00B6426B" w:rsidRDefault="00B6426B" w:rsidP="0042089A">
      <w:pPr>
        <w:autoSpaceDE w:val="0"/>
        <w:autoSpaceDN w:val="0"/>
        <w:adjustRightInd w:val="0"/>
        <w:spacing w:before="0" w:line="240" w:lineRule="auto"/>
        <w:jc w:val="both"/>
        <w:rPr>
          <w:lang w:eastAsia="ja-JP"/>
        </w:rPr>
      </w:pPr>
    </w:p>
    <w:p w14:paraId="46630F9D" w14:textId="2158DD3A" w:rsidR="002C69D1" w:rsidRDefault="002C69D1" w:rsidP="0042089A">
      <w:pPr>
        <w:autoSpaceDE w:val="0"/>
        <w:autoSpaceDN w:val="0"/>
        <w:adjustRightInd w:val="0"/>
        <w:spacing w:before="0" w:line="240" w:lineRule="auto"/>
        <w:jc w:val="both"/>
      </w:pPr>
      <w:r w:rsidRPr="00882FD5">
        <w:rPr>
          <w:lang w:eastAsia="ja-JP"/>
        </w:rPr>
        <w:t>To tease out the components of the total effect of HDN living on travel behavior choices, we use the “average treatment effects” metric</w:t>
      </w:r>
      <w:r w:rsidR="00C10483">
        <w:rPr>
          <w:lang w:eastAsia="ja-JP"/>
        </w:rPr>
        <w:t>,</w:t>
      </w:r>
      <w:r w:rsidRPr="00882FD5">
        <w:rPr>
          <w:lang w:eastAsia="ja-JP"/>
        </w:rPr>
        <w:t xml:space="preserve"> which computes the impact on a downstream variable of interest due to a treatment that changes the state of an antecedent variable from one state to another. In our case, the downstream variables are auto-ownership and travel modal preferences</w:t>
      </w:r>
      <w:r w:rsidR="00C10483">
        <w:rPr>
          <w:lang w:eastAsia="ja-JP"/>
        </w:rPr>
        <w:t>,</w:t>
      </w:r>
      <w:r w:rsidRPr="00882FD5">
        <w:rPr>
          <w:lang w:eastAsia="ja-JP"/>
        </w:rPr>
        <w:t xml:space="preserve"> </w:t>
      </w:r>
      <w:r w:rsidR="00C10483" w:rsidRPr="00882FD5">
        <w:rPr>
          <w:lang w:eastAsia="ja-JP"/>
        </w:rPr>
        <w:t>wh</w:t>
      </w:r>
      <w:r w:rsidR="00C10483">
        <w:rPr>
          <w:lang w:eastAsia="ja-JP"/>
        </w:rPr>
        <w:t xml:space="preserve">ile </w:t>
      </w:r>
      <w:r w:rsidRPr="00882FD5">
        <w:rPr>
          <w:lang w:eastAsia="ja-JP"/>
        </w:rPr>
        <w:t xml:space="preserve">the antecedent variable is the HDN living binary variable (note that the downstream and the antecedent variables are correlated in our proposed model). </w:t>
      </w:r>
      <w:r w:rsidRPr="00882FD5">
        <w:t>For ease of presentation, interpretability</w:t>
      </w:r>
      <w:r w:rsidR="00003DCD" w:rsidRPr="00882FD5">
        <w:t>,</w:t>
      </w:r>
      <w:r w:rsidRPr="00882FD5">
        <w:t xml:space="preserve"> and understanding, we use the travel-related endogenous outcome variables in specific forms for our analysis. For the auto-ownership outcome, since the ordered levels themselves indicate the cardinal values of the number of private vehicles owned, we use the ordered values as they are except for the highest ordered level (which groups the ownership levels of 4 vehicles or greater) for which we use a cardinal value of 4.5 for the number of vehicles owned. Therefore, with </w:t>
      </w:r>
      <w:r w:rsidRPr="00882FD5">
        <w:rPr>
          <w:i/>
        </w:rPr>
        <w:t xml:space="preserve">j </w:t>
      </w:r>
      <w:r w:rsidRPr="00882FD5">
        <w:t>as the number of ordered levels in the auto-ownership model (</w:t>
      </w:r>
      <w:r w:rsidRPr="00882FD5">
        <w:rPr>
          <w:i/>
        </w:rPr>
        <w:t>j=</w:t>
      </w:r>
      <w:r w:rsidRPr="00882FD5">
        <w:t>0,1,2,3,4) and</w:t>
      </w:r>
      <w:r w:rsidR="00852CF5">
        <w:t xml:space="preserve"> </w:t>
      </w:r>
      <w:r w:rsidR="00852CF5" w:rsidRPr="00852CF5">
        <w:rPr>
          <w:position w:val="-14"/>
        </w:rPr>
        <w:object w:dxaOrig="260" w:dyaOrig="380" w14:anchorId="2791C024">
          <v:shape id="_x0000_i1219" type="#_x0000_t75" style="width:12.85pt;height:18.85pt" o:ole="">
            <v:imagedata r:id="rId382" o:title=""/>
          </v:shape>
          <o:OLEObject Type="Embed" ProgID="Equation.DSMT4" ShapeID="_x0000_i1219" DrawAspect="Content" ObjectID="_1738155116" r:id="rId383"/>
        </w:object>
      </w:r>
      <w:r w:rsidRPr="00882FD5">
        <w:t xml:space="preserve"> as the cardinality of these ordered levels</w:t>
      </w:r>
      <w:r w:rsidR="00C10483">
        <w:t xml:space="preserve"> (</w:t>
      </w:r>
      <w:r w:rsidRPr="00882FD5">
        <w:t>0,</w:t>
      </w:r>
      <w:r w:rsidR="00003DCD" w:rsidRPr="00882FD5">
        <w:t xml:space="preserve"> </w:t>
      </w:r>
      <w:r w:rsidRPr="00882FD5">
        <w:t>1,</w:t>
      </w:r>
      <w:r w:rsidR="00003DCD" w:rsidRPr="00882FD5">
        <w:t xml:space="preserve"> </w:t>
      </w:r>
      <w:r w:rsidRPr="00882FD5">
        <w:t>2,</w:t>
      </w:r>
      <w:r w:rsidR="00003DCD" w:rsidRPr="00882FD5">
        <w:t xml:space="preserve"> </w:t>
      </w:r>
      <w:r w:rsidRPr="00882FD5">
        <w:t>3, and 4.5</w:t>
      </w:r>
      <w:r w:rsidR="00B32FEF">
        <w:t>,</w:t>
      </w:r>
      <w:r w:rsidR="00C10483">
        <w:t xml:space="preserve"> respectively)</w:t>
      </w:r>
      <w:r w:rsidRPr="00882FD5">
        <w:t xml:space="preserve">, we can write the expected household auto-ownership </w:t>
      </w:r>
      <w:r w:rsidR="00852CF5" w:rsidRPr="00882FD5">
        <w:rPr>
          <w:position w:val="-14"/>
        </w:rPr>
        <w:object w:dxaOrig="279" w:dyaOrig="380" w14:anchorId="561EB448">
          <v:shape id="_x0000_i1220" type="#_x0000_t75" style="width:13.7pt;height:18.85pt" o:ole="" o:preferrelative="f">
            <v:imagedata r:id="rId384" o:title=""/>
            <o:lock v:ext="edit" aspectratio="f"/>
          </v:shape>
          <o:OLEObject Type="Embed" ProgID="Equation.DSMT4" ShapeID="_x0000_i1220" DrawAspect="Content" ObjectID="_1738155117" r:id="rId385"/>
        </w:object>
      </w:r>
      <w:r w:rsidRPr="00882FD5">
        <w:t xml:space="preserve">for an individual </w:t>
      </w:r>
      <w:r w:rsidRPr="00882FD5">
        <w:rPr>
          <w:i/>
        </w:rPr>
        <w:t>q</w:t>
      </w:r>
      <w:r w:rsidRPr="00882FD5">
        <w:t xml:space="preserve"> (where </w:t>
      </w:r>
      <w:r w:rsidR="00852CF5" w:rsidRPr="00882FD5">
        <w:rPr>
          <w:position w:val="-14"/>
        </w:rPr>
        <w:object w:dxaOrig="279" w:dyaOrig="400" w14:anchorId="72F70F30">
          <v:shape id="_x0000_i1221" type="#_x0000_t75" style="width:13.7pt;height:20.15pt" o:ole="" o:preferrelative="f">
            <v:imagedata r:id="rId386" o:title=""/>
            <o:lock v:ext="edit" aspectratio="f"/>
          </v:shape>
          <o:OLEObject Type="Embed" ProgID="Equation.DSMT4" ShapeID="_x0000_i1221" DrawAspect="Content" ObjectID="_1738155118" r:id="rId387"/>
        </w:object>
      </w:r>
      <w:r w:rsidRPr="00882FD5">
        <w:t xml:space="preserve"> is the ordered level) as follows:</w:t>
      </w:r>
    </w:p>
    <w:p w14:paraId="34A05B16" w14:textId="398A72F2" w:rsidR="008D5B3E" w:rsidRDefault="00907D2E" w:rsidP="00907D2E">
      <w:pPr>
        <w:autoSpaceDE w:val="0"/>
        <w:autoSpaceDN w:val="0"/>
        <w:adjustRightInd w:val="0"/>
        <w:spacing w:after="120" w:line="240" w:lineRule="auto"/>
        <w:jc w:val="both"/>
      </w:pPr>
      <w:r w:rsidRPr="00907D2E">
        <w:rPr>
          <w:position w:val="-32"/>
        </w:rPr>
        <w:object w:dxaOrig="2380" w:dyaOrig="760" w14:anchorId="6C89CD7E">
          <v:shape id="_x0000_i1222" type="#_x0000_t75" style="width:119.15pt;height:38.15pt" o:ole="">
            <v:imagedata r:id="rId388" o:title=""/>
          </v:shape>
          <o:OLEObject Type="Embed" ProgID="Equation.DSMT4" ShapeID="_x0000_i1222" DrawAspect="Content" ObjectID="_1738155119" r:id="rId389"/>
        </w:object>
      </w:r>
    </w:p>
    <w:p w14:paraId="7D80B2C1" w14:textId="32F3235C" w:rsidR="002C69D1" w:rsidRPr="00882FD5" w:rsidRDefault="002C69D1" w:rsidP="00B6426B">
      <w:pPr>
        <w:autoSpaceDE w:val="0"/>
        <w:autoSpaceDN w:val="0"/>
        <w:adjustRightInd w:val="0"/>
        <w:spacing w:before="0" w:line="240" w:lineRule="auto"/>
        <w:ind w:firstLine="720"/>
        <w:jc w:val="both"/>
        <w:rPr>
          <w:lang w:eastAsia="ja-JP"/>
        </w:rPr>
      </w:pPr>
      <w:r w:rsidRPr="00882FD5">
        <w:t>To simplify presentability and interpretability along the mode choice model component, we compute the ATEs as a percentage change in the first-choice shares (and not a rank-based choice) of the modes between the case where all individuals in the dataset are assumed to be in a non-high density neighborhood and the case where all individuals are assumed to be in a high-density neighborhood.</w:t>
      </w:r>
    </w:p>
    <w:p w14:paraId="4D5685FB" w14:textId="3DC8C632" w:rsidR="002C69D1" w:rsidRPr="00882FD5" w:rsidRDefault="002C69D1" w:rsidP="00B6426B">
      <w:pPr>
        <w:autoSpaceDE w:val="0"/>
        <w:autoSpaceDN w:val="0"/>
        <w:adjustRightInd w:val="0"/>
        <w:spacing w:before="0" w:line="240" w:lineRule="auto"/>
        <w:ind w:firstLine="720"/>
        <w:jc w:val="both"/>
      </w:pPr>
      <w:bookmarkStart w:id="17" w:name="_Hlk109878697"/>
      <w:r w:rsidRPr="00882FD5">
        <w:rPr>
          <w:lang w:eastAsia="ja-JP"/>
        </w:rPr>
        <w:t>As discussed in the main text, there are three effects associated with HDN living propensity on auto-ownership and mode choice dimensions</w:t>
      </w:r>
      <w:bookmarkEnd w:id="17"/>
      <w:r w:rsidRPr="00882FD5">
        <w:rPr>
          <w:lang w:eastAsia="ja-JP"/>
        </w:rPr>
        <w:t xml:space="preserve">. </w:t>
      </w:r>
      <w:r w:rsidRPr="00882FD5">
        <w:t>To disentangle these three effects, we first estimate an independent heterogeneous data model (IHDM). This IHDM ignores the correlations among the three main outcomes and does not consider the stochastic latent constructs in the framework; thus, the second and the third effects (the self-selection and the endogeneity effects) are completely ignored</w:t>
      </w:r>
      <w:r w:rsidR="00C10483">
        <w:t>,</w:t>
      </w:r>
      <w:r w:rsidRPr="00882FD5">
        <w:t xml:space="preserve"> which then get lumped up as the “true” causal effect within the coefficient (direct effect) on the HDN variable in the travel-behavior outcome equations. Therefore, the ATEs computed from the IHDM model (with the “treatment” being an individual shifting from a non-HDN living to an HDN-living scenario) may be considered to cumulatively include all three effects. Moreover, in the traditional GHDM framework (TRAD-GHDM)</w:t>
      </w:r>
      <w:r w:rsidR="00C10483">
        <w:t>,</w:t>
      </w:r>
      <w:r w:rsidRPr="00882FD5">
        <w:t xml:space="preserve"> which does consider the endogeneity effects, only the first and the second effects are present (and the third effect gets clubbed with the self-selection effect). Using the steps discussed below, we also quanti</w:t>
      </w:r>
      <w:r w:rsidR="00003DCD" w:rsidRPr="00882FD5">
        <w:t>f</w:t>
      </w:r>
      <w:r w:rsidRPr="00882FD5">
        <w:t>y the “true” causal and the self-selection effects of the TRAD-GHDM framework and compare them to our proposed GHDM framework (or FLEX-GHDM, which considers the latent construct endogeneity)</w:t>
      </w:r>
      <w:r w:rsidR="00687995" w:rsidRPr="00882FD5">
        <w:t>.</w:t>
      </w:r>
    </w:p>
    <w:p w14:paraId="0B5ECF5E" w14:textId="33E98563" w:rsidR="002C69D1" w:rsidRDefault="002C69D1" w:rsidP="00B6426B">
      <w:pPr>
        <w:autoSpaceDE w:val="0"/>
        <w:autoSpaceDN w:val="0"/>
        <w:adjustRightInd w:val="0"/>
        <w:spacing w:before="0" w:line="240" w:lineRule="auto"/>
        <w:ind w:firstLine="720"/>
        <w:jc w:val="both"/>
      </w:pPr>
      <w:r w:rsidRPr="00882FD5">
        <w:t>To compute and compare the contributions of the various effects, we undertake the following steps:</w:t>
      </w:r>
    </w:p>
    <w:p w14:paraId="20AEEE13" w14:textId="77777777" w:rsidR="00B6426B" w:rsidRPr="00882FD5" w:rsidRDefault="00B6426B" w:rsidP="00B6426B">
      <w:pPr>
        <w:autoSpaceDE w:val="0"/>
        <w:autoSpaceDN w:val="0"/>
        <w:adjustRightInd w:val="0"/>
        <w:spacing w:before="0" w:line="240" w:lineRule="auto"/>
        <w:ind w:firstLine="720"/>
        <w:jc w:val="both"/>
      </w:pPr>
    </w:p>
    <w:p w14:paraId="166A7C88" w14:textId="77777777" w:rsidR="00B6426B" w:rsidRDefault="002C69D1" w:rsidP="00B6426B">
      <w:pPr>
        <w:autoSpaceDE w:val="0"/>
        <w:autoSpaceDN w:val="0"/>
        <w:adjustRightInd w:val="0"/>
        <w:spacing w:before="0" w:line="240" w:lineRule="auto"/>
        <w:jc w:val="both"/>
      </w:pPr>
      <w:r w:rsidRPr="00882FD5">
        <w:rPr>
          <w:b/>
        </w:rPr>
        <w:t>Step 1</w:t>
      </w:r>
      <w:r w:rsidRPr="00882FD5">
        <w:t xml:space="preserve">: Using the estimates from the IHDM model, compute the ATEs for the main outcomes with respect to the HDN-living variable; say this value is </w:t>
      </w:r>
      <m:oMath>
        <m:sSub>
          <m:sSubPr>
            <m:ctrlPr>
              <w:rPr>
                <w:rFonts w:ascii="Cambria Math" w:hAnsi="Cambria Math"/>
                <w:i/>
              </w:rPr>
            </m:ctrlPr>
          </m:sSubPr>
          <m:e>
            <m:r>
              <w:rPr>
                <w:rFonts w:ascii="Cambria Math" w:hAnsi="Cambria Math"/>
              </w:rPr>
              <m:t>X</m:t>
            </m:r>
          </m:e>
          <m:sub>
            <m:r>
              <w:rPr>
                <w:rFonts w:ascii="Cambria Math" w:hAnsi="Cambria Math"/>
              </w:rPr>
              <m:t>IHDM</m:t>
            </m:r>
          </m:sub>
        </m:sSub>
      </m:oMath>
      <w:r w:rsidRPr="00882FD5">
        <w:t xml:space="preserve"> (we will use this value as the base since this value may be considered to include the </w:t>
      </w:r>
      <w:r w:rsidR="00003DCD" w:rsidRPr="00882FD5">
        <w:t xml:space="preserve">total </w:t>
      </w:r>
      <w:r w:rsidRPr="00882FD5">
        <w:t xml:space="preserve">sum of all the three effects lumped into the direct </w:t>
      </w:r>
      <w:r w:rsidRPr="00882FD5">
        <w:lastRenderedPageBreak/>
        <w:t>“true” causal effect for the IHDM framework, i.e., the total effect of HDN on the travel-related outcomes across all the models discussed below are considered to be the same as this value</w:t>
      </w:r>
      <w:r w:rsidR="00C10483">
        <w:t>,</w:t>
      </w:r>
      <w:r w:rsidRPr="00882FD5">
        <w:t xml:space="preserve"> but differing in the contribution-split of the three effects </w:t>
      </w:r>
      <w:r w:rsidR="00687995" w:rsidRPr="00882FD5">
        <w:t>discussed</w:t>
      </w:r>
      <w:r w:rsidRPr="00882FD5">
        <w:t xml:space="preserve"> earlier).</w:t>
      </w:r>
    </w:p>
    <w:p w14:paraId="4F46132D" w14:textId="5A6CAE60" w:rsidR="002C69D1" w:rsidRPr="00882FD5" w:rsidRDefault="002C69D1" w:rsidP="00B6426B">
      <w:pPr>
        <w:autoSpaceDE w:val="0"/>
        <w:autoSpaceDN w:val="0"/>
        <w:adjustRightInd w:val="0"/>
        <w:spacing w:before="0" w:line="240" w:lineRule="auto"/>
        <w:jc w:val="both"/>
      </w:pPr>
      <w:r w:rsidRPr="00882FD5">
        <w:t xml:space="preserve"> </w:t>
      </w:r>
    </w:p>
    <w:p w14:paraId="4E5A90DF" w14:textId="0F5FD240" w:rsidR="002C69D1" w:rsidRDefault="002C69D1" w:rsidP="00B6426B">
      <w:pPr>
        <w:autoSpaceDE w:val="0"/>
        <w:autoSpaceDN w:val="0"/>
        <w:adjustRightInd w:val="0"/>
        <w:spacing w:before="0" w:line="240" w:lineRule="auto"/>
        <w:jc w:val="both"/>
      </w:pPr>
      <w:r w:rsidRPr="00882FD5">
        <w:rPr>
          <w:b/>
        </w:rPr>
        <w:t>Step 2</w:t>
      </w:r>
      <w:r w:rsidRPr="00882FD5">
        <w:t xml:space="preserve">: For the TRAD-GHDM model, compute the ATE values with the coefficient estimates from the estimated TRAD-GHDM model but </w:t>
      </w:r>
      <w:r w:rsidR="00C10483">
        <w:t>ignore the correlation</w:t>
      </w:r>
      <w:r w:rsidR="00F95DEC">
        <w:t>s among</w:t>
      </w:r>
      <w:r w:rsidR="00C10483">
        <w:t xml:space="preserve"> the main outcome</w:t>
      </w:r>
      <w:r w:rsidR="00F95DEC">
        <w:t xml:space="preserve"> equations</w:t>
      </w:r>
      <w:r w:rsidR="00C10483">
        <w:t xml:space="preserve"> (</w:t>
      </w:r>
      <w:r w:rsidR="00F95DEC">
        <w:t xml:space="preserve">i.e., consider the corresponding </w:t>
      </w:r>
      <w:r w:rsidR="00F95DEC" w:rsidRPr="0050356E">
        <w:rPr>
          <w:position w:val="-4"/>
        </w:rPr>
        <w:object w:dxaOrig="260" w:dyaOrig="260" w14:anchorId="5B19A6B2">
          <v:shape id="_x0000_i1223" type="#_x0000_t75" style="width:12.85pt;height:12.85pt" o:ole="">
            <v:imagedata r:id="rId390" o:title=""/>
          </v:shape>
          <o:OLEObject Type="Embed" ProgID="Equation.DSMT4" ShapeID="_x0000_i1223" DrawAspect="Content" ObjectID="_1738155120" r:id="rId391"/>
        </w:object>
      </w:r>
      <w:r w:rsidR="00F95DEC">
        <w:t xml:space="preserve"> matrix in the TRAD-GHDM model to be an identity matrix while computing the ATE values)</w:t>
      </w:r>
      <w:r w:rsidRPr="00882FD5">
        <w:t xml:space="preserve">; say this value is </w:t>
      </w:r>
      <m:oMath>
        <m:sSub>
          <m:sSubPr>
            <m:ctrlPr>
              <w:rPr>
                <w:rFonts w:ascii="Cambria Math" w:hAnsi="Cambria Math"/>
                <w:i/>
              </w:rPr>
            </m:ctrlPr>
          </m:sSubPr>
          <m:e>
            <m:r>
              <w:rPr>
                <w:rFonts w:ascii="Cambria Math" w:hAnsi="Cambria Math"/>
              </w:rPr>
              <m:t>X</m:t>
            </m:r>
          </m:e>
          <m:sub>
            <m:r>
              <w:rPr>
                <w:rFonts w:ascii="Cambria Math" w:hAnsi="Cambria Math"/>
              </w:rPr>
              <m:t>TRAD-TRUE</m:t>
            </m:r>
          </m:sub>
        </m:sSub>
      </m:oMath>
      <w:r w:rsidRPr="00882FD5">
        <w:t xml:space="preserve">. The </w:t>
      </w:r>
      <m:oMath>
        <m:sSub>
          <m:sSubPr>
            <m:ctrlPr>
              <w:rPr>
                <w:rFonts w:ascii="Cambria Math" w:hAnsi="Cambria Math"/>
                <w:i/>
              </w:rPr>
            </m:ctrlPr>
          </m:sSubPr>
          <m:e>
            <m:r>
              <w:rPr>
                <w:rFonts w:ascii="Cambria Math" w:hAnsi="Cambria Math"/>
              </w:rPr>
              <m:t>X</m:t>
            </m:r>
          </m:e>
          <m:sub>
            <m:r>
              <w:rPr>
                <w:rFonts w:ascii="Cambria Math" w:hAnsi="Cambria Math"/>
              </w:rPr>
              <m:t>TRAD-TRUE</m:t>
            </m:r>
          </m:sub>
        </m:sSub>
      </m:oMath>
      <w:r w:rsidRPr="00882FD5">
        <w:t xml:space="preserve"> denotes the “true” causal effect for the TRAD-GHDM model</w:t>
      </w:r>
      <w:r w:rsidR="00FB7887">
        <w:t>,</w:t>
      </w:r>
      <w:r w:rsidRPr="00882FD5">
        <w:t xml:space="preserve"> while the self-selection effect is obtained as  </w:t>
      </w:r>
      <m:oMath>
        <m:sSub>
          <m:sSubPr>
            <m:ctrlPr>
              <w:rPr>
                <w:rFonts w:ascii="Cambria Math" w:hAnsi="Cambria Math"/>
                <w:i/>
              </w:rPr>
            </m:ctrlPr>
          </m:sSubPr>
          <m:e>
            <m:r>
              <w:rPr>
                <w:rFonts w:ascii="Cambria Math" w:hAnsi="Cambria Math"/>
              </w:rPr>
              <m:t>X</m:t>
            </m:r>
          </m:e>
          <m:sub>
            <m:r>
              <w:rPr>
                <w:rFonts w:ascii="Cambria Math" w:hAnsi="Cambria Math"/>
              </w:rPr>
              <m:t>IHDM</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TRAD-TRUE</m:t>
            </m:r>
          </m:sub>
        </m:sSub>
      </m:oMath>
      <w:r w:rsidRPr="00882FD5">
        <w:t>. Express these values as percentage</w:t>
      </w:r>
      <w:r w:rsidR="00003DCD" w:rsidRPr="00882FD5">
        <w:t>s</w:t>
      </w:r>
      <w:r w:rsidRPr="00882FD5">
        <w:t xml:space="preserve"> of the </w:t>
      </w:r>
      <m:oMath>
        <m:sSub>
          <m:sSubPr>
            <m:ctrlPr>
              <w:rPr>
                <w:rFonts w:ascii="Cambria Math" w:hAnsi="Cambria Math"/>
                <w:i/>
              </w:rPr>
            </m:ctrlPr>
          </m:sSubPr>
          <m:e>
            <m:r>
              <w:rPr>
                <w:rFonts w:ascii="Cambria Math" w:hAnsi="Cambria Math"/>
              </w:rPr>
              <m:t>X</m:t>
            </m:r>
          </m:e>
          <m:sub>
            <m:r>
              <w:rPr>
                <w:rFonts w:ascii="Cambria Math" w:hAnsi="Cambria Math"/>
              </w:rPr>
              <m:t>IHDM</m:t>
            </m:r>
          </m:sub>
        </m:sSub>
      </m:oMath>
      <w:r w:rsidRPr="00882FD5">
        <w:t xml:space="preserve"> quantity in absolute terms along with their actual magnitudes (as reported in Table 7).</w:t>
      </w:r>
    </w:p>
    <w:p w14:paraId="6A11AD3A" w14:textId="77777777" w:rsidR="00B6426B" w:rsidRPr="00882FD5" w:rsidRDefault="00B6426B" w:rsidP="00B6426B">
      <w:pPr>
        <w:autoSpaceDE w:val="0"/>
        <w:autoSpaceDN w:val="0"/>
        <w:adjustRightInd w:val="0"/>
        <w:spacing w:before="0" w:line="240" w:lineRule="auto"/>
        <w:jc w:val="both"/>
      </w:pPr>
    </w:p>
    <w:p w14:paraId="03748798" w14:textId="5C698949" w:rsidR="00221163" w:rsidRPr="00882FD5" w:rsidRDefault="002C69D1" w:rsidP="00B6426B">
      <w:pPr>
        <w:autoSpaceDE w:val="0"/>
        <w:autoSpaceDN w:val="0"/>
        <w:adjustRightInd w:val="0"/>
        <w:spacing w:before="0" w:line="240" w:lineRule="auto"/>
        <w:jc w:val="both"/>
      </w:pPr>
      <w:r w:rsidRPr="00882FD5">
        <w:rPr>
          <w:b/>
        </w:rPr>
        <w:t>Step 3</w:t>
      </w:r>
      <w:r w:rsidRPr="00882FD5">
        <w:t>: For our proposed FLEX-GHDM model, compute the ATE values from the coefficient estimates (as reported in Table 4) but consider</w:t>
      </w:r>
      <w:r w:rsidR="00F95DEC">
        <w:t xml:space="preserve"> the </w:t>
      </w:r>
      <w:r w:rsidR="00F95DEC" w:rsidRPr="00700D34">
        <w:rPr>
          <w:position w:val="-4"/>
        </w:rPr>
        <w:object w:dxaOrig="260" w:dyaOrig="260" w14:anchorId="2A652650">
          <v:shape id="_x0000_i1224" type="#_x0000_t75" style="width:12.85pt;height:12.85pt" o:ole="">
            <v:imagedata r:id="rId390" o:title=""/>
          </v:shape>
          <o:OLEObject Type="Embed" ProgID="Equation.DSMT4" ShapeID="_x0000_i1224" DrawAspect="Content" ObjectID="_1738155121" r:id="rId392"/>
        </w:object>
      </w:r>
      <w:r w:rsidR="00F95DEC">
        <w:t xml:space="preserve"> matrix (</w:t>
      </w:r>
      <w:r w:rsidR="008D5B3E">
        <w:t xml:space="preserve">shown in </w:t>
      </w:r>
      <w:r w:rsidR="00F95DEC">
        <w:t>Equation 12) to be an identity matrix</w:t>
      </w:r>
      <w:r w:rsidR="00907D2E">
        <w:t>,</w:t>
      </w:r>
      <w:r w:rsidR="00F95DEC">
        <w:t xml:space="preserve"> i.e.</w:t>
      </w:r>
      <w:r w:rsidRPr="00882FD5">
        <w:t xml:space="preserve">, </w:t>
      </w:r>
      <w:r w:rsidR="00F95DEC">
        <w:t xml:space="preserve">completely </w:t>
      </w:r>
      <w:r w:rsidRPr="00882FD5">
        <w:t>ignore the correlations between the main outcome equations</w:t>
      </w:r>
      <w:r w:rsidR="00F95DEC">
        <w:t xml:space="preserve"> (</w:t>
      </w:r>
      <w:r w:rsidRPr="00882FD5">
        <w:t>as well as the latent-construct endogeneity effects</w:t>
      </w:r>
      <w:r w:rsidR="00F95DEC">
        <w:t>)</w:t>
      </w:r>
      <w:r w:rsidRPr="00882FD5">
        <w:t xml:space="preserve">; say this value is </w:t>
      </w:r>
      <m:oMath>
        <m:sSub>
          <m:sSubPr>
            <m:ctrlPr>
              <w:rPr>
                <w:rFonts w:ascii="Cambria Math" w:hAnsi="Cambria Math"/>
                <w:i/>
              </w:rPr>
            </m:ctrlPr>
          </m:sSubPr>
          <m:e>
            <m:r>
              <w:rPr>
                <w:rFonts w:ascii="Cambria Math" w:hAnsi="Cambria Math"/>
              </w:rPr>
              <m:t>X</m:t>
            </m:r>
          </m:e>
          <m:sub>
            <m:r>
              <w:rPr>
                <w:rFonts w:ascii="Cambria Math" w:hAnsi="Cambria Math"/>
              </w:rPr>
              <m:t>FLEX-TRUE</m:t>
            </m:r>
          </m:sub>
        </m:sSub>
      </m:oMath>
      <w:r w:rsidRPr="00882FD5">
        <w:t xml:space="preserve">. The </w:t>
      </w:r>
      <m:oMath>
        <m:sSub>
          <m:sSubPr>
            <m:ctrlPr>
              <w:rPr>
                <w:rFonts w:ascii="Cambria Math" w:hAnsi="Cambria Math"/>
                <w:i/>
              </w:rPr>
            </m:ctrlPr>
          </m:sSubPr>
          <m:e>
            <m:r>
              <w:rPr>
                <w:rFonts w:ascii="Cambria Math" w:hAnsi="Cambria Math"/>
              </w:rPr>
              <m:t>X</m:t>
            </m:r>
          </m:e>
          <m:sub>
            <m:r>
              <w:rPr>
                <w:rFonts w:ascii="Cambria Math" w:hAnsi="Cambria Math"/>
              </w:rPr>
              <m:t>FLEX-TRUE</m:t>
            </m:r>
          </m:sub>
        </m:sSub>
      </m:oMath>
      <w:r w:rsidRPr="00882FD5">
        <w:t xml:space="preserve"> denotes the “true” causal effect for our proposed framework. Next, compute another ATE value but this time</w:t>
      </w:r>
      <w:r w:rsidR="00FB7887">
        <w:t xml:space="preserve"> consider the</w:t>
      </w:r>
      <w:r w:rsidRPr="00882FD5">
        <w:t xml:space="preserve"> </w:t>
      </w:r>
      <w:r w:rsidR="00F95DEC" w:rsidRPr="00700D34">
        <w:rPr>
          <w:position w:val="-4"/>
        </w:rPr>
        <w:object w:dxaOrig="260" w:dyaOrig="260" w14:anchorId="37B77800">
          <v:shape id="_x0000_i1225" type="#_x0000_t75" style="width:12.85pt;height:12.85pt" o:ole="">
            <v:imagedata r:id="rId390" o:title=""/>
          </v:shape>
          <o:OLEObject Type="Embed" ProgID="Equation.DSMT4" ShapeID="_x0000_i1225" DrawAspect="Content" ObjectID="_1738155122" r:id="rId393"/>
        </w:object>
      </w:r>
      <w:r w:rsidR="00F95DEC">
        <w:t xml:space="preserve"> matrix as </w:t>
      </w:r>
      <w:r w:rsidR="00B32FEF">
        <w:t>described</w:t>
      </w:r>
      <w:r w:rsidR="00F95DEC">
        <w:t xml:space="preserve"> in Equation 12 but </w:t>
      </w:r>
      <w:r w:rsidR="00FB7887">
        <w:t>assume</w:t>
      </w:r>
      <w:r w:rsidRPr="00882FD5">
        <w:t xml:space="preserve"> </w:t>
      </w:r>
      <w:r w:rsidRPr="00882FD5">
        <w:rPr>
          <w:position w:val="-12"/>
        </w:rPr>
        <w:object w:dxaOrig="480" w:dyaOrig="360" w14:anchorId="2CF6BDB7">
          <v:shape id="_x0000_i1226" type="#_x0000_t75" style="width:24pt;height:18pt" o:ole="">
            <v:imagedata r:id="rId394" o:title=""/>
          </v:shape>
          <o:OLEObject Type="Embed" ProgID="Equation.DSMT4" ShapeID="_x0000_i1226" DrawAspect="Content" ObjectID="_1738155123" r:id="rId395"/>
        </w:object>
      </w:r>
      <w:r w:rsidRPr="00882FD5">
        <w:t xml:space="preserve">and </w:t>
      </w:r>
      <w:r w:rsidRPr="00882FD5">
        <w:rPr>
          <w:position w:val="-12"/>
        </w:rPr>
        <w:object w:dxaOrig="480" w:dyaOrig="360" w14:anchorId="10D8E4C2">
          <v:shape id="_x0000_i1227" type="#_x0000_t75" style="width:24pt;height:18pt" o:ole="">
            <v:imagedata r:id="rId396" o:title=""/>
          </v:shape>
          <o:OLEObject Type="Embed" ProgID="Equation.DSMT4" ShapeID="_x0000_i1227" DrawAspect="Content" ObjectID="_1738155124" r:id="rId397"/>
        </w:object>
      </w:r>
      <w:r w:rsidRPr="00882FD5">
        <w:t>to be zero matrices, i.e., ignor</w:t>
      </w:r>
      <w:r w:rsidR="008A2402">
        <w:t>e</w:t>
      </w:r>
      <w:r w:rsidRPr="00882FD5">
        <w:t xml:space="preserve"> the endogeneity effects; call this value </w:t>
      </w:r>
      <m:oMath>
        <m:sSub>
          <m:sSubPr>
            <m:ctrlPr>
              <w:rPr>
                <w:rFonts w:ascii="Cambria Math" w:hAnsi="Cambria Math"/>
                <w:i/>
              </w:rPr>
            </m:ctrlPr>
          </m:sSubPr>
          <m:e>
            <m:r>
              <w:rPr>
                <w:rFonts w:ascii="Cambria Math" w:hAnsi="Cambria Math"/>
              </w:rPr>
              <m:t>X</m:t>
            </m:r>
          </m:e>
          <m:sub>
            <m:r>
              <w:rPr>
                <w:rFonts w:ascii="Cambria Math" w:hAnsi="Cambria Math"/>
              </w:rPr>
              <m:t>FLEX-TRUE-SS</m:t>
            </m:r>
          </m:sub>
        </m:sSub>
        <m:r>
          <w:rPr>
            <w:rFonts w:ascii="Cambria Math" w:hAnsi="Cambria Math"/>
          </w:rPr>
          <m:t>.</m:t>
        </m:r>
      </m:oMath>
      <w:r w:rsidRPr="00882FD5">
        <w:t xml:space="preserve"> The </w:t>
      </w:r>
      <m:oMath>
        <m:sSub>
          <m:sSubPr>
            <m:ctrlPr>
              <w:rPr>
                <w:rFonts w:ascii="Cambria Math" w:hAnsi="Cambria Math"/>
                <w:i/>
              </w:rPr>
            </m:ctrlPr>
          </m:sSubPr>
          <m:e>
            <m:r>
              <w:rPr>
                <w:rFonts w:ascii="Cambria Math" w:hAnsi="Cambria Math"/>
              </w:rPr>
              <m:t>X</m:t>
            </m:r>
          </m:e>
          <m:sub>
            <m:r>
              <w:rPr>
                <w:rFonts w:ascii="Cambria Math" w:hAnsi="Cambria Math"/>
              </w:rPr>
              <m:t>FLEX-TRUE-SS</m:t>
            </m:r>
          </m:sub>
        </m:sSub>
      </m:oMath>
      <w:r w:rsidRPr="00882FD5">
        <w:t xml:space="preserve"> value cumulatively denotes the “true” causal effect and the self-selection effect. Therefore, the quantity  </w:t>
      </w:r>
      <m:oMath>
        <m:sSub>
          <m:sSubPr>
            <m:ctrlPr>
              <w:rPr>
                <w:rFonts w:ascii="Cambria Math" w:hAnsi="Cambria Math"/>
                <w:i/>
              </w:rPr>
            </m:ctrlPr>
          </m:sSubPr>
          <m:e>
            <m:r>
              <w:rPr>
                <w:rFonts w:ascii="Cambria Math" w:hAnsi="Cambria Math"/>
              </w:rPr>
              <m:t>X</m:t>
            </m:r>
          </m:e>
          <m:sub>
            <m:r>
              <w:rPr>
                <w:rFonts w:ascii="Cambria Math" w:hAnsi="Cambria Math"/>
              </w:rPr>
              <m:t>FLEX-TRUE-SS</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FLEX-TRUE</m:t>
            </m:r>
          </m:sub>
        </m:sSub>
      </m:oMath>
      <w:r w:rsidRPr="00882FD5">
        <w:t xml:space="preserve"> is the self-selection effect for our proposed model. Finally, the endogeneity effect may be obtained as </w:t>
      </w:r>
      <m:oMath>
        <m:sSub>
          <m:sSubPr>
            <m:ctrlPr>
              <w:rPr>
                <w:rFonts w:ascii="Cambria Math" w:hAnsi="Cambria Math"/>
                <w:i/>
              </w:rPr>
            </m:ctrlPr>
          </m:sSubPr>
          <m:e>
            <m:r>
              <w:rPr>
                <w:rFonts w:ascii="Cambria Math" w:hAnsi="Cambria Math"/>
              </w:rPr>
              <m:t>X</m:t>
            </m:r>
          </m:e>
          <m:sub>
            <m:r>
              <w:rPr>
                <w:rFonts w:ascii="Cambria Math" w:hAnsi="Cambria Math"/>
              </w:rPr>
              <m:t>IHDM</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FLEX-TRUE-SS</m:t>
            </m:r>
          </m:sub>
        </m:sSub>
      </m:oMath>
      <w:r w:rsidRPr="00882FD5">
        <w:t xml:space="preserve">. Express all these values as </w:t>
      </w:r>
      <w:r w:rsidR="00003DCD" w:rsidRPr="00882FD5">
        <w:t xml:space="preserve">a </w:t>
      </w:r>
      <w:r w:rsidRPr="00882FD5">
        <w:t xml:space="preserve">percentage of the </w:t>
      </w:r>
      <m:oMath>
        <m:sSub>
          <m:sSubPr>
            <m:ctrlPr>
              <w:rPr>
                <w:rFonts w:ascii="Cambria Math" w:hAnsi="Cambria Math"/>
                <w:i/>
              </w:rPr>
            </m:ctrlPr>
          </m:sSubPr>
          <m:e>
            <m:r>
              <w:rPr>
                <w:rFonts w:ascii="Cambria Math" w:hAnsi="Cambria Math"/>
              </w:rPr>
              <m:t>X</m:t>
            </m:r>
          </m:e>
          <m:sub>
            <m:r>
              <w:rPr>
                <w:rFonts w:ascii="Cambria Math" w:hAnsi="Cambria Math"/>
              </w:rPr>
              <m:t>IHDM</m:t>
            </m:r>
          </m:sub>
        </m:sSub>
      </m:oMath>
      <w:r w:rsidRPr="00882FD5">
        <w:t xml:space="preserve"> quantity in absolute terms along with their actual magnitudes (as reported in Table 7).</w:t>
      </w:r>
    </w:p>
    <w:p w14:paraId="3D070AB3" w14:textId="77777777" w:rsidR="00221163" w:rsidRPr="00882FD5" w:rsidRDefault="00221163">
      <w:pPr>
        <w:spacing w:before="0" w:after="160" w:line="259" w:lineRule="auto"/>
      </w:pPr>
      <w:r w:rsidRPr="00882FD5">
        <w:br w:type="page"/>
      </w:r>
    </w:p>
    <w:p w14:paraId="0B2D6D22" w14:textId="77777777" w:rsidR="00221163" w:rsidRPr="00882FD5" w:rsidRDefault="00221163" w:rsidP="00221163">
      <w:pPr>
        <w:spacing w:before="0" w:line="240" w:lineRule="auto"/>
        <w:jc w:val="both"/>
        <w:rPr>
          <w:b/>
          <w:color w:val="222222"/>
          <w:szCs w:val="20"/>
          <w:shd w:val="clear" w:color="auto" w:fill="FFFFFF"/>
        </w:rPr>
      </w:pPr>
      <w:r w:rsidRPr="00882FD5">
        <w:rPr>
          <w:b/>
          <w:color w:val="222222"/>
          <w:szCs w:val="20"/>
          <w:shd w:val="clear" w:color="auto" w:fill="FFFFFF"/>
        </w:rPr>
        <w:lastRenderedPageBreak/>
        <w:t>REFERENCES</w:t>
      </w:r>
    </w:p>
    <w:p w14:paraId="7AAF377D" w14:textId="27771E6E" w:rsidR="00575D15" w:rsidRPr="00B6426B" w:rsidRDefault="00575D15" w:rsidP="00B6426B">
      <w:pPr>
        <w:spacing w:before="80" w:line="240" w:lineRule="auto"/>
        <w:ind w:left="450" w:hanging="450"/>
        <w:jc w:val="both"/>
        <w:rPr>
          <w:b/>
          <w:color w:val="222222"/>
          <w:shd w:val="clear" w:color="auto" w:fill="FFFFFF"/>
        </w:rPr>
      </w:pPr>
      <w:r w:rsidRPr="00B6426B">
        <w:rPr>
          <w:color w:val="222222"/>
          <w:shd w:val="clear" w:color="auto" w:fill="FFFFFF"/>
        </w:rPr>
        <w:t>Ajzen, I. (1991). The theory of planned behavior. </w:t>
      </w:r>
      <w:r w:rsidRPr="00B6426B">
        <w:rPr>
          <w:i/>
          <w:iCs/>
          <w:color w:val="222222"/>
          <w:shd w:val="clear" w:color="auto" w:fill="FFFFFF"/>
        </w:rPr>
        <w:t>Organizational Behavior and Human Decision Processes</w:t>
      </w:r>
      <w:r w:rsidRPr="00B6426B">
        <w:rPr>
          <w:color w:val="222222"/>
          <w:shd w:val="clear" w:color="auto" w:fill="FFFFFF"/>
        </w:rPr>
        <w:t xml:space="preserve">, </w:t>
      </w:r>
      <w:r w:rsidRPr="00B6426B">
        <w:rPr>
          <w:iCs/>
          <w:color w:val="222222"/>
          <w:shd w:val="clear" w:color="auto" w:fill="FFFFFF"/>
        </w:rPr>
        <w:t>50</w:t>
      </w:r>
      <w:r w:rsidRPr="00B6426B">
        <w:rPr>
          <w:color w:val="222222"/>
          <w:shd w:val="clear" w:color="auto" w:fill="FFFFFF"/>
        </w:rPr>
        <w:t>(2)</w:t>
      </w:r>
      <w:r w:rsidR="00D61CFC" w:rsidRPr="00B6426B">
        <w:rPr>
          <w:color w:val="222222"/>
          <w:shd w:val="clear" w:color="auto" w:fill="FFFFFF"/>
        </w:rPr>
        <w:t>,</w:t>
      </w:r>
      <w:r w:rsidRPr="00B6426B">
        <w:rPr>
          <w:color w:val="222222"/>
          <w:shd w:val="clear" w:color="auto" w:fill="FFFFFF"/>
        </w:rPr>
        <w:t xml:space="preserve"> 179</w:t>
      </w:r>
      <w:r w:rsidR="00D61CFC" w:rsidRPr="00B6426B">
        <w:rPr>
          <w:color w:val="222222"/>
          <w:shd w:val="clear" w:color="auto" w:fill="FFFFFF"/>
        </w:rPr>
        <w:t>-</w:t>
      </w:r>
      <w:r w:rsidRPr="00B6426B">
        <w:rPr>
          <w:color w:val="222222"/>
          <w:shd w:val="clear" w:color="auto" w:fill="FFFFFF"/>
        </w:rPr>
        <w:t>211.</w:t>
      </w:r>
    </w:p>
    <w:p w14:paraId="2EF0BF15" w14:textId="4CCDB622" w:rsidR="00575D15" w:rsidRPr="00B6426B" w:rsidRDefault="00575D15" w:rsidP="00B6426B">
      <w:pPr>
        <w:spacing w:before="80" w:line="240" w:lineRule="auto"/>
        <w:ind w:left="450" w:hanging="450"/>
        <w:jc w:val="both"/>
        <w:rPr>
          <w:color w:val="222222"/>
          <w:shd w:val="clear" w:color="auto" w:fill="FFFFFF"/>
        </w:rPr>
      </w:pPr>
      <w:proofErr w:type="spellStart"/>
      <w:r w:rsidRPr="00B6426B">
        <w:rPr>
          <w:color w:val="222222"/>
          <w:shd w:val="clear" w:color="auto" w:fill="FFFFFF"/>
        </w:rPr>
        <w:t>Akar</w:t>
      </w:r>
      <w:proofErr w:type="spellEnd"/>
      <w:r w:rsidRPr="00B6426B">
        <w:rPr>
          <w:color w:val="222222"/>
          <w:shd w:val="clear" w:color="auto" w:fill="FFFFFF"/>
        </w:rPr>
        <w:t xml:space="preserve">, G., Fischer, N., and </w:t>
      </w:r>
      <w:proofErr w:type="spellStart"/>
      <w:r w:rsidRPr="00B6426B">
        <w:rPr>
          <w:color w:val="222222"/>
          <w:shd w:val="clear" w:color="auto" w:fill="FFFFFF"/>
        </w:rPr>
        <w:t>Namgung</w:t>
      </w:r>
      <w:proofErr w:type="spellEnd"/>
      <w:r w:rsidRPr="00B6426B">
        <w:rPr>
          <w:color w:val="222222"/>
          <w:shd w:val="clear" w:color="auto" w:fill="FFFFFF"/>
        </w:rPr>
        <w:t>, M. (2013). Bicycling choice and gender case study: The Ohio State University. </w:t>
      </w:r>
      <w:r w:rsidRPr="00B6426B">
        <w:rPr>
          <w:i/>
          <w:iCs/>
          <w:color w:val="222222"/>
          <w:shd w:val="clear" w:color="auto" w:fill="FFFFFF"/>
        </w:rPr>
        <w:t xml:space="preserve">International </w:t>
      </w:r>
      <w:r w:rsidR="00D61CFC" w:rsidRPr="00B6426B">
        <w:rPr>
          <w:i/>
          <w:iCs/>
          <w:color w:val="222222"/>
          <w:shd w:val="clear" w:color="auto" w:fill="FFFFFF"/>
        </w:rPr>
        <w:t>J</w:t>
      </w:r>
      <w:r w:rsidRPr="00B6426B">
        <w:rPr>
          <w:i/>
          <w:iCs/>
          <w:color w:val="222222"/>
          <w:shd w:val="clear" w:color="auto" w:fill="FFFFFF"/>
        </w:rPr>
        <w:t xml:space="preserve">ournal of </w:t>
      </w:r>
      <w:r w:rsidR="00D61CFC" w:rsidRPr="00B6426B">
        <w:rPr>
          <w:i/>
          <w:iCs/>
          <w:color w:val="222222"/>
          <w:shd w:val="clear" w:color="auto" w:fill="FFFFFF"/>
        </w:rPr>
        <w:t>S</w:t>
      </w:r>
      <w:r w:rsidRPr="00B6426B">
        <w:rPr>
          <w:i/>
          <w:iCs/>
          <w:color w:val="222222"/>
          <w:shd w:val="clear" w:color="auto" w:fill="FFFFFF"/>
        </w:rPr>
        <w:t xml:space="preserve">ustainable </w:t>
      </w:r>
      <w:r w:rsidR="00D61CFC" w:rsidRPr="00B6426B">
        <w:rPr>
          <w:i/>
          <w:iCs/>
          <w:color w:val="222222"/>
          <w:shd w:val="clear" w:color="auto" w:fill="FFFFFF"/>
        </w:rPr>
        <w:t>T</w:t>
      </w:r>
      <w:r w:rsidRPr="00B6426B">
        <w:rPr>
          <w:i/>
          <w:iCs/>
          <w:color w:val="222222"/>
          <w:shd w:val="clear" w:color="auto" w:fill="FFFFFF"/>
        </w:rPr>
        <w:t>ransportation</w:t>
      </w:r>
      <w:r w:rsidRPr="00B6426B">
        <w:rPr>
          <w:color w:val="222222"/>
          <w:shd w:val="clear" w:color="auto" w:fill="FFFFFF"/>
        </w:rPr>
        <w:t>, </w:t>
      </w:r>
      <w:r w:rsidRPr="00B6426B">
        <w:rPr>
          <w:iCs/>
          <w:color w:val="222222"/>
          <w:shd w:val="clear" w:color="auto" w:fill="FFFFFF"/>
        </w:rPr>
        <w:t>7</w:t>
      </w:r>
      <w:r w:rsidRPr="00B6426B">
        <w:rPr>
          <w:color w:val="222222"/>
          <w:shd w:val="clear" w:color="auto" w:fill="FFFFFF"/>
        </w:rPr>
        <w:t>(5), 347-365.</w:t>
      </w:r>
    </w:p>
    <w:p w14:paraId="64DF4817" w14:textId="5F1F1224" w:rsidR="00575D15" w:rsidRPr="00B6426B" w:rsidRDefault="00575D15" w:rsidP="00B6426B">
      <w:pPr>
        <w:spacing w:before="80" w:line="240" w:lineRule="auto"/>
        <w:ind w:left="450" w:hanging="450"/>
        <w:jc w:val="both"/>
        <w:rPr>
          <w:b/>
          <w:color w:val="222222"/>
          <w:shd w:val="clear" w:color="auto" w:fill="FFFFFF"/>
        </w:rPr>
      </w:pPr>
      <w:r w:rsidRPr="00B6426B">
        <w:t xml:space="preserve">Asmussen, K.E., Mondal, </w:t>
      </w:r>
      <w:r w:rsidR="00D61CFC" w:rsidRPr="00B6426B">
        <w:t xml:space="preserve">A., </w:t>
      </w:r>
      <w:r w:rsidRPr="00B6426B">
        <w:t>and Bhat</w:t>
      </w:r>
      <w:r w:rsidR="00D61CFC" w:rsidRPr="00B6426B">
        <w:t xml:space="preserve">, C.R. </w:t>
      </w:r>
      <w:r w:rsidRPr="00B6426B">
        <w:t xml:space="preserve">(2020). A socio-technical model of autonomous vehicle adoption using ranked choice stated preference data. </w:t>
      </w:r>
      <w:r w:rsidRPr="00B6426B">
        <w:rPr>
          <w:i/>
          <w:iCs/>
        </w:rPr>
        <w:t>Transportation Research Part C</w:t>
      </w:r>
      <w:r w:rsidRPr="00B6426B">
        <w:rPr>
          <w:iCs/>
        </w:rPr>
        <w:t>,</w:t>
      </w:r>
      <w:r w:rsidRPr="00B6426B">
        <w:t xml:space="preserve"> 121</w:t>
      </w:r>
      <w:r w:rsidR="00D61CFC" w:rsidRPr="00B6426B">
        <w:t>,</w:t>
      </w:r>
      <w:r w:rsidRPr="00B6426B">
        <w:t xml:space="preserve"> 102835.</w:t>
      </w:r>
    </w:p>
    <w:p w14:paraId="64DD94C9" w14:textId="122D3B38" w:rsidR="00575D15" w:rsidRPr="00B6426B" w:rsidRDefault="00575D15" w:rsidP="00B6426B">
      <w:pPr>
        <w:spacing w:before="80" w:line="240" w:lineRule="auto"/>
        <w:ind w:left="450" w:hanging="450"/>
        <w:jc w:val="both"/>
      </w:pPr>
      <w:r w:rsidRPr="00B6426B">
        <w:rPr>
          <w:color w:val="222222"/>
          <w:shd w:val="clear" w:color="auto" w:fill="FFFFFF"/>
        </w:rPr>
        <w:t>Astroza, S., Garikapati, V. M., Bhat, C. R., Pendyala, R. M., Lavieri, P. S., and Dias, F. F. (2017). Analysis of the impact of technology use on multimodality and activity travel characteristics. </w:t>
      </w:r>
      <w:r w:rsidR="003B5CD2" w:rsidRPr="00B6426B">
        <w:rPr>
          <w:i/>
          <w:iCs/>
        </w:rPr>
        <w:t>Transportation Research Record: Journal of the Transportation Research Board</w:t>
      </w:r>
      <w:r w:rsidRPr="00B6426B">
        <w:rPr>
          <w:color w:val="222222"/>
          <w:shd w:val="clear" w:color="auto" w:fill="FFFFFF"/>
        </w:rPr>
        <w:t>, </w:t>
      </w:r>
      <w:r w:rsidRPr="00B6426B">
        <w:rPr>
          <w:iCs/>
          <w:color w:val="222222"/>
          <w:shd w:val="clear" w:color="auto" w:fill="FFFFFF"/>
        </w:rPr>
        <w:t>2666</w:t>
      </w:r>
      <w:r w:rsidRPr="00B6426B">
        <w:rPr>
          <w:color w:val="222222"/>
          <w:shd w:val="clear" w:color="auto" w:fill="FFFFFF"/>
        </w:rPr>
        <w:t>(1), 19-28.</w:t>
      </w:r>
    </w:p>
    <w:p w14:paraId="23A1DB95" w14:textId="66DBA2F0" w:rsidR="00575D15" w:rsidRPr="00B6426B" w:rsidRDefault="00575D15" w:rsidP="00B6426B">
      <w:pPr>
        <w:spacing w:before="80" w:line="240" w:lineRule="auto"/>
        <w:ind w:left="450" w:hanging="450"/>
        <w:jc w:val="both"/>
      </w:pPr>
      <w:r w:rsidRPr="00B6426B">
        <w:t xml:space="preserve">Awan, U., and Abbasi, A. S. (2013). Environmental sustainability through determinism the level of environmental awareness, knowledge and behavior among business graduates. </w:t>
      </w:r>
      <w:r w:rsidRPr="00B6426B">
        <w:rPr>
          <w:i/>
        </w:rPr>
        <w:t>Research Journal of Environmental and Earth Science</w:t>
      </w:r>
      <w:r w:rsidRPr="00B6426B">
        <w:t>, 5(9), 505</w:t>
      </w:r>
      <w:r w:rsidR="00D61CFC" w:rsidRPr="00B6426B">
        <w:t>-</w:t>
      </w:r>
      <w:r w:rsidRPr="00B6426B">
        <w:t>515.</w:t>
      </w:r>
    </w:p>
    <w:p w14:paraId="1371A093" w14:textId="77777777" w:rsidR="00575D15" w:rsidRPr="00B6426B" w:rsidRDefault="00575D15" w:rsidP="00B6426B">
      <w:pPr>
        <w:spacing w:before="80" w:line="240" w:lineRule="auto"/>
        <w:ind w:left="450" w:hanging="450"/>
        <w:jc w:val="both"/>
        <w:rPr>
          <w:color w:val="222222"/>
          <w:shd w:val="clear" w:color="auto" w:fill="FFFFFF"/>
        </w:rPr>
      </w:pPr>
      <w:r w:rsidRPr="00B6426B">
        <w:rPr>
          <w:color w:val="222222"/>
          <w:shd w:val="clear" w:color="auto" w:fill="FFFFFF"/>
        </w:rPr>
        <w:t>Banzhaf, S., Ma, L., and Timmins, C. (2019). Environmental justice: The economics of race, place, and pollution. </w:t>
      </w:r>
      <w:r w:rsidRPr="00B6426B">
        <w:rPr>
          <w:i/>
          <w:iCs/>
          <w:color w:val="222222"/>
          <w:shd w:val="clear" w:color="auto" w:fill="FFFFFF"/>
        </w:rPr>
        <w:t>Journal of Economic Perspectives</w:t>
      </w:r>
      <w:r w:rsidRPr="00B6426B">
        <w:rPr>
          <w:color w:val="222222"/>
          <w:shd w:val="clear" w:color="auto" w:fill="FFFFFF"/>
        </w:rPr>
        <w:t>, </w:t>
      </w:r>
      <w:r w:rsidRPr="00B6426B">
        <w:rPr>
          <w:iCs/>
          <w:color w:val="222222"/>
          <w:shd w:val="clear" w:color="auto" w:fill="FFFFFF"/>
        </w:rPr>
        <w:t>33</w:t>
      </w:r>
      <w:r w:rsidRPr="00B6426B">
        <w:rPr>
          <w:color w:val="222222"/>
          <w:shd w:val="clear" w:color="auto" w:fill="FFFFFF"/>
        </w:rPr>
        <w:t>(1), 185-208.</w:t>
      </w:r>
    </w:p>
    <w:p w14:paraId="0929D8C9" w14:textId="272F4C12" w:rsidR="00575D15" w:rsidRPr="00B6426B" w:rsidRDefault="00575D15" w:rsidP="00B6426B">
      <w:pPr>
        <w:spacing w:before="80" w:line="240" w:lineRule="auto"/>
        <w:ind w:left="450" w:hanging="450"/>
        <w:jc w:val="both"/>
        <w:rPr>
          <w:color w:val="222222"/>
          <w:shd w:val="clear" w:color="auto" w:fill="FFFFFF"/>
        </w:rPr>
      </w:pPr>
      <w:r w:rsidRPr="00B6426B">
        <w:rPr>
          <w:color w:val="222222"/>
          <w:shd w:val="clear" w:color="auto" w:fill="FFFFFF"/>
        </w:rPr>
        <w:t>Bhat, C. R. (2015a). A new generalized heterogeneous data model (GHDM) to jointly model mixed types of dependent variables. </w:t>
      </w:r>
      <w:r w:rsidRPr="00B6426B">
        <w:rPr>
          <w:i/>
          <w:iCs/>
          <w:color w:val="222222"/>
          <w:shd w:val="clear" w:color="auto" w:fill="FFFFFF"/>
        </w:rPr>
        <w:t>Transportation Research Part B</w:t>
      </w:r>
      <w:r w:rsidRPr="00B6426B">
        <w:rPr>
          <w:color w:val="222222"/>
          <w:shd w:val="clear" w:color="auto" w:fill="FFFFFF"/>
        </w:rPr>
        <w:t xml:space="preserve">, </w:t>
      </w:r>
      <w:r w:rsidRPr="00B6426B">
        <w:rPr>
          <w:iCs/>
          <w:color w:val="222222"/>
          <w:shd w:val="clear" w:color="auto" w:fill="FFFFFF"/>
        </w:rPr>
        <w:t>79</w:t>
      </w:r>
      <w:r w:rsidR="00D61CFC" w:rsidRPr="00B6426B">
        <w:rPr>
          <w:color w:val="222222"/>
          <w:shd w:val="clear" w:color="auto" w:fill="FFFFFF"/>
        </w:rPr>
        <w:t>,</w:t>
      </w:r>
      <w:r w:rsidRPr="00B6426B">
        <w:rPr>
          <w:color w:val="222222"/>
          <w:shd w:val="clear" w:color="auto" w:fill="FFFFFF"/>
        </w:rPr>
        <w:t xml:space="preserve"> 50</w:t>
      </w:r>
      <w:r w:rsidR="00D61CFC" w:rsidRPr="00B6426B">
        <w:rPr>
          <w:color w:val="222222"/>
          <w:shd w:val="clear" w:color="auto" w:fill="FFFFFF"/>
        </w:rPr>
        <w:t>-</w:t>
      </w:r>
      <w:r w:rsidRPr="00B6426B">
        <w:rPr>
          <w:color w:val="222222"/>
          <w:shd w:val="clear" w:color="auto" w:fill="FFFFFF"/>
        </w:rPr>
        <w:t>77.</w:t>
      </w:r>
    </w:p>
    <w:p w14:paraId="256E3F08" w14:textId="6A3FFCF9" w:rsidR="00575D15" w:rsidRPr="00B6426B" w:rsidRDefault="00575D15" w:rsidP="00B6426B">
      <w:pPr>
        <w:spacing w:before="80" w:line="240" w:lineRule="auto"/>
        <w:ind w:left="450" w:hanging="450"/>
        <w:jc w:val="both"/>
        <w:rPr>
          <w:color w:val="222222"/>
          <w:shd w:val="clear" w:color="auto" w:fill="FFFFFF"/>
        </w:rPr>
      </w:pPr>
      <w:r w:rsidRPr="00B6426B">
        <w:rPr>
          <w:color w:val="222222"/>
          <w:shd w:val="clear" w:color="auto" w:fill="FFFFFF"/>
        </w:rPr>
        <w:t>Bhat, C. R. (2015b). A comprehensive dwelling unit choice model accommodating psychological constructs within a search strategy for consideration set formation. </w:t>
      </w:r>
      <w:r w:rsidRPr="00B6426B">
        <w:rPr>
          <w:i/>
          <w:iCs/>
          <w:color w:val="222222"/>
          <w:shd w:val="clear" w:color="auto" w:fill="FFFFFF"/>
        </w:rPr>
        <w:t>Transportation Research Part B</w:t>
      </w:r>
      <w:r w:rsidRPr="00B6426B">
        <w:rPr>
          <w:color w:val="222222"/>
          <w:shd w:val="clear" w:color="auto" w:fill="FFFFFF"/>
        </w:rPr>
        <w:t>, </w:t>
      </w:r>
      <w:r w:rsidRPr="00B6426B">
        <w:rPr>
          <w:iCs/>
          <w:color w:val="222222"/>
          <w:shd w:val="clear" w:color="auto" w:fill="FFFFFF"/>
        </w:rPr>
        <w:t>79</w:t>
      </w:r>
      <w:r w:rsidRPr="00B6426B">
        <w:rPr>
          <w:color w:val="222222"/>
          <w:shd w:val="clear" w:color="auto" w:fill="FFFFFF"/>
        </w:rPr>
        <w:t>, 161-188.</w:t>
      </w:r>
    </w:p>
    <w:p w14:paraId="1174EF99" w14:textId="2E20B188" w:rsidR="00575D15" w:rsidRPr="00B6426B" w:rsidRDefault="00575D15" w:rsidP="00B6426B">
      <w:pPr>
        <w:spacing w:before="80" w:line="240" w:lineRule="auto"/>
        <w:ind w:left="450" w:hanging="450"/>
        <w:jc w:val="both"/>
      </w:pPr>
      <w:r w:rsidRPr="00B6426B">
        <w:t xml:space="preserve">Bhat, C. R. (2018). New matrix-based methods for the analytic evaluation of the multivariate cumulative normal distribution function. </w:t>
      </w:r>
      <w:r w:rsidRPr="00B6426B">
        <w:rPr>
          <w:i/>
          <w:iCs/>
        </w:rPr>
        <w:t>Transportation Research Part B</w:t>
      </w:r>
      <w:r w:rsidRPr="00B6426B">
        <w:t>, 109</w:t>
      </w:r>
      <w:r w:rsidR="00D61CFC" w:rsidRPr="00B6426B">
        <w:t>,</w:t>
      </w:r>
      <w:r w:rsidRPr="00B6426B">
        <w:t xml:space="preserve"> 238</w:t>
      </w:r>
      <w:r w:rsidR="00D61CFC" w:rsidRPr="00B6426B">
        <w:rPr>
          <w:color w:val="222222"/>
          <w:shd w:val="clear" w:color="auto" w:fill="FFFFFF"/>
        </w:rPr>
        <w:t>-</w:t>
      </w:r>
      <w:r w:rsidRPr="00B6426B">
        <w:t>256.</w:t>
      </w:r>
    </w:p>
    <w:p w14:paraId="4E188451" w14:textId="368C8172" w:rsidR="00575D15" w:rsidRPr="00B6426B" w:rsidRDefault="00575D15" w:rsidP="00B6426B">
      <w:pPr>
        <w:spacing w:before="80" w:line="240" w:lineRule="auto"/>
        <w:ind w:left="450" w:hanging="450"/>
        <w:jc w:val="both"/>
        <w:rPr>
          <w:color w:val="222222"/>
          <w:shd w:val="clear" w:color="auto" w:fill="FFFFFF"/>
        </w:rPr>
      </w:pPr>
      <w:r w:rsidRPr="00B6426B">
        <w:rPr>
          <w:color w:val="222222"/>
          <w:shd w:val="clear" w:color="auto" w:fill="FFFFFF"/>
        </w:rPr>
        <w:t>Bhat, C. R., and Guo</w:t>
      </w:r>
      <w:r w:rsidR="00D61CFC" w:rsidRPr="00B6426B">
        <w:rPr>
          <w:color w:val="222222"/>
          <w:shd w:val="clear" w:color="auto" w:fill="FFFFFF"/>
        </w:rPr>
        <w:t>, J. Y.</w:t>
      </w:r>
      <w:r w:rsidRPr="00B6426B">
        <w:rPr>
          <w:color w:val="222222"/>
          <w:shd w:val="clear" w:color="auto" w:fill="FFFFFF"/>
        </w:rPr>
        <w:t xml:space="preserve"> (2007). A comprehensive analysis of built environment characteristics on household residential choice and auto ownership levels. </w:t>
      </w:r>
      <w:r w:rsidRPr="00B6426B">
        <w:rPr>
          <w:i/>
          <w:iCs/>
          <w:color w:val="222222"/>
          <w:shd w:val="clear" w:color="auto" w:fill="FFFFFF"/>
        </w:rPr>
        <w:t>Transportation Research Part B</w:t>
      </w:r>
      <w:r w:rsidRPr="00B6426B">
        <w:rPr>
          <w:color w:val="222222"/>
          <w:shd w:val="clear" w:color="auto" w:fill="FFFFFF"/>
        </w:rPr>
        <w:t xml:space="preserve">, </w:t>
      </w:r>
      <w:r w:rsidRPr="00B6426B">
        <w:rPr>
          <w:iCs/>
          <w:color w:val="222222"/>
          <w:shd w:val="clear" w:color="auto" w:fill="FFFFFF"/>
        </w:rPr>
        <w:t>41</w:t>
      </w:r>
      <w:r w:rsidRPr="00B6426B">
        <w:rPr>
          <w:color w:val="222222"/>
          <w:shd w:val="clear" w:color="auto" w:fill="FFFFFF"/>
        </w:rPr>
        <w:t>(5)</w:t>
      </w:r>
      <w:r w:rsidR="00D61CFC" w:rsidRPr="00B6426B">
        <w:rPr>
          <w:color w:val="222222"/>
          <w:shd w:val="clear" w:color="auto" w:fill="FFFFFF"/>
        </w:rPr>
        <w:t>,</w:t>
      </w:r>
      <w:r w:rsidRPr="00B6426B">
        <w:rPr>
          <w:color w:val="222222"/>
          <w:shd w:val="clear" w:color="auto" w:fill="FFFFFF"/>
        </w:rPr>
        <w:t xml:space="preserve"> 506</w:t>
      </w:r>
      <w:r w:rsidR="00D61CFC" w:rsidRPr="00B6426B">
        <w:rPr>
          <w:color w:val="222222"/>
          <w:shd w:val="clear" w:color="auto" w:fill="FFFFFF"/>
        </w:rPr>
        <w:t>-</w:t>
      </w:r>
      <w:r w:rsidRPr="00B6426B">
        <w:rPr>
          <w:color w:val="222222"/>
          <w:shd w:val="clear" w:color="auto" w:fill="FFFFFF"/>
        </w:rPr>
        <w:t>526.</w:t>
      </w:r>
    </w:p>
    <w:p w14:paraId="1D98F90F" w14:textId="2D124199" w:rsidR="00575D15" w:rsidRPr="00B6426B" w:rsidDel="002E057E" w:rsidRDefault="00575D15" w:rsidP="00B6426B">
      <w:pPr>
        <w:spacing w:before="80" w:line="240" w:lineRule="auto"/>
        <w:ind w:left="450" w:hanging="450"/>
        <w:jc w:val="both"/>
        <w:rPr>
          <w:color w:val="222222"/>
          <w:shd w:val="clear" w:color="auto" w:fill="FFFFFF"/>
        </w:rPr>
      </w:pPr>
      <w:r w:rsidRPr="00B6426B">
        <w:rPr>
          <w:color w:val="222222"/>
          <w:shd w:val="clear" w:color="auto" w:fill="FFFFFF"/>
        </w:rPr>
        <w:t xml:space="preserve">Bhat, C. R., and Mondal, A. (2022). A </w:t>
      </w:r>
      <w:r w:rsidR="00D61CFC" w:rsidRPr="00B6426B">
        <w:rPr>
          <w:color w:val="222222"/>
          <w:shd w:val="clear" w:color="auto" w:fill="FFFFFF"/>
        </w:rPr>
        <w:t>n</w:t>
      </w:r>
      <w:r w:rsidRPr="00B6426B">
        <w:rPr>
          <w:color w:val="222222"/>
          <w:shd w:val="clear" w:color="auto" w:fill="FFFFFF"/>
        </w:rPr>
        <w:t xml:space="preserve">ew </w:t>
      </w:r>
      <w:r w:rsidR="00D61CFC" w:rsidRPr="00B6426B">
        <w:rPr>
          <w:color w:val="222222"/>
          <w:shd w:val="clear" w:color="auto" w:fill="FFFFFF"/>
        </w:rPr>
        <w:t>f</w:t>
      </w:r>
      <w:r w:rsidRPr="00B6426B">
        <w:rPr>
          <w:color w:val="222222"/>
          <w:shd w:val="clear" w:color="auto" w:fill="FFFFFF"/>
        </w:rPr>
        <w:t xml:space="preserve">lexible </w:t>
      </w:r>
      <w:r w:rsidR="00D61CFC" w:rsidRPr="00B6426B">
        <w:rPr>
          <w:color w:val="222222"/>
          <w:shd w:val="clear" w:color="auto" w:fill="FFFFFF"/>
        </w:rPr>
        <w:t>g</w:t>
      </w:r>
      <w:r w:rsidRPr="00B6426B">
        <w:rPr>
          <w:color w:val="222222"/>
          <w:shd w:val="clear" w:color="auto" w:fill="FFFFFF"/>
        </w:rPr>
        <w:t xml:space="preserve">eneralized </w:t>
      </w:r>
      <w:r w:rsidR="00D61CFC" w:rsidRPr="00B6426B">
        <w:rPr>
          <w:color w:val="222222"/>
          <w:shd w:val="clear" w:color="auto" w:fill="FFFFFF"/>
        </w:rPr>
        <w:t>h</w:t>
      </w:r>
      <w:r w:rsidRPr="00B6426B">
        <w:rPr>
          <w:color w:val="222222"/>
          <w:shd w:val="clear" w:color="auto" w:fill="FFFFFF"/>
        </w:rPr>
        <w:t xml:space="preserve">eterogeneous </w:t>
      </w:r>
      <w:r w:rsidR="00D61CFC" w:rsidRPr="00B6426B">
        <w:rPr>
          <w:color w:val="222222"/>
          <w:shd w:val="clear" w:color="auto" w:fill="FFFFFF"/>
        </w:rPr>
        <w:t>d</w:t>
      </w:r>
      <w:r w:rsidRPr="00B6426B">
        <w:rPr>
          <w:color w:val="222222"/>
          <w:shd w:val="clear" w:color="auto" w:fill="FFFFFF"/>
        </w:rPr>
        <w:t xml:space="preserve">ata </w:t>
      </w:r>
      <w:r w:rsidR="00D61CFC" w:rsidRPr="00B6426B">
        <w:rPr>
          <w:color w:val="222222"/>
          <w:shd w:val="clear" w:color="auto" w:fill="FFFFFF"/>
        </w:rPr>
        <w:t>m</w:t>
      </w:r>
      <w:r w:rsidRPr="00B6426B">
        <w:rPr>
          <w:color w:val="222222"/>
          <w:shd w:val="clear" w:color="auto" w:fill="FFFFFF"/>
        </w:rPr>
        <w:t xml:space="preserve">odel (GHDM) with an </w:t>
      </w:r>
      <w:r w:rsidR="00D61CFC" w:rsidRPr="00B6426B">
        <w:rPr>
          <w:color w:val="222222"/>
          <w:shd w:val="clear" w:color="auto" w:fill="FFFFFF"/>
        </w:rPr>
        <w:t>a</w:t>
      </w:r>
      <w:r w:rsidRPr="00B6426B">
        <w:rPr>
          <w:color w:val="222222"/>
          <w:shd w:val="clear" w:color="auto" w:fill="FFFFFF"/>
        </w:rPr>
        <w:t xml:space="preserve">pplication to </w:t>
      </w:r>
      <w:r w:rsidR="00D61CFC" w:rsidRPr="00B6426B">
        <w:rPr>
          <w:color w:val="222222"/>
          <w:shd w:val="clear" w:color="auto" w:fill="FFFFFF"/>
        </w:rPr>
        <w:t>e</w:t>
      </w:r>
      <w:r w:rsidRPr="00B6426B">
        <w:rPr>
          <w:color w:val="222222"/>
          <w:shd w:val="clear" w:color="auto" w:fill="FFFFFF"/>
        </w:rPr>
        <w:t xml:space="preserve">xamine the </w:t>
      </w:r>
      <w:r w:rsidR="00D61CFC" w:rsidRPr="00B6426B">
        <w:rPr>
          <w:color w:val="222222"/>
          <w:shd w:val="clear" w:color="auto" w:fill="FFFFFF"/>
        </w:rPr>
        <w:t>e</w:t>
      </w:r>
      <w:r w:rsidRPr="00B6426B">
        <w:rPr>
          <w:color w:val="222222"/>
          <w:shd w:val="clear" w:color="auto" w:fill="FFFFFF"/>
        </w:rPr>
        <w:t xml:space="preserve">ffect of </w:t>
      </w:r>
      <w:r w:rsidR="00D61CFC" w:rsidRPr="00B6426B">
        <w:rPr>
          <w:color w:val="222222"/>
          <w:shd w:val="clear" w:color="auto" w:fill="FFFFFF"/>
        </w:rPr>
        <w:t>h</w:t>
      </w:r>
      <w:r w:rsidRPr="00B6426B">
        <w:rPr>
          <w:color w:val="222222"/>
          <w:shd w:val="clear" w:color="auto" w:fill="FFFFFF"/>
        </w:rPr>
        <w:t xml:space="preserve">igh </w:t>
      </w:r>
      <w:r w:rsidR="00D61CFC" w:rsidRPr="00B6426B">
        <w:rPr>
          <w:color w:val="222222"/>
          <w:shd w:val="clear" w:color="auto" w:fill="FFFFFF"/>
        </w:rPr>
        <w:t>d</w:t>
      </w:r>
      <w:r w:rsidRPr="00B6426B">
        <w:rPr>
          <w:color w:val="222222"/>
          <w:shd w:val="clear" w:color="auto" w:fill="FFFFFF"/>
        </w:rPr>
        <w:t xml:space="preserve">ensity </w:t>
      </w:r>
      <w:r w:rsidR="00D61CFC" w:rsidRPr="00B6426B">
        <w:rPr>
          <w:color w:val="222222"/>
          <w:shd w:val="clear" w:color="auto" w:fill="FFFFFF"/>
        </w:rPr>
        <w:t>n</w:t>
      </w:r>
      <w:r w:rsidRPr="00B6426B">
        <w:rPr>
          <w:color w:val="222222"/>
          <w:shd w:val="clear" w:color="auto" w:fill="FFFFFF"/>
        </w:rPr>
        <w:t xml:space="preserve">eighborhood </w:t>
      </w:r>
      <w:r w:rsidR="00D61CFC" w:rsidRPr="00B6426B">
        <w:rPr>
          <w:color w:val="222222"/>
          <w:shd w:val="clear" w:color="auto" w:fill="FFFFFF"/>
        </w:rPr>
        <w:t>l</w:t>
      </w:r>
      <w:r w:rsidRPr="00B6426B">
        <w:rPr>
          <w:color w:val="222222"/>
          <w:shd w:val="clear" w:color="auto" w:fill="FFFFFF"/>
        </w:rPr>
        <w:t xml:space="preserve">iving on </w:t>
      </w:r>
      <w:r w:rsidR="00D61CFC" w:rsidRPr="00B6426B">
        <w:rPr>
          <w:color w:val="222222"/>
          <w:shd w:val="clear" w:color="auto" w:fill="FFFFFF"/>
        </w:rPr>
        <w:t>b</w:t>
      </w:r>
      <w:r w:rsidRPr="00B6426B">
        <w:rPr>
          <w:color w:val="222222"/>
          <w:shd w:val="clear" w:color="auto" w:fill="FFFFFF"/>
        </w:rPr>
        <w:t xml:space="preserve">icycling </w:t>
      </w:r>
      <w:r w:rsidR="00D61CFC" w:rsidRPr="00B6426B">
        <w:rPr>
          <w:color w:val="222222"/>
          <w:shd w:val="clear" w:color="auto" w:fill="FFFFFF"/>
        </w:rPr>
        <w:t>f</w:t>
      </w:r>
      <w:r w:rsidRPr="00B6426B">
        <w:rPr>
          <w:color w:val="222222"/>
          <w:shd w:val="clear" w:color="auto" w:fill="FFFFFF"/>
        </w:rPr>
        <w:t>requency. </w:t>
      </w:r>
      <w:r w:rsidRPr="00B6426B">
        <w:rPr>
          <w:i/>
          <w:iCs/>
          <w:color w:val="222222"/>
          <w:shd w:val="clear" w:color="auto" w:fill="FFFFFF"/>
        </w:rPr>
        <w:t>Transportation Research Part B</w:t>
      </w:r>
      <w:r w:rsidRPr="00B6426B">
        <w:rPr>
          <w:color w:val="222222"/>
          <w:shd w:val="clear" w:color="auto" w:fill="FFFFFF"/>
        </w:rPr>
        <w:t>, </w:t>
      </w:r>
      <w:r w:rsidRPr="00B6426B">
        <w:rPr>
          <w:iCs/>
          <w:color w:val="222222"/>
          <w:shd w:val="clear" w:color="auto" w:fill="FFFFFF"/>
        </w:rPr>
        <w:t>164</w:t>
      </w:r>
      <w:r w:rsidRPr="00B6426B">
        <w:rPr>
          <w:color w:val="222222"/>
          <w:shd w:val="clear" w:color="auto" w:fill="FFFFFF"/>
        </w:rPr>
        <w:t>, 244-266.</w:t>
      </w:r>
    </w:p>
    <w:p w14:paraId="109781EE" w14:textId="02A9A741" w:rsidR="00575D15" w:rsidRPr="00B6426B" w:rsidRDefault="00575D15" w:rsidP="00B6426B">
      <w:pPr>
        <w:spacing w:before="80" w:line="240" w:lineRule="auto"/>
        <w:ind w:left="450" w:hanging="450"/>
        <w:jc w:val="both"/>
        <w:rPr>
          <w:color w:val="222222"/>
          <w:shd w:val="clear" w:color="auto" w:fill="FFFFFF"/>
        </w:rPr>
      </w:pPr>
      <w:r w:rsidRPr="00B6426B">
        <w:rPr>
          <w:color w:val="222222"/>
          <w:shd w:val="clear" w:color="auto" w:fill="FFFFFF"/>
        </w:rPr>
        <w:t>Blazanin, G., Mondal, A., Asmussen, K. E., and Bhat, C. R. (2022). E-scooter sharing and bikesharing systems: An individual-level analysis of factors affecting first-use and use frequency. </w:t>
      </w:r>
      <w:r w:rsidRPr="00B6426B">
        <w:rPr>
          <w:i/>
          <w:iCs/>
          <w:color w:val="222222"/>
          <w:shd w:val="clear" w:color="auto" w:fill="FFFFFF"/>
        </w:rPr>
        <w:t xml:space="preserve">Transportation </w:t>
      </w:r>
      <w:r w:rsidR="00D61CFC" w:rsidRPr="00B6426B">
        <w:rPr>
          <w:i/>
          <w:iCs/>
          <w:color w:val="222222"/>
          <w:shd w:val="clear" w:color="auto" w:fill="FFFFFF"/>
        </w:rPr>
        <w:t>R</w:t>
      </w:r>
      <w:r w:rsidRPr="00B6426B">
        <w:rPr>
          <w:i/>
          <w:iCs/>
          <w:color w:val="222222"/>
          <w:shd w:val="clear" w:color="auto" w:fill="FFFFFF"/>
        </w:rPr>
        <w:t xml:space="preserve">esearch </w:t>
      </w:r>
      <w:r w:rsidR="00D61CFC" w:rsidRPr="00B6426B">
        <w:rPr>
          <w:i/>
          <w:iCs/>
          <w:color w:val="222222"/>
          <w:shd w:val="clear" w:color="auto" w:fill="FFFFFF"/>
        </w:rPr>
        <w:t>P</w:t>
      </w:r>
      <w:r w:rsidRPr="00B6426B">
        <w:rPr>
          <w:i/>
          <w:iCs/>
          <w:color w:val="222222"/>
          <w:shd w:val="clear" w:color="auto" w:fill="FFFFFF"/>
        </w:rPr>
        <w:t>art C</w:t>
      </w:r>
      <w:r w:rsidRPr="00B6426B">
        <w:rPr>
          <w:color w:val="222222"/>
          <w:shd w:val="clear" w:color="auto" w:fill="FFFFFF"/>
        </w:rPr>
        <w:t>, </w:t>
      </w:r>
      <w:r w:rsidRPr="00B6426B">
        <w:rPr>
          <w:iCs/>
          <w:color w:val="222222"/>
          <w:shd w:val="clear" w:color="auto" w:fill="FFFFFF"/>
        </w:rPr>
        <w:t>135</w:t>
      </w:r>
      <w:r w:rsidRPr="00B6426B">
        <w:rPr>
          <w:color w:val="222222"/>
          <w:shd w:val="clear" w:color="auto" w:fill="FFFFFF"/>
        </w:rPr>
        <w:t>, 103515.</w:t>
      </w:r>
    </w:p>
    <w:p w14:paraId="1F6033E5" w14:textId="77777777" w:rsidR="00575D15" w:rsidRPr="00B6426B" w:rsidRDefault="00575D15" w:rsidP="00B6426B">
      <w:pPr>
        <w:spacing w:before="80" w:line="240" w:lineRule="auto"/>
        <w:ind w:left="450" w:hanging="450"/>
        <w:jc w:val="both"/>
        <w:rPr>
          <w:color w:val="222222"/>
          <w:shd w:val="clear" w:color="auto" w:fill="FFFFFF"/>
        </w:rPr>
      </w:pPr>
      <w:proofErr w:type="spellStart"/>
      <w:r w:rsidRPr="00B6426B">
        <w:rPr>
          <w:color w:val="222222"/>
          <w:shd w:val="clear" w:color="auto" w:fill="FFFFFF"/>
        </w:rPr>
        <w:t>Bülbül</w:t>
      </w:r>
      <w:proofErr w:type="spellEnd"/>
      <w:r w:rsidRPr="00B6426B">
        <w:rPr>
          <w:color w:val="222222"/>
          <w:shd w:val="clear" w:color="auto" w:fill="FFFFFF"/>
        </w:rPr>
        <w:t xml:space="preserve">, H., </w:t>
      </w:r>
      <w:proofErr w:type="spellStart"/>
      <w:r w:rsidRPr="00B6426B">
        <w:rPr>
          <w:color w:val="222222"/>
          <w:shd w:val="clear" w:color="auto" w:fill="FFFFFF"/>
        </w:rPr>
        <w:t>Büyükkeklik</w:t>
      </w:r>
      <w:proofErr w:type="spellEnd"/>
      <w:r w:rsidRPr="00B6426B">
        <w:rPr>
          <w:color w:val="222222"/>
          <w:shd w:val="clear" w:color="auto" w:fill="FFFFFF"/>
        </w:rPr>
        <w:t xml:space="preserve">, A., </w:t>
      </w:r>
      <w:proofErr w:type="spellStart"/>
      <w:r w:rsidRPr="00B6426B">
        <w:rPr>
          <w:color w:val="222222"/>
          <w:shd w:val="clear" w:color="auto" w:fill="FFFFFF"/>
        </w:rPr>
        <w:t>Topal</w:t>
      </w:r>
      <w:proofErr w:type="spellEnd"/>
      <w:r w:rsidRPr="00B6426B">
        <w:rPr>
          <w:color w:val="222222"/>
          <w:shd w:val="clear" w:color="auto" w:fill="FFFFFF"/>
        </w:rPr>
        <w:t xml:space="preserve">, A., and </w:t>
      </w:r>
      <w:proofErr w:type="spellStart"/>
      <w:r w:rsidRPr="00B6426B">
        <w:rPr>
          <w:color w:val="222222"/>
          <w:shd w:val="clear" w:color="auto" w:fill="FFFFFF"/>
        </w:rPr>
        <w:t>Özoğlu</w:t>
      </w:r>
      <w:proofErr w:type="spellEnd"/>
      <w:r w:rsidRPr="00B6426B">
        <w:rPr>
          <w:color w:val="222222"/>
          <w:shd w:val="clear" w:color="auto" w:fill="FFFFFF"/>
        </w:rPr>
        <w:t>, B. (2020). The relationship between environmental awareness, environmental behaviors, and carbon footprint in Turkish households. </w:t>
      </w:r>
      <w:r w:rsidRPr="00B6426B">
        <w:rPr>
          <w:i/>
          <w:iCs/>
          <w:color w:val="222222"/>
          <w:shd w:val="clear" w:color="auto" w:fill="FFFFFF"/>
        </w:rPr>
        <w:t>Environmental Science and Pollution Research</w:t>
      </w:r>
      <w:r w:rsidRPr="00B6426B">
        <w:rPr>
          <w:color w:val="222222"/>
          <w:shd w:val="clear" w:color="auto" w:fill="FFFFFF"/>
        </w:rPr>
        <w:t>, </w:t>
      </w:r>
      <w:r w:rsidRPr="00B6426B">
        <w:rPr>
          <w:iCs/>
          <w:color w:val="222222"/>
          <w:shd w:val="clear" w:color="auto" w:fill="FFFFFF"/>
        </w:rPr>
        <w:t>27</w:t>
      </w:r>
      <w:r w:rsidRPr="00B6426B">
        <w:rPr>
          <w:color w:val="222222"/>
          <w:shd w:val="clear" w:color="auto" w:fill="FFFFFF"/>
        </w:rPr>
        <w:t>(20), 25009-25028.</w:t>
      </w:r>
    </w:p>
    <w:p w14:paraId="48B3A704" w14:textId="77777777" w:rsidR="00575D15" w:rsidRPr="00B6426B" w:rsidRDefault="00575D15" w:rsidP="00B6426B">
      <w:pPr>
        <w:spacing w:before="80" w:line="240" w:lineRule="auto"/>
        <w:ind w:left="450" w:hanging="450"/>
        <w:jc w:val="both"/>
      </w:pPr>
      <w:r w:rsidRPr="00B6426B">
        <w:t xml:space="preserve">City of Austin (2021). Austin By the Numbers: City Releases Tract-Level Analysis of 2020 Census Data for Austin Metro Service Area. </w:t>
      </w:r>
      <w:hyperlink r:id="rId398" w:history="1">
        <w:r w:rsidRPr="00B6426B">
          <w:rPr>
            <w:rStyle w:val="Hyperlink"/>
            <w:rFonts w:eastAsiaTheme="majorEastAsia"/>
          </w:rPr>
          <w:t>https://www.austintexas.gov/news/austin-numbers-city-releases-tract-level-analysis-2020-census-data-austin-metro-service-area</w:t>
        </w:r>
      </w:hyperlink>
      <w:r w:rsidRPr="00B6426B">
        <w:t xml:space="preserve"> </w:t>
      </w:r>
    </w:p>
    <w:p w14:paraId="2F1B2197" w14:textId="3C8F5960" w:rsidR="00575D15" w:rsidRPr="00B6426B" w:rsidRDefault="00575D15" w:rsidP="00B6426B">
      <w:pPr>
        <w:spacing w:before="80" w:line="240" w:lineRule="auto"/>
        <w:ind w:left="450" w:hanging="450"/>
        <w:jc w:val="both"/>
        <w:rPr>
          <w:color w:val="222222"/>
          <w:shd w:val="clear" w:color="auto" w:fill="FFFFFF"/>
        </w:rPr>
      </w:pPr>
      <w:r w:rsidRPr="00B6426B">
        <w:rPr>
          <w:color w:val="222222"/>
          <w:shd w:val="clear" w:color="auto" w:fill="FFFFFF"/>
        </w:rPr>
        <w:t xml:space="preserve">Clark, B., Chatterjee, K., and Melia, S. (2016a). Changes in level of household car ownership: </w:t>
      </w:r>
      <w:r w:rsidR="00D61CFC" w:rsidRPr="00B6426B">
        <w:rPr>
          <w:color w:val="222222"/>
          <w:shd w:val="clear" w:color="auto" w:fill="FFFFFF"/>
        </w:rPr>
        <w:t>T</w:t>
      </w:r>
      <w:r w:rsidRPr="00B6426B">
        <w:rPr>
          <w:color w:val="222222"/>
          <w:shd w:val="clear" w:color="auto" w:fill="FFFFFF"/>
        </w:rPr>
        <w:t>he role of life events and spatial context. </w:t>
      </w:r>
      <w:r w:rsidRPr="00B6426B">
        <w:rPr>
          <w:i/>
          <w:iCs/>
          <w:color w:val="222222"/>
          <w:shd w:val="clear" w:color="auto" w:fill="FFFFFF"/>
        </w:rPr>
        <w:t>Transportation</w:t>
      </w:r>
      <w:r w:rsidRPr="00B6426B">
        <w:rPr>
          <w:color w:val="222222"/>
          <w:shd w:val="clear" w:color="auto" w:fill="FFFFFF"/>
        </w:rPr>
        <w:t>, </w:t>
      </w:r>
      <w:r w:rsidRPr="00B6426B">
        <w:rPr>
          <w:iCs/>
          <w:color w:val="222222"/>
          <w:shd w:val="clear" w:color="auto" w:fill="FFFFFF"/>
        </w:rPr>
        <w:t>43</w:t>
      </w:r>
      <w:r w:rsidRPr="00B6426B">
        <w:rPr>
          <w:color w:val="222222"/>
          <w:shd w:val="clear" w:color="auto" w:fill="FFFFFF"/>
        </w:rPr>
        <w:t>(4), 565-599.</w:t>
      </w:r>
    </w:p>
    <w:p w14:paraId="3EE46F3A" w14:textId="09144EDE" w:rsidR="00575D15" w:rsidRPr="00B6426B" w:rsidRDefault="00575D15" w:rsidP="00B6426B">
      <w:pPr>
        <w:spacing w:before="80" w:line="240" w:lineRule="auto"/>
        <w:ind w:left="450" w:hanging="450"/>
        <w:jc w:val="both"/>
        <w:rPr>
          <w:color w:val="222222"/>
          <w:shd w:val="clear" w:color="auto" w:fill="FFFFFF"/>
        </w:rPr>
      </w:pPr>
      <w:r w:rsidRPr="00B6426B">
        <w:rPr>
          <w:color w:val="222222"/>
          <w:shd w:val="clear" w:color="auto" w:fill="FFFFFF"/>
        </w:rPr>
        <w:lastRenderedPageBreak/>
        <w:t xml:space="preserve">Clark, B., Lyons, </w:t>
      </w:r>
      <w:r w:rsidR="00D61CFC" w:rsidRPr="00B6426B">
        <w:rPr>
          <w:color w:val="222222"/>
          <w:shd w:val="clear" w:color="auto" w:fill="FFFFFF"/>
        </w:rPr>
        <w:t xml:space="preserve">G. </w:t>
      </w:r>
      <w:r w:rsidRPr="00B6426B">
        <w:rPr>
          <w:color w:val="222222"/>
          <w:shd w:val="clear" w:color="auto" w:fill="FFFFFF"/>
        </w:rPr>
        <w:t>and Chatterjee</w:t>
      </w:r>
      <w:r w:rsidR="00D61CFC" w:rsidRPr="00B6426B">
        <w:rPr>
          <w:color w:val="222222"/>
          <w:shd w:val="clear" w:color="auto" w:fill="FFFFFF"/>
        </w:rPr>
        <w:t>, K.</w:t>
      </w:r>
      <w:r w:rsidRPr="00B6426B">
        <w:rPr>
          <w:color w:val="222222"/>
          <w:shd w:val="clear" w:color="auto" w:fill="FFFFFF"/>
        </w:rPr>
        <w:t xml:space="preserve"> (2016b). Understanding the process that gives rise to household car ownership level changes. </w:t>
      </w:r>
      <w:r w:rsidRPr="00B6426B">
        <w:rPr>
          <w:i/>
          <w:iCs/>
          <w:color w:val="222222"/>
          <w:shd w:val="clear" w:color="auto" w:fill="FFFFFF"/>
        </w:rPr>
        <w:t>Journal of Transport Geography</w:t>
      </w:r>
      <w:r w:rsidRPr="00B6426B">
        <w:rPr>
          <w:color w:val="222222"/>
          <w:shd w:val="clear" w:color="auto" w:fill="FFFFFF"/>
        </w:rPr>
        <w:t xml:space="preserve">, </w:t>
      </w:r>
      <w:r w:rsidRPr="00B6426B">
        <w:rPr>
          <w:iCs/>
          <w:color w:val="222222"/>
          <w:shd w:val="clear" w:color="auto" w:fill="FFFFFF"/>
        </w:rPr>
        <w:t>55</w:t>
      </w:r>
      <w:r w:rsidR="00D61CFC" w:rsidRPr="00B6426B">
        <w:rPr>
          <w:color w:val="222222"/>
          <w:shd w:val="clear" w:color="auto" w:fill="FFFFFF"/>
        </w:rPr>
        <w:t>,</w:t>
      </w:r>
      <w:r w:rsidRPr="00B6426B">
        <w:rPr>
          <w:color w:val="222222"/>
          <w:shd w:val="clear" w:color="auto" w:fill="FFFFFF"/>
        </w:rPr>
        <w:t xml:space="preserve"> 110</w:t>
      </w:r>
      <w:r w:rsidR="00D61CFC" w:rsidRPr="00B6426B">
        <w:rPr>
          <w:color w:val="222222"/>
          <w:shd w:val="clear" w:color="auto" w:fill="FFFFFF"/>
        </w:rPr>
        <w:t>-</w:t>
      </w:r>
      <w:r w:rsidRPr="00B6426B">
        <w:rPr>
          <w:color w:val="222222"/>
          <w:shd w:val="clear" w:color="auto" w:fill="FFFFFF"/>
        </w:rPr>
        <w:t>120.</w:t>
      </w:r>
    </w:p>
    <w:p w14:paraId="5C8BE7F3" w14:textId="77777777" w:rsidR="00575D15" w:rsidRPr="00B6426B" w:rsidRDefault="00575D15" w:rsidP="00B6426B">
      <w:pPr>
        <w:spacing w:before="80" w:line="240" w:lineRule="auto"/>
        <w:ind w:left="450" w:hanging="450"/>
        <w:jc w:val="both"/>
      </w:pPr>
      <w:r w:rsidRPr="00B6426B">
        <w:t xml:space="preserve">Clements, B. (2012). Exploring public opinion on the issue of climate change in Britain. </w:t>
      </w:r>
      <w:r w:rsidRPr="00B6426B">
        <w:rPr>
          <w:i/>
        </w:rPr>
        <w:t xml:space="preserve">British Politics, </w:t>
      </w:r>
      <w:r w:rsidRPr="00B6426B">
        <w:t>7(2), 183-202.</w:t>
      </w:r>
    </w:p>
    <w:p w14:paraId="7E4E33FC" w14:textId="1D16BAA9" w:rsidR="00575D15" w:rsidRPr="00B6426B" w:rsidRDefault="00575D15" w:rsidP="00B6426B">
      <w:pPr>
        <w:spacing w:before="80" w:line="240" w:lineRule="auto"/>
        <w:ind w:left="450" w:hanging="450"/>
        <w:jc w:val="both"/>
        <w:rPr>
          <w:color w:val="222222"/>
          <w:shd w:val="clear" w:color="auto" w:fill="FFFFFF"/>
        </w:rPr>
      </w:pPr>
      <w:r w:rsidRPr="00B6426B">
        <w:t>De Vos, J., and Alemi</w:t>
      </w:r>
      <w:r w:rsidR="00D61CFC" w:rsidRPr="00B6426B">
        <w:t>, F.</w:t>
      </w:r>
      <w:r w:rsidRPr="00B6426B">
        <w:t xml:space="preserve"> (2020). Are young adults car-loving urbanites? Comparing young and older adults’ residential location choice, travel behavior and attitudes. </w:t>
      </w:r>
      <w:r w:rsidRPr="00B6426B">
        <w:rPr>
          <w:i/>
          <w:iCs/>
        </w:rPr>
        <w:t>Transportation Research Part A</w:t>
      </w:r>
      <w:r w:rsidRPr="00B6426B">
        <w:t xml:space="preserve">, </w:t>
      </w:r>
      <w:r w:rsidRPr="00B6426B">
        <w:rPr>
          <w:iCs/>
        </w:rPr>
        <w:t>132</w:t>
      </w:r>
      <w:r w:rsidR="00D61CFC" w:rsidRPr="00B6426B">
        <w:t>,</w:t>
      </w:r>
      <w:r w:rsidRPr="00B6426B">
        <w:t xml:space="preserve"> 986</w:t>
      </w:r>
      <w:r w:rsidR="00D61CFC" w:rsidRPr="00B6426B">
        <w:rPr>
          <w:color w:val="222222"/>
          <w:shd w:val="clear" w:color="auto" w:fill="FFFFFF"/>
        </w:rPr>
        <w:t>-</w:t>
      </w:r>
      <w:r w:rsidRPr="00B6426B">
        <w:t>998.</w:t>
      </w:r>
    </w:p>
    <w:p w14:paraId="192D3B2B" w14:textId="611894C2" w:rsidR="00575D15" w:rsidRPr="00B6426B" w:rsidRDefault="00575D15" w:rsidP="00B6426B">
      <w:pPr>
        <w:spacing w:before="80" w:line="240" w:lineRule="auto"/>
        <w:ind w:left="450" w:hanging="450"/>
        <w:jc w:val="both"/>
        <w:rPr>
          <w:color w:val="222222"/>
          <w:shd w:val="clear" w:color="auto" w:fill="FFFFFF"/>
        </w:rPr>
      </w:pPr>
      <w:r w:rsidRPr="00B6426B">
        <w:rPr>
          <w:color w:val="222222"/>
          <w:shd w:val="clear" w:color="auto" w:fill="FFFFFF"/>
        </w:rPr>
        <w:t>Dong, H. (2017). Rail-transit-induced gentrification and the affordability paradox of TOD. </w:t>
      </w:r>
      <w:r w:rsidRPr="00B6426B">
        <w:rPr>
          <w:i/>
          <w:iCs/>
          <w:color w:val="222222"/>
          <w:shd w:val="clear" w:color="auto" w:fill="FFFFFF"/>
        </w:rPr>
        <w:t>Journal of Transport Geography</w:t>
      </w:r>
      <w:r w:rsidRPr="00B6426B">
        <w:rPr>
          <w:color w:val="222222"/>
          <w:shd w:val="clear" w:color="auto" w:fill="FFFFFF"/>
        </w:rPr>
        <w:t xml:space="preserve">, </w:t>
      </w:r>
      <w:r w:rsidRPr="00B6426B">
        <w:rPr>
          <w:iCs/>
          <w:color w:val="222222"/>
          <w:shd w:val="clear" w:color="auto" w:fill="FFFFFF"/>
        </w:rPr>
        <w:t>63</w:t>
      </w:r>
      <w:r w:rsidR="00D61CFC" w:rsidRPr="00B6426B">
        <w:rPr>
          <w:color w:val="222222"/>
          <w:shd w:val="clear" w:color="auto" w:fill="FFFFFF"/>
        </w:rPr>
        <w:t>,</w:t>
      </w:r>
      <w:r w:rsidRPr="00B6426B">
        <w:rPr>
          <w:color w:val="222222"/>
          <w:shd w:val="clear" w:color="auto" w:fill="FFFFFF"/>
        </w:rPr>
        <w:t xml:space="preserve"> 1</w:t>
      </w:r>
      <w:r w:rsidR="00D61CFC" w:rsidRPr="00B6426B">
        <w:rPr>
          <w:color w:val="222222"/>
          <w:shd w:val="clear" w:color="auto" w:fill="FFFFFF"/>
        </w:rPr>
        <w:t>-</w:t>
      </w:r>
      <w:r w:rsidRPr="00B6426B">
        <w:rPr>
          <w:color w:val="222222"/>
          <w:shd w:val="clear" w:color="auto" w:fill="FFFFFF"/>
        </w:rPr>
        <w:t>10.</w:t>
      </w:r>
    </w:p>
    <w:p w14:paraId="77439465" w14:textId="512313E7" w:rsidR="00575D15" w:rsidRPr="00B6426B" w:rsidRDefault="00575D15" w:rsidP="00B6426B">
      <w:pPr>
        <w:spacing w:before="80" w:line="240" w:lineRule="auto"/>
        <w:ind w:left="450" w:hanging="450"/>
        <w:jc w:val="both"/>
        <w:rPr>
          <w:color w:val="222222"/>
          <w:shd w:val="clear" w:color="auto" w:fill="FFFFFF"/>
        </w:rPr>
      </w:pPr>
      <w:proofErr w:type="spellStart"/>
      <w:r w:rsidRPr="00B6426B">
        <w:rPr>
          <w:color w:val="222222"/>
          <w:shd w:val="clear" w:color="auto" w:fill="FFFFFF"/>
        </w:rPr>
        <w:t>Etezady</w:t>
      </w:r>
      <w:proofErr w:type="spellEnd"/>
      <w:r w:rsidRPr="00B6426B">
        <w:rPr>
          <w:color w:val="222222"/>
          <w:shd w:val="clear" w:color="auto" w:fill="FFFFFF"/>
        </w:rPr>
        <w:t>, A., Shaw, F. A., Mokhtarian, P. L., and Circella, G. (2021). What drives the gap? Applying the Blinder–Oaxaca decomposition method to examine generational differences in transportation-related attitudes. </w:t>
      </w:r>
      <w:r w:rsidRPr="00B6426B">
        <w:rPr>
          <w:i/>
          <w:iCs/>
          <w:color w:val="222222"/>
          <w:shd w:val="clear" w:color="auto" w:fill="FFFFFF"/>
        </w:rPr>
        <w:t>Transportation</w:t>
      </w:r>
      <w:r w:rsidRPr="00B6426B">
        <w:rPr>
          <w:color w:val="222222"/>
          <w:shd w:val="clear" w:color="auto" w:fill="FFFFFF"/>
        </w:rPr>
        <w:t>, </w:t>
      </w:r>
      <w:r w:rsidRPr="00B6426B">
        <w:rPr>
          <w:iCs/>
          <w:color w:val="222222"/>
          <w:shd w:val="clear" w:color="auto" w:fill="FFFFFF"/>
        </w:rPr>
        <w:t>48</w:t>
      </w:r>
      <w:r w:rsidRPr="00B6426B">
        <w:rPr>
          <w:color w:val="222222"/>
          <w:shd w:val="clear" w:color="auto" w:fill="FFFFFF"/>
        </w:rPr>
        <w:t>(2), 857-883.</w:t>
      </w:r>
    </w:p>
    <w:p w14:paraId="49BF60EE" w14:textId="72425FC2" w:rsidR="00D87F90" w:rsidRPr="00B6426B" w:rsidRDefault="00D87F90" w:rsidP="00B6426B">
      <w:pPr>
        <w:spacing w:before="80" w:line="240" w:lineRule="auto"/>
        <w:ind w:left="450" w:hanging="450"/>
        <w:jc w:val="both"/>
        <w:rPr>
          <w:color w:val="222222"/>
          <w:shd w:val="clear" w:color="auto" w:fill="FFFFFF"/>
        </w:rPr>
      </w:pPr>
      <w:r w:rsidRPr="00B6426B">
        <w:rPr>
          <w:color w:val="222222"/>
          <w:shd w:val="clear" w:color="auto" w:fill="FFFFFF"/>
        </w:rPr>
        <w:t xml:space="preserve">Faber, K., and van </w:t>
      </w:r>
      <w:proofErr w:type="spellStart"/>
      <w:r w:rsidRPr="00B6426B">
        <w:rPr>
          <w:color w:val="222222"/>
          <w:shd w:val="clear" w:color="auto" w:fill="FFFFFF"/>
        </w:rPr>
        <w:t>Lierop</w:t>
      </w:r>
      <w:proofErr w:type="spellEnd"/>
      <w:r w:rsidRPr="00B6426B">
        <w:rPr>
          <w:color w:val="222222"/>
          <w:shd w:val="clear" w:color="auto" w:fill="FFFFFF"/>
        </w:rPr>
        <w:t>, D. (2020). How will older adults use automated vehicles? Assessing the role of AVs in overcoming perceived mobility barriers. </w:t>
      </w:r>
      <w:r w:rsidRPr="00B6426B">
        <w:rPr>
          <w:i/>
          <w:iCs/>
          <w:color w:val="222222"/>
          <w:shd w:val="clear" w:color="auto" w:fill="FFFFFF"/>
        </w:rPr>
        <w:t xml:space="preserve">Transportation </w:t>
      </w:r>
      <w:r w:rsidR="00D61CFC" w:rsidRPr="00B6426B">
        <w:rPr>
          <w:i/>
          <w:iCs/>
          <w:color w:val="222222"/>
          <w:shd w:val="clear" w:color="auto" w:fill="FFFFFF"/>
        </w:rPr>
        <w:t>R</w:t>
      </w:r>
      <w:r w:rsidRPr="00B6426B">
        <w:rPr>
          <w:i/>
          <w:iCs/>
          <w:color w:val="222222"/>
          <w:shd w:val="clear" w:color="auto" w:fill="FFFFFF"/>
        </w:rPr>
        <w:t xml:space="preserve">esearch </w:t>
      </w:r>
      <w:r w:rsidR="00D61CFC" w:rsidRPr="00B6426B">
        <w:rPr>
          <w:i/>
          <w:iCs/>
          <w:color w:val="222222"/>
          <w:shd w:val="clear" w:color="auto" w:fill="FFFFFF"/>
        </w:rPr>
        <w:t>P</w:t>
      </w:r>
      <w:r w:rsidRPr="00B6426B">
        <w:rPr>
          <w:i/>
          <w:iCs/>
          <w:color w:val="222222"/>
          <w:shd w:val="clear" w:color="auto" w:fill="FFFFFF"/>
        </w:rPr>
        <w:t>art A</w:t>
      </w:r>
      <w:r w:rsidRPr="00B6426B">
        <w:rPr>
          <w:color w:val="222222"/>
          <w:shd w:val="clear" w:color="auto" w:fill="FFFFFF"/>
        </w:rPr>
        <w:t>, </w:t>
      </w:r>
      <w:r w:rsidRPr="00B6426B">
        <w:rPr>
          <w:iCs/>
          <w:color w:val="222222"/>
          <w:shd w:val="clear" w:color="auto" w:fill="FFFFFF"/>
        </w:rPr>
        <w:t>133</w:t>
      </w:r>
      <w:r w:rsidRPr="00B6426B">
        <w:rPr>
          <w:color w:val="222222"/>
          <w:shd w:val="clear" w:color="auto" w:fill="FFFFFF"/>
        </w:rPr>
        <w:t>, 353-363.</w:t>
      </w:r>
    </w:p>
    <w:p w14:paraId="76A0D43C" w14:textId="77777777" w:rsidR="00575D15" w:rsidRPr="00B6426B" w:rsidRDefault="00575D15" w:rsidP="00B6426B">
      <w:pPr>
        <w:spacing w:before="80" w:line="240" w:lineRule="auto"/>
        <w:ind w:left="450" w:hanging="450"/>
        <w:jc w:val="both"/>
        <w:rPr>
          <w:color w:val="222222"/>
          <w:shd w:val="clear" w:color="auto" w:fill="FFFFFF"/>
        </w:rPr>
      </w:pPr>
      <w:r w:rsidRPr="00B6426B">
        <w:rPr>
          <w:color w:val="222222"/>
          <w:shd w:val="clear" w:color="auto" w:fill="FFFFFF"/>
        </w:rPr>
        <w:t xml:space="preserve">Fisher, C., </w:t>
      </w:r>
      <w:proofErr w:type="spellStart"/>
      <w:r w:rsidRPr="00B6426B">
        <w:rPr>
          <w:color w:val="222222"/>
          <w:shd w:val="clear" w:color="auto" w:fill="FFFFFF"/>
        </w:rPr>
        <w:t>Bashyal</w:t>
      </w:r>
      <w:proofErr w:type="spellEnd"/>
      <w:r w:rsidRPr="00B6426B">
        <w:rPr>
          <w:color w:val="222222"/>
          <w:shd w:val="clear" w:color="auto" w:fill="FFFFFF"/>
        </w:rPr>
        <w:t>, S., and Bachman, B. (2012). Demographic impacts on environmentally friendly purchase behaviors. </w:t>
      </w:r>
      <w:r w:rsidRPr="00B6426B">
        <w:rPr>
          <w:i/>
          <w:iCs/>
          <w:color w:val="222222"/>
          <w:shd w:val="clear" w:color="auto" w:fill="FFFFFF"/>
        </w:rPr>
        <w:t>Journal of Targeting, Measurement and Analysis for Marketing</w:t>
      </w:r>
      <w:r w:rsidRPr="00B6426B">
        <w:rPr>
          <w:color w:val="222222"/>
          <w:shd w:val="clear" w:color="auto" w:fill="FFFFFF"/>
        </w:rPr>
        <w:t>, </w:t>
      </w:r>
      <w:r w:rsidRPr="00B6426B">
        <w:rPr>
          <w:iCs/>
          <w:color w:val="222222"/>
          <w:shd w:val="clear" w:color="auto" w:fill="FFFFFF"/>
        </w:rPr>
        <w:t>20</w:t>
      </w:r>
      <w:r w:rsidRPr="00B6426B">
        <w:rPr>
          <w:color w:val="222222"/>
          <w:shd w:val="clear" w:color="auto" w:fill="FFFFFF"/>
        </w:rPr>
        <w:t>(3), 172-184.</w:t>
      </w:r>
    </w:p>
    <w:p w14:paraId="12FAF138" w14:textId="77777777" w:rsidR="00575D15" w:rsidRPr="00B6426B" w:rsidRDefault="00575D15" w:rsidP="00B6426B">
      <w:pPr>
        <w:spacing w:before="80" w:line="240" w:lineRule="auto"/>
        <w:ind w:left="450" w:hanging="450"/>
        <w:jc w:val="both"/>
        <w:rPr>
          <w:color w:val="222222"/>
          <w:shd w:val="clear" w:color="auto" w:fill="FFFFFF"/>
        </w:rPr>
      </w:pPr>
      <w:r w:rsidRPr="00B6426B">
        <w:rPr>
          <w:color w:val="222222"/>
          <w:shd w:val="clear" w:color="auto" w:fill="FFFFFF"/>
        </w:rPr>
        <w:t xml:space="preserve">Franzen, A., and </w:t>
      </w:r>
      <w:proofErr w:type="spellStart"/>
      <w:r w:rsidRPr="00B6426B">
        <w:rPr>
          <w:color w:val="222222"/>
          <w:shd w:val="clear" w:color="auto" w:fill="FFFFFF"/>
        </w:rPr>
        <w:t>Vogl</w:t>
      </w:r>
      <w:proofErr w:type="spellEnd"/>
      <w:r w:rsidRPr="00B6426B">
        <w:rPr>
          <w:color w:val="222222"/>
          <w:shd w:val="clear" w:color="auto" w:fill="FFFFFF"/>
        </w:rPr>
        <w:t>, D. (2013). Two decades of measuring environmental attitudes: A comparative analysis of 33 countries. </w:t>
      </w:r>
      <w:r w:rsidRPr="00B6426B">
        <w:rPr>
          <w:i/>
          <w:iCs/>
          <w:color w:val="222222"/>
          <w:shd w:val="clear" w:color="auto" w:fill="FFFFFF"/>
        </w:rPr>
        <w:t>Global Environmental Change</w:t>
      </w:r>
      <w:r w:rsidRPr="00B6426B">
        <w:rPr>
          <w:color w:val="222222"/>
          <w:shd w:val="clear" w:color="auto" w:fill="FFFFFF"/>
        </w:rPr>
        <w:t>, </w:t>
      </w:r>
      <w:r w:rsidRPr="00B6426B">
        <w:rPr>
          <w:iCs/>
          <w:color w:val="222222"/>
          <w:shd w:val="clear" w:color="auto" w:fill="FFFFFF"/>
        </w:rPr>
        <w:t>23</w:t>
      </w:r>
      <w:r w:rsidRPr="00B6426B">
        <w:rPr>
          <w:color w:val="222222"/>
          <w:shd w:val="clear" w:color="auto" w:fill="FFFFFF"/>
        </w:rPr>
        <w:t>(5), 1001-1008.</w:t>
      </w:r>
    </w:p>
    <w:p w14:paraId="4004A8B7" w14:textId="77777777" w:rsidR="00575D15" w:rsidRPr="00B6426B" w:rsidRDefault="00575D15" w:rsidP="00B6426B">
      <w:pPr>
        <w:spacing w:before="80" w:line="240" w:lineRule="auto"/>
        <w:ind w:left="450" w:hanging="450"/>
        <w:jc w:val="both"/>
        <w:rPr>
          <w:color w:val="222222"/>
          <w:shd w:val="clear" w:color="auto" w:fill="FFFFFF"/>
        </w:rPr>
      </w:pPr>
      <w:r w:rsidRPr="00B6426B">
        <w:rPr>
          <w:color w:val="222222"/>
          <w:shd w:val="clear" w:color="auto" w:fill="FFFFFF"/>
        </w:rPr>
        <w:t xml:space="preserve">Gardner, N., Cui, J., and </w:t>
      </w:r>
      <w:proofErr w:type="spellStart"/>
      <w:r w:rsidRPr="00B6426B">
        <w:rPr>
          <w:color w:val="222222"/>
          <w:shd w:val="clear" w:color="auto" w:fill="FFFFFF"/>
        </w:rPr>
        <w:t>Coiacetto</w:t>
      </w:r>
      <w:proofErr w:type="spellEnd"/>
      <w:r w:rsidRPr="00B6426B">
        <w:rPr>
          <w:color w:val="222222"/>
          <w:shd w:val="clear" w:color="auto" w:fill="FFFFFF"/>
        </w:rPr>
        <w:t xml:space="preserve">, E. (2017). Harassment on public transport and its impacts on women’s travel </w:t>
      </w:r>
      <w:proofErr w:type="spellStart"/>
      <w:r w:rsidRPr="00B6426B">
        <w:rPr>
          <w:color w:val="222222"/>
          <w:shd w:val="clear" w:color="auto" w:fill="FFFFFF"/>
        </w:rPr>
        <w:t>behaviour</w:t>
      </w:r>
      <w:proofErr w:type="spellEnd"/>
      <w:r w:rsidRPr="00B6426B">
        <w:rPr>
          <w:color w:val="222222"/>
          <w:shd w:val="clear" w:color="auto" w:fill="FFFFFF"/>
        </w:rPr>
        <w:t>. </w:t>
      </w:r>
      <w:r w:rsidRPr="00B6426B">
        <w:rPr>
          <w:i/>
          <w:iCs/>
          <w:color w:val="222222"/>
          <w:shd w:val="clear" w:color="auto" w:fill="FFFFFF"/>
        </w:rPr>
        <w:t>Australian Planner</w:t>
      </w:r>
      <w:r w:rsidRPr="00B6426B">
        <w:rPr>
          <w:color w:val="222222"/>
          <w:shd w:val="clear" w:color="auto" w:fill="FFFFFF"/>
        </w:rPr>
        <w:t>, </w:t>
      </w:r>
      <w:r w:rsidRPr="00B6426B">
        <w:rPr>
          <w:iCs/>
          <w:color w:val="222222"/>
          <w:shd w:val="clear" w:color="auto" w:fill="FFFFFF"/>
        </w:rPr>
        <w:t>54</w:t>
      </w:r>
      <w:r w:rsidRPr="00B6426B">
        <w:rPr>
          <w:color w:val="222222"/>
          <w:shd w:val="clear" w:color="auto" w:fill="FFFFFF"/>
        </w:rPr>
        <w:t>(1), 8-15.</w:t>
      </w:r>
    </w:p>
    <w:p w14:paraId="0DC9573D" w14:textId="2294A14C" w:rsidR="00575D15" w:rsidRPr="00B6426B" w:rsidRDefault="00575D15" w:rsidP="00B6426B">
      <w:pPr>
        <w:spacing w:before="80" w:line="240" w:lineRule="auto"/>
        <w:ind w:left="450" w:hanging="450"/>
        <w:jc w:val="both"/>
      </w:pPr>
      <w:r w:rsidRPr="00B6426B">
        <w:t xml:space="preserve">Gilibert, M., I. Ribas, N. Maslekar, C. Rosen, and A. Siebeneich (2019). Mapping of service deployment use cases and user requirements for an on-demand shared ride-hailing service: MOIA test service case study. </w:t>
      </w:r>
      <w:r w:rsidRPr="00B6426B">
        <w:rPr>
          <w:i/>
          <w:iCs/>
        </w:rPr>
        <w:t>Case Studies on Transport Policy</w:t>
      </w:r>
      <w:r w:rsidRPr="00B6426B">
        <w:t>, 7(3)</w:t>
      </w:r>
      <w:r w:rsidR="00D61CFC" w:rsidRPr="00B6426B">
        <w:t xml:space="preserve">, </w:t>
      </w:r>
      <w:r w:rsidRPr="00B6426B">
        <w:t>598</w:t>
      </w:r>
      <w:r w:rsidR="00D61CFC" w:rsidRPr="00B6426B">
        <w:rPr>
          <w:color w:val="222222"/>
          <w:shd w:val="clear" w:color="auto" w:fill="FFFFFF"/>
        </w:rPr>
        <w:t>-</w:t>
      </w:r>
      <w:r w:rsidRPr="00B6426B">
        <w:t>606.</w:t>
      </w:r>
    </w:p>
    <w:p w14:paraId="2FDC7554" w14:textId="7AD41A3F" w:rsidR="000953E0" w:rsidRPr="00B6426B" w:rsidRDefault="000953E0" w:rsidP="00B6426B">
      <w:pPr>
        <w:spacing w:before="80" w:line="240" w:lineRule="auto"/>
        <w:ind w:left="450" w:hanging="450"/>
        <w:jc w:val="both"/>
      </w:pPr>
      <w:proofErr w:type="spellStart"/>
      <w:r w:rsidRPr="00B6426B">
        <w:rPr>
          <w:color w:val="222222"/>
          <w:shd w:val="clear" w:color="auto" w:fill="FFFFFF"/>
        </w:rPr>
        <w:t>Giurge</w:t>
      </w:r>
      <w:proofErr w:type="spellEnd"/>
      <w:r w:rsidRPr="00B6426B">
        <w:rPr>
          <w:color w:val="222222"/>
          <w:shd w:val="clear" w:color="auto" w:fill="FFFFFF"/>
        </w:rPr>
        <w:t xml:space="preserve">, L. M., Whillans, A. V., </w:t>
      </w:r>
      <w:r w:rsidR="00D87F90" w:rsidRPr="00B6426B">
        <w:rPr>
          <w:color w:val="222222"/>
          <w:shd w:val="clear" w:color="auto" w:fill="FFFFFF"/>
        </w:rPr>
        <w:t>and</w:t>
      </w:r>
      <w:r w:rsidRPr="00B6426B">
        <w:rPr>
          <w:color w:val="222222"/>
          <w:shd w:val="clear" w:color="auto" w:fill="FFFFFF"/>
        </w:rPr>
        <w:t xml:space="preserve"> West, C. (2020). Why time poverty matters for individuals, </w:t>
      </w:r>
      <w:proofErr w:type="spellStart"/>
      <w:r w:rsidRPr="00B6426B">
        <w:rPr>
          <w:color w:val="222222"/>
          <w:shd w:val="clear" w:color="auto" w:fill="FFFFFF"/>
        </w:rPr>
        <w:t>organisations</w:t>
      </w:r>
      <w:proofErr w:type="spellEnd"/>
      <w:r w:rsidRPr="00B6426B">
        <w:rPr>
          <w:color w:val="222222"/>
          <w:shd w:val="clear" w:color="auto" w:fill="FFFFFF"/>
        </w:rPr>
        <w:t xml:space="preserve"> and nations. </w:t>
      </w:r>
      <w:r w:rsidRPr="00B6426B">
        <w:rPr>
          <w:i/>
          <w:iCs/>
          <w:color w:val="222222"/>
          <w:shd w:val="clear" w:color="auto" w:fill="FFFFFF"/>
        </w:rPr>
        <w:t xml:space="preserve">Nature Human </w:t>
      </w:r>
      <w:proofErr w:type="spellStart"/>
      <w:r w:rsidRPr="00B6426B">
        <w:rPr>
          <w:i/>
          <w:iCs/>
          <w:color w:val="222222"/>
          <w:shd w:val="clear" w:color="auto" w:fill="FFFFFF"/>
        </w:rPr>
        <w:t>Behaviour</w:t>
      </w:r>
      <w:proofErr w:type="spellEnd"/>
      <w:r w:rsidRPr="00B6426B">
        <w:rPr>
          <w:color w:val="222222"/>
          <w:shd w:val="clear" w:color="auto" w:fill="FFFFFF"/>
        </w:rPr>
        <w:t>, </w:t>
      </w:r>
      <w:r w:rsidRPr="00B6426B">
        <w:rPr>
          <w:iCs/>
          <w:color w:val="222222"/>
          <w:shd w:val="clear" w:color="auto" w:fill="FFFFFF"/>
        </w:rPr>
        <w:t>4</w:t>
      </w:r>
      <w:r w:rsidRPr="00B6426B">
        <w:rPr>
          <w:color w:val="222222"/>
          <w:shd w:val="clear" w:color="auto" w:fill="FFFFFF"/>
        </w:rPr>
        <w:t>(10), 993-1003.</w:t>
      </w:r>
    </w:p>
    <w:p w14:paraId="00248213" w14:textId="61E673E7" w:rsidR="00575D15" w:rsidRPr="00B6426B" w:rsidRDefault="00575D15" w:rsidP="00B6426B">
      <w:pPr>
        <w:spacing w:before="80" w:line="240" w:lineRule="auto"/>
        <w:ind w:left="450" w:hanging="450"/>
        <w:jc w:val="both"/>
      </w:pPr>
      <w:r w:rsidRPr="00B6426B">
        <w:t xml:space="preserve">Guan, X., Wang, </w:t>
      </w:r>
      <w:r w:rsidR="003B5CD2" w:rsidRPr="00B6426B">
        <w:t xml:space="preserve">D., </w:t>
      </w:r>
      <w:r w:rsidRPr="00B6426B">
        <w:t>and Cao</w:t>
      </w:r>
      <w:r w:rsidR="003B5CD2" w:rsidRPr="00B6426B">
        <w:t>, X. J.</w:t>
      </w:r>
      <w:r w:rsidRPr="00B6426B">
        <w:t xml:space="preserve"> </w:t>
      </w:r>
      <w:r w:rsidRPr="00B6426B">
        <w:rPr>
          <w:color w:val="222222"/>
          <w:shd w:val="clear" w:color="auto" w:fill="FFFFFF"/>
        </w:rPr>
        <w:t>(2020)</w:t>
      </w:r>
      <w:r w:rsidRPr="00B6426B">
        <w:t>. The role of residential self-selection in land use-travel research: A review of recent findings. </w:t>
      </w:r>
      <w:r w:rsidRPr="00B6426B">
        <w:rPr>
          <w:i/>
          <w:iCs/>
        </w:rPr>
        <w:t>Transport Reviews</w:t>
      </w:r>
      <w:r w:rsidRPr="00B6426B">
        <w:t xml:space="preserve">, </w:t>
      </w:r>
      <w:r w:rsidRPr="00B6426B">
        <w:rPr>
          <w:iCs/>
        </w:rPr>
        <w:t>40</w:t>
      </w:r>
      <w:r w:rsidRPr="00B6426B">
        <w:t>(3)</w:t>
      </w:r>
      <w:r w:rsidR="00D61CFC" w:rsidRPr="00B6426B">
        <w:t>,</w:t>
      </w:r>
      <w:r w:rsidRPr="00B6426B">
        <w:t xml:space="preserve"> 267</w:t>
      </w:r>
      <w:r w:rsidR="00D61CFC" w:rsidRPr="00B6426B">
        <w:rPr>
          <w:color w:val="222222"/>
          <w:shd w:val="clear" w:color="auto" w:fill="FFFFFF"/>
        </w:rPr>
        <w:t>-</w:t>
      </w:r>
      <w:r w:rsidRPr="00B6426B">
        <w:t>287.</w:t>
      </w:r>
    </w:p>
    <w:p w14:paraId="139ECE40" w14:textId="0C569463" w:rsidR="00575D15" w:rsidRPr="00B6426B" w:rsidRDefault="00575D15" w:rsidP="00B6426B">
      <w:pPr>
        <w:spacing w:before="80" w:line="240" w:lineRule="auto"/>
        <w:ind w:left="450" w:hanging="450"/>
        <w:jc w:val="both"/>
        <w:rPr>
          <w:color w:val="222222"/>
          <w:shd w:val="clear" w:color="auto" w:fill="FFFFFF"/>
        </w:rPr>
      </w:pPr>
      <w:r w:rsidRPr="00B6426B">
        <w:t xml:space="preserve">Haddad, A., Mondal, </w:t>
      </w:r>
      <w:r w:rsidR="003B5CD2" w:rsidRPr="00B6426B">
        <w:t xml:space="preserve">A., </w:t>
      </w:r>
      <w:r w:rsidRPr="00B6426B">
        <w:t>and Bhat</w:t>
      </w:r>
      <w:r w:rsidR="003B5CD2" w:rsidRPr="00B6426B">
        <w:t>, C.R.</w:t>
      </w:r>
      <w:r w:rsidRPr="00B6426B">
        <w:t xml:space="preserve"> (2022). Eat-in or Eat-out? A joint model to analyze the new landscape of dinner meal preferences. </w:t>
      </w:r>
      <w:r w:rsidR="00941397" w:rsidRPr="00941397">
        <w:rPr>
          <w:i/>
          <w:iCs/>
          <w:color w:val="222222"/>
          <w:shd w:val="clear" w:color="auto" w:fill="FFFFFF"/>
        </w:rPr>
        <w:t>Transportation Research Part C</w:t>
      </w:r>
      <w:r w:rsidR="00941397" w:rsidRPr="00E4219E">
        <w:rPr>
          <w:color w:val="222222"/>
          <w:shd w:val="clear" w:color="auto" w:fill="FFFFFF"/>
        </w:rPr>
        <w:t>, </w:t>
      </w:r>
      <w:r w:rsidR="00941397">
        <w:rPr>
          <w:iCs/>
          <w:color w:val="222222"/>
          <w:shd w:val="clear" w:color="auto" w:fill="FFFFFF"/>
        </w:rPr>
        <w:t>147</w:t>
      </w:r>
      <w:r w:rsidR="00941397" w:rsidRPr="00E4219E">
        <w:rPr>
          <w:color w:val="222222"/>
          <w:shd w:val="clear" w:color="auto" w:fill="FFFFFF"/>
        </w:rPr>
        <w:t xml:space="preserve">, </w:t>
      </w:r>
      <w:r w:rsidR="00941397">
        <w:rPr>
          <w:color w:val="222222"/>
          <w:shd w:val="clear" w:color="auto" w:fill="FFFFFF"/>
        </w:rPr>
        <w:t>104016</w:t>
      </w:r>
      <w:r w:rsidRPr="00B6426B">
        <w:rPr>
          <w:color w:val="222222"/>
          <w:shd w:val="clear" w:color="auto" w:fill="FFFFFF"/>
        </w:rPr>
        <w:t>.</w:t>
      </w:r>
    </w:p>
    <w:p w14:paraId="4E5B1B55" w14:textId="77777777" w:rsidR="00575D15" w:rsidRPr="00B6426B" w:rsidRDefault="00575D15" w:rsidP="00B6426B">
      <w:pPr>
        <w:spacing w:before="80" w:line="240" w:lineRule="auto"/>
        <w:ind w:left="450" w:hanging="450"/>
        <w:jc w:val="both"/>
        <w:rPr>
          <w:color w:val="000000" w:themeColor="text1"/>
        </w:rPr>
      </w:pPr>
      <w:r w:rsidRPr="00B6426B">
        <w:rPr>
          <w:color w:val="000000" w:themeColor="text1"/>
        </w:rPr>
        <w:t>Hassim, A. (2021). Why younger generations are more willing to change in the name of sustainability. GreenBiz.com. Available at: </w:t>
      </w:r>
      <w:hyperlink r:id="rId399" w:tgtFrame="_blank" w:history="1">
        <w:r w:rsidRPr="00B6426B">
          <w:rPr>
            <w:rStyle w:val="Hyperlink"/>
            <w:rFonts w:eastAsiaTheme="majorEastAsia"/>
          </w:rPr>
          <w:t>https://www.greenbiz.com/article/why-younger-generations-are-more-willing-change-name-sustainability</w:t>
        </w:r>
      </w:hyperlink>
    </w:p>
    <w:p w14:paraId="183468ED" w14:textId="77777777" w:rsidR="00575D15" w:rsidRPr="00B6426B" w:rsidRDefault="00575D15" w:rsidP="00B6426B">
      <w:pPr>
        <w:spacing w:before="80" w:line="240" w:lineRule="auto"/>
        <w:ind w:left="450" w:hanging="450"/>
        <w:jc w:val="both"/>
        <w:rPr>
          <w:color w:val="222222"/>
          <w:shd w:val="clear" w:color="auto" w:fill="FFFFFF"/>
        </w:rPr>
      </w:pPr>
      <w:proofErr w:type="spellStart"/>
      <w:r w:rsidRPr="00B6426B">
        <w:rPr>
          <w:color w:val="222222"/>
          <w:shd w:val="clear" w:color="auto" w:fill="FFFFFF"/>
        </w:rPr>
        <w:t>Henager</w:t>
      </w:r>
      <w:proofErr w:type="spellEnd"/>
      <w:r w:rsidRPr="00B6426B">
        <w:rPr>
          <w:color w:val="222222"/>
          <w:shd w:val="clear" w:color="auto" w:fill="FFFFFF"/>
        </w:rPr>
        <w:t xml:space="preserve">, R., and </w:t>
      </w:r>
      <w:proofErr w:type="spellStart"/>
      <w:r w:rsidRPr="00B6426B">
        <w:rPr>
          <w:color w:val="222222"/>
          <w:shd w:val="clear" w:color="auto" w:fill="FFFFFF"/>
        </w:rPr>
        <w:t>Cude</w:t>
      </w:r>
      <w:proofErr w:type="spellEnd"/>
      <w:r w:rsidRPr="00B6426B">
        <w:rPr>
          <w:color w:val="222222"/>
          <w:shd w:val="clear" w:color="auto" w:fill="FFFFFF"/>
        </w:rPr>
        <w:t>, B. J. (2016). Financial Literacy and Long-and Short-Term Financial Behavior in Different Age Groups. </w:t>
      </w:r>
      <w:r w:rsidRPr="00B6426B">
        <w:rPr>
          <w:i/>
          <w:iCs/>
          <w:color w:val="222222"/>
          <w:shd w:val="clear" w:color="auto" w:fill="FFFFFF"/>
        </w:rPr>
        <w:t>Journal of Financial Counseling and Planning</w:t>
      </w:r>
      <w:r w:rsidRPr="00B6426B">
        <w:rPr>
          <w:color w:val="222222"/>
          <w:shd w:val="clear" w:color="auto" w:fill="FFFFFF"/>
        </w:rPr>
        <w:t>, </w:t>
      </w:r>
      <w:r w:rsidRPr="00B6426B">
        <w:rPr>
          <w:iCs/>
          <w:color w:val="222222"/>
          <w:shd w:val="clear" w:color="auto" w:fill="FFFFFF"/>
        </w:rPr>
        <w:t>27</w:t>
      </w:r>
      <w:r w:rsidRPr="00B6426B">
        <w:rPr>
          <w:color w:val="222222"/>
          <w:shd w:val="clear" w:color="auto" w:fill="FFFFFF"/>
        </w:rPr>
        <w:t>(1), 3-19.</w:t>
      </w:r>
    </w:p>
    <w:p w14:paraId="2DA9F802" w14:textId="77777777" w:rsidR="00575D15" w:rsidRPr="00B6426B" w:rsidRDefault="00575D15" w:rsidP="00B6426B">
      <w:pPr>
        <w:spacing w:before="80" w:line="240" w:lineRule="auto"/>
        <w:ind w:left="450" w:hanging="450"/>
        <w:jc w:val="both"/>
        <w:rPr>
          <w:color w:val="222222"/>
          <w:shd w:val="clear" w:color="auto" w:fill="FFFFFF"/>
        </w:rPr>
      </w:pPr>
      <w:r w:rsidRPr="00B6426B">
        <w:rPr>
          <w:color w:val="222222"/>
          <w:shd w:val="clear" w:color="auto" w:fill="FFFFFF"/>
        </w:rPr>
        <w:t>Kahn, K. (2018). Work and wealth. </w:t>
      </w:r>
      <w:r w:rsidRPr="00B6426B">
        <w:rPr>
          <w:i/>
          <w:iCs/>
          <w:color w:val="222222"/>
          <w:shd w:val="clear" w:color="auto" w:fill="FFFFFF"/>
        </w:rPr>
        <w:t>A Report from the 2017 Aspen Institute Economic Security</w:t>
      </w:r>
      <w:r w:rsidRPr="00B6426B">
        <w:rPr>
          <w:color w:val="222222"/>
          <w:shd w:val="clear" w:color="auto" w:fill="FFFFFF"/>
        </w:rPr>
        <w:t>.</w:t>
      </w:r>
    </w:p>
    <w:p w14:paraId="6C9C2922" w14:textId="7C135272" w:rsidR="00575D15" w:rsidRPr="00B6426B" w:rsidRDefault="00575D15" w:rsidP="00B6426B">
      <w:pPr>
        <w:spacing w:before="80" w:line="240" w:lineRule="auto"/>
        <w:ind w:left="450" w:hanging="450"/>
        <w:jc w:val="both"/>
        <w:rPr>
          <w:color w:val="222222"/>
          <w:shd w:val="clear" w:color="auto" w:fill="FFFFFF"/>
        </w:rPr>
      </w:pPr>
      <w:r w:rsidRPr="00B6426B">
        <w:rPr>
          <w:color w:val="222222"/>
          <w:shd w:val="clear" w:color="auto" w:fill="FFFFFF"/>
        </w:rPr>
        <w:t>Kaplan, D. H. (2015). Transportation sustainability on a university campus. </w:t>
      </w:r>
      <w:r w:rsidRPr="00B6426B">
        <w:rPr>
          <w:i/>
          <w:iCs/>
          <w:color w:val="222222"/>
          <w:shd w:val="clear" w:color="auto" w:fill="FFFFFF"/>
        </w:rPr>
        <w:t>International Journal of Sustainability in Higher Education</w:t>
      </w:r>
      <w:r w:rsidR="00941397">
        <w:rPr>
          <w:color w:val="222222"/>
          <w:shd w:val="clear" w:color="auto" w:fill="FFFFFF"/>
        </w:rPr>
        <w:t xml:space="preserve">, </w:t>
      </w:r>
      <w:r w:rsidR="00941397">
        <w:rPr>
          <w:color w:val="222222"/>
          <w:shd w:val="clear" w:color="auto" w:fill="FFFFFF"/>
        </w:rPr>
        <w:t>16(2), 173-186</w:t>
      </w:r>
      <w:r w:rsidR="00941397">
        <w:rPr>
          <w:color w:val="222222"/>
          <w:shd w:val="clear" w:color="auto" w:fill="FFFFFF"/>
        </w:rPr>
        <w:t>.</w:t>
      </w:r>
      <w:bookmarkStart w:id="18" w:name="_GoBack"/>
      <w:bookmarkEnd w:id="18"/>
    </w:p>
    <w:p w14:paraId="3DE2F756" w14:textId="1A0420D2" w:rsidR="00575D15" w:rsidRPr="00B6426B" w:rsidRDefault="00575D15" w:rsidP="00B6426B">
      <w:pPr>
        <w:spacing w:before="80" w:line="240" w:lineRule="auto"/>
        <w:ind w:left="450" w:hanging="450"/>
        <w:jc w:val="both"/>
        <w:rPr>
          <w:color w:val="222222"/>
          <w:shd w:val="clear" w:color="auto" w:fill="FFFFFF"/>
        </w:rPr>
      </w:pPr>
      <w:r w:rsidRPr="00B6426B">
        <w:rPr>
          <w:color w:val="222222"/>
          <w:shd w:val="clear" w:color="auto" w:fill="FFFFFF"/>
        </w:rPr>
        <w:lastRenderedPageBreak/>
        <w:t xml:space="preserve">Kim, S. H., Mokhtarian, </w:t>
      </w:r>
      <w:r w:rsidR="003B5CD2" w:rsidRPr="00B6426B">
        <w:rPr>
          <w:color w:val="222222"/>
          <w:shd w:val="clear" w:color="auto" w:fill="FFFFFF"/>
        </w:rPr>
        <w:t xml:space="preserve">P. L., </w:t>
      </w:r>
      <w:r w:rsidRPr="00B6426B">
        <w:rPr>
          <w:color w:val="222222"/>
          <w:shd w:val="clear" w:color="auto" w:fill="FFFFFF"/>
        </w:rPr>
        <w:t>and Circella</w:t>
      </w:r>
      <w:r w:rsidR="003B5CD2" w:rsidRPr="00B6426B">
        <w:rPr>
          <w:color w:val="222222"/>
          <w:shd w:val="clear" w:color="auto" w:fill="FFFFFF"/>
        </w:rPr>
        <w:t>, G.</w:t>
      </w:r>
      <w:r w:rsidRPr="00B6426B">
        <w:rPr>
          <w:color w:val="222222"/>
          <w:shd w:val="clear" w:color="auto" w:fill="FFFFFF"/>
        </w:rPr>
        <w:t xml:space="preserve"> (2020). Will autonomous vehicles change residential location and vehicle ownership? Glimpses from Georgia. </w:t>
      </w:r>
      <w:r w:rsidRPr="00B6426B">
        <w:rPr>
          <w:i/>
          <w:iCs/>
          <w:color w:val="222222"/>
          <w:shd w:val="clear" w:color="auto" w:fill="FFFFFF"/>
        </w:rPr>
        <w:t>Transportation Research Part D</w:t>
      </w:r>
      <w:r w:rsidRPr="00B6426B">
        <w:rPr>
          <w:color w:val="222222"/>
          <w:shd w:val="clear" w:color="auto" w:fill="FFFFFF"/>
        </w:rPr>
        <w:t xml:space="preserve">, </w:t>
      </w:r>
      <w:r w:rsidRPr="00B6426B">
        <w:rPr>
          <w:iCs/>
          <w:color w:val="222222"/>
          <w:shd w:val="clear" w:color="auto" w:fill="FFFFFF"/>
        </w:rPr>
        <w:t>82</w:t>
      </w:r>
      <w:r w:rsidR="003B5CD2" w:rsidRPr="00B6426B">
        <w:rPr>
          <w:color w:val="222222"/>
          <w:shd w:val="clear" w:color="auto" w:fill="FFFFFF"/>
        </w:rPr>
        <w:t>,</w:t>
      </w:r>
      <w:r w:rsidRPr="00B6426B">
        <w:rPr>
          <w:color w:val="222222"/>
          <w:shd w:val="clear" w:color="auto" w:fill="FFFFFF"/>
        </w:rPr>
        <w:t xml:space="preserve"> 102291.</w:t>
      </w:r>
    </w:p>
    <w:p w14:paraId="47376CFE" w14:textId="0F10F91A" w:rsidR="00575D15" w:rsidRPr="00B6426B" w:rsidRDefault="00575D15" w:rsidP="00B6426B">
      <w:pPr>
        <w:spacing w:before="80" w:line="240" w:lineRule="auto"/>
        <w:ind w:left="450" w:hanging="450"/>
        <w:jc w:val="both"/>
        <w:rPr>
          <w:color w:val="222222"/>
          <w:shd w:val="clear" w:color="auto" w:fill="FFFFFF"/>
        </w:rPr>
      </w:pPr>
      <w:r w:rsidRPr="00B6426B">
        <w:rPr>
          <w:color w:val="222222"/>
          <w:shd w:val="clear" w:color="auto" w:fill="FFFFFF"/>
        </w:rPr>
        <w:t>Lavieri, P. S., and Bhat</w:t>
      </w:r>
      <w:r w:rsidR="003B5CD2" w:rsidRPr="00B6426B">
        <w:rPr>
          <w:color w:val="222222"/>
          <w:shd w:val="clear" w:color="auto" w:fill="FFFFFF"/>
        </w:rPr>
        <w:t>, C. R.</w:t>
      </w:r>
      <w:r w:rsidRPr="00B6426B">
        <w:rPr>
          <w:color w:val="222222"/>
          <w:shd w:val="clear" w:color="auto" w:fill="FFFFFF"/>
        </w:rPr>
        <w:t xml:space="preserve"> </w:t>
      </w:r>
      <w:r w:rsidRPr="00B6426B">
        <w:rPr>
          <w:shd w:val="clear" w:color="auto" w:fill="FFFFFF"/>
        </w:rPr>
        <w:t>(2019)</w:t>
      </w:r>
      <w:r w:rsidRPr="00B6426B">
        <w:rPr>
          <w:color w:val="222222"/>
          <w:shd w:val="clear" w:color="auto" w:fill="FFFFFF"/>
        </w:rPr>
        <w:t>. Investigating objective and subjective factors influencing the adoption, frequency, and characteristics of ride-hailing trips. </w:t>
      </w:r>
      <w:r w:rsidRPr="00B6426B">
        <w:rPr>
          <w:i/>
          <w:iCs/>
          <w:color w:val="222222"/>
          <w:shd w:val="clear" w:color="auto" w:fill="FFFFFF"/>
        </w:rPr>
        <w:t>Transportation Research Part C</w:t>
      </w:r>
      <w:r w:rsidRPr="00B6426B">
        <w:rPr>
          <w:color w:val="222222"/>
          <w:shd w:val="clear" w:color="auto" w:fill="FFFFFF"/>
        </w:rPr>
        <w:t>, </w:t>
      </w:r>
      <w:r w:rsidRPr="00B6426B">
        <w:rPr>
          <w:iCs/>
          <w:color w:val="222222"/>
          <w:shd w:val="clear" w:color="auto" w:fill="FFFFFF"/>
        </w:rPr>
        <w:t>105</w:t>
      </w:r>
      <w:r w:rsidR="003B5CD2" w:rsidRPr="00B6426B">
        <w:rPr>
          <w:color w:val="222222"/>
          <w:shd w:val="clear" w:color="auto" w:fill="FFFFFF"/>
        </w:rPr>
        <w:t>,</w:t>
      </w:r>
      <w:r w:rsidRPr="00B6426B">
        <w:rPr>
          <w:color w:val="222222"/>
          <w:shd w:val="clear" w:color="auto" w:fill="FFFFFF"/>
        </w:rPr>
        <w:t xml:space="preserve"> 100</w:t>
      </w:r>
      <w:r w:rsidR="003B5CD2" w:rsidRPr="00B6426B">
        <w:rPr>
          <w:color w:val="222222"/>
          <w:shd w:val="clear" w:color="auto" w:fill="FFFFFF"/>
        </w:rPr>
        <w:t>-</w:t>
      </w:r>
      <w:r w:rsidRPr="00B6426B">
        <w:rPr>
          <w:color w:val="222222"/>
          <w:shd w:val="clear" w:color="auto" w:fill="FFFFFF"/>
        </w:rPr>
        <w:t>125.</w:t>
      </w:r>
    </w:p>
    <w:p w14:paraId="345D2271" w14:textId="77777777" w:rsidR="00575D15" w:rsidRPr="00B6426B" w:rsidRDefault="00575D15" w:rsidP="00B6426B">
      <w:pPr>
        <w:autoSpaceDE w:val="0"/>
        <w:autoSpaceDN w:val="0"/>
        <w:adjustRightInd w:val="0"/>
        <w:spacing w:before="80" w:line="240" w:lineRule="auto"/>
        <w:ind w:left="450" w:hanging="450"/>
        <w:jc w:val="both"/>
        <w:rPr>
          <w:color w:val="222222"/>
          <w:shd w:val="clear" w:color="auto" w:fill="FFFFFF"/>
        </w:rPr>
      </w:pPr>
      <w:r w:rsidRPr="00B6426B">
        <w:t xml:space="preserve">Leung, E., </w:t>
      </w:r>
      <w:proofErr w:type="spellStart"/>
      <w:r w:rsidRPr="00B6426B">
        <w:t>Paolacci</w:t>
      </w:r>
      <w:proofErr w:type="spellEnd"/>
      <w:r w:rsidRPr="00B6426B">
        <w:t xml:space="preserve">, G., and </w:t>
      </w:r>
      <w:proofErr w:type="spellStart"/>
      <w:r w:rsidRPr="00B6426B">
        <w:t>Puntoni</w:t>
      </w:r>
      <w:proofErr w:type="spellEnd"/>
      <w:r w:rsidRPr="00B6426B">
        <w:t xml:space="preserve">, S., 2018. </w:t>
      </w:r>
      <w:proofErr w:type="gramStart"/>
      <w:r w:rsidRPr="00B6426B">
        <w:t>Man</w:t>
      </w:r>
      <w:proofErr w:type="gramEnd"/>
      <w:r w:rsidRPr="00B6426B">
        <w:t xml:space="preserve"> versus machine: Resisting automation in identity-based consumer behavior. </w:t>
      </w:r>
      <w:r w:rsidRPr="00B6426B">
        <w:rPr>
          <w:i/>
        </w:rPr>
        <w:t>Journal of Marketing Research</w:t>
      </w:r>
      <w:r w:rsidRPr="00B6426B">
        <w:t>, 55(6), 818-831.</w:t>
      </w:r>
    </w:p>
    <w:p w14:paraId="73FF1E8B" w14:textId="77777777" w:rsidR="00575D15" w:rsidRPr="00B6426B" w:rsidRDefault="00575D15" w:rsidP="00B6426B">
      <w:pPr>
        <w:spacing w:before="80" w:line="240" w:lineRule="auto"/>
        <w:ind w:left="450" w:hanging="450"/>
        <w:jc w:val="both"/>
        <w:rPr>
          <w:color w:val="222222"/>
          <w:shd w:val="clear" w:color="auto" w:fill="FFFFFF"/>
        </w:rPr>
      </w:pPr>
      <w:r w:rsidRPr="00B6426B">
        <w:rPr>
          <w:color w:val="222222"/>
          <w:shd w:val="clear" w:color="auto" w:fill="FFFFFF"/>
        </w:rPr>
        <w:t xml:space="preserve">Liu, X., </w:t>
      </w:r>
      <w:proofErr w:type="spellStart"/>
      <w:r w:rsidRPr="00B6426B">
        <w:rPr>
          <w:color w:val="222222"/>
          <w:shd w:val="clear" w:color="auto" w:fill="FFFFFF"/>
        </w:rPr>
        <w:t>Vedlitz</w:t>
      </w:r>
      <w:proofErr w:type="spellEnd"/>
      <w:r w:rsidRPr="00B6426B">
        <w:rPr>
          <w:color w:val="222222"/>
          <w:shd w:val="clear" w:color="auto" w:fill="FFFFFF"/>
        </w:rPr>
        <w:t>, A., and Shi, L. (2014). Examining the determinants of public environmental concern: Evidence from national public surveys. </w:t>
      </w:r>
      <w:r w:rsidRPr="00B6426B">
        <w:rPr>
          <w:i/>
          <w:iCs/>
          <w:color w:val="222222"/>
          <w:shd w:val="clear" w:color="auto" w:fill="FFFFFF"/>
        </w:rPr>
        <w:t>Environmental Science and Policy</w:t>
      </w:r>
      <w:r w:rsidRPr="00B6426B">
        <w:rPr>
          <w:color w:val="222222"/>
          <w:shd w:val="clear" w:color="auto" w:fill="FFFFFF"/>
        </w:rPr>
        <w:t>, </w:t>
      </w:r>
      <w:r w:rsidRPr="00B6426B">
        <w:rPr>
          <w:iCs/>
          <w:color w:val="222222"/>
          <w:shd w:val="clear" w:color="auto" w:fill="FFFFFF"/>
        </w:rPr>
        <w:t>39</w:t>
      </w:r>
      <w:r w:rsidRPr="00B6426B">
        <w:rPr>
          <w:color w:val="222222"/>
          <w:shd w:val="clear" w:color="auto" w:fill="FFFFFF"/>
        </w:rPr>
        <w:t>, 77-94.</w:t>
      </w:r>
    </w:p>
    <w:p w14:paraId="1D439E01" w14:textId="77777777" w:rsidR="00575D15" w:rsidRPr="00B6426B" w:rsidRDefault="00575D15" w:rsidP="00B6426B">
      <w:pPr>
        <w:spacing w:before="80" w:line="240" w:lineRule="auto"/>
        <w:ind w:left="450" w:hanging="450"/>
        <w:jc w:val="both"/>
        <w:rPr>
          <w:color w:val="222222"/>
        </w:rPr>
      </w:pPr>
      <w:proofErr w:type="spellStart"/>
      <w:r w:rsidRPr="00B6426B">
        <w:t>Maddala</w:t>
      </w:r>
      <w:proofErr w:type="spellEnd"/>
      <w:r w:rsidRPr="00B6426B">
        <w:t xml:space="preserve">, G.S. (1983). </w:t>
      </w:r>
      <w:r w:rsidRPr="00B6426B">
        <w:rPr>
          <w:i/>
        </w:rPr>
        <w:t>Limited-Dependent and Qualitative Variables in Econometrics</w:t>
      </w:r>
      <w:r w:rsidRPr="00B6426B">
        <w:t xml:space="preserve"> (No. 3). Cambridge University Press, Cambridge, MA</w:t>
      </w:r>
    </w:p>
    <w:p w14:paraId="4611483B" w14:textId="77777777" w:rsidR="00575D15" w:rsidRPr="00B6426B" w:rsidRDefault="00575D15" w:rsidP="00B6426B">
      <w:pPr>
        <w:spacing w:before="80" w:line="240" w:lineRule="auto"/>
        <w:ind w:left="450" w:hanging="450"/>
        <w:jc w:val="both"/>
        <w:rPr>
          <w:color w:val="222222"/>
          <w:shd w:val="clear" w:color="auto" w:fill="FFFFFF"/>
        </w:rPr>
      </w:pPr>
      <w:r w:rsidRPr="00B6426B">
        <w:rPr>
          <w:color w:val="222222"/>
          <w:shd w:val="clear" w:color="auto" w:fill="FFFFFF"/>
        </w:rPr>
        <w:t>Menon, N., Barbour, N., Zhang, Y., Pinjari, A. R., and Mannering, F. (2019). Shared autonomous vehicles and their potential impacts on household vehicle ownership: An exploratory empirical assessment. </w:t>
      </w:r>
      <w:r w:rsidRPr="00B6426B">
        <w:rPr>
          <w:i/>
          <w:iCs/>
          <w:color w:val="222222"/>
          <w:shd w:val="clear" w:color="auto" w:fill="FFFFFF"/>
        </w:rPr>
        <w:t>International Journal of Sustainable Transportation</w:t>
      </w:r>
      <w:r w:rsidRPr="00B6426B">
        <w:rPr>
          <w:color w:val="222222"/>
          <w:shd w:val="clear" w:color="auto" w:fill="FFFFFF"/>
        </w:rPr>
        <w:t>, </w:t>
      </w:r>
      <w:r w:rsidRPr="00B6426B">
        <w:rPr>
          <w:iCs/>
          <w:color w:val="222222"/>
          <w:shd w:val="clear" w:color="auto" w:fill="FFFFFF"/>
        </w:rPr>
        <w:t>13</w:t>
      </w:r>
      <w:r w:rsidRPr="00B6426B">
        <w:rPr>
          <w:color w:val="222222"/>
          <w:shd w:val="clear" w:color="auto" w:fill="FFFFFF"/>
        </w:rPr>
        <w:t>(2), 111-122.</w:t>
      </w:r>
    </w:p>
    <w:p w14:paraId="200CDE4C" w14:textId="7CA2843D" w:rsidR="00575D15" w:rsidRPr="00B6426B" w:rsidRDefault="00575D15" w:rsidP="00B6426B">
      <w:pPr>
        <w:spacing w:before="80" w:line="240" w:lineRule="auto"/>
        <w:ind w:left="450" w:hanging="450"/>
        <w:jc w:val="both"/>
        <w:rPr>
          <w:color w:val="222222"/>
          <w:shd w:val="clear" w:color="auto" w:fill="FFFFFF"/>
        </w:rPr>
      </w:pPr>
      <w:r w:rsidRPr="00B6426B">
        <w:rPr>
          <w:color w:val="222222"/>
          <w:shd w:val="clear" w:color="auto" w:fill="FFFFFF"/>
        </w:rPr>
        <w:t xml:space="preserve">Mo, D., Chen, X. M., and Zhang, J. (2022). Modeling and </w:t>
      </w:r>
      <w:r w:rsidR="003B5CD2" w:rsidRPr="00B6426B">
        <w:rPr>
          <w:color w:val="222222"/>
          <w:shd w:val="clear" w:color="auto" w:fill="FFFFFF"/>
        </w:rPr>
        <w:t>m</w:t>
      </w:r>
      <w:r w:rsidRPr="00B6426B">
        <w:rPr>
          <w:color w:val="222222"/>
          <w:shd w:val="clear" w:color="auto" w:fill="FFFFFF"/>
        </w:rPr>
        <w:t xml:space="preserve">anaging </w:t>
      </w:r>
      <w:r w:rsidR="003B5CD2" w:rsidRPr="00B6426B">
        <w:rPr>
          <w:color w:val="222222"/>
          <w:shd w:val="clear" w:color="auto" w:fill="FFFFFF"/>
        </w:rPr>
        <w:t>m</w:t>
      </w:r>
      <w:r w:rsidRPr="00B6426B">
        <w:rPr>
          <w:color w:val="222222"/>
          <w:shd w:val="clear" w:color="auto" w:fill="FFFFFF"/>
        </w:rPr>
        <w:t xml:space="preserve">ixed </w:t>
      </w:r>
      <w:r w:rsidR="003B5CD2" w:rsidRPr="00B6426B">
        <w:rPr>
          <w:color w:val="222222"/>
          <w:shd w:val="clear" w:color="auto" w:fill="FFFFFF"/>
        </w:rPr>
        <w:t>o</w:t>
      </w:r>
      <w:r w:rsidRPr="00B6426B">
        <w:rPr>
          <w:color w:val="222222"/>
          <w:shd w:val="clear" w:color="auto" w:fill="FFFFFF"/>
        </w:rPr>
        <w:t>n-</w:t>
      </w:r>
      <w:r w:rsidR="003B5CD2" w:rsidRPr="00B6426B">
        <w:rPr>
          <w:color w:val="222222"/>
          <w:shd w:val="clear" w:color="auto" w:fill="FFFFFF"/>
        </w:rPr>
        <w:t>d</w:t>
      </w:r>
      <w:r w:rsidRPr="00B6426B">
        <w:rPr>
          <w:color w:val="222222"/>
          <w:shd w:val="clear" w:color="auto" w:fill="FFFFFF"/>
        </w:rPr>
        <w:t xml:space="preserve">emand </w:t>
      </w:r>
      <w:r w:rsidR="003B5CD2" w:rsidRPr="00B6426B">
        <w:rPr>
          <w:color w:val="222222"/>
          <w:shd w:val="clear" w:color="auto" w:fill="FFFFFF"/>
        </w:rPr>
        <w:t>r</w:t>
      </w:r>
      <w:r w:rsidRPr="00B6426B">
        <w:rPr>
          <w:color w:val="222222"/>
          <w:shd w:val="clear" w:color="auto" w:fill="FFFFFF"/>
        </w:rPr>
        <w:t xml:space="preserve">ide </w:t>
      </w:r>
      <w:r w:rsidR="003B5CD2" w:rsidRPr="00B6426B">
        <w:rPr>
          <w:color w:val="222222"/>
          <w:shd w:val="clear" w:color="auto" w:fill="FFFFFF"/>
        </w:rPr>
        <w:t>s</w:t>
      </w:r>
      <w:r w:rsidRPr="00B6426B">
        <w:rPr>
          <w:color w:val="222222"/>
          <w:shd w:val="clear" w:color="auto" w:fill="FFFFFF"/>
        </w:rPr>
        <w:t xml:space="preserve">ervices of </w:t>
      </w:r>
      <w:r w:rsidR="003B5CD2" w:rsidRPr="00B6426B">
        <w:rPr>
          <w:color w:val="222222"/>
          <w:shd w:val="clear" w:color="auto" w:fill="FFFFFF"/>
        </w:rPr>
        <w:t>h</w:t>
      </w:r>
      <w:r w:rsidRPr="00B6426B">
        <w:rPr>
          <w:color w:val="222222"/>
          <w:shd w:val="clear" w:color="auto" w:fill="FFFFFF"/>
        </w:rPr>
        <w:t>uman-</w:t>
      </w:r>
      <w:r w:rsidR="003B5CD2" w:rsidRPr="00B6426B">
        <w:rPr>
          <w:color w:val="222222"/>
          <w:shd w:val="clear" w:color="auto" w:fill="FFFFFF"/>
        </w:rPr>
        <w:t>d</w:t>
      </w:r>
      <w:r w:rsidRPr="00B6426B">
        <w:rPr>
          <w:color w:val="222222"/>
          <w:shd w:val="clear" w:color="auto" w:fill="FFFFFF"/>
        </w:rPr>
        <w:t xml:space="preserve">riven </w:t>
      </w:r>
      <w:r w:rsidR="003B5CD2" w:rsidRPr="00B6426B">
        <w:rPr>
          <w:color w:val="222222"/>
          <w:shd w:val="clear" w:color="auto" w:fill="FFFFFF"/>
        </w:rPr>
        <w:t>v</w:t>
      </w:r>
      <w:r w:rsidRPr="00B6426B">
        <w:rPr>
          <w:color w:val="222222"/>
          <w:shd w:val="clear" w:color="auto" w:fill="FFFFFF"/>
        </w:rPr>
        <w:t xml:space="preserve">ehicles and </w:t>
      </w:r>
      <w:r w:rsidR="003B5CD2" w:rsidRPr="00B6426B">
        <w:rPr>
          <w:color w:val="222222"/>
          <w:shd w:val="clear" w:color="auto" w:fill="FFFFFF"/>
        </w:rPr>
        <w:t>a</w:t>
      </w:r>
      <w:r w:rsidRPr="00B6426B">
        <w:rPr>
          <w:color w:val="222222"/>
          <w:shd w:val="clear" w:color="auto" w:fill="FFFFFF"/>
        </w:rPr>
        <w:t xml:space="preserve">utonomous </w:t>
      </w:r>
      <w:r w:rsidR="003B5CD2" w:rsidRPr="00B6426B">
        <w:rPr>
          <w:color w:val="222222"/>
          <w:shd w:val="clear" w:color="auto" w:fill="FFFFFF"/>
        </w:rPr>
        <w:t>v</w:t>
      </w:r>
      <w:r w:rsidRPr="00B6426B">
        <w:rPr>
          <w:color w:val="222222"/>
          <w:shd w:val="clear" w:color="auto" w:fill="FFFFFF"/>
        </w:rPr>
        <w:t>ehicles. </w:t>
      </w:r>
      <w:r w:rsidRPr="00B6426B">
        <w:rPr>
          <w:i/>
          <w:iCs/>
          <w:color w:val="222222"/>
          <w:shd w:val="clear" w:color="auto" w:fill="FFFFFF"/>
        </w:rPr>
        <w:t>Transportation Research Part B</w:t>
      </w:r>
      <w:r w:rsidRPr="00B6426B">
        <w:rPr>
          <w:color w:val="222222"/>
          <w:shd w:val="clear" w:color="auto" w:fill="FFFFFF"/>
        </w:rPr>
        <w:t>, </w:t>
      </w:r>
      <w:r w:rsidRPr="00B6426B">
        <w:rPr>
          <w:iCs/>
          <w:color w:val="222222"/>
          <w:shd w:val="clear" w:color="auto" w:fill="FFFFFF"/>
        </w:rPr>
        <w:t>157</w:t>
      </w:r>
      <w:r w:rsidRPr="00B6426B">
        <w:rPr>
          <w:color w:val="222222"/>
          <w:shd w:val="clear" w:color="auto" w:fill="FFFFFF"/>
        </w:rPr>
        <w:t>, 80-119.</w:t>
      </w:r>
    </w:p>
    <w:p w14:paraId="28B8BB70" w14:textId="589877C7" w:rsidR="00575D15" w:rsidRPr="00B6426B" w:rsidRDefault="00575D15" w:rsidP="00B6426B">
      <w:pPr>
        <w:spacing w:before="80" w:line="240" w:lineRule="auto"/>
        <w:ind w:left="450" w:hanging="450"/>
        <w:jc w:val="both"/>
        <w:rPr>
          <w:color w:val="222222"/>
          <w:shd w:val="clear" w:color="auto" w:fill="FFFFFF"/>
        </w:rPr>
      </w:pPr>
      <w:r w:rsidRPr="00B6426B">
        <w:rPr>
          <w:color w:val="222222"/>
          <w:shd w:val="clear" w:color="auto" w:fill="FFFFFF"/>
        </w:rPr>
        <w:t xml:space="preserve">Moos, M. (2016). From gentrification to </w:t>
      </w:r>
      <w:proofErr w:type="spellStart"/>
      <w:r w:rsidRPr="00B6426B">
        <w:rPr>
          <w:color w:val="222222"/>
          <w:shd w:val="clear" w:color="auto" w:fill="FFFFFF"/>
        </w:rPr>
        <w:t>youthification</w:t>
      </w:r>
      <w:proofErr w:type="spellEnd"/>
      <w:r w:rsidRPr="00B6426B">
        <w:rPr>
          <w:color w:val="222222"/>
          <w:shd w:val="clear" w:color="auto" w:fill="FFFFFF"/>
        </w:rPr>
        <w:t>? The increasing importance of young age in delineating high-density living. </w:t>
      </w:r>
      <w:r w:rsidRPr="00B6426B">
        <w:rPr>
          <w:i/>
          <w:iCs/>
          <w:color w:val="222222"/>
          <w:shd w:val="clear" w:color="auto" w:fill="FFFFFF"/>
        </w:rPr>
        <w:t xml:space="preserve">Urban </w:t>
      </w:r>
      <w:r w:rsidR="003B5CD2" w:rsidRPr="00B6426B">
        <w:rPr>
          <w:i/>
          <w:iCs/>
          <w:color w:val="222222"/>
          <w:shd w:val="clear" w:color="auto" w:fill="FFFFFF"/>
        </w:rPr>
        <w:t>S</w:t>
      </w:r>
      <w:r w:rsidRPr="00B6426B">
        <w:rPr>
          <w:i/>
          <w:iCs/>
          <w:color w:val="222222"/>
          <w:shd w:val="clear" w:color="auto" w:fill="FFFFFF"/>
        </w:rPr>
        <w:t>tudies</w:t>
      </w:r>
      <w:r w:rsidRPr="00B6426B">
        <w:rPr>
          <w:color w:val="222222"/>
          <w:shd w:val="clear" w:color="auto" w:fill="FFFFFF"/>
        </w:rPr>
        <w:t>, </w:t>
      </w:r>
      <w:r w:rsidRPr="00B6426B">
        <w:rPr>
          <w:iCs/>
          <w:color w:val="222222"/>
          <w:shd w:val="clear" w:color="auto" w:fill="FFFFFF"/>
        </w:rPr>
        <w:t>53</w:t>
      </w:r>
      <w:r w:rsidRPr="00B6426B">
        <w:rPr>
          <w:color w:val="222222"/>
          <w:shd w:val="clear" w:color="auto" w:fill="FFFFFF"/>
        </w:rPr>
        <w:t>(14), 2903-2920.</w:t>
      </w:r>
    </w:p>
    <w:p w14:paraId="51FB8982" w14:textId="77777777" w:rsidR="00575D15" w:rsidRPr="00B6426B" w:rsidRDefault="00575D15" w:rsidP="00B6426B">
      <w:pPr>
        <w:spacing w:before="80" w:line="240" w:lineRule="auto"/>
        <w:ind w:left="450" w:hanging="450"/>
        <w:jc w:val="both"/>
        <w:rPr>
          <w:color w:val="222222"/>
          <w:shd w:val="clear" w:color="auto" w:fill="FFFFFF"/>
        </w:rPr>
      </w:pPr>
      <w:r w:rsidRPr="00B6426B">
        <w:rPr>
          <w:color w:val="222222"/>
          <w:shd w:val="clear" w:color="auto" w:fill="FFFFFF"/>
        </w:rPr>
        <w:t xml:space="preserve">Mulder, C. H., and </w:t>
      </w:r>
      <w:proofErr w:type="spellStart"/>
      <w:r w:rsidRPr="00B6426B">
        <w:rPr>
          <w:color w:val="222222"/>
          <w:shd w:val="clear" w:color="auto" w:fill="FFFFFF"/>
        </w:rPr>
        <w:t>Lauster</w:t>
      </w:r>
      <w:proofErr w:type="spellEnd"/>
      <w:r w:rsidRPr="00B6426B">
        <w:rPr>
          <w:color w:val="222222"/>
          <w:shd w:val="clear" w:color="auto" w:fill="FFFFFF"/>
        </w:rPr>
        <w:t>, N. T. (2010). Housing and family: An introduction. </w:t>
      </w:r>
      <w:r w:rsidRPr="00B6426B">
        <w:rPr>
          <w:i/>
          <w:iCs/>
          <w:color w:val="222222"/>
          <w:shd w:val="clear" w:color="auto" w:fill="FFFFFF"/>
        </w:rPr>
        <w:t>Housing Studies</w:t>
      </w:r>
      <w:r w:rsidRPr="00B6426B">
        <w:rPr>
          <w:color w:val="222222"/>
          <w:shd w:val="clear" w:color="auto" w:fill="FFFFFF"/>
        </w:rPr>
        <w:t>, </w:t>
      </w:r>
      <w:r w:rsidRPr="00B6426B">
        <w:rPr>
          <w:iCs/>
          <w:color w:val="222222"/>
          <w:shd w:val="clear" w:color="auto" w:fill="FFFFFF"/>
        </w:rPr>
        <w:t>25</w:t>
      </w:r>
      <w:r w:rsidRPr="00B6426B">
        <w:rPr>
          <w:color w:val="222222"/>
          <w:shd w:val="clear" w:color="auto" w:fill="FFFFFF"/>
        </w:rPr>
        <w:t>(4), 433-440.</w:t>
      </w:r>
    </w:p>
    <w:p w14:paraId="39D7278E" w14:textId="0ABE147B" w:rsidR="00575D15" w:rsidRPr="00B6426B" w:rsidRDefault="00575D15" w:rsidP="00B6426B">
      <w:pPr>
        <w:spacing w:before="80" w:line="240" w:lineRule="auto"/>
        <w:ind w:left="450" w:hanging="450"/>
        <w:jc w:val="both"/>
        <w:rPr>
          <w:color w:val="222222"/>
          <w:shd w:val="clear" w:color="auto" w:fill="FFFFFF"/>
        </w:rPr>
      </w:pPr>
      <w:r w:rsidRPr="00B6426B">
        <w:rPr>
          <w:shd w:val="clear" w:color="auto" w:fill="FFFFFF"/>
        </w:rPr>
        <w:t xml:space="preserve">Nair, G. S., Bhat, </w:t>
      </w:r>
      <w:r w:rsidR="003B5CD2" w:rsidRPr="00B6426B">
        <w:rPr>
          <w:shd w:val="clear" w:color="auto" w:fill="FFFFFF"/>
        </w:rPr>
        <w:t xml:space="preserve">C. R., </w:t>
      </w:r>
      <w:r w:rsidRPr="00B6426B">
        <w:rPr>
          <w:shd w:val="clear" w:color="auto" w:fill="FFFFFF"/>
        </w:rPr>
        <w:t xml:space="preserve">Pendyala, </w:t>
      </w:r>
      <w:r w:rsidR="003B5CD2" w:rsidRPr="00B6426B">
        <w:rPr>
          <w:shd w:val="clear" w:color="auto" w:fill="FFFFFF"/>
        </w:rPr>
        <w:t xml:space="preserve">R. M., </w:t>
      </w:r>
      <w:r w:rsidRPr="00B6426B">
        <w:rPr>
          <w:shd w:val="clear" w:color="auto" w:fill="FFFFFF"/>
        </w:rPr>
        <w:t xml:space="preserve">Loo, </w:t>
      </w:r>
      <w:r w:rsidR="003B5CD2" w:rsidRPr="00B6426B">
        <w:rPr>
          <w:shd w:val="clear" w:color="auto" w:fill="FFFFFF"/>
        </w:rPr>
        <w:t xml:space="preserve">B. P. Y., </w:t>
      </w:r>
      <w:r w:rsidRPr="00B6426B">
        <w:rPr>
          <w:shd w:val="clear" w:color="auto" w:fill="FFFFFF"/>
        </w:rPr>
        <w:t>and Lam</w:t>
      </w:r>
      <w:r w:rsidR="003B5CD2" w:rsidRPr="00B6426B">
        <w:rPr>
          <w:shd w:val="clear" w:color="auto" w:fill="FFFFFF"/>
        </w:rPr>
        <w:t>, W. H. K.</w:t>
      </w:r>
      <w:r w:rsidRPr="00B6426B">
        <w:rPr>
          <w:shd w:val="clear" w:color="auto" w:fill="FFFFFF"/>
        </w:rPr>
        <w:t xml:space="preserve"> (2019). On the use of probit-based models for ranking data analysis. </w:t>
      </w:r>
      <w:r w:rsidRPr="00B6426B">
        <w:rPr>
          <w:i/>
          <w:iCs/>
        </w:rPr>
        <w:t>Transportation Research Record: Journal of the Transportation Research Board</w:t>
      </w:r>
      <w:r w:rsidRPr="00B6426B">
        <w:rPr>
          <w:shd w:val="clear" w:color="auto" w:fill="FFFFFF"/>
        </w:rPr>
        <w:t>, </w:t>
      </w:r>
      <w:r w:rsidRPr="00B6426B">
        <w:rPr>
          <w:iCs/>
          <w:shd w:val="clear" w:color="auto" w:fill="FFFFFF"/>
        </w:rPr>
        <w:t>2673</w:t>
      </w:r>
      <w:r w:rsidRPr="00B6426B">
        <w:rPr>
          <w:shd w:val="clear" w:color="auto" w:fill="FFFFFF"/>
        </w:rPr>
        <w:t>(4)</w:t>
      </w:r>
      <w:r w:rsidR="003B5CD2" w:rsidRPr="00B6426B">
        <w:rPr>
          <w:shd w:val="clear" w:color="auto" w:fill="FFFFFF"/>
        </w:rPr>
        <w:t>,</w:t>
      </w:r>
      <w:r w:rsidRPr="00B6426B">
        <w:rPr>
          <w:shd w:val="clear" w:color="auto" w:fill="FFFFFF"/>
        </w:rPr>
        <w:t xml:space="preserve"> 229</w:t>
      </w:r>
      <w:r w:rsidR="003B5CD2" w:rsidRPr="00B6426B">
        <w:rPr>
          <w:color w:val="222222"/>
          <w:shd w:val="clear" w:color="auto" w:fill="FFFFFF"/>
        </w:rPr>
        <w:t>-</w:t>
      </w:r>
      <w:r w:rsidRPr="00B6426B">
        <w:rPr>
          <w:shd w:val="clear" w:color="auto" w:fill="FFFFFF"/>
        </w:rPr>
        <w:t>240.</w:t>
      </w:r>
    </w:p>
    <w:p w14:paraId="0E153893" w14:textId="2D50DFAC" w:rsidR="00575D15" w:rsidRPr="00B6426B" w:rsidRDefault="00575D15" w:rsidP="00B6426B">
      <w:pPr>
        <w:spacing w:before="80" w:line="240" w:lineRule="auto"/>
        <w:ind w:left="450" w:hanging="450"/>
        <w:jc w:val="both"/>
        <w:rPr>
          <w:color w:val="222222"/>
          <w:shd w:val="clear" w:color="auto" w:fill="FFFFFF"/>
        </w:rPr>
      </w:pPr>
      <w:r w:rsidRPr="00B6426B">
        <w:rPr>
          <w:color w:val="222222"/>
          <w:shd w:val="clear" w:color="auto" w:fill="FFFFFF"/>
        </w:rPr>
        <w:t xml:space="preserve">Othman, K. (2021). Public acceptance and perception of autonomous vehicles: </w:t>
      </w:r>
      <w:r w:rsidR="00B6426B" w:rsidRPr="00B6426B">
        <w:rPr>
          <w:color w:val="222222"/>
          <w:shd w:val="clear" w:color="auto" w:fill="FFFFFF"/>
        </w:rPr>
        <w:t>A</w:t>
      </w:r>
      <w:r w:rsidRPr="00B6426B">
        <w:rPr>
          <w:color w:val="222222"/>
          <w:shd w:val="clear" w:color="auto" w:fill="FFFFFF"/>
        </w:rPr>
        <w:t xml:space="preserve"> comprehensive review. </w:t>
      </w:r>
      <w:r w:rsidRPr="00B6426B">
        <w:rPr>
          <w:i/>
          <w:iCs/>
          <w:color w:val="222222"/>
          <w:shd w:val="clear" w:color="auto" w:fill="FFFFFF"/>
        </w:rPr>
        <w:t>AI and Ethics</w:t>
      </w:r>
      <w:r w:rsidRPr="00B6426B">
        <w:rPr>
          <w:color w:val="222222"/>
          <w:shd w:val="clear" w:color="auto" w:fill="FFFFFF"/>
        </w:rPr>
        <w:t>, </w:t>
      </w:r>
      <w:r w:rsidRPr="00B6426B">
        <w:rPr>
          <w:iCs/>
          <w:color w:val="222222"/>
          <w:shd w:val="clear" w:color="auto" w:fill="FFFFFF"/>
        </w:rPr>
        <w:t>1</w:t>
      </w:r>
      <w:r w:rsidRPr="00B6426B">
        <w:rPr>
          <w:color w:val="222222"/>
          <w:shd w:val="clear" w:color="auto" w:fill="FFFFFF"/>
        </w:rPr>
        <w:t>(3), 355-387.</w:t>
      </w:r>
    </w:p>
    <w:p w14:paraId="5F28058A" w14:textId="4DABEF0F" w:rsidR="00575D15" w:rsidRPr="00B6426B" w:rsidRDefault="00575D15" w:rsidP="00B6426B">
      <w:pPr>
        <w:spacing w:before="80" w:line="240" w:lineRule="auto"/>
        <w:ind w:left="450" w:hanging="450"/>
        <w:jc w:val="both"/>
        <w:rPr>
          <w:color w:val="000000"/>
          <w:shd w:val="clear" w:color="auto" w:fill="FFFFFF"/>
        </w:rPr>
      </w:pPr>
      <w:r w:rsidRPr="00B6426B">
        <w:rPr>
          <w:color w:val="000000"/>
          <w:shd w:val="clear" w:color="auto" w:fill="FFFFFF"/>
        </w:rPr>
        <w:t>Pearson, A., Schuldt, J., Romero-</w:t>
      </w:r>
      <w:proofErr w:type="spellStart"/>
      <w:r w:rsidRPr="00B6426B">
        <w:rPr>
          <w:color w:val="000000"/>
          <w:shd w:val="clear" w:color="auto" w:fill="FFFFFF"/>
        </w:rPr>
        <w:t>Canyas</w:t>
      </w:r>
      <w:proofErr w:type="spellEnd"/>
      <w:r w:rsidRPr="00B6426B">
        <w:rPr>
          <w:color w:val="000000"/>
          <w:shd w:val="clear" w:color="auto" w:fill="FFFFFF"/>
        </w:rPr>
        <w:t>, R., Ballew, M., and Larson-</w:t>
      </w:r>
      <w:proofErr w:type="spellStart"/>
      <w:r w:rsidRPr="00B6426B">
        <w:rPr>
          <w:color w:val="000000"/>
          <w:shd w:val="clear" w:color="auto" w:fill="FFFFFF"/>
        </w:rPr>
        <w:t>Konar</w:t>
      </w:r>
      <w:proofErr w:type="spellEnd"/>
      <w:r w:rsidRPr="00B6426B">
        <w:rPr>
          <w:color w:val="000000"/>
          <w:shd w:val="clear" w:color="auto" w:fill="FFFFFF"/>
        </w:rPr>
        <w:t>, D. (2018). Diverse segments of the US public underestimate the environmental concerns of minority and low-income Americans. </w:t>
      </w:r>
      <w:r w:rsidRPr="00B6426B">
        <w:rPr>
          <w:i/>
          <w:iCs/>
          <w:color w:val="000000"/>
          <w:shd w:val="clear" w:color="auto" w:fill="FFFFFF"/>
        </w:rPr>
        <w:t xml:space="preserve">Proceedings </w:t>
      </w:r>
      <w:r w:rsidR="003B5CD2" w:rsidRPr="00B6426B">
        <w:rPr>
          <w:i/>
          <w:iCs/>
          <w:color w:val="000000"/>
          <w:shd w:val="clear" w:color="auto" w:fill="FFFFFF"/>
        </w:rPr>
        <w:t>o</w:t>
      </w:r>
      <w:r w:rsidRPr="00B6426B">
        <w:rPr>
          <w:i/>
          <w:iCs/>
          <w:color w:val="000000"/>
          <w:shd w:val="clear" w:color="auto" w:fill="FFFFFF"/>
        </w:rPr>
        <w:t xml:space="preserve">f </w:t>
      </w:r>
      <w:r w:rsidR="003B5CD2" w:rsidRPr="00B6426B">
        <w:rPr>
          <w:i/>
          <w:iCs/>
          <w:color w:val="000000"/>
          <w:shd w:val="clear" w:color="auto" w:fill="FFFFFF"/>
        </w:rPr>
        <w:t>t</w:t>
      </w:r>
      <w:r w:rsidRPr="00B6426B">
        <w:rPr>
          <w:i/>
          <w:iCs/>
          <w:color w:val="000000"/>
          <w:shd w:val="clear" w:color="auto" w:fill="FFFFFF"/>
        </w:rPr>
        <w:t xml:space="preserve">he National Academy </w:t>
      </w:r>
      <w:r w:rsidR="003B5CD2" w:rsidRPr="00B6426B">
        <w:rPr>
          <w:i/>
          <w:iCs/>
          <w:color w:val="000000"/>
          <w:shd w:val="clear" w:color="auto" w:fill="FFFFFF"/>
        </w:rPr>
        <w:t>o</w:t>
      </w:r>
      <w:r w:rsidRPr="00B6426B">
        <w:rPr>
          <w:i/>
          <w:iCs/>
          <w:color w:val="000000"/>
          <w:shd w:val="clear" w:color="auto" w:fill="FFFFFF"/>
        </w:rPr>
        <w:t>f Sciences</w:t>
      </w:r>
      <w:r w:rsidRPr="00B6426B">
        <w:rPr>
          <w:color w:val="000000"/>
          <w:shd w:val="clear" w:color="auto" w:fill="FFFFFF"/>
        </w:rPr>
        <w:t>, </w:t>
      </w:r>
      <w:r w:rsidRPr="00B6426B">
        <w:rPr>
          <w:iCs/>
          <w:color w:val="000000"/>
          <w:shd w:val="clear" w:color="auto" w:fill="FFFFFF"/>
        </w:rPr>
        <w:t>115</w:t>
      </w:r>
      <w:r w:rsidRPr="00B6426B">
        <w:rPr>
          <w:color w:val="000000"/>
          <w:shd w:val="clear" w:color="auto" w:fill="FFFFFF"/>
        </w:rPr>
        <w:t>(49), 12429-12434.</w:t>
      </w:r>
    </w:p>
    <w:p w14:paraId="1D696A6F" w14:textId="50F9EE0A" w:rsidR="00575D15" w:rsidRPr="00B6426B" w:rsidRDefault="00575D15" w:rsidP="00B6426B">
      <w:pPr>
        <w:spacing w:before="80" w:line="240" w:lineRule="auto"/>
        <w:ind w:left="450" w:hanging="450"/>
        <w:jc w:val="both"/>
      </w:pPr>
      <w:proofErr w:type="spellStart"/>
      <w:r w:rsidRPr="00B6426B">
        <w:rPr>
          <w:color w:val="222222"/>
          <w:shd w:val="clear" w:color="auto" w:fill="FFFFFF"/>
        </w:rPr>
        <w:t>Philippssen</w:t>
      </w:r>
      <w:proofErr w:type="spellEnd"/>
      <w:r w:rsidRPr="00B6426B">
        <w:rPr>
          <w:color w:val="222222"/>
          <w:shd w:val="clear" w:color="auto" w:fill="FFFFFF"/>
        </w:rPr>
        <w:t>, J.</w:t>
      </w:r>
      <w:r w:rsidR="003B5CD2" w:rsidRPr="00B6426B">
        <w:rPr>
          <w:color w:val="222222"/>
          <w:shd w:val="clear" w:color="auto" w:fill="FFFFFF"/>
        </w:rPr>
        <w:t xml:space="preserve"> </w:t>
      </w:r>
      <w:r w:rsidRPr="00B6426B">
        <w:rPr>
          <w:color w:val="222222"/>
          <w:shd w:val="clear" w:color="auto" w:fill="FFFFFF"/>
        </w:rPr>
        <w:t xml:space="preserve">S., Soares </w:t>
      </w:r>
      <w:proofErr w:type="spellStart"/>
      <w:r w:rsidRPr="00B6426B">
        <w:rPr>
          <w:color w:val="222222"/>
          <w:shd w:val="clear" w:color="auto" w:fill="FFFFFF"/>
        </w:rPr>
        <w:t>Angeoletto</w:t>
      </w:r>
      <w:proofErr w:type="spellEnd"/>
      <w:r w:rsidRPr="00B6426B">
        <w:rPr>
          <w:color w:val="222222"/>
          <w:shd w:val="clear" w:color="auto" w:fill="FFFFFF"/>
        </w:rPr>
        <w:t xml:space="preserve">, F. H., and Santana, R. G. (2017). Education level and income are important for good environmental awareness: </w:t>
      </w:r>
      <w:r w:rsidR="003B5CD2" w:rsidRPr="00B6426B">
        <w:rPr>
          <w:color w:val="222222"/>
          <w:shd w:val="clear" w:color="auto" w:fill="FFFFFF"/>
        </w:rPr>
        <w:t>A</w:t>
      </w:r>
      <w:r w:rsidRPr="00B6426B">
        <w:rPr>
          <w:color w:val="222222"/>
          <w:shd w:val="clear" w:color="auto" w:fill="FFFFFF"/>
        </w:rPr>
        <w:t xml:space="preserve"> case study from south Brazil. </w:t>
      </w:r>
      <w:proofErr w:type="spellStart"/>
      <w:r w:rsidRPr="00B6426B">
        <w:rPr>
          <w:i/>
          <w:iCs/>
          <w:color w:val="222222"/>
          <w:shd w:val="clear" w:color="auto" w:fill="FFFFFF"/>
        </w:rPr>
        <w:t>Ecología</w:t>
      </w:r>
      <w:proofErr w:type="spellEnd"/>
      <w:r w:rsidRPr="00B6426B">
        <w:rPr>
          <w:i/>
          <w:iCs/>
          <w:color w:val="222222"/>
          <w:shd w:val="clear" w:color="auto" w:fill="FFFFFF"/>
        </w:rPr>
        <w:t xml:space="preserve"> </w:t>
      </w:r>
      <w:r w:rsidR="003B5CD2" w:rsidRPr="00B6426B">
        <w:rPr>
          <w:i/>
          <w:iCs/>
          <w:color w:val="222222"/>
          <w:shd w:val="clear" w:color="auto" w:fill="FFFFFF"/>
        </w:rPr>
        <w:t>A</w:t>
      </w:r>
      <w:r w:rsidRPr="00B6426B">
        <w:rPr>
          <w:i/>
          <w:iCs/>
          <w:color w:val="222222"/>
          <w:shd w:val="clear" w:color="auto" w:fill="FFFFFF"/>
        </w:rPr>
        <w:t>ustral</w:t>
      </w:r>
      <w:r w:rsidRPr="00B6426B">
        <w:rPr>
          <w:color w:val="222222"/>
          <w:shd w:val="clear" w:color="auto" w:fill="FFFFFF"/>
        </w:rPr>
        <w:t>, </w:t>
      </w:r>
      <w:r w:rsidRPr="00B6426B">
        <w:rPr>
          <w:iCs/>
          <w:color w:val="222222"/>
          <w:shd w:val="clear" w:color="auto" w:fill="FFFFFF"/>
        </w:rPr>
        <w:t>27</w:t>
      </w:r>
      <w:r w:rsidRPr="00B6426B">
        <w:rPr>
          <w:color w:val="222222"/>
          <w:shd w:val="clear" w:color="auto" w:fill="FFFFFF"/>
        </w:rPr>
        <w:t>(1), 39-44.</w:t>
      </w:r>
    </w:p>
    <w:p w14:paraId="7024DBFE" w14:textId="71DF5DAE" w:rsidR="00575D15" w:rsidRPr="00B6426B" w:rsidRDefault="00575D15" w:rsidP="00B6426B">
      <w:pPr>
        <w:spacing w:before="80" w:line="240" w:lineRule="auto"/>
        <w:ind w:left="450" w:hanging="450"/>
        <w:jc w:val="both"/>
        <w:rPr>
          <w:color w:val="222222"/>
          <w:shd w:val="clear" w:color="auto" w:fill="FFFFFF"/>
        </w:rPr>
      </w:pPr>
      <w:r w:rsidRPr="00B6426B">
        <w:rPr>
          <w:color w:val="222222"/>
          <w:shd w:val="clear" w:color="auto" w:fill="FFFFFF"/>
        </w:rPr>
        <w:t xml:space="preserve">Prieto, M., </w:t>
      </w:r>
      <w:proofErr w:type="spellStart"/>
      <w:r w:rsidRPr="00B6426B">
        <w:rPr>
          <w:color w:val="222222"/>
          <w:shd w:val="clear" w:color="auto" w:fill="FFFFFF"/>
        </w:rPr>
        <w:t>Baltas</w:t>
      </w:r>
      <w:proofErr w:type="spellEnd"/>
      <w:r w:rsidRPr="00B6426B">
        <w:rPr>
          <w:color w:val="222222"/>
          <w:shd w:val="clear" w:color="auto" w:fill="FFFFFF"/>
        </w:rPr>
        <w:t>, G., and Stan, V. (2017). Car sharing adoption intention in urban areas: What are the key sociodemographic drivers?. </w:t>
      </w:r>
      <w:r w:rsidRPr="00B6426B">
        <w:rPr>
          <w:i/>
          <w:iCs/>
          <w:color w:val="222222"/>
          <w:shd w:val="clear" w:color="auto" w:fill="FFFFFF"/>
        </w:rPr>
        <w:t>Transportation Research Part A</w:t>
      </w:r>
      <w:r w:rsidR="003B5CD2" w:rsidRPr="00B6426B">
        <w:rPr>
          <w:iCs/>
          <w:color w:val="222222"/>
          <w:shd w:val="clear" w:color="auto" w:fill="FFFFFF"/>
        </w:rPr>
        <w:t>,</w:t>
      </w:r>
      <w:r w:rsidRPr="00B6426B">
        <w:rPr>
          <w:color w:val="222222"/>
          <w:shd w:val="clear" w:color="auto" w:fill="FFFFFF"/>
        </w:rPr>
        <w:t> </w:t>
      </w:r>
      <w:r w:rsidRPr="00B6426B">
        <w:rPr>
          <w:iCs/>
          <w:color w:val="222222"/>
          <w:shd w:val="clear" w:color="auto" w:fill="FFFFFF"/>
        </w:rPr>
        <w:t>101</w:t>
      </w:r>
      <w:r w:rsidRPr="00B6426B">
        <w:rPr>
          <w:color w:val="222222"/>
          <w:shd w:val="clear" w:color="auto" w:fill="FFFFFF"/>
        </w:rPr>
        <w:t>, 218-227.</w:t>
      </w:r>
    </w:p>
    <w:p w14:paraId="51189DE7" w14:textId="77777777" w:rsidR="00575D15" w:rsidRPr="00B6426B" w:rsidRDefault="00575D15" w:rsidP="00B6426B">
      <w:pPr>
        <w:autoSpaceDE w:val="0"/>
        <w:autoSpaceDN w:val="0"/>
        <w:adjustRightInd w:val="0"/>
        <w:spacing w:before="80" w:line="240" w:lineRule="auto"/>
        <w:ind w:left="450" w:hanging="450"/>
        <w:jc w:val="both"/>
        <w:rPr>
          <w:shd w:val="clear" w:color="auto" w:fill="FFFFFF"/>
        </w:rPr>
      </w:pPr>
      <w:r w:rsidRPr="00B6426B">
        <w:t xml:space="preserve">Ramsey, K., and Bell, A. (2014). Smart Location Database, Version 2.0 User Guide. Available at: </w:t>
      </w:r>
      <w:hyperlink r:id="rId400" w:history="1">
        <w:r w:rsidRPr="00B6426B">
          <w:rPr>
            <w:rStyle w:val="Hyperlink"/>
            <w:rFonts w:eastAsiaTheme="majorEastAsia"/>
          </w:rPr>
          <w:t>https://www.epa.gov/sites/production/files/2014-03/documents/sld_userguide.pdf</w:t>
        </w:r>
      </w:hyperlink>
      <w:r w:rsidRPr="00B6426B">
        <w:t xml:space="preserve">  [Accessed by: 7/26/21]</w:t>
      </w:r>
    </w:p>
    <w:p w14:paraId="386E7FDC" w14:textId="52A3392B" w:rsidR="00575D15" w:rsidRPr="00B6426B" w:rsidRDefault="00575D15" w:rsidP="00B6426B">
      <w:pPr>
        <w:keepLines/>
        <w:spacing w:before="80" w:line="240" w:lineRule="auto"/>
        <w:ind w:left="446" w:hanging="446"/>
        <w:jc w:val="both"/>
        <w:rPr>
          <w:i/>
          <w:iCs/>
          <w:color w:val="222222"/>
          <w:shd w:val="clear" w:color="auto" w:fill="FFFFFF"/>
        </w:rPr>
      </w:pPr>
      <w:r w:rsidRPr="00B6426B">
        <w:rPr>
          <w:color w:val="222222"/>
          <w:shd w:val="clear" w:color="auto" w:fill="FFFFFF"/>
        </w:rPr>
        <w:lastRenderedPageBreak/>
        <w:t xml:space="preserve">Sharda, S., Astroza, S., Khoeini, S., Batur, I., Pendyala, R. M., and Bhat, C. R. (2019). Do attitudes affect behavioral choices or vice-versa: Uncovering latent segments within a heterogeneous population. </w:t>
      </w:r>
      <w:r w:rsidR="00B6426B" w:rsidRPr="00B6426B">
        <w:t>Transportation Research Board 98</w:t>
      </w:r>
      <w:r w:rsidR="00B6426B" w:rsidRPr="00B6426B">
        <w:rPr>
          <w:vertAlign w:val="superscript"/>
        </w:rPr>
        <w:t>th</w:t>
      </w:r>
      <w:r w:rsidR="00B6426B" w:rsidRPr="00B6426B">
        <w:t xml:space="preserve"> Annual Meeting Compendium of Papers, Washington D.C., January</w:t>
      </w:r>
      <w:r w:rsidRPr="00B6426B">
        <w:rPr>
          <w:i/>
          <w:iCs/>
          <w:color w:val="222222"/>
          <w:shd w:val="clear" w:color="auto" w:fill="FFFFFF"/>
        </w:rPr>
        <w:t>.</w:t>
      </w:r>
    </w:p>
    <w:p w14:paraId="022BE5B4" w14:textId="77777777" w:rsidR="00575D15" w:rsidRPr="00B6426B" w:rsidRDefault="00575D15" w:rsidP="00B6426B">
      <w:pPr>
        <w:spacing w:before="80" w:line="240" w:lineRule="auto"/>
        <w:ind w:left="450" w:hanging="450"/>
        <w:jc w:val="both"/>
        <w:rPr>
          <w:color w:val="222222"/>
          <w:shd w:val="clear" w:color="auto" w:fill="FFFFFF"/>
        </w:rPr>
      </w:pPr>
      <w:proofErr w:type="spellStart"/>
      <w:r w:rsidRPr="00B6426B">
        <w:rPr>
          <w:color w:val="222222"/>
          <w:shd w:val="clear" w:color="auto" w:fill="FFFFFF"/>
        </w:rPr>
        <w:t>Shirgaokar</w:t>
      </w:r>
      <w:proofErr w:type="spellEnd"/>
      <w:r w:rsidRPr="00B6426B">
        <w:rPr>
          <w:color w:val="222222"/>
          <w:shd w:val="clear" w:color="auto" w:fill="FFFFFF"/>
        </w:rPr>
        <w:t xml:space="preserve">, M., and </w:t>
      </w:r>
      <w:proofErr w:type="spellStart"/>
      <w:r w:rsidRPr="00B6426B">
        <w:rPr>
          <w:color w:val="222222"/>
          <w:shd w:val="clear" w:color="auto" w:fill="FFFFFF"/>
        </w:rPr>
        <w:t>Lanyi</w:t>
      </w:r>
      <w:proofErr w:type="spellEnd"/>
      <w:r w:rsidRPr="00B6426B">
        <w:rPr>
          <w:color w:val="222222"/>
          <w:shd w:val="clear" w:color="auto" w:fill="FFFFFF"/>
        </w:rPr>
        <w:t>-Bennett, K. (2020). I’ll have to drive there: How daily time constraints impact women’s car use differently than men’s. </w:t>
      </w:r>
      <w:r w:rsidRPr="00B6426B">
        <w:rPr>
          <w:i/>
          <w:iCs/>
          <w:color w:val="222222"/>
          <w:shd w:val="clear" w:color="auto" w:fill="FFFFFF"/>
        </w:rPr>
        <w:t>Transportation</w:t>
      </w:r>
      <w:r w:rsidRPr="00B6426B">
        <w:rPr>
          <w:color w:val="222222"/>
          <w:shd w:val="clear" w:color="auto" w:fill="FFFFFF"/>
        </w:rPr>
        <w:t>, </w:t>
      </w:r>
      <w:r w:rsidRPr="00B6426B">
        <w:rPr>
          <w:iCs/>
          <w:color w:val="222222"/>
          <w:shd w:val="clear" w:color="auto" w:fill="FFFFFF"/>
        </w:rPr>
        <w:t>47</w:t>
      </w:r>
      <w:r w:rsidRPr="00B6426B">
        <w:rPr>
          <w:color w:val="222222"/>
          <w:shd w:val="clear" w:color="auto" w:fill="FFFFFF"/>
        </w:rPr>
        <w:t>(3), 1365-1392.</w:t>
      </w:r>
    </w:p>
    <w:p w14:paraId="6917E881" w14:textId="77777777" w:rsidR="00575D15" w:rsidRPr="00B6426B" w:rsidRDefault="00575D15" w:rsidP="00B6426B">
      <w:pPr>
        <w:spacing w:before="80" w:line="240" w:lineRule="auto"/>
        <w:ind w:left="450" w:hanging="450"/>
        <w:jc w:val="both"/>
        <w:rPr>
          <w:color w:val="222222"/>
          <w:shd w:val="clear" w:color="auto" w:fill="FFFFFF"/>
        </w:rPr>
      </w:pPr>
      <w:r w:rsidRPr="00B6426B">
        <w:rPr>
          <w:color w:val="222222"/>
          <w:shd w:val="clear" w:color="auto" w:fill="FFFFFF"/>
        </w:rPr>
        <w:t>Siegfried, A. L., Bayne, A., Beck, L. F., and Freund, K. (2021). Older adult willingness to use fully autonomous vehicle (FAV) ride sharing. </w:t>
      </w:r>
      <w:r w:rsidRPr="00B6426B">
        <w:rPr>
          <w:i/>
          <w:iCs/>
          <w:color w:val="222222"/>
          <w:shd w:val="clear" w:color="auto" w:fill="FFFFFF"/>
        </w:rPr>
        <w:t>Geriatrics</w:t>
      </w:r>
      <w:r w:rsidRPr="00B6426B">
        <w:rPr>
          <w:color w:val="222222"/>
          <w:shd w:val="clear" w:color="auto" w:fill="FFFFFF"/>
        </w:rPr>
        <w:t>, </w:t>
      </w:r>
      <w:r w:rsidRPr="00B6426B">
        <w:rPr>
          <w:iCs/>
          <w:color w:val="222222"/>
          <w:shd w:val="clear" w:color="auto" w:fill="FFFFFF"/>
        </w:rPr>
        <w:t>6</w:t>
      </w:r>
      <w:r w:rsidRPr="00B6426B">
        <w:rPr>
          <w:color w:val="222222"/>
          <w:shd w:val="clear" w:color="auto" w:fill="FFFFFF"/>
        </w:rPr>
        <w:t>(2), 47.</w:t>
      </w:r>
    </w:p>
    <w:p w14:paraId="553F8CF5" w14:textId="7FC45B55" w:rsidR="00575D15" w:rsidRPr="00B6426B" w:rsidRDefault="00575D15" w:rsidP="00B6426B">
      <w:pPr>
        <w:spacing w:before="80" w:line="240" w:lineRule="auto"/>
        <w:ind w:left="450" w:hanging="450"/>
        <w:jc w:val="both"/>
        <w:rPr>
          <w:color w:val="222222"/>
          <w:shd w:val="clear" w:color="auto" w:fill="FFFFFF"/>
        </w:rPr>
      </w:pPr>
      <w:r w:rsidRPr="00B6426B">
        <w:rPr>
          <w:color w:val="222222"/>
          <w:shd w:val="clear" w:color="auto" w:fill="FFFFFF"/>
        </w:rPr>
        <w:t>Singleton, P. A., and Goddard, T. (2016). Cycling by choice or necessity?: Exploring the gender gap in bicycling in Oregon. </w:t>
      </w:r>
      <w:r w:rsidR="003B5CD2" w:rsidRPr="00B6426B">
        <w:rPr>
          <w:i/>
          <w:iCs/>
        </w:rPr>
        <w:t>Transportation Research Record: Journal of the Transportation Research Board</w:t>
      </w:r>
      <w:r w:rsidRPr="00B6426B">
        <w:rPr>
          <w:color w:val="222222"/>
          <w:shd w:val="clear" w:color="auto" w:fill="FFFFFF"/>
        </w:rPr>
        <w:t>, </w:t>
      </w:r>
      <w:r w:rsidRPr="00B6426B">
        <w:rPr>
          <w:iCs/>
          <w:color w:val="222222"/>
          <w:shd w:val="clear" w:color="auto" w:fill="FFFFFF"/>
        </w:rPr>
        <w:t>2598</w:t>
      </w:r>
      <w:r w:rsidRPr="00B6426B">
        <w:rPr>
          <w:color w:val="222222"/>
          <w:shd w:val="clear" w:color="auto" w:fill="FFFFFF"/>
        </w:rPr>
        <w:t>(1), 110-118.</w:t>
      </w:r>
    </w:p>
    <w:p w14:paraId="020F79A9" w14:textId="0EC98601" w:rsidR="00575D15" w:rsidRPr="00B6426B" w:rsidRDefault="00575D15" w:rsidP="00B6426B">
      <w:pPr>
        <w:autoSpaceDE w:val="0"/>
        <w:autoSpaceDN w:val="0"/>
        <w:adjustRightInd w:val="0"/>
        <w:spacing w:before="80" w:line="240" w:lineRule="auto"/>
        <w:ind w:left="450" w:hanging="450"/>
        <w:jc w:val="both"/>
        <w:rPr>
          <w:color w:val="222222"/>
          <w:shd w:val="clear" w:color="auto" w:fill="FFFFFF"/>
        </w:rPr>
      </w:pPr>
      <w:proofErr w:type="spellStart"/>
      <w:r w:rsidRPr="00B6426B">
        <w:rPr>
          <w:color w:val="222222"/>
          <w:shd w:val="clear" w:color="auto" w:fill="FFFFFF"/>
        </w:rPr>
        <w:t>Skuladottir</w:t>
      </w:r>
      <w:proofErr w:type="spellEnd"/>
      <w:r w:rsidRPr="00B6426B">
        <w:rPr>
          <w:color w:val="222222"/>
          <w:shd w:val="clear" w:color="auto" w:fill="FFFFFF"/>
        </w:rPr>
        <w:t xml:space="preserve">, H., and </w:t>
      </w:r>
      <w:proofErr w:type="spellStart"/>
      <w:r w:rsidRPr="00B6426B">
        <w:rPr>
          <w:color w:val="222222"/>
          <w:shd w:val="clear" w:color="auto" w:fill="FFFFFF"/>
        </w:rPr>
        <w:t>Halldorsdottir</w:t>
      </w:r>
      <w:proofErr w:type="spellEnd"/>
      <w:r w:rsidRPr="00B6426B">
        <w:rPr>
          <w:color w:val="222222"/>
          <w:shd w:val="clear" w:color="auto" w:fill="FFFFFF"/>
        </w:rPr>
        <w:t xml:space="preserve">, S. (2008). Women in chronic pain: </w:t>
      </w:r>
      <w:r w:rsidR="00B6426B" w:rsidRPr="00B6426B">
        <w:rPr>
          <w:color w:val="222222"/>
          <w:shd w:val="clear" w:color="auto" w:fill="FFFFFF"/>
        </w:rPr>
        <w:t>S</w:t>
      </w:r>
      <w:r w:rsidRPr="00B6426B">
        <w:rPr>
          <w:color w:val="222222"/>
          <w:shd w:val="clear" w:color="auto" w:fill="FFFFFF"/>
        </w:rPr>
        <w:t>ense of control and encounters with health professionals. </w:t>
      </w:r>
      <w:r w:rsidRPr="00B6426B">
        <w:rPr>
          <w:i/>
          <w:iCs/>
          <w:color w:val="222222"/>
          <w:shd w:val="clear" w:color="auto" w:fill="FFFFFF"/>
        </w:rPr>
        <w:t>Qualitative Health Research</w:t>
      </w:r>
      <w:r w:rsidRPr="00B6426B">
        <w:rPr>
          <w:color w:val="222222"/>
          <w:shd w:val="clear" w:color="auto" w:fill="FFFFFF"/>
        </w:rPr>
        <w:t>, </w:t>
      </w:r>
      <w:r w:rsidRPr="00B6426B">
        <w:rPr>
          <w:iCs/>
          <w:color w:val="222222"/>
          <w:shd w:val="clear" w:color="auto" w:fill="FFFFFF"/>
        </w:rPr>
        <w:t>18</w:t>
      </w:r>
      <w:r w:rsidRPr="00B6426B">
        <w:rPr>
          <w:color w:val="222222"/>
          <w:shd w:val="clear" w:color="auto" w:fill="FFFFFF"/>
        </w:rPr>
        <w:t>(7), 891-901.</w:t>
      </w:r>
    </w:p>
    <w:p w14:paraId="26BAF607" w14:textId="77777777" w:rsidR="00575D15" w:rsidRPr="00B6426B" w:rsidRDefault="00575D15" w:rsidP="00B6426B">
      <w:pPr>
        <w:spacing w:before="80" w:line="240" w:lineRule="auto"/>
        <w:ind w:left="450" w:hanging="450"/>
        <w:jc w:val="both"/>
        <w:rPr>
          <w:shd w:val="clear" w:color="auto" w:fill="FFFFFF"/>
        </w:rPr>
      </w:pPr>
      <w:r w:rsidRPr="00B6426B">
        <w:t xml:space="preserve">Solon, G., Haider, S.J., and Wooldridge, J.M. (2015). What are we </w:t>
      </w:r>
      <w:proofErr w:type="spellStart"/>
      <w:r w:rsidRPr="00B6426B">
        <w:t>weighting</w:t>
      </w:r>
      <w:proofErr w:type="spellEnd"/>
      <w:r w:rsidRPr="00B6426B">
        <w:t xml:space="preserve"> for?</w:t>
      </w:r>
      <w:r w:rsidRPr="00B6426B">
        <w:rPr>
          <w:i/>
          <w:iCs/>
        </w:rPr>
        <w:t xml:space="preserve"> Journal of Human Resources</w:t>
      </w:r>
      <w:r w:rsidRPr="00B6426B">
        <w:rPr>
          <w:iCs/>
        </w:rPr>
        <w:t>,</w:t>
      </w:r>
      <w:r w:rsidRPr="00B6426B">
        <w:t xml:space="preserve"> 50(2), 301-316.</w:t>
      </w:r>
    </w:p>
    <w:p w14:paraId="6D7D35C5" w14:textId="33C57853" w:rsidR="00575D15" w:rsidRPr="00B6426B" w:rsidRDefault="00575D15" w:rsidP="00B6426B">
      <w:pPr>
        <w:spacing w:before="80" w:line="240" w:lineRule="auto"/>
        <w:ind w:left="450" w:hanging="450"/>
        <w:jc w:val="both"/>
        <w:rPr>
          <w:color w:val="222222"/>
          <w:shd w:val="clear" w:color="auto" w:fill="FFFFFF"/>
        </w:rPr>
      </w:pPr>
      <w:proofErr w:type="spellStart"/>
      <w:r w:rsidRPr="00B6426B">
        <w:rPr>
          <w:color w:val="222222"/>
          <w:shd w:val="clear" w:color="auto" w:fill="FFFFFF"/>
        </w:rPr>
        <w:t>Stokburger</w:t>
      </w:r>
      <w:proofErr w:type="spellEnd"/>
      <w:r w:rsidRPr="00B6426B">
        <w:rPr>
          <w:color w:val="222222"/>
          <w:shd w:val="clear" w:color="auto" w:fill="FFFFFF"/>
        </w:rPr>
        <w:t xml:space="preserve">-Sauer, N. E., and </w:t>
      </w:r>
      <w:proofErr w:type="spellStart"/>
      <w:r w:rsidRPr="00B6426B">
        <w:rPr>
          <w:color w:val="222222"/>
          <w:shd w:val="clear" w:color="auto" w:fill="FFFFFF"/>
        </w:rPr>
        <w:t>Teichmann</w:t>
      </w:r>
      <w:proofErr w:type="spellEnd"/>
      <w:r w:rsidRPr="00B6426B">
        <w:rPr>
          <w:color w:val="222222"/>
          <w:shd w:val="clear" w:color="auto" w:fill="FFFFFF"/>
        </w:rPr>
        <w:t>, K. (2013). Is luxury just a female thing? The role of gender in luxury brand consumption. </w:t>
      </w:r>
      <w:r w:rsidRPr="00B6426B">
        <w:rPr>
          <w:i/>
          <w:iCs/>
          <w:color w:val="222222"/>
          <w:shd w:val="clear" w:color="auto" w:fill="FFFFFF"/>
        </w:rPr>
        <w:t xml:space="preserve">Journal of </w:t>
      </w:r>
      <w:r w:rsidR="00B6426B" w:rsidRPr="00B6426B">
        <w:rPr>
          <w:i/>
          <w:iCs/>
          <w:color w:val="222222"/>
          <w:shd w:val="clear" w:color="auto" w:fill="FFFFFF"/>
        </w:rPr>
        <w:t>B</w:t>
      </w:r>
      <w:r w:rsidRPr="00B6426B">
        <w:rPr>
          <w:i/>
          <w:iCs/>
          <w:color w:val="222222"/>
          <w:shd w:val="clear" w:color="auto" w:fill="FFFFFF"/>
        </w:rPr>
        <w:t xml:space="preserve">usiness </w:t>
      </w:r>
      <w:r w:rsidR="00B6426B" w:rsidRPr="00B6426B">
        <w:rPr>
          <w:i/>
          <w:iCs/>
          <w:color w:val="222222"/>
          <w:shd w:val="clear" w:color="auto" w:fill="FFFFFF"/>
        </w:rPr>
        <w:t>R</w:t>
      </w:r>
      <w:r w:rsidRPr="00B6426B">
        <w:rPr>
          <w:i/>
          <w:iCs/>
          <w:color w:val="222222"/>
          <w:shd w:val="clear" w:color="auto" w:fill="FFFFFF"/>
        </w:rPr>
        <w:t>esearch</w:t>
      </w:r>
      <w:r w:rsidRPr="00B6426B">
        <w:rPr>
          <w:color w:val="222222"/>
          <w:shd w:val="clear" w:color="auto" w:fill="FFFFFF"/>
        </w:rPr>
        <w:t>, </w:t>
      </w:r>
      <w:r w:rsidRPr="00B6426B">
        <w:rPr>
          <w:iCs/>
          <w:color w:val="222222"/>
          <w:shd w:val="clear" w:color="auto" w:fill="FFFFFF"/>
        </w:rPr>
        <w:t>66</w:t>
      </w:r>
      <w:r w:rsidRPr="00B6426B">
        <w:rPr>
          <w:color w:val="222222"/>
          <w:shd w:val="clear" w:color="auto" w:fill="FFFFFF"/>
        </w:rPr>
        <w:t>(7), 889-896.</w:t>
      </w:r>
    </w:p>
    <w:p w14:paraId="7784C57E" w14:textId="276908B4" w:rsidR="00575D15" w:rsidRPr="00B6426B" w:rsidRDefault="00575D15" w:rsidP="00B6426B">
      <w:pPr>
        <w:spacing w:before="80" w:line="240" w:lineRule="auto"/>
        <w:ind w:left="450" w:hanging="450"/>
        <w:jc w:val="both"/>
        <w:rPr>
          <w:color w:val="222222"/>
          <w:shd w:val="clear" w:color="auto" w:fill="FFFFFF"/>
        </w:rPr>
      </w:pPr>
      <w:proofErr w:type="spellStart"/>
      <w:r w:rsidRPr="00B6426B">
        <w:rPr>
          <w:color w:val="222222"/>
          <w:shd w:val="clear" w:color="auto" w:fill="FFFFFF"/>
        </w:rPr>
        <w:t>Strapko</w:t>
      </w:r>
      <w:proofErr w:type="spellEnd"/>
      <w:r w:rsidRPr="00B6426B">
        <w:rPr>
          <w:color w:val="222222"/>
          <w:shd w:val="clear" w:color="auto" w:fill="FFFFFF"/>
        </w:rPr>
        <w:t xml:space="preserve">, N., Hempel, L., </w:t>
      </w:r>
      <w:proofErr w:type="spellStart"/>
      <w:r w:rsidRPr="00B6426B">
        <w:rPr>
          <w:color w:val="222222"/>
          <w:shd w:val="clear" w:color="auto" w:fill="FFFFFF"/>
        </w:rPr>
        <w:t>MacIlroy</w:t>
      </w:r>
      <w:proofErr w:type="spellEnd"/>
      <w:r w:rsidRPr="00B6426B">
        <w:rPr>
          <w:color w:val="222222"/>
          <w:shd w:val="clear" w:color="auto" w:fill="FFFFFF"/>
        </w:rPr>
        <w:t>, K., and Smith, K. (2016). Gender differences in environmental concern: Reevaluating gender socialization. </w:t>
      </w:r>
      <w:r w:rsidRPr="00B6426B">
        <w:rPr>
          <w:i/>
          <w:iCs/>
          <w:color w:val="222222"/>
          <w:shd w:val="clear" w:color="auto" w:fill="FFFFFF"/>
        </w:rPr>
        <w:t xml:space="preserve">Society and </w:t>
      </w:r>
      <w:r w:rsidR="00B6426B" w:rsidRPr="00B6426B">
        <w:rPr>
          <w:i/>
          <w:iCs/>
          <w:color w:val="222222"/>
          <w:shd w:val="clear" w:color="auto" w:fill="FFFFFF"/>
        </w:rPr>
        <w:t>N</w:t>
      </w:r>
      <w:r w:rsidRPr="00B6426B">
        <w:rPr>
          <w:i/>
          <w:iCs/>
          <w:color w:val="222222"/>
          <w:shd w:val="clear" w:color="auto" w:fill="FFFFFF"/>
        </w:rPr>
        <w:t xml:space="preserve">atural </w:t>
      </w:r>
      <w:r w:rsidR="00B6426B" w:rsidRPr="00B6426B">
        <w:rPr>
          <w:i/>
          <w:iCs/>
          <w:color w:val="222222"/>
          <w:shd w:val="clear" w:color="auto" w:fill="FFFFFF"/>
        </w:rPr>
        <w:t>R</w:t>
      </w:r>
      <w:r w:rsidRPr="00B6426B">
        <w:rPr>
          <w:i/>
          <w:iCs/>
          <w:color w:val="222222"/>
          <w:shd w:val="clear" w:color="auto" w:fill="FFFFFF"/>
        </w:rPr>
        <w:t>esources</w:t>
      </w:r>
      <w:r w:rsidRPr="00B6426B">
        <w:rPr>
          <w:color w:val="222222"/>
          <w:shd w:val="clear" w:color="auto" w:fill="FFFFFF"/>
        </w:rPr>
        <w:t>, </w:t>
      </w:r>
      <w:r w:rsidRPr="00B6426B">
        <w:rPr>
          <w:iCs/>
          <w:color w:val="222222"/>
          <w:shd w:val="clear" w:color="auto" w:fill="FFFFFF"/>
        </w:rPr>
        <w:t>29</w:t>
      </w:r>
      <w:r w:rsidRPr="00B6426B">
        <w:rPr>
          <w:color w:val="222222"/>
          <w:shd w:val="clear" w:color="auto" w:fill="FFFFFF"/>
        </w:rPr>
        <w:t>(9), 1015-1031.</w:t>
      </w:r>
    </w:p>
    <w:p w14:paraId="3B996796" w14:textId="60303CE0" w:rsidR="00575D15" w:rsidRPr="00B6426B" w:rsidRDefault="00575D15" w:rsidP="00B6426B">
      <w:pPr>
        <w:spacing w:before="80" w:line="240" w:lineRule="auto"/>
        <w:ind w:left="450" w:hanging="450"/>
        <w:jc w:val="both"/>
      </w:pPr>
      <w:bookmarkStart w:id="19" w:name="_Hlk121883781"/>
      <w:proofErr w:type="spellStart"/>
      <w:r w:rsidRPr="00B6426B">
        <w:rPr>
          <w:color w:val="222222"/>
          <w:shd w:val="clear" w:color="auto" w:fill="FFFFFF"/>
        </w:rPr>
        <w:t>Strazdins</w:t>
      </w:r>
      <w:proofErr w:type="spellEnd"/>
      <w:r w:rsidRPr="00B6426B">
        <w:rPr>
          <w:color w:val="222222"/>
          <w:shd w:val="clear" w:color="auto" w:fill="FFFFFF"/>
        </w:rPr>
        <w:t xml:space="preserve">, L., and </w:t>
      </w:r>
      <w:proofErr w:type="spellStart"/>
      <w:r w:rsidRPr="00B6426B">
        <w:rPr>
          <w:color w:val="222222"/>
          <w:shd w:val="clear" w:color="auto" w:fill="FFFFFF"/>
        </w:rPr>
        <w:t>Loughrey</w:t>
      </w:r>
      <w:proofErr w:type="spellEnd"/>
      <w:r w:rsidRPr="00B6426B">
        <w:rPr>
          <w:color w:val="222222"/>
          <w:shd w:val="clear" w:color="auto" w:fill="FFFFFF"/>
        </w:rPr>
        <w:t>, B. (2007</w:t>
      </w:r>
      <w:bookmarkEnd w:id="19"/>
      <w:r w:rsidRPr="00B6426B">
        <w:rPr>
          <w:color w:val="222222"/>
          <w:shd w:val="clear" w:color="auto" w:fill="FFFFFF"/>
        </w:rPr>
        <w:t>). Too busy: why time is a health and environmental problem. </w:t>
      </w:r>
      <w:r w:rsidRPr="00B6426B">
        <w:rPr>
          <w:i/>
          <w:iCs/>
          <w:color w:val="222222"/>
          <w:shd w:val="clear" w:color="auto" w:fill="FFFFFF"/>
        </w:rPr>
        <w:t xml:space="preserve">New South Wales </w:t>
      </w:r>
      <w:r w:rsidR="00B6426B" w:rsidRPr="00B6426B">
        <w:rPr>
          <w:i/>
          <w:iCs/>
          <w:color w:val="222222"/>
          <w:shd w:val="clear" w:color="auto" w:fill="FFFFFF"/>
        </w:rPr>
        <w:t>P</w:t>
      </w:r>
      <w:r w:rsidRPr="00B6426B">
        <w:rPr>
          <w:i/>
          <w:iCs/>
          <w:color w:val="222222"/>
          <w:shd w:val="clear" w:color="auto" w:fill="FFFFFF"/>
        </w:rPr>
        <w:t xml:space="preserve">ublic </w:t>
      </w:r>
      <w:r w:rsidR="00B6426B" w:rsidRPr="00B6426B">
        <w:rPr>
          <w:i/>
          <w:iCs/>
          <w:color w:val="222222"/>
          <w:shd w:val="clear" w:color="auto" w:fill="FFFFFF"/>
        </w:rPr>
        <w:t>H</w:t>
      </w:r>
      <w:r w:rsidRPr="00B6426B">
        <w:rPr>
          <w:i/>
          <w:iCs/>
          <w:color w:val="222222"/>
          <w:shd w:val="clear" w:color="auto" w:fill="FFFFFF"/>
        </w:rPr>
        <w:t xml:space="preserve">ealth </w:t>
      </w:r>
      <w:r w:rsidR="00B6426B" w:rsidRPr="00B6426B">
        <w:rPr>
          <w:i/>
          <w:iCs/>
          <w:color w:val="222222"/>
          <w:shd w:val="clear" w:color="auto" w:fill="FFFFFF"/>
        </w:rPr>
        <w:t>B</w:t>
      </w:r>
      <w:r w:rsidRPr="00B6426B">
        <w:rPr>
          <w:i/>
          <w:iCs/>
          <w:color w:val="222222"/>
          <w:shd w:val="clear" w:color="auto" w:fill="FFFFFF"/>
        </w:rPr>
        <w:t>ulletin</w:t>
      </w:r>
      <w:r w:rsidRPr="00B6426B">
        <w:rPr>
          <w:color w:val="222222"/>
          <w:shd w:val="clear" w:color="auto" w:fill="FFFFFF"/>
        </w:rPr>
        <w:t>, </w:t>
      </w:r>
      <w:r w:rsidRPr="00B6426B">
        <w:rPr>
          <w:iCs/>
          <w:color w:val="222222"/>
          <w:shd w:val="clear" w:color="auto" w:fill="FFFFFF"/>
        </w:rPr>
        <w:t>18</w:t>
      </w:r>
      <w:r w:rsidRPr="00B6426B">
        <w:rPr>
          <w:color w:val="222222"/>
          <w:shd w:val="clear" w:color="auto" w:fill="FFFFFF"/>
        </w:rPr>
        <w:t>(12), 219-221.</w:t>
      </w:r>
    </w:p>
    <w:p w14:paraId="0727C63A" w14:textId="08904833" w:rsidR="00575D15" w:rsidRPr="00B6426B" w:rsidRDefault="00575D15" w:rsidP="00B6426B">
      <w:pPr>
        <w:spacing w:before="80" w:line="240" w:lineRule="auto"/>
        <w:ind w:left="450" w:hanging="450"/>
        <w:jc w:val="both"/>
        <w:rPr>
          <w:color w:val="222222"/>
          <w:shd w:val="clear" w:color="auto" w:fill="FFFFFF"/>
        </w:rPr>
      </w:pPr>
      <w:r w:rsidRPr="00B6426B">
        <w:rPr>
          <w:color w:val="222222"/>
          <w:shd w:val="clear" w:color="auto" w:fill="FFFFFF"/>
        </w:rPr>
        <w:t xml:space="preserve">Thomas, G. O., Fisher, R., Whitmarsh, L., </w:t>
      </w:r>
      <w:proofErr w:type="spellStart"/>
      <w:r w:rsidRPr="00B6426B">
        <w:rPr>
          <w:color w:val="222222"/>
          <w:shd w:val="clear" w:color="auto" w:fill="FFFFFF"/>
        </w:rPr>
        <w:t>Milfont</w:t>
      </w:r>
      <w:proofErr w:type="spellEnd"/>
      <w:r w:rsidRPr="00B6426B">
        <w:rPr>
          <w:color w:val="222222"/>
          <w:shd w:val="clear" w:color="auto" w:fill="FFFFFF"/>
        </w:rPr>
        <w:t xml:space="preserve">, T. L., and </w:t>
      </w:r>
      <w:proofErr w:type="spellStart"/>
      <w:r w:rsidRPr="00B6426B">
        <w:rPr>
          <w:color w:val="222222"/>
          <w:shd w:val="clear" w:color="auto" w:fill="FFFFFF"/>
        </w:rPr>
        <w:t>Poortinga</w:t>
      </w:r>
      <w:proofErr w:type="spellEnd"/>
      <w:r w:rsidRPr="00B6426B">
        <w:rPr>
          <w:color w:val="222222"/>
          <w:shd w:val="clear" w:color="auto" w:fill="FFFFFF"/>
        </w:rPr>
        <w:t xml:space="preserve">, W. (2018). The impact of parenthood on environmental attitudes and </w:t>
      </w:r>
      <w:proofErr w:type="spellStart"/>
      <w:r w:rsidRPr="00B6426B">
        <w:rPr>
          <w:color w:val="222222"/>
          <w:shd w:val="clear" w:color="auto" w:fill="FFFFFF"/>
        </w:rPr>
        <w:t>behaviour</w:t>
      </w:r>
      <w:proofErr w:type="spellEnd"/>
      <w:r w:rsidRPr="00B6426B">
        <w:rPr>
          <w:color w:val="222222"/>
          <w:shd w:val="clear" w:color="auto" w:fill="FFFFFF"/>
        </w:rPr>
        <w:t xml:space="preserve">: </w:t>
      </w:r>
      <w:r w:rsidR="00B6426B" w:rsidRPr="00B6426B">
        <w:rPr>
          <w:color w:val="222222"/>
          <w:shd w:val="clear" w:color="auto" w:fill="FFFFFF"/>
        </w:rPr>
        <w:t>A</w:t>
      </w:r>
      <w:r w:rsidRPr="00B6426B">
        <w:rPr>
          <w:color w:val="222222"/>
          <w:shd w:val="clear" w:color="auto" w:fill="FFFFFF"/>
        </w:rPr>
        <w:t xml:space="preserve"> longitudinal investigation of the legacy hypothesis. </w:t>
      </w:r>
      <w:r w:rsidRPr="00B6426B">
        <w:rPr>
          <w:i/>
          <w:iCs/>
          <w:color w:val="222222"/>
          <w:shd w:val="clear" w:color="auto" w:fill="FFFFFF"/>
        </w:rPr>
        <w:t xml:space="preserve">Population and </w:t>
      </w:r>
      <w:r w:rsidR="003B5CD2" w:rsidRPr="00B6426B">
        <w:rPr>
          <w:i/>
          <w:iCs/>
          <w:color w:val="222222"/>
          <w:shd w:val="clear" w:color="auto" w:fill="FFFFFF"/>
        </w:rPr>
        <w:t>E</w:t>
      </w:r>
      <w:r w:rsidRPr="00B6426B">
        <w:rPr>
          <w:i/>
          <w:iCs/>
          <w:color w:val="222222"/>
          <w:shd w:val="clear" w:color="auto" w:fill="FFFFFF"/>
        </w:rPr>
        <w:t>nvironment</w:t>
      </w:r>
      <w:r w:rsidRPr="00B6426B">
        <w:rPr>
          <w:color w:val="222222"/>
          <w:shd w:val="clear" w:color="auto" w:fill="FFFFFF"/>
        </w:rPr>
        <w:t>, </w:t>
      </w:r>
      <w:r w:rsidRPr="00B6426B">
        <w:rPr>
          <w:iCs/>
          <w:color w:val="222222"/>
          <w:shd w:val="clear" w:color="auto" w:fill="FFFFFF"/>
        </w:rPr>
        <w:t>39</w:t>
      </w:r>
      <w:r w:rsidRPr="00B6426B">
        <w:rPr>
          <w:color w:val="222222"/>
          <w:shd w:val="clear" w:color="auto" w:fill="FFFFFF"/>
        </w:rPr>
        <w:t>(3), 261-276.</w:t>
      </w:r>
    </w:p>
    <w:p w14:paraId="1BEC65A8" w14:textId="77777777" w:rsidR="00575D15" w:rsidRPr="00B6426B" w:rsidRDefault="00575D15" w:rsidP="00B6426B">
      <w:pPr>
        <w:spacing w:before="80" w:line="240" w:lineRule="auto"/>
        <w:ind w:left="450" w:hanging="450"/>
        <w:jc w:val="both"/>
      </w:pPr>
      <w:r w:rsidRPr="00B6426B">
        <w:t xml:space="preserve">U.S. Census Bureau(2018). American Community Survey 1-year estimates. Census Reporter Profile page for Austin-Round Rock, TX Metro Area. </w:t>
      </w:r>
      <w:hyperlink r:id="rId401" w:history="1">
        <w:r w:rsidRPr="00B6426B">
          <w:rPr>
            <w:rStyle w:val="Hyperlink"/>
            <w:rFonts w:eastAsiaTheme="majorEastAsia"/>
          </w:rPr>
          <w:t>https://censusreporter.org/profiles/31000US12420-austin-round-rock-tx-metro-area/</w:t>
        </w:r>
      </w:hyperlink>
      <w:r w:rsidRPr="00B6426B">
        <w:t>.</w:t>
      </w:r>
    </w:p>
    <w:p w14:paraId="5704958D" w14:textId="77777777" w:rsidR="00575D15" w:rsidRPr="00B6426B" w:rsidRDefault="00575D15" w:rsidP="00B6426B">
      <w:pPr>
        <w:spacing w:before="80" w:line="240" w:lineRule="auto"/>
        <w:ind w:left="450" w:hanging="450"/>
        <w:jc w:val="both"/>
        <w:rPr>
          <w:color w:val="222222"/>
          <w:shd w:val="clear" w:color="auto" w:fill="FFFFFF"/>
        </w:rPr>
      </w:pPr>
      <w:r w:rsidRPr="00B6426B">
        <w:rPr>
          <w:color w:val="222222"/>
          <w:shd w:val="clear" w:color="auto" w:fill="FFFFFF"/>
        </w:rPr>
        <w:t>Wenz, P. (2015). Environmental justice. In </w:t>
      </w:r>
      <w:r w:rsidRPr="00B6426B">
        <w:rPr>
          <w:i/>
          <w:iCs/>
          <w:color w:val="222222"/>
          <w:shd w:val="clear" w:color="auto" w:fill="FFFFFF"/>
        </w:rPr>
        <w:t>Thinking About the Environment</w:t>
      </w:r>
      <w:r w:rsidRPr="00B6426B">
        <w:rPr>
          <w:color w:val="222222"/>
          <w:shd w:val="clear" w:color="auto" w:fill="FFFFFF"/>
        </w:rPr>
        <w:t> (pp. 214-220). Routledge.</w:t>
      </w:r>
    </w:p>
    <w:p w14:paraId="65EA32EA" w14:textId="77777777" w:rsidR="00575D15" w:rsidRPr="00B6426B" w:rsidRDefault="00575D15" w:rsidP="00B6426B">
      <w:pPr>
        <w:autoSpaceDE w:val="0"/>
        <w:autoSpaceDN w:val="0"/>
        <w:adjustRightInd w:val="0"/>
        <w:spacing w:before="80" w:line="240" w:lineRule="auto"/>
        <w:ind w:left="450" w:hanging="450"/>
        <w:jc w:val="both"/>
        <w:rPr>
          <w:shd w:val="clear" w:color="auto" w:fill="FFFFFF"/>
        </w:rPr>
      </w:pPr>
      <w:r w:rsidRPr="00B6426B">
        <w:t xml:space="preserve">Wooldridge, J.M. (1995). Selection corrections for panel data models under conditional mean independence assumptions. </w:t>
      </w:r>
      <w:r w:rsidRPr="00B6426B">
        <w:rPr>
          <w:i/>
          <w:iCs/>
        </w:rPr>
        <w:t>Journal of Econometrics</w:t>
      </w:r>
      <w:r w:rsidRPr="00B6426B">
        <w:rPr>
          <w:iCs/>
        </w:rPr>
        <w:t>,</w:t>
      </w:r>
      <w:r w:rsidRPr="00B6426B">
        <w:t xml:space="preserve"> 68(1), 115-132.</w:t>
      </w:r>
    </w:p>
    <w:p w14:paraId="64B01C0A" w14:textId="77777777" w:rsidR="00575D15" w:rsidRPr="00B6426B" w:rsidRDefault="00575D15" w:rsidP="00B6426B">
      <w:pPr>
        <w:spacing w:before="80" w:line="240" w:lineRule="auto"/>
        <w:ind w:left="450" w:hanging="450"/>
        <w:jc w:val="both"/>
        <w:rPr>
          <w:color w:val="222222"/>
          <w:shd w:val="clear" w:color="auto" w:fill="FFFFFF"/>
        </w:rPr>
      </w:pPr>
      <w:r w:rsidRPr="00B6426B">
        <w:rPr>
          <w:color w:val="222222"/>
          <w:shd w:val="clear" w:color="auto" w:fill="FFFFFF"/>
        </w:rPr>
        <w:t xml:space="preserve">Xiao, C., and </w:t>
      </w:r>
      <w:proofErr w:type="spellStart"/>
      <w:r w:rsidRPr="00B6426B">
        <w:rPr>
          <w:color w:val="222222"/>
          <w:shd w:val="clear" w:color="auto" w:fill="FFFFFF"/>
        </w:rPr>
        <w:t>McCright</w:t>
      </w:r>
      <w:proofErr w:type="spellEnd"/>
      <w:r w:rsidRPr="00B6426B">
        <w:rPr>
          <w:color w:val="222222"/>
          <w:shd w:val="clear" w:color="auto" w:fill="FFFFFF"/>
        </w:rPr>
        <w:t>, A. M. (2014). A test of the biographical availability argument for gender differences in environmental behaviors. </w:t>
      </w:r>
      <w:r w:rsidRPr="00B6426B">
        <w:rPr>
          <w:i/>
          <w:iCs/>
          <w:color w:val="222222"/>
          <w:shd w:val="clear" w:color="auto" w:fill="FFFFFF"/>
        </w:rPr>
        <w:t>Environment and Behavior</w:t>
      </w:r>
      <w:r w:rsidRPr="00B6426B">
        <w:rPr>
          <w:color w:val="222222"/>
          <w:shd w:val="clear" w:color="auto" w:fill="FFFFFF"/>
        </w:rPr>
        <w:t>, </w:t>
      </w:r>
      <w:r w:rsidRPr="00B6426B">
        <w:rPr>
          <w:iCs/>
          <w:color w:val="222222"/>
          <w:shd w:val="clear" w:color="auto" w:fill="FFFFFF"/>
        </w:rPr>
        <w:t>46</w:t>
      </w:r>
      <w:r w:rsidRPr="00B6426B">
        <w:rPr>
          <w:color w:val="222222"/>
          <w:shd w:val="clear" w:color="auto" w:fill="FFFFFF"/>
        </w:rPr>
        <w:t>(2), 241-263.</w:t>
      </w:r>
    </w:p>
    <w:p w14:paraId="53308E16" w14:textId="04D1B111" w:rsidR="00575D15" w:rsidRPr="00B6426B" w:rsidRDefault="00575D15" w:rsidP="00B6426B">
      <w:pPr>
        <w:spacing w:before="80" w:line="240" w:lineRule="auto"/>
        <w:ind w:left="450" w:hanging="450"/>
        <w:jc w:val="both"/>
        <w:rPr>
          <w:color w:val="222222"/>
          <w:shd w:val="clear" w:color="auto" w:fill="FFFFFF"/>
        </w:rPr>
      </w:pPr>
      <w:r w:rsidRPr="00B6426B">
        <w:rPr>
          <w:color w:val="222222"/>
          <w:shd w:val="clear" w:color="auto" w:fill="FFFFFF"/>
        </w:rPr>
        <w:t>Zhong, H., W. Li, M. W. Burris, A. Talebpour, and K. C. Sinha (2020). Will autonomous vehicles change auto commuters’ value of travel time?. </w:t>
      </w:r>
      <w:r w:rsidRPr="00B6426B">
        <w:rPr>
          <w:i/>
          <w:iCs/>
          <w:color w:val="222222"/>
          <w:shd w:val="clear" w:color="auto" w:fill="FFFFFF"/>
        </w:rPr>
        <w:t>Transportation Research Part D</w:t>
      </w:r>
      <w:r w:rsidRPr="00B6426B">
        <w:rPr>
          <w:color w:val="222222"/>
          <w:shd w:val="clear" w:color="auto" w:fill="FFFFFF"/>
        </w:rPr>
        <w:t>, </w:t>
      </w:r>
      <w:r w:rsidRPr="00B6426B">
        <w:rPr>
          <w:iCs/>
          <w:color w:val="222222"/>
          <w:shd w:val="clear" w:color="auto" w:fill="FFFFFF"/>
        </w:rPr>
        <w:t>83</w:t>
      </w:r>
      <w:r w:rsidR="003B5CD2" w:rsidRPr="00B6426B">
        <w:rPr>
          <w:color w:val="222222"/>
          <w:shd w:val="clear" w:color="auto" w:fill="FFFFFF"/>
        </w:rPr>
        <w:t>,</w:t>
      </w:r>
      <w:r w:rsidRPr="00B6426B">
        <w:rPr>
          <w:color w:val="222222"/>
          <w:shd w:val="clear" w:color="auto" w:fill="FFFFFF"/>
        </w:rPr>
        <w:t xml:space="preserve"> 102303.</w:t>
      </w:r>
    </w:p>
    <w:p w14:paraId="48AA2E46" w14:textId="18A90ED8" w:rsidR="00AC64F3" w:rsidRPr="00B6426B" w:rsidRDefault="00575D15" w:rsidP="00B6426B">
      <w:pPr>
        <w:spacing w:before="80" w:line="240" w:lineRule="auto"/>
        <w:ind w:left="450" w:hanging="450"/>
        <w:jc w:val="both"/>
        <w:rPr>
          <w:color w:val="222222"/>
          <w:shd w:val="clear" w:color="auto" w:fill="FFFFFF"/>
        </w:rPr>
      </w:pPr>
      <w:r w:rsidRPr="00B6426B">
        <w:rPr>
          <w:color w:val="222222"/>
          <w:shd w:val="clear" w:color="auto" w:fill="FFFFFF"/>
        </w:rPr>
        <w:t>Zhu, M., X. Hu, Z. Lin, J. Li, S. Wang, and C. Wang (2020). Intention to adopt bicycle-sharing in China: introducing environmental concern into the theory of planned behavior model. </w:t>
      </w:r>
      <w:r w:rsidRPr="00B6426B">
        <w:rPr>
          <w:i/>
          <w:iCs/>
          <w:color w:val="222222"/>
          <w:shd w:val="clear" w:color="auto" w:fill="FFFFFF"/>
        </w:rPr>
        <w:t>Environmental Science And Pollution Research</w:t>
      </w:r>
      <w:r w:rsidRPr="00B6426B">
        <w:rPr>
          <w:iCs/>
          <w:color w:val="222222"/>
          <w:shd w:val="clear" w:color="auto" w:fill="FFFFFF"/>
        </w:rPr>
        <w:t>, 7(33</w:t>
      </w:r>
      <w:r w:rsidRPr="00B6426B">
        <w:rPr>
          <w:color w:val="222222"/>
          <w:shd w:val="clear" w:color="auto" w:fill="FFFFFF"/>
        </w:rPr>
        <w:t>)</w:t>
      </w:r>
      <w:r w:rsidR="003B5CD2" w:rsidRPr="00B6426B">
        <w:rPr>
          <w:color w:val="222222"/>
          <w:shd w:val="clear" w:color="auto" w:fill="FFFFFF"/>
        </w:rPr>
        <w:t>,</w:t>
      </w:r>
      <w:r w:rsidRPr="00B6426B">
        <w:rPr>
          <w:color w:val="222222"/>
          <w:shd w:val="clear" w:color="auto" w:fill="FFFFFF"/>
        </w:rPr>
        <w:t xml:space="preserve"> 41740</w:t>
      </w:r>
      <w:r w:rsidR="003B5CD2" w:rsidRPr="00B6426B">
        <w:rPr>
          <w:color w:val="222222"/>
          <w:shd w:val="clear" w:color="auto" w:fill="FFFFFF"/>
        </w:rPr>
        <w:t>-</w:t>
      </w:r>
      <w:r w:rsidRPr="00B6426B">
        <w:rPr>
          <w:color w:val="222222"/>
          <w:shd w:val="clear" w:color="auto" w:fill="FFFFFF"/>
        </w:rPr>
        <w:t>41750.</w:t>
      </w:r>
    </w:p>
    <w:sectPr w:rsidR="00AC64F3" w:rsidRPr="00B6426B" w:rsidSect="003B51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FB052" w14:textId="77777777" w:rsidR="00852CF5" w:rsidRDefault="00852CF5" w:rsidP="00BD22BE">
      <w:pPr>
        <w:spacing w:before="0" w:line="240" w:lineRule="auto"/>
      </w:pPr>
      <w:r>
        <w:separator/>
      </w:r>
    </w:p>
  </w:endnote>
  <w:endnote w:type="continuationSeparator" w:id="0">
    <w:p w14:paraId="31EBF009" w14:textId="77777777" w:rsidR="00852CF5" w:rsidRDefault="00852CF5" w:rsidP="00BD22B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EC11" w14:textId="364989AD" w:rsidR="00852CF5" w:rsidRDefault="00852CF5" w:rsidP="00F739C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7A2CC" w14:textId="471AE3F4" w:rsidR="00852CF5" w:rsidRDefault="00852CF5" w:rsidP="00F739C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9694764"/>
      <w:docPartObj>
        <w:docPartGallery w:val="Page Numbers (Bottom of Page)"/>
        <w:docPartUnique/>
      </w:docPartObj>
    </w:sdtPr>
    <w:sdtEndPr>
      <w:rPr>
        <w:noProof/>
      </w:rPr>
    </w:sdtEndPr>
    <w:sdtContent>
      <w:p w14:paraId="3B4E9B26" w14:textId="77777777" w:rsidR="00852CF5" w:rsidRDefault="00852CF5" w:rsidP="00F739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C0B2" w14:textId="77777777" w:rsidR="00852CF5" w:rsidRDefault="00852CF5" w:rsidP="00BD22BE">
      <w:pPr>
        <w:spacing w:before="0" w:line="240" w:lineRule="auto"/>
      </w:pPr>
      <w:r>
        <w:separator/>
      </w:r>
    </w:p>
  </w:footnote>
  <w:footnote w:type="continuationSeparator" w:id="0">
    <w:p w14:paraId="2EC53858" w14:textId="77777777" w:rsidR="00852CF5" w:rsidRDefault="00852CF5" w:rsidP="00BD22BE">
      <w:pPr>
        <w:spacing w:before="0" w:line="240" w:lineRule="auto"/>
      </w:pPr>
      <w:r>
        <w:continuationSeparator/>
      </w:r>
    </w:p>
  </w:footnote>
  <w:footnote w:id="1">
    <w:p w14:paraId="78248715" w14:textId="3EAC51B0" w:rsidR="00852CF5" w:rsidRPr="00575D15" w:rsidRDefault="00852CF5" w:rsidP="00F739CC">
      <w:pPr>
        <w:pStyle w:val="FootnoteText"/>
        <w:spacing w:before="0" w:line="240" w:lineRule="auto"/>
        <w:jc w:val="both"/>
        <w:rPr>
          <w:sz w:val="20"/>
          <w:szCs w:val="20"/>
        </w:rPr>
      </w:pPr>
      <w:r w:rsidRPr="00575D15">
        <w:rPr>
          <w:rStyle w:val="FootnoteReference"/>
          <w:sz w:val="20"/>
          <w:szCs w:val="20"/>
        </w:rPr>
        <w:footnoteRef/>
      </w:r>
      <w:r>
        <w:rPr>
          <w:sz w:val="20"/>
          <w:szCs w:val="20"/>
        </w:rPr>
        <w:t xml:space="preserve"> A</w:t>
      </w:r>
      <w:r w:rsidRPr="00575D15">
        <w:rPr>
          <w:sz w:val="20"/>
          <w:szCs w:val="20"/>
        </w:rPr>
        <w:t>fter accommodating the correlations underlying the latent constructs and the manifested behaviors (in our empirical case, HDN living</w:t>
      </w:r>
      <w:r>
        <w:rPr>
          <w:sz w:val="20"/>
          <w:szCs w:val="20"/>
        </w:rPr>
        <w:t>, auto-ownership level,</w:t>
      </w:r>
      <w:r w:rsidRPr="00575D15">
        <w:rPr>
          <w:sz w:val="20"/>
          <w:szCs w:val="20"/>
        </w:rPr>
        <w:t xml:space="preserve"> and </w:t>
      </w:r>
      <w:r>
        <w:rPr>
          <w:sz w:val="20"/>
          <w:szCs w:val="20"/>
        </w:rPr>
        <w:t>mode choice</w:t>
      </w:r>
      <w:r w:rsidRPr="00575D15">
        <w:rPr>
          <w:sz w:val="20"/>
          <w:szCs w:val="20"/>
        </w:rPr>
        <w:t>), the residual “true” causal direction of effect may be from the latent constructs to behavior, or from behavior to latent constructs</w:t>
      </w:r>
      <w:r>
        <w:rPr>
          <w:sz w:val="20"/>
          <w:szCs w:val="20"/>
        </w:rPr>
        <w:t xml:space="preserve"> (but cannot be in both directions; see </w:t>
      </w:r>
      <w:r w:rsidRPr="00575D15">
        <w:rPr>
          <w:sz w:val="20"/>
          <w:szCs w:val="20"/>
        </w:rPr>
        <w:t>Maddala</w:t>
      </w:r>
      <w:r>
        <w:rPr>
          <w:sz w:val="20"/>
          <w:szCs w:val="20"/>
        </w:rPr>
        <w:t xml:space="preserve">, </w:t>
      </w:r>
      <w:r w:rsidRPr="00575D15">
        <w:rPr>
          <w:sz w:val="20"/>
          <w:szCs w:val="20"/>
        </w:rPr>
        <w:t>1983, Bhat</w:t>
      </w:r>
      <w:r>
        <w:rPr>
          <w:sz w:val="20"/>
          <w:szCs w:val="20"/>
        </w:rPr>
        <w:t xml:space="preserve">, </w:t>
      </w:r>
      <w:r w:rsidRPr="00575D15">
        <w:rPr>
          <w:sz w:val="20"/>
          <w:szCs w:val="20"/>
        </w:rPr>
        <w:t>2015</w:t>
      </w:r>
      <w:r>
        <w:rPr>
          <w:sz w:val="20"/>
          <w:szCs w:val="20"/>
        </w:rPr>
        <w:t>a</w:t>
      </w:r>
      <w:r w:rsidRPr="00575D15">
        <w:rPr>
          <w:sz w:val="20"/>
          <w:szCs w:val="20"/>
        </w:rPr>
        <w:t>, and Lavieri and Bhat</w:t>
      </w:r>
      <w:r>
        <w:rPr>
          <w:sz w:val="20"/>
          <w:szCs w:val="20"/>
        </w:rPr>
        <w:t xml:space="preserve">, </w:t>
      </w:r>
      <w:r w:rsidRPr="00575D15">
        <w:rPr>
          <w:sz w:val="20"/>
          <w:szCs w:val="20"/>
        </w:rPr>
        <w:t>2019</w:t>
      </w:r>
      <w:r>
        <w:rPr>
          <w:sz w:val="20"/>
          <w:szCs w:val="20"/>
        </w:rPr>
        <w:t xml:space="preserve"> for a full discussion of this point). Similarly, while one observed endogenous outcome can affect another dependent outcome, in limited-dependent outcome model systems (that is, model systems that include non-continuous dependent outcomes), these endogenous outcome effects can only be recursive. </w:t>
      </w:r>
      <w:r w:rsidRPr="00575D15">
        <w:rPr>
          <w:color w:val="222222"/>
          <w:sz w:val="20"/>
          <w:szCs w:val="20"/>
        </w:rPr>
        <w:t xml:space="preserve">In our empirical context, we consistently achieved better data fit measures when considering the causal structure direction in which </w:t>
      </w:r>
      <w:r>
        <w:rPr>
          <w:color w:val="222222"/>
          <w:sz w:val="20"/>
          <w:szCs w:val="20"/>
        </w:rPr>
        <w:t xml:space="preserve">(a) </w:t>
      </w:r>
      <w:r w:rsidRPr="00575D15">
        <w:rPr>
          <w:color w:val="222222"/>
          <w:sz w:val="20"/>
          <w:szCs w:val="20"/>
        </w:rPr>
        <w:t xml:space="preserve">the latent constructs impact </w:t>
      </w:r>
      <w:r>
        <w:rPr>
          <w:color w:val="222222"/>
          <w:sz w:val="20"/>
          <w:szCs w:val="20"/>
        </w:rPr>
        <w:t>HDN living, auto-ownership, and mode choice, (b) HDN living impacts auto-ownership level and mode choice, and (c) auto-ownership level affects mode choice. All further discussion of the methodology will be based on these causal direction effects (after accommodating for correlations between the latent constructs and the outcomes).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3E50"/>
    <w:multiLevelType w:val="multilevel"/>
    <w:tmpl w:val="98D23394"/>
    <w:lvl w:ilvl="0">
      <w:start w:val="3"/>
      <w:numFmt w:val="decimal"/>
      <w:lvlText w:val="%1."/>
      <w:lvlJc w:val="left"/>
      <w:pPr>
        <w:ind w:left="360" w:hanging="360"/>
      </w:pPr>
      <w:rPr>
        <w:rFonts w:hint="default"/>
      </w:rPr>
    </w:lvl>
    <w:lvl w:ilvl="1">
      <w:start w:val="1"/>
      <w:numFmt w:val="decimal"/>
      <w:lvlText w:val="%1.%2."/>
      <w:lvlJc w:val="left"/>
      <w:pPr>
        <w:ind w:left="279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922563"/>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BA3EBC"/>
    <w:multiLevelType w:val="hybridMultilevel"/>
    <w:tmpl w:val="0B66A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97D77"/>
    <w:multiLevelType w:val="hybridMultilevel"/>
    <w:tmpl w:val="CC78B91A"/>
    <w:lvl w:ilvl="0" w:tplc="8BE6878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354D3B"/>
    <w:multiLevelType w:val="hybridMultilevel"/>
    <w:tmpl w:val="488EF2D2"/>
    <w:lvl w:ilvl="0" w:tplc="0BFC0CA6">
      <w:start w:val="1"/>
      <w:numFmt w:val="decimal"/>
      <w:lvlText w:val="%1."/>
      <w:lvlJc w:val="left"/>
      <w:pPr>
        <w:tabs>
          <w:tab w:val="num" w:pos="720"/>
        </w:tabs>
        <w:ind w:left="720" w:hanging="360"/>
      </w:pPr>
    </w:lvl>
    <w:lvl w:ilvl="1" w:tplc="BC30F8F6" w:tentative="1">
      <w:start w:val="1"/>
      <w:numFmt w:val="decimal"/>
      <w:lvlText w:val="%2."/>
      <w:lvlJc w:val="left"/>
      <w:pPr>
        <w:tabs>
          <w:tab w:val="num" w:pos="1440"/>
        </w:tabs>
        <w:ind w:left="1440" w:hanging="360"/>
      </w:pPr>
    </w:lvl>
    <w:lvl w:ilvl="2" w:tplc="BB6828A0" w:tentative="1">
      <w:start w:val="1"/>
      <w:numFmt w:val="decimal"/>
      <w:lvlText w:val="%3."/>
      <w:lvlJc w:val="left"/>
      <w:pPr>
        <w:tabs>
          <w:tab w:val="num" w:pos="2160"/>
        </w:tabs>
        <w:ind w:left="2160" w:hanging="360"/>
      </w:pPr>
    </w:lvl>
    <w:lvl w:ilvl="3" w:tplc="CDD02CD4" w:tentative="1">
      <w:start w:val="1"/>
      <w:numFmt w:val="decimal"/>
      <w:lvlText w:val="%4."/>
      <w:lvlJc w:val="left"/>
      <w:pPr>
        <w:tabs>
          <w:tab w:val="num" w:pos="2880"/>
        </w:tabs>
        <w:ind w:left="2880" w:hanging="360"/>
      </w:pPr>
    </w:lvl>
    <w:lvl w:ilvl="4" w:tplc="1AC08272" w:tentative="1">
      <w:start w:val="1"/>
      <w:numFmt w:val="decimal"/>
      <w:lvlText w:val="%5."/>
      <w:lvlJc w:val="left"/>
      <w:pPr>
        <w:tabs>
          <w:tab w:val="num" w:pos="3600"/>
        </w:tabs>
        <w:ind w:left="3600" w:hanging="360"/>
      </w:pPr>
    </w:lvl>
    <w:lvl w:ilvl="5" w:tplc="E62A6C90" w:tentative="1">
      <w:start w:val="1"/>
      <w:numFmt w:val="decimal"/>
      <w:lvlText w:val="%6."/>
      <w:lvlJc w:val="left"/>
      <w:pPr>
        <w:tabs>
          <w:tab w:val="num" w:pos="4320"/>
        </w:tabs>
        <w:ind w:left="4320" w:hanging="360"/>
      </w:pPr>
    </w:lvl>
    <w:lvl w:ilvl="6" w:tplc="6E36AF6C" w:tentative="1">
      <w:start w:val="1"/>
      <w:numFmt w:val="decimal"/>
      <w:lvlText w:val="%7."/>
      <w:lvlJc w:val="left"/>
      <w:pPr>
        <w:tabs>
          <w:tab w:val="num" w:pos="5040"/>
        </w:tabs>
        <w:ind w:left="5040" w:hanging="360"/>
      </w:pPr>
    </w:lvl>
    <w:lvl w:ilvl="7" w:tplc="61242966" w:tentative="1">
      <w:start w:val="1"/>
      <w:numFmt w:val="decimal"/>
      <w:lvlText w:val="%8."/>
      <w:lvlJc w:val="left"/>
      <w:pPr>
        <w:tabs>
          <w:tab w:val="num" w:pos="5760"/>
        </w:tabs>
        <w:ind w:left="5760" w:hanging="360"/>
      </w:pPr>
    </w:lvl>
    <w:lvl w:ilvl="8" w:tplc="B55C30D2" w:tentative="1">
      <w:start w:val="1"/>
      <w:numFmt w:val="decimal"/>
      <w:lvlText w:val="%9."/>
      <w:lvlJc w:val="left"/>
      <w:pPr>
        <w:tabs>
          <w:tab w:val="num" w:pos="6480"/>
        </w:tabs>
        <w:ind w:left="6480" w:hanging="360"/>
      </w:pPr>
    </w:lvl>
  </w:abstractNum>
  <w:abstractNum w:abstractNumId="5" w15:restartNumberingAfterBreak="0">
    <w:nsid w:val="114B150D"/>
    <w:multiLevelType w:val="multilevel"/>
    <w:tmpl w:val="8968EB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5D1B8F"/>
    <w:multiLevelType w:val="hybridMultilevel"/>
    <w:tmpl w:val="F05C92F0"/>
    <w:lvl w:ilvl="0" w:tplc="EB5A906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C18DF"/>
    <w:multiLevelType w:val="hybridMultilevel"/>
    <w:tmpl w:val="431275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230675"/>
    <w:multiLevelType w:val="multilevel"/>
    <w:tmpl w:val="053E9F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5B322C7"/>
    <w:multiLevelType w:val="hybridMultilevel"/>
    <w:tmpl w:val="E3E0B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C77D3B"/>
    <w:multiLevelType w:val="hybridMultilevel"/>
    <w:tmpl w:val="778E1DA4"/>
    <w:lvl w:ilvl="0" w:tplc="F9909B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DD0369"/>
    <w:multiLevelType w:val="hybridMultilevel"/>
    <w:tmpl w:val="73A01C04"/>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3" w15:restartNumberingAfterBreak="0">
    <w:nsid w:val="2CAC0DCF"/>
    <w:multiLevelType w:val="multilevel"/>
    <w:tmpl w:val="E79C0D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F55442"/>
    <w:multiLevelType w:val="hybridMultilevel"/>
    <w:tmpl w:val="62EA22C6"/>
    <w:lvl w:ilvl="0" w:tplc="F3C0AD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AC4336"/>
    <w:multiLevelType w:val="hybridMultilevel"/>
    <w:tmpl w:val="B44441CE"/>
    <w:lvl w:ilvl="0" w:tplc="E68C2DB6">
      <w:start w:val="1"/>
      <w:numFmt w:val="low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5F80D7C"/>
    <w:multiLevelType w:val="hybridMultilevel"/>
    <w:tmpl w:val="B3C8B14E"/>
    <w:lvl w:ilvl="0" w:tplc="DE68D8C6">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C163559"/>
    <w:multiLevelType w:val="hybridMultilevel"/>
    <w:tmpl w:val="C18833BA"/>
    <w:lvl w:ilvl="0" w:tplc="BBF06CF8">
      <w:start w:val="1"/>
      <w:numFmt w:val="bullet"/>
      <w:lvlText w:val="•"/>
      <w:lvlJc w:val="left"/>
      <w:pPr>
        <w:tabs>
          <w:tab w:val="num" w:pos="720"/>
        </w:tabs>
        <w:ind w:left="720" w:hanging="360"/>
      </w:pPr>
      <w:rPr>
        <w:rFonts w:ascii="Arial" w:hAnsi="Arial" w:hint="default"/>
      </w:rPr>
    </w:lvl>
    <w:lvl w:ilvl="1" w:tplc="FB4AD1E6" w:tentative="1">
      <w:start w:val="1"/>
      <w:numFmt w:val="bullet"/>
      <w:lvlText w:val="•"/>
      <w:lvlJc w:val="left"/>
      <w:pPr>
        <w:tabs>
          <w:tab w:val="num" w:pos="1440"/>
        </w:tabs>
        <w:ind w:left="1440" w:hanging="360"/>
      </w:pPr>
      <w:rPr>
        <w:rFonts w:ascii="Arial" w:hAnsi="Arial" w:hint="default"/>
      </w:rPr>
    </w:lvl>
    <w:lvl w:ilvl="2" w:tplc="0CF80A88" w:tentative="1">
      <w:start w:val="1"/>
      <w:numFmt w:val="bullet"/>
      <w:lvlText w:val="•"/>
      <w:lvlJc w:val="left"/>
      <w:pPr>
        <w:tabs>
          <w:tab w:val="num" w:pos="2160"/>
        </w:tabs>
        <w:ind w:left="2160" w:hanging="360"/>
      </w:pPr>
      <w:rPr>
        <w:rFonts w:ascii="Arial" w:hAnsi="Arial" w:hint="default"/>
      </w:rPr>
    </w:lvl>
    <w:lvl w:ilvl="3" w:tplc="5360DAE4" w:tentative="1">
      <w:start w:val="1"/>
      <w:numFmt w:val="bullet"/>
      <w:lvlText w:val="•"/>
      <w:lvlJc w:val="left"/>
      <w:pPr>
        <w:tabs>
          <w:tab w:val="num" w:pos="2880"/>
        </w:tabs>
        <w:ind w:left="2880" w:hanging="360"/>
      </w:pPr>
      <w:rPr>
        <w:rFonts w:ascii="Arial" w:hAnsi="Arial" w:hint="default"/>
      </w:rPr>
    </w:lvl>
    <w:lvl w:ilvl="4" w:tplc="F1D03F2E" w:tentative="1">
      <w:start w:val="1"/>
      <w:numFmt w:val="bullet"/>
      <w:lvlText w:val="•"/>
      <w:lvlJc w:val="left"/>
      <w:pPr>
        <w:tabs>
          <w:tab w:val="num" w:pos="3600"/>
        </w:tabs>
        <w:ind w:left="3600" w:hanging="360"/>
      </w:pPr>
      <w:rPr>
        <w:rFonts w:ascii="Arial" w:hAnsi="Arial" w:hint="default"/>
      </w:rPr>
    </w:lvl>
    <w:lvl w:ilvl="5" w:tplc="17CE7D08" w:tentative="1">
      <w:start w:val="1"/>
      <w:numFmt w:val="bullet"/>
      <w:lvlText w:val="•"/>
      <w:lvlJc w:val="left"/>
      <w:pPr>
        <w:tabs>
          <w:tab w:val="num" w:pos="4320"/>
        </w:tabs>
        <w:ind w:left="4320" w:hanging="360"/>
      </w:pPr>
      <w:rPr>
        <w:rFonts w:ascii="Arial" w:hAnsi="Arial" w:hint="default"/>
      </w:rPr>
    </w:lvl>
    <w:lvl w:ilvl="6" w:tplc="0652B12E" w:tentative="1">
      <w:start w:val="1"/>
      <w:numFmt w:val="bullet"/>
      <w:lvlText w:val="•"/>
      <w:lvlJc w:val="left"/>
      <w:pPr>
        <w:tabs>
          <w:tab w:val="num" w:pos="5040"/>
        </w:tabs>
        <w:ind w:left="5040" w:hanging="360"/>
      </w:pPr>
      <w:rPr>
        <w:rFonts w:ascii="Arial" w:hAnsi="Arial" w:hint="default"/>
      </w:rPr>
    </w:lvl>
    <w:lvl w:ilvl="7" w:tplc="A3347220" w:tentative="1">
      <w:start w:val="1"/>
      <w:numFmt w:val="bullet"/>
      <w:lvlText w:val="•"/>
      <w:lvlJc w:val="left"/>
      <w:pPr>
        <w:tabs>
          <w:tab w:val="num" w:pos="5760"/>
        </w:tabs>
        <w:ind w:left="5760" w:hanging="360"/>
      </w:pPr>
      <w:rPr>
        <w:rFonts w:ascii="Arial" w:hAnsi="Arial" w:hint="default"/>
      </w:rPr>
    </w:lvl>
    <w:lvl w:ilvl="8" w:tplc="9BF20DD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1AA393F"/>
    <w:multiLevelType w:val="hybridMultilevel"/>
    <w:tmpl w:val="9BE057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85011D"/>
    <w:multiLevelType w:val="hybridMultilevel"/>
    <w:tmpl w:val="B9880A8C"/>
    <w:lvl w:ilvl="0" w:tplc="FE36EE4E">
      <w:start w:val="1"/>
      <w:numFmt w:val="bullet"/>
      <w:lvlText w:val="•"/>
      <w:lvlJc w:val="left"/>
      <w:pPr>
        <w:tabs>
          <w:tab w:val="num" w:pos="720"/>
        </w:tabs>
        <w:ind w:left="720" w:hanging="360"/>
      </w:pPr>
      <w:rPr>
        <w:rFonts w:ascii="Arial" w:hAnsi="Arial" w:hint="default"/>
      </w:rPr>
    </w:lvl>
    <w:lvl w:ilvl="1" w:tplc="B00C6AA4" w:tentative="1">
      <w:start w:val="1"/>
      <w:numFmt w:val="bullet"/>
      <w:lvlText w:val="•"/>
      <w:lvlJc w:val="left"/>
      <w:pPr>
        <w:tabs>
          <w:tab w:val="num" w:pos="1440"/>
        </w:tabs>
        <w:ind w:left="1440" w:hanging="360"/>
      </w:pPr>
      <w:rPr>
        <w:rFonts w:ascii="Arial" w:hAnsi="Arial" w:hint="default"/>
      </w:rPr>
    </w:lvl>
    <w:lvl w:ilvl="2" w:tplc="76762F7A" w:tentative="1">
      <w:start w:val="1"/>
      <w:numFmt w:val="bullet"/>
      <w:lvlText w:val="•"/>
      <w:lvlJc w:val="left"/>
      <w:pPr>
        <w:tabs>
          <w:tab w:val="num" w:pos="2160"/>
        </w:tabs>
        <w:ind w:left="2160" w:hanging="360"/>
      </w:pPr>
      <w:rPr>
        <w:rFonts w:ascii="Arial" w:hAnsi="Arial" w:hint="default"/>
      </w:rPr>
    </w:lvl>
    <w:lvl w:ilvl="3" w:tplc="DDDE13DA" w:tentative="1">
      <w:start w:val="1"/>
      <w:numFmt w:val="bullet"/>
      <w:lvlText w:val="•"/>
      <w:lvlJc w:val="left"/>
      <w:pPr>
        <w:tabs>
          <w:tab w:val="num" w:pos="2880"/>
        </w:tabs>
        <w:ind w:left="2880" w:hanging="360"/>
      </w:pPr>
      <w:rPr>
        <w:rFonts w:ascii="Arial" w:hAnsi="Arial" w:hint="default"/>
      </w:rPr>
    </w:lvl>
    <w:lvl w:ilvl="4" w:tplc="1A848D7A" w:tentative="1">
      <w:start w:val="1"/>
      <w:numFmt w:val="bullet"/>
      <w:lvlText w:val="•"/>
      <w:lvlJc w:val="left"/>
      <w:pPr>
        <w:tabs>
          <w:tab w:val="num" w:pos="3600"/>
        </w:tabs>
        <w:ind w:left="3600" w:hanging="360"/>
      </w:pPr>
      <w:rPr>
        <w:rFonts w:ascii="Arial" w:hAnsi="Arial" w:hint="default"/>
      </w:rPr>
    </w:lvl>
    <w:lvl w:ilvl="5" w:tplc="1D2A3872" w:tentative="1">
      <w:start w:val="1"/>
      <w:numFmt w:val="bullet"/>
      <w:lvlText w:val="•"/>
      <w:lvlJc w:val="left"/>
      <w:pPr>
        <w:tabs>
          <w:tab w:val="num" w:pos="4320"/>
        </w:tabs>
        <w:ind w:left="4320" w:hanging="360"/>
      </w:pPr>
      <w:rPr>
        <w:rFonts w:ascii="Arial" w:hAnsi="Arial" w:hint="default"/>
      </w:rPr>
    </w:lvl>
    <w:lvl w:ilvl="6" w:tplc="C532AB96" w:tentative="1">
      <w:start w:val="1"/>
      <w:numFmt w:val="bullet"/>
      <w:lvlText w:val="•"/>
      <w:lvlJc w:val="left"/>
      <w:pPr>
        <w:tabs>
          <w:tab w:val="num" w:pos="5040"/>
        </w:tabs>
        <w:ind w:left="5040" w:hanging="360"/>
      </w:pPr>
      <w:rPr>
        <w:rFonts w:ascii="Arial" w:hAnsi="Arial" w:hint="default"/>
      </w:rPr>
    </w:lvl>
    <w:lvl w:ilvl="7" w:tplc="0C9ADFF2" w:tentative="1">
      <w:start w:val="1"/>
      <w:numFmt w:val="bullet"/>
      <w:lvlText w:val="•"/>
      <w:lvlJc w:val="left"/>
      <w:pPr>
        <w:tabs>
          <w:tab w:val="num" w:pos="5760"/>
        </w:tabs>
        <w:ind w:left="5760" w:hanging="360"/>
      </w:pPr>
      <w:rPr>
        <w:rFonts w:ascii="Arial" w:hAnsi="Arial" w:hint="default"/>
      </w:rPr>
    </w:lvl>
    <w:lvl w:ilvl="8" w:tplc="CAB8824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60845E5"/>
    <w:multiLevelType w:val="multilevel"/>
    <w:tmpl w:val="49E43B6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473DFC"/>
    <w:multiLevelType w:val="multilevel"/>
    <w:tmpl w:val="04090025"/>
    <w:lvl w:ilvl="0">
      <w:start w:val="1"/>
      <w:numFmt w:val="decimal"/>
      <w:lvlText w:val="%1"/>
      <w:lvlJc w:val="left"/>
      <w:pPr>
        <w:ind w:left="432" w:hanging="432"/>
      </w:pPr>
    </w:lvl>
    <w:lvl w:ilvl="1">
      <w:start w:val="1"/>
      <w:numFmt w:val="decimal"/>
      <w:lvlText w:val="%1.%2"/>
      <w:lvlJc w:val="left"/>
      <w:pPr>
        <w:ind w:left="759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4DE49C1"/>
    <w:multiLevelType w:val="hybridMultilevel"/>
    <w:tmpl w:val="E438C124"/>
    <w:lvl w:ilvl="0" w:tplc="BD0ABB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737F06"/>
    <w:multiLevelType w:val="hybridMultilevel"/>
    <w:tmpl w:val="08CAA32A"/>
    <w:lvl w:ilvl="0" w:tplc="2EA2426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1"/>
  </w:num>
  <w:num w:numId="2">
    <w:abstractNumId w:val="8"/>
  </w:num>
  <w:num w:numId="3">
    <w:abstractNumId w:val="18"/>
  </w:num>
  <w:num w:numId="4">
    <w:abstractNumId w:val="6"/>
  </w:num>
  <w:num w:numId="5">
    <w:abstractNumId w:val="1"/>
  </w:num>
  <w:num w:numId="6">
    <w:abstractNumId w:val="23"/>
  </w:num>
  <w:num w:numId="7">
    <w:abstractNumId w:val="22"/>
  </w:num>
  <w:num w:numId="8">
    <w:abstractNumId w:val="15"/>
  </w:num>
  <w:num w:numId="9">
    <w:abstractNumId w:val="14"/>
  </w:num>
  <w:num w:numId="10">
    <w:abstractNumId w:val="3"/>
  </w:num>
  <w:num w:numId="11">
    <w:abstractNumId w:val="10"/>
  </w:num>
  <w:num w:numId="12">
    <w:abstractNumId w:val="21"/>
  </w:num>
  <w:num w:numId="13">
    <w:abstractNumId w:val="17"/>
  </w:num>
  <w:num w:numId="14">
    <w:abstractNumId w:val="19"/>
  </w:num>
  <w:num w:numId="15">
    <w:abstractNumId w:val="1"/>
    <w:lvlOverride w:ilvl="0">
      <w:startOverride w:val="5"/>
    </w:lvlOverride>
    <w:lvlOverride w:ilvl="1">
      <w:startOverride w:val="1"/>
    </w:lvlOverride>
  </w:num>
  <w:num w:numId="16">
    <w:abstractNumId w:val="4"/>
  </w:num>
  <w:num w:numId="17">
    <w:abstractNumId w:val="2"/>
  </w:num>
  <w:num w:numId="18">
    <w:abstractNumId w:val="7"/>
  </w:num>
  <w:num w:numId="19">
    <w:abstractNumId w:val="0"/>
  </w:num>
  <w:num w:numId="20">
    <w:abstractNumId w:val="9"/>
  </w:num>
  <w:num w:numId="21">
    <w:abstractNumId w:val="12"/>
  </w:num>
  <w:num w:numId="22">
    <w:abstractNumId w:val="5"/>
  </w:num>
  <w:num w:numId="23">
    <w:abstractNumId w:val="16"/>
  </w:num>
  <w:num w:numId="24">
    <w:abstractNumId w:val="13"/>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tjAxtDAyNjI0NTRS0lEKTi0uzszPAykwrAUAFQQTACwAAAA="/>
  </w:docVars>
  <w:rsids>
    <w:rsidRoot w:val="00834F12"/>
    <w:rsid w:val="0000378A"/>
    <w:rsid w:val="00003DCD"/>
    <w:rsid w:val="00004917"/>
    <w:rsid w:val="000066E3"/>
    <w:rsid w:val="00006EE5"/>
    <w:rsid w:val="000149D9"/>
    <w:rsid w:val="00015BAD"/>
    <w:rsid w:val="000214BF"/>
    <w:rsid w:val="000214F8"/>
    <w:rsid w:val="0002424C"/>
    <w:rsid w:val="00024BAD"/>
    <w:rsid w:val="00025866"/>
    <w:rsid w:val="00032661"/>
    <w:rsid w:val="00033950"/>
    <w:rsid w:val="000363AB"/>
    <w:rsid w:val="00042D42"/>
    <w:rsid w:val="00046A7C"/>
    <w:rsid w:val="00047767"/>
    <w:rsid w:val="00051EDB"/>
    <w:rsid w:val="0005211E"/>
    <w:rsid w:val="00055682"/>
    <w:rsid w:val="0005605B"/>
    <w:rsid w:val="000563E4"/>
    <w:rsid w:val="00061EF8"/>
    <w:rsid w:val="00062DB5"/>
    <w:rsid w:val="00066361"/>
    <w:rsid w:val="0006764D"/>
    <w:rsid w:val="000720D2"/>
    <w:rsid w:val="00072848"/>
    <w:rsid w:val="00073BE3"/>
    <w:rsid w:val="00075153"/>
    <w:rsid w:val="000802E3"/>
    <w:rsid w:val="00080E4F"/>
    <w:rsid w:val="00082E8E"/>
    <w:rsid w:val="0008552F"/>
    <w:rsid w:val="000855CF"/>
    <w:rsid w:val="0008563E"/>
    <w:rsid w:val="00085D20"/>
    <w:rsid w:val="00093133"/>
    <w:rsid w:val="000953E0"/>
    <w:rsid w:val="00095589"/>
    <w:rsid w:val="000957E9"/>
    <w:rsid w:val="000A46C2"/>
    <w:rsid w:val="000A52DF"/>
    <w:rsid w:val="000A537E"/>
    <w:rsid w:val="000A729E"/>
    <w:rsid w:val="000B18B3"/>
    <w:rsid w:val="000B3459"/>
    <w:rsid w:val="000B3736"/>
    <w:rsid w:val="000B6DE7"/>
    <w:rsid w:val="000B7352"/>
    <w:rsid w:val="000B7878"/>
    <w:rsid w:val="000C22F1"/>
    <w:rsid w:val="000C510B"/>
    <w:rsid w:val="000C5A38"/>
    <w:rsid w:val="000C5B79"/>
    <w:rsid w:val="000C5C36"/>
    <w:rsid w:val="000D1345"/>
    <w:rsid w:val="000D3DF8"/>
    <w:rsid w:val="000D42F3"/>
    <w:rsid w:val="000D5BA4"/>
    <w:rsid w:val="000D5E4F"/>
    <w:rsid w:val="000D6879"/>
    <w:rsid w:val="000D6C43"/>
    <w:rsid w:val="000E07A5"/>
    <w:rsid w:val="000E7F7A"/>
    <w:rsid w:val="000F4976"/>
    <w:rsid w:val="000F64F0"/>
    <w:rsid w:val="000F6A7F"/>
    <w:rsid w:val="000F6B86"/>
    <w:rsid w:val="000F73BB"/>
    <w:rsid w:val="00104722"/>
    <w:rsid w:val="001049E0"/>
    <w:rsid w:val="001051F0"/>
    <w:rsid w:val="00105D28"/>
    <w:rsid w:val="00106D2B"/>
    <w:rsid w:val="001100BB"/>
    <w:rsid w:val="001100F0"/>
    <w:rsid w:val="00111304"/>
    <w:rsid w:val="00111924"/>
    <w:rsid w:val="0012025F"/>
    <w:rsid w:val="001214C9"/>
    <w:rsid w:val="00122668"/>
    <w:rsid w:val="00123B40"/>
    <w:rsid w:val="00124299"/>
    <w:rsid w:val="001242C2"/>
    <w:rsid w:val="00132643"/>
    <w:rsid w:val="00134ABA"/>
    <w:rsid w:val="00135504"/>
    <w:rsid w:val="00136B4C"/>
    <w:rsid w:val="0014568C"/>
    <w:rsid w:val="00145D15"/>
    <w:rsid w:val="00146B36"/>
    <w:rsid w:val="00146DB5"/>
    <w:rsid w:val="00146E71"/>
    <w:rsid w:val="00151F30"/>
    <w:rsid w:val="00153E12"/>
    <w:rsid w:val="001616A5"/>
    <w:rsid w:val="00161759"/>
    <w:rsid w:val="001618C1"/>
    <w:rsid w:val="001635D1"/>
    <w:rsid w:val="0016477E"/>
    <w:rsid w:val="00164873"/>
    <w:rsid w:val="00165A17"/>
    <w:rsid w:val="001707B9"/>
    <w:rsid w:val="00170E0F"/>
    <w:rsid w:val="00171ED1"/>
    <w:rsid w:val="0017693E"/>
    <w:rsid w:val="00181D7D"/>
    <w:rsid w:val="0018284D"/>
    <w:rsid w:val="001829CC"/>
    <w:rsid w:val="00183E2A"/>
    <w:rsid w:val="00184284"/>
    <w:rsid w:val="00184784"/>
    <w:rsid w:val="001917EF"/>
    <w:rsid w:val="00191850"/>
    <w:rsid w:val="00194444"/>
    <w:rsid w:val="001975AE"/>
    <w:rsid w:val="001A1190"/>
    <w:rsid w:val="001A2E05"/>
    <w:rsid w:val="001A2E9B"/>
    <w:rsid w:val="001A3FAB"/>
    <w:rsid w:val="001A7B6A"/>
    <w:rsid w:val="001B5E2F"/>
    <w:rsid w:val="001B6664"/>
    <w:rsid w:val="001B66EF"/>
    <w:rsid w:val="001B7FFA"/>
    <w:rsid w:val="001C1518"/>
    <w:rsid w:val="001C283B"/>
    <w:rsid w:val="001C2C5E"/>
    <w:rsid w:val="001C3EC6"/>
    <w:rsid w:val="001C40CB"/>
    <w:rsid w:val="001C62F1"/>
    <w:rsid w:val="001C67EA"/>
    <w:rsid w:val="001D1170"/>
    <w:rsid w:val="001D2B66"/>
    <w:rsid w:val="001D3004"/>
    <w:rsid w:val="001D306E"/>
    <w:rsid w:val="001D34CC"/>
    <w:rsid w:val="001D388C"/>
    <w:rsid w:val="001D39C5"/>
    <w:rsid w:val="001D4ED9"/>
    <w:rsid w:val="001D67DC"/>
    <w:rsid w:val="001D76A2"/>
    <w:rsid w:val="001E0074"/>
    <w:rsid w:val="001E3560"/>
    <w:rsid w:val="001E37B5"/>
    <w:rsid w:val="001E660F"/>
    <w:rsid w:val="001E6A92"/>
    <w:rsid w:val="001E6C08"/>
    <w:rsid w:val="001F1EB4"/>
    <w:rsid w:val="001F3BE2"/>
    <w:rsid w:val="001F6BA6"/>
    <w:rsid w:val="001F794B"/>
    <w:rsid w:val="002026FC"/>
    <w:rsid w:val="00203C44"/>
    <w:rsid w:val="00204A2D"/>
    <w:rsid w:val="0020584B"/>
    <w:rsid w:val="00210149"/>
    <w:rsid w:val="002155D7"/>
    <w:rsid w:val="00216A8F"/>
    <w:rsid w:val="00220299"/>
    <w:rsid w:val="00221163"/>
    <w:rsid w:val="00221397"/>
    <w:rsid w:val="00224971"/>
    <w:rsid w:val="00226047"/>
    <w:rsid w:val="00226EE2"/>
    <w:rsid w:val="00226F31"/>
    <w:rsid w:val="00236261"/>
    <w:rsid w:val="0024154B"/>
    <w:rsid w:val="00247D81"/>
    <w:rsid w:val="00250657"/>
    <w:rsid w:val="002506FD"/>
    <w:rsid w:val="002554AC"/>
    <w:rsid w:val="00255E50"/>
    <w:rsid w:val="00256163"/>
    <w:rsid w:val="0025664C"/>
    <w:rsid w:val="00256F4E"/>
    <w:rsid w:val="002570E6"/>
    <w:rsid w:val="0026457F"/>
    <w:rsid w:val="00264FF4"/>
    <w:rsid w:val="002654B2"/>
    <w:rsid w:val="00265C8F"/>
    <w:rsid w:val="0027049B"/>
    <w:rsid w:val="00270F3E"/>
    <w:rsid w:val="00271011"/>
    <w:rsid w:val="002713EF"/>
    <w:rsid w:val="00272D32"/>
    <w:rsid w:val="00272FB7"/>
    <w:rsid w:val="00273554"/>
    <w:rsid w:val="002743E6"/>
    <w:rsid w:val="00281B18"/>
    <w:rsid w:val="00286719"/>
    <w:rsid w:val="00287D0E"/>
    <w:rsid w:val="00287EA0"/>
    <w:rsid w:val="00292392"/>
    <w:rsid w:val="0029272F"/>
    <w:rsid w:val="002963EA"/>
    <w:rsid w:val="0029655F"/>
    <w:rsid w:val="00296F5B"/>
    <w:rsid w:val="00296F88"/>
    <w:rsid w:val="002A16BC"/>
    <w:rsid w:val="002A2670"/>
    <w:rsid w:val="002A6CDE"/>
    <w:rsid w:val="002B2945"/>
    <w:rsid w:val="002B6CF8"/>
    <w:rsid w:val="002B6F4B"/>
    <w:rsid w:val="002C1303"/>
    <w:rsid w:val="002C2671"/>
    <w:rsid w:val="002C63D8"/>
    <w:rsid w:val="002C69D1"/>
    <w:rsid w:val="002C77E7"/>
    <w:rsid w:val="002C78F4"/>
    <w:rsid w:val="002D06EF"/>
    <w:rsid w:val="002D1EEE"/>
    <w:rsid w:val="002D2C12"/>
    <w:rsid w:val="002D7225"/>
    <w:rsid w:val="002D75CA"/>
    <w:rsid w:val="002E057E"/>
    <w:rsid w:val="002E4A48"/>
    <w:rsid w:val="002E696F"/>
    <w:rsid w:val="002F00EA"/>
    <w:rsid w:val="002F016B"/>
    <w:rsid w:val="002F16B7"/>
    <w:rsid w:val="002F38D8"/>
    <w:rsid w:val="002F4044"/>
    <w:rsid w:val="002F4E09"/>
    <w:rsid w:val="002F5AE8"/>
    <w:rsid w:val="002F5CD0"/>
    <w:rsid w:val="003019AD"/>
    <w:rsid w:val="00301F86"/>
    <w:rsid w:val="00302316"/>
    <w:rsid w:val="00304128"/>
    <w:rsid w:val="003079C9"/>
    <w:rsid w:val="00307E5C"/>
    <w:rsid w:val="00311D70"/>
    <w:rsid w:val="00313B13"/>
    <w:rsid w:val="003164F7"/>
    <w:rsid w:val="00316D50"/>
    <w:rsid w:val="0032398F"/>
    <w:rsid w:val="003260D1"/>
    <w:rsid w:val="00326D3E"/>
    <w:rsid w:val="003302C3"/>
    <w:rsid w:val="003313E1"/>
    <w:rsid w:val="00331633"/>
    <w:rsid w:val="00331961"/>
    <w:rsid w:val="003319F0"/>
    <w:rsid w:val="00331EA9"/>
    <w:rsid w:val="00333643"/>
    <w:rsid w:val="00336AFA"/>
    <w:rsid w:val="003407C1"/>
    <w:rsid w:val="00341685"/>
    <w:rsid w:val="003420E0"/>
    <w:rsid w:val="00352A68"/>
    <w:rsid w:val="00352ECE"/>
    <w:rsid w:val="003534C0"/>
    <w:rsid w:val="00354EAD"/>
    <w:rsid w:val="0035694B"/>
    <w:rsid w:val="0035719C"/>
    <w:rsid w:val="00364836"/>
    <w:rsid w:val="003648E2"/>
    <w:rsid w:val="00373818"/>
    <w:rsid w:val="00373DDB"/>
    <w:rsid w:val="00374D38"/>
    <w:rsid w:val="00377B48"/>
    <w:rsid w:val="003805DF"/>
    <w:rsid w:val="00383F95"/>
    <w:rsid w:val="00384830"/>
    <w:rsid w:val="00386DBB"/>
    <w:rsid w:val="00386FDE"/>
    <w:rsid w:val="0038791E"/>
    <w:rsid w:val="00391DB1"/>
    <w:rsid w:val="00391ED3"/>
    <w:rsid w:val="00392A7D"/>
    <w:rsid w:val="00392C1A"/>
    <w:rsid w:val="003933E0"/>
    <w:rsid w:val="00395FCD"/>
    <w:rsid w:val="003977CA"/>
    <w:rsid w:val="003A3788"/>
    <w:rsid w:val="003A3C46"/>
    <w:rsid w:val="003A424B"/>
    <w:rsid w:val="003A71BA"/>
    <w:rsid w:val="003B1E70"/>
    <w:rsid w:val="003B2DBC"/>
    <w:rsid w:val="003B4A74"/>
    <w:rsid w:val="003B5197"/>
    <w:rsid w:val="003B56B8"/>
    <w:rsid w:val="003B5CD2"/>
    <w:rsid w:val="003C2430"/>
    <w:rsid w:val="003C3308"/>
    <w:rsid w:val="003D3AE0"/>
    <w:rsid w:val="003D490A"/>
    <w:rsid w:val="003D52F3"/>
    <w:rsid w:val="003D6CE6"/>
    <w:rsid w:val="003E0C9B"/>
    <w:rsid w:val="003E4B4C"/>
    <w:rsid w:val="003E68C4"/>
    <w:rsid w:val="003E6CBA"/>
    <w:rsid w:val="003E7C4C"/>
    <w:rsid w:val="003F26E8"/>
    <w:rsid w:val="003F2DD5"/>
    <w:rsid w:val="003F351E"/>
    <w:rsid w:val="003F385E"/>
    <w:rsid w:val="003F4BC4"/>
    <w:rsid w:val="003F4EAF"/>
    <w:rsid w:val="003F523D"/>
    <w:rsid w:val="003F5919"/>
    <w:rsid w:val="003F77BF"/>
    <w:rsid w:val="00401DCE"/>
    <w:rsid w:val="004062EB"/>
    <w:rsid w:val="004071F9"/>
    <w:rsid w:val="00410FBB"/>
    <w:rsid w:val="004124D1"/>
    <w:rsid w:val="00412952"/>
    <w:rsid w:val="00412CB8"/>
    <w:rsid w:val="004133F6"/>
    <w:rsid w:val="00413A77"/>
    <w:rsid w:val="0041428F"/>
    <w:rsid w:val="00414C35"/>
    <w:rsid w:val="0041756C"/>
    <w:rsid w:val="0042089A"/>
    <w:rsid w:val="0042092C"/>
    <w:rsid w:val="00421225"/>
    <w:rsid w:val="00421436"/>
    <w:rsid w:val="004221A4"/>
    <w:rsid w:val="00422674"/>
    <w:rsid w:val="00425487"/>
    <w:rsid w:val="00426C47"/>
    <w:rsid w:val="0043001A"/>
    <w:rsid w:val="004305C3"/>
    <w:rsid w:val="00430EEF"/>
    <w:rsid w:val="00432B7B"/>
    <w:rsid w:val="004360D3"/>
    <w:rsid w:val="00436EAA"/>
    <w:rsid w:val="004408B9"/>
    <w:rsid w:val="00442831"/>
    <w:rsid w:val="00443BC8"/>
    <w:rsid w:val="00443DBC"/>
    <w:rsid w:val="004445E5"/>
    <w:rsid w:val="004465DD"/>
    <w:rsid w:val="00446DD2"/>
    <w:rsid w:val="004479AB"/>
    <w:rsid w:val="0045028D"/>
    <w:rsid w:val="00453D8C"/>
    <w:rsid w:val="004569D7"/>
    <w:rsid w:val="00457FD0"/>
    <w:rsid w:val="004628D7"/>
    <w:rsid w:val="0046498A"/>
    <w:rsid w:val="00471297"/>
    <w:rsid w:val="00472845"/>
    <w:rsid w:val="00475C07"/>
    <w:rsid w:val="00482F54"/>
    <w:rsid w:val="00492F8B"/>
    <w:rsid w:val="00494635"/>
    <w:rsid w:val="00494D45"/>
    <w:rsid w:val="0049685F"/>
    <w:rsid w:val="004A3956"/>
    <w:rsid w:val="004B0F97"/>
    <w:rsid w:val="004B26F0"/>
    <w:rsid w:val="004B7BCB"/>
    <w:rsid w:val="004C17E2"/>
    <w:rsid w:val="004C3C78"/>
    <w:rsid w:val="004C4FAE"/>
    <w:rsid w:val="004C6636"/>
    <w:rsid w:val="004C724E"/>
    <w:rsid w:val="004C7810"/>
    <w:rsid w:val="004D0934"/>
    <w:rsid w:val="004D19E4"/>
    <w:rsid w:val="004D1F92"/>
    <w:rsid w:val="004D357A"/>
    <w:rsid w:val="004D3C29"/>
    <w:rsid w:val="004E1547"/>
    <w:rsid w:val="004E325C"/>
    <w:rsid w:val="004E746A"/>
    <w:rsid w:val="004F1BF4"/>
    <w:rsid w:val="004F211D"/>
    <w:rsid w:val="004F51A1"/>
    <w:rsid w:val="004F5DB5"/>
    <w:rsid w:val="00502097"/>
    <w:rsid w:val="0050356E"/>
    <w:rsid w:val="00507DA0"/>
    <w:rsid w:val="0051153A"/>
    <w:rsid w:val="005123D9"/>
    <w:rsid w:val="005139D8"/>
    <w:rsid w:val="005140FF"/>
    <w:rsid w:val="00514593"/>
    <w:rsid w:val="005145E6"/>
    <w:rsid w:val="00515616"/>
    <w:rsid w:val="00516439"/>
    <w:rsid w:val="005208F5"/>
    <w:rsid w:val="00520A4B"/>
    <w:rsid w:val="00520DCA"/>
    <w:rsid w:val="005211D5"/>
    <w:rsid w:val="0052405D"/>
    <w:rsid w:val="00527EA6"/>
    <w:rsid w:val="00533715"/>
    <w:rsid w:val="00534DF3"/>
    <w:rsid w:val="005355C9"/>
    <w:rsid w:val="00535CC2"/>
    <w:rsid w:val="00536B4A"/>
    <w:rsid w:val="00540B67"/>
    <w:rsid w:val="005412D6"/>
    <w:rsid w:val="005422EA"/>
    <w:rsid w:val="0054314D"/>
    <w:rsid w:val="00544928"/>
    <w:rsid w:val="00552C8D"/>
    <w:rsid w:val="00553648"/>
    <w:rsid w:val="0055590F"/>
    <w:rsid w:val="0055727F"/>
    <w:rsid w:val="00560A6A"/>
    <w:rsid w:val="00560C1A"/>
    <w:rsid w:val="00560C25"/>
    <w:rsid w:val="00562239"/>
    <w:rsid w:val="00562BF7"/>
    <w:rsid w:val="005723D6"/>
    <w:rsid w:val="00575D15"/>
    <w:rsid w:val="00576C90"/>
    <w:rsid w:val="00581143"/>
    <w:rsid w:val="0058237B"/>
    <w:rsid w:val="00582398"/>
    <w:rsid w:val="005826D7"/>
    <w:rsid w:val="00590E02"/>
    <w:rsid w:val="00591440"/>
    <w:rsid w:val="00592ED1"/>
    <w:rsid w:val="00593B67"/>
    <w:rsid w:val="00597C1B"/>
    <w:rsid w:val="005A4752"/>
    <w:rsid w:val="005A6A13"/>
    <w:rsid w:val="005A70D5"/>
    <w:rsid w:val="005B54F0"/>
    <w:rsid w:val="005C197E"/>
    <w:rsid w:val="005C264D"/>
    <w:rsid w:val="005C2767"/>
    <w:rsid w:val="005C29AC"/>
    <w:rsid w:val="005C2E36"/>
    <w:rsid w:val="005D2EC2"/>
    <w:rsid w:val="005D31C9"/>
    <w:rsid w:val="005D35AA"/>
    <w:rsid w:val="005D7997"/>
    <w:rsid w:val="005E3EAE"/>
    <w:rsid w:val="005E4C51"/>
    <w:rsid w:val="005E5BBC"/>
    <w:rsid w:val="005E6F2B"/>
    <w:rsid w:val="005F1D11"/>
    <w:rsid w:val="005F2EA1"/>
    <w:rsid w:val="00602020"/>
    <w:rsid w:val="0060342E"/>
    <w:rsid w:val="006047B1"/>
    <w:rsid w:val="00604A79"/>
    <w:rsid w:val="00607C47"/>
    <w:rsid w:val="00612928"/>
    <w:rsid w:val="00612F52"/>
    <w:rsid w:val="00614FE4"/>
    <w:rsid w:val="00615278"/>
    <w:rsid w:val="00616645"/>
    <w:rsid w:val="00622BA6"/>
    <w:rsid w:val="00625D64"/>
    <w:rsid w:val="00627A85"/>
    <w:rsid w:val="006329B2"/>
    <w:rsid w:val="0063447D"/>
    <w:rsid w:val="00634922"/>
    <w:rsid w:val="006366E8"/>
    <w:rsid w:val="00636B40"/>
    <w:rsid w:val="00641BA5"/>
    <w:rsid w:val="00642840"/>
    <w:rsid w:val="00644EE0"/>
    <w:rsid w:val="006530B4"/>
    <w:rsid w:val="00661701"/>
    <w:rsid w:val="006635A1"/>
    <w:rsid w:val="00664981"/>
    <w:rsid w:val="00667CAF"/>
    <w:rsid w:val="00670AF2"/>
    <w:rsid w:val="00670E9B"/>
    <w:rsid w:val="00671BFA"/>
    <w:rsid w:val="006739BE"/>
    <w:rsid w:val="00674CD8"/>
    <w:rsid w:val="00675BB7"/>
    <w:rsid w:val="00677A45"/>
    <w:rsid w:val="006837D4"/>
    <w:rsid w:val="0068562E"/>
    <w:rsid w:val="0068685D"/>
    <w:rsid w:val="00687995"/>
    <w:rsid w:val="00690F69"/>
    <w:rsid w:val="006910F9"/>
    <w:rsid w:val="00693904"/>
    <w:rsid w:val="00694679"/>
    <w:rsid w:val="00694976"/>
    <w:rsid w:val="006A3E03"/>
    <w:rsid w:val="006A4336"/>
    <w:rsid w:val="006A794E"/>
    <w:rsid w:val="006B0C52"/>
    <w:rsid w:val="006C1EA3"/>
    <w:rsid w:val="006C4DEC"/>
    <w:rsid w:val="006C5EB9"/>
    <w:rsid w:val="006C6CCA"/>
    <w:rsid w:val="006C7497"/>
    <w:rsid w:val="006D0021"/>
    <w:rsid w:val="006D4EC2"/>
    <w:rsid w:val="006E51C7"/>
    <w:rsid w:val="006E7D27"/>
    <w:rsid w:val="006F24A7"/>
    <w:rsid w:val="006F5855"/>
    <w:rsid w:val="006F73E0"/>
    <w:rsid w:val="0070659D"/>
    <w:rsid w:val="00707E68"/>
    <w:rsid w:val="00707FD3"/>
    <w:rsid w:val="007127DF"/>
    <w:rsid w:val="00713B96"/>
    <w:rsid w:val="0071415A"/>
    <w:rsid w:val="007171D2"/>
    <w:rsid w:val="00717BCB"/>
    <w:rsid w:val="0072027E"/>
    <w:rsid w:val="00723CDC"/>
    <w:rsid w:val="007249A1"/>
    <w:rsid w:val="00724A92"/>
    <w:rsid w:val="00726054"/>
    <w:rsid w:val="0073240E"/>
    <w:rsid w:val="00732B12"/>
    <w:rsid w:val="007367E7"/>
    <w:rsid w:val="00740F40"/>
    <w:rsid w:val="007419C3"/>
    <w:rsid w:val="00741EBE"/>
    <w:rsid w:val="007457BF"/>
    <w:rsid w:val="00747129"/>
    <w:rsid w:val="0074783B"/>
    <w:rsid w:val="007500DA"/>
    <w:rsid w:val="00751A2C"/>
    <w:rsid w:val="00751AD6"/>
    <w:rsid w:val="00752A20"/>
    <w:rsid w:val="00752B77"/>
    <w:rsid w:val="0075316A"/>
    <w:rsid w:val="00753D78"/>
    <w:rsid w:val="00756820"/>
    <w:rsid w:val="0076015D"/>
    <w:rsid w:val="007607AB"/>
    <w:rsid w:val="00762515"/>
    <w:rsid w:val="007634EC"/>
    <w:rsid w:val="007646F3"/>
    <w:rsid w:val="007666FC"/>
    <w:rsid w:val="0077223C"/>
    <w:rsid w:val="00772767"/>
    <w:rsid w:val="00773917"/>
    <w:rsid w:val="00777697"/>
    <w:rsid w:val="00780B0D"/>
    <w:rsid w:val="00780CBD"/>
    <w:rsid w:val="00782343"/>
    <w:rsid w:val="00782BAF"/>
    <w:rsid w:val="00784623"/>
    <w:rsid w:val="00784DDE"/>
    <w:rsid w:val="00786049"/>
    <w:rsid w:val="00787DE9"/>
    <w:rsid w:val="007906C9"/>
    <w:rsid w:val="007910E2"/>
    <w:rsid w:val="00792473"/>
    <w:rsid w:val="00794680"/>
    <w:rsid w:val="007948A5"/>
    <w:rsid w:val="007A0A70"/>
    <w:rsid w:val="007A0AB2"/>
    <w:rsid w:val="007A2C14"/>
    <w:rsid w:val="007A3632"/>
    <w:rsid w:val="007A3A27"/>
    <w:rsid w:val="007A3F89"/>
    <w:rsid w:val="007A555F"/>
    <w:rsid w:val="007B43C2"/>
    <w:rsid w:val="007B5F56"/>
    <w:rsid w:val="007C3CF1"/>
    <w:rsid w:val="007C4360"/>
    <w:rsid w:val="007C440B"/>
    <w:rsid w:val="007C6940"/>
    <w:rsid w:val="007D1B1B"/>
    <w:rsid w:val="007D2D02"/>
    <w:rsid w:val="007F3EEF"/>
    <w:rsid w:val="007F502D"/>
    <w:rsid w:val="00802D9F"/>
    <w:rsid w:val="00803C58"/>
    <w:rsid w:val="00813F08"/>
    <w:rsid w:val="0081492C"/>
    <w:rsid w:val="0082193C"/>
    <w:rsid w:val="008220CA"/>
    <w:rsid w:val="00823C2D"/>
    <w:rsid w:val="0083361B"/>
    <w:rsid w:val="00834F12"/>
    <w:rsid w:val="008350BB"/>
    <w:rsid w:val="00837D83"/>
    <w:rsid w:val="008427BB"/>
    <w:rsid w:val="0084459C"/>
    <w:rsid w:val="00844896"/>
    <w:rsid w:val="008451D7"/>
    <w:rsid w:val="008466DF"/>
    <w:rsid w:val="00850425"/>
    <w:rsid w:val="00850FFD"/>
    <w:rsid w:val="00852CF5"/>
    <w:rsid w:val="00855EED"/>
    <w:rsid w:val="008563DF"/>
    <w:rsid w:val="00862E05"/>
    <w:rsid w:val="00863238"/>
    <w:rsid w:val="0086696A"/>
    <w:rsid w:val="008738BF"/>
    <w:rsid w:val="0087466D"/>
    <w:rsid w:val="008777CC"/>
    <w:rsid w:val="00880B8F"/>
    <w:rsid w:val="00882FD5"/>
    <w:rsid w:val="00886BD3"/>
    <w:rsid w:val="0088721E"/>
    <w:rsid w:val="00887A24"/>
    <w:rsid w:val="0089180A"/>
    <w:rsid w:val="00895FB8"/>
    <w:rsid w:val="00896286"/>
    <w:rsid w:val="008977D6"/>
    <w:rsid w:val="008A1848"/>
    <w:rsid w:val="008A2402"/>
    <w:rsid w:val="008A29E2"/>
    <w:rsid w:val="008A2BFB"/>
    <w:rsid w:val="008B25BA"/>
    <w:rsid w:val="008B29D7"/>
    <w:rsid w:val="008B4F68"/>
    <w:rsid w:val="008B5731"/>
    <w:rsid w:val="008B57BB"/>
    <w:rsid w:val="008B7E69"/>
    <w:rsid w:val="008C0B9D"/>
    <w:rsid w:val="008C0C9A"/>
    <w:rsid w:val="008C0D6A"/>
    <w:rsid w:val="008C140C"/>
    <w:rsid w:val="008C1D01"/>
    <w:rsid w:val="008C6D20"/>
    <w:rsid w:val="008C75DC"/>
    <w:rsid w:val="008C77DA"/>
    <w:rsid w:val="008D00FA"/>
    <w:rsid w:val="008D0C6A"/>
    <w:rsid w:val="008D0EC7"/>
    <w:rsid w:val="008D1D82"/>
    <w:rsid w:val="008D21DC"/>
    <w:rsid w:val="008D3EEE"/>
    <w:rsid w:val="008D5B3E"/>
    <w:rsid w:val="008E03A9"/>
    <w:rsid w:val="008E20F9"/>
    <w:rsid w:val="008E2508"/>
    <w:rsid w:val="008E25E6"/>
    <w:rsid w:val="008E2CAC"/>
    <w:rsid w:val="008E48EF"/>
    <w:rsid w:val="008E50C4"/>
    <w:rsid w:val="008E7FB4"/>
    <w:rsid w:val="008F02AD"/>
    <w:rsid w:val="008F08D7"/>
    <w:rsid w:val="008F1837"/>
    <w:rsid w:val="008F2A76"/>
    <w:rsid w:val="008F4392"/>
    <w:rsid w:val="008F59DA"/>
    <w:rsid w:val="008F6299"/>
    <w:rsid w:val="00900B32"/>
    <w:rsid w:val="00901417"/>
    <w:rsid w:val="009017A7"/>
    <w:rsid w:val="00905D69"/>
    <w:rsid w:val="00906447"/>
    <w:rsid w:val="009065CF"/>
    <w:rsid w:val="00907A9D"/>
    <w:rsid w:val="00907D2E"/>
    <w:rsid w:val="00911521"/>
    <w:rsid w:val="009118A1"/>
    <w:rsid w:val="00916286"/>
    <w:rsid w:val="00917066"/>
    <w:rsid w:val="0092112D"/>
    <w:rsid w:val="00921698"/>
    <w:rsid w:val="00925397"/>
    <w:rsid w:val="009259DC"/>
    <w:rsid w:val="00925E96"/>
    <w:rsid w:val="00941397"/>
    <w:rsid w:val="00945827"/>
    <w:rsid w:val="00946C1E"/>
    <w:rsid w:val="00950EB6"/>
    <w:rsid w:val="00952C85"/>
    <w:rsid w:val="009549EB"/>
    <w:rsid w:val="00961F30"/>
    <w:rsid w:val="00964A2A"/>
    <w:rsid w:val="00967F30"/>
    <w:rsid w:val="00972DBD"/>
    <w:rsid w:val="00973D1B"/>
    <w:rsid w:val="0097532B"/>
    <w:rsid w:val="00975E66"/>
    <w:rsid w:val="009805CD"/>
    <w:rsid w:val="0098237F"/>
    <w:rsid w:val="00983AF9"/>
    <w:rsid w:val="00985542"/>
    <w:rsid w:val="009905A6"/>
    <w:rsid w:val="00991034"/>
    <w:rsid w:val="009926E6"/>
    <w:rsid w:val="00994817"/>
    <w:rsid w:val="00997C5B"/>
    <w:rsid w:val="009A01C3"/>
    <w:rsid w:val="009A11CC"/>
    <w:rsid w:val="009A164A"/>
    <w:rsid w:val="009A3EA4"/>
    <w:rsid w:val="009A544F"/>
    <w:rsid w:val="009B009F"/>
    <w:rsid w:val="009B240A"/>
    <w:rsid w:val="009B53D9"/>
    <w:rsid w:val="009C128D"/>
    <w:rsid w:val="009C2D1C"/>
    <w:rsid w:val="009C34EE"/>
    <w:rsid w:val="009C38A4"/>
    <w:rsid w:val="009C3FA1"/>
    <w:rsid w:val="009C5F3F"/>
    <w:rsid w:val="009C6844"/>
    <w:rsid w:val="009C6950"/>
    <w:rsid w:val="009C7FD5"/>
    <w:rsid w:val="009D5AD5"/>
    <w:rsid w:val="009D5D0D"/>
    <w:rsid w:val="009D6305"/>
    <w:rsid w:val="009D6A50"/>
    <w:rsid w:val="009D6AE4"/>
    <w:rsid w:val="009E1F8E"/>
    <w:rsid w:val="009E3109"/>
    <w:rsid w:val="009E4B6F"/>
    <w:rsid w:val="009E7045"/>
    <w:rsid w:val="009E70EB"/>
    <w:rsid w:val="009E7375"/>
    <w:rsid w:val="009E7508"/>
    <w:rsid w:val="009F0FF9"/>
    <w:rsid w:val="009F126C"/>
    <w:rsid w:val="009F1F46"/>
    <w:rsid w:val="009F2901"/>
    <w:rsid w:val="009F2C22"/>
    <w:rsid w:val="009F436E"/>
    <w:rsid w:val="009F4BA7"/>
    <w:rsid w:val="009F743C"/>
    <w:rsid w:val="009F7BA3"/>
    <w:rsid w:val="00A041D6"/>
    <w:rsid w:val="00A04DBF"/>
    <w:rsid w:val="00A056C3"/>
    <w:rsid w:val="00A06F10"/>
    <w:rsid w:val="00A07BAE"/>
    <w:rsid w:val="00A12B84"/>
    <w:rsid w:val="00A136FE"/>
    <w:rsid w:val="00A149DE"/>
    <w:rsid w:val="00A152FB"/>
    <w:rsid w:val="00A167F7"/>
    <w:rsid w:val="00A17037"/>
    <w:rsid w:val="00A177F5"/>
    <w:rsid w:val="00A17951"/>
    <w:rsid w:val="00A22DEB"/>
    <w:rsid w:val="00A242D0"/>
    <w:rsid w:val="00A26052"/>
    <w:rsid w:val="00A27A48"/>
    <w:rsid w:val="00A302FB"/>
    <w:rsid w:val="00A33939"/>
    <w:rsid w:val="00A344A3"/>
    <w:rsid w:val="00A44F62"/>
    <w:rsid w:val="00A47299"/>
    <w:rsid w:val="00A511D9"/>
    <w:rsid w:val="00A51C2B"/>
    <w:rsid w:val="00A55D02"/>
    <w:rsid w:val="00A57678"/>
    <w:rsid w:val="00A57B06"/>
    <w:rsid w:val="00A630AC"/>
    <w:rsid w:val="00A64848"/>
    <w:rsid w:val="00A66C03"/>
    <w:rsid w:val="00A71500"/>
    <w:rsid w:val="00A743C3"/>
    <w:rsid w:val="00A76B1C"/>
    <w:rsid w:val="00A76EE5"/>
    <w:rsid w:val="00A8003C"/>
    <w:rsid w:val="00A80225"/>
    <w:rsid w:val="00A826D0"/>
    <w:rsid w:val="00A827DA"/>
    <w:rsid w:val="00A8346F"/>
    <w:rsid w:val="00A83971"/>
    <w:rsid w:val="00A83DEE"/>
    <w:rsid w:val="00A86241"/>
    <w:rsid w:val="00A863A0"/>
    <w:rsid w:val="00A87E63"/>
    <w:rsid w:val="00A92C62"/>
    <w:rsid w:val="00A97FD7"/>
    <w:rsid w:val="00AA11DD"/>
    <w:rsid w:val="00AA1689"/>
    <w:rsid w:val="00AA274B"/>
    <w:rsid w:val="00AA4978"/>
    <w:rsid w:val="00AA57D7"/>
    <w:rsid w:val="00AA6E14"/>
    <w:rsid w:val="00AA7EF3"/>
    <w:rsid w:val="00AB1749"/>
    <w:rsid w:val="00AB341B"/>
    <w:rsid w:val="00AB3568"/>
    <w:rsid w:val="00AB3CE4"/>
    <w:rsid w:val="00AB4A63"/>
    <w:rsid w:val="00AB5427"/>
    <w:rsid w:val="00AB6F87"/>
    <w:rsid w:val="00AC0240"/>
    <w:rsid w:val="00AC17F9"/>
    <w:rsid w:val="00AC1A24"/>
    <w:rsid w:val="00AC2C68"/>
    <w:rsid w:val="00AC3765"/>
    <w:rsid w:val="00AC5D08"/>
    <w:rsid w:val="00AC64F3"/>
    <w:rsid w:val="00AC7403"/>
    <w:rsid w:val="00AD53FB"/>
    <w:rsid w:val="00AD5615"/>
    <w:rsid w:val="00AD768A"/>
    <w:rsid w:val="00AE11CF"/>
    <w:rsid w:val="00AE1E59"/>
    <w:rsid w:val="00AE2A19"/>
    <w:rsid w:val="00AE55AA"/>
    <w:rsid w:val="00AE5718"/>
    <w:rsid w:val="00AE5851"/>
    <w:rsid w:val="00AE6910"/>
    <w:rsid w:val="00AE7540"/>
    <w:rsid w:val="00AF09E2"/>
    <w:rsid w:val="00AF1FB9"/>
    <w:rsid w:val="00AF1FF4"/>
    <w:rsid w:val="00AF2C56"/>
    <w:rsid w:val="00AF7BAD"/>
    <w:rsid w:val="00B058DD"/>
    <w:rsid w:val="00B059AE"/>
    <w:rsid w:val="00B0646E"/>
    <w:rsid w:val="00B15761"/>
    <w:rsid w:val="00B177B3"/>
    <w:rsid w:val="00B20B85"/>
    <w:rsid w:val="00B26481"/>
    <w:rsid w:val="00B27953"/>
    <w:rsid w:val="00B32FEF"/>
    <w:rsid w:val="00B3433A"/>
    <w:rsid w:val="00B36601"/>
    <w:rsid w:val="00B37617"/>
    <w:rsid w:val="00B4078C"/>
    <w:rsid w:val="00B40D7B"/>
    <w:rsid w:val="00B43AE3"/>
    <w:rsid w:val="00B462E2"/>
    <w:rsid w:val="00B46762"/>
    <w:rsid w:val="00B46D10"/>
    <w:rsid w:val="00B51BB8"/>
    <w:rsid w:val="00B541B7"/>
    <w:rsid w:val="00B55754"/>
    <w:rsid w:val="00B574CA"/>
    <w:rsid w:val="00B61127"/>
    <w:rsid w:val="00B61E46"/>
    <w:rsid w:val="00B6426B"/>
    <w:rsid w:val="00B665A7"/>
    <w:rsid w:val="00B66721"/>
    <w:rsid w:val="00B709E2"/>
    <w:rsid w:val="00B75BAE"/>
    <w:rsid w:val="00B76181"/>
    <w:rsid w:val="00B77E7B"/>
    <w:rsid w:val="00B77FD6"/>
    <w:rsid w:val="00B81362"/>
    <w:rsid w:val="00B873B4"/>
    <w:rsid w:val="00B9241E"/>
    <w:rsid w:val="00B92517"/>
    <w:rsid w:val="00B94100"/>
    <w:rsid w:val="00B9555F"/>
    <w:rsid w:val="00BA0F05"/>
    <w:rsid w:val="00BA3F57"/>
    <w:rsid w:val="00BA428E"/>
    <w:rsid w:val="00BA4629"/>
    <w:rsid w:val="00BA5CCE"/>
    <w:rsid w:val="00BB1B90"/>
    <w:rsid w:val="00BB2B93"/>
    <w:rsid w:val="00BB3A7E"/>
    <w:rsid w:val="00BB6FDC"/>
    <w:rsid w:val="00BC1775"/>
    <w:rsid w:val="00BC5477"/>
    <w:rsid w:val="00BD199B"/>
    <w:rsid w:val="00BD207A"/>
    <w:rsid w:val="00BD22BE"/>
    <w:rsid w:val="00BD2BDC"/>
    <w:rsid w:val="00BD3417"/>
    <w:rsid w:val="00BD3DF6"/>
    <w:rsid w:val="00BD41B4"/>
    <w:rsid w:val="00BE066B"/>
    <w:rsid w:val="00BE38E8"/>
    <w:rsid w:val="00BE45A3"/>
    <w:rsid w:val="00BF1D00"/>
    <w:rsid w:val="00BF3465"/>
    <w:rsid w:val="00BF3D46"/>
    <w:rsid w:val="00C02041"/>
    <w:rsid w:val="00C020A5"/>
    <w:rsid w:val="00C02D60"/>
    <w:rsid w:val="00C10483"/>
    <w:rsid w:val="00C1095A"/>
    <w:rsid w:val="00C13A1B"/>
    <w:rsid w:val="00C17A1C"/>
    <w:rsid w:val="00C22058"/>
    <w:rsid w:val="00C229C1"/>
    <w:rsid w:val="00C27F07"/>
    <w:rsid w:val="00C30641"/>
    <w:rsid w:val="00C325C9"/>
    <w:rsid w:val="00C3287C"/>
    <w:rsid w:val="00C3493E"/>
    <w:rsid w:val="00C36024"/>
    <w:rsid w:val="00C36B8B"/>
    <w:rsid w:val="00C42BE9"/>
    <w:rsid w:val="00C47453"/>
    <w:rsid w:val="00C47B23"/>
    <w:rsid w:val="00C47C69"/>
    <w:rsid w:val="00C47C73"/>
    <w:rsid w:val="00C50E3B"/>
    <w:rsid w:val="00C544B7"/>
    <w:rsid w:val="00C653B1"/>
    <w:rsid w:val="00C7010F"/>
    <w:rsid w:val="00C71904"/>
    <w:rsid w:val="00C71D72"/>
    <w:rsid w:val="00C72AEE"/>
    <w:rsid w:val="00C72EE4"/>
    <w:rsid w:val="00C73BB1"/>
    <w:rsid w:val="00C84147"/>
    <w:rsid w:val="00C90EE6"/>
    <w:rsid w:val="00C93377"/>
    <w:rsid w:val="00C943C0"/>
    <w:rsid w:val="00C95974"/>
    <w:rsid w:val="00C96C8F"/>
    <w:rsid w:val="00C971A1"/>
    <w:rsid w:val="00CA3365"/>
    <w:rsid w:val="00CA415C"/>
    <w:rsid w:val="00CA7271"/>
    <w:rsid w:val="00CA7D49"/>
    <w:rsid w:val="00CB1C84"/>
    <w:rsid w:val="00CB2652"/>
    <w:rsid w:val="00CB2942"/>
    <w:rsid w:val="00CB42C6"/>
    <w:rsid w:val="00CB6ED2"/>
    <w:rsid w:val="00CB795A"/>
    <w:rsid w:val="00CB7D20"/>
    <w:rsid w:val="00CC20DE"/>
    <w:rsid w:val="00CC24B2"/>
    <w:rsid w:val="00CD1E89"/>
    <w:rsid w:val="00CD38AC"/>
    <w:rsid w:val="00CD4B63"/>
    <w:rsid w:val="00CD5EC5"/>
    <w:rsid w:val="00CD7BEE"/>
    <w:rsid w:val="00CE008B"/>
    <w:rsid w:val="00CE28B7"/>
    <w:rsid w:val="00CE49D7"/>
    <w:rsid w:val="00CE5503"/>
    <w:rsid w:val="00CE5A8B"/>
    <w:rsid w:val="00CE75C8"/>
    <w:rsid w:val="00CF01D6"/>
    <w:rsid w:val="00CF0267"/>
    <w:rsid w:val="00CF2E27"/>
    <w:rsid w:val="00CF76A5"/>
    <w:rsid w:val="00D01DE2"/>
    <w:rsid w:val="00D039F6"/>
    <w:rsid w:val="00D0596E"/>
    <w:rsid w:val="00D06397"/>
    <w:rsid w:val="00D066A0"/>
    <w:rsid w:val="00D12C2E"/>
    <w:rsid w:val="00D14E64"/>
    <w:rsid w:val="00D220D7"/>
    <w:rsid w:val="00D22A5C"/>
    <w:rsid w:val="00D23B82"/>
    <w:rsid w:val="00D2517D"/>
    <w:rsid w:val="00D27F1D"/>
    <w:rsid w:val="00D30067"/>
    <w:rsid w:val="00D306D8"/>
    <w:rsid w:val="00D306FD"/>
    <w:rsid w:val="00D34286"/>
    <w:rsid w:val="00D3725A"/>
    <w:rsid w:val="00D372FF"/>
    <w:rsid w:val="00D37581"/>
    <w:rsid w:val="00D4026D"/>
    <w:rsid w:val="00D40C50"/>
    <w:rsid w:val="00D418DC"/>
    <w:rsid w:val="00D41FA4"/>
    <w:rsid w:val="00D42297"/>
    <w:rsid w:val="00D423A1"/>
    <w:rsid w:val="00D43F6D"/>
    <w:rsid w:val="00D44E07"/>
    <w:rsid w:val="00D46CD7"/>
    <w:rsid w:val="00D51568"/>
    <w:rsid w:val="00D53898"/>
    <w:rsid w:val="00D5625D"/>
    <w:rsid w:val="00D6112C"/>
    <w:rsid w:val="00D61CFC"/>
    <w:rsid w:val="00D61DD0"/>
    <w:rsid w:val="00D63AF1"/>
    <w:rsid w:val="00D640C2"/>
    <w:rsid w:val="00D6430C"/>
    <w:rsid w:val="00D64E46"/>
    <w:rsid w:val="00D65919"/>
    <w:rsid w:val="00D65E09"/>
    <w:rsid w:val="00D662AB"/>
    <w:rsid w:val="00D722A1"/>
    <w:rsid w:val="00D74B4E"/>
    <w:rsid w:val="00D75B91"/>
    <w:rsid w:val="00D75D07"/>
    <w:rsid w:val="00D77E12"/>
    <w:rsid w:val="00D82542"/>
    <w:rsid w:val="00D857BD"/>
    <w:rsid w:val="00D86049"/>
    <w:rsid w:val="00D87F90"/>
    <w:rsid w:val="00D908DE"/>
    <w:rsid w:val="00D9104A"/>
    <w:rsid w:val="00D91C2C"/>
    <w:rsid w:val="00D927BD"/>
    <w:rsid w:val="00D92B14"/>
    <w:rsid w:val="00D954DA"/>
    <w:rsid w:val="00DA2695"/>
    <w:rsid w:val="00DA3B58"/>
    <w:rsid w:val="00DA570D"/>
    <w:rsid w:val="00DB06BA"/>
    <w:rsid w:val="00DB5074"/>
    <w:rsid w:val="00DC16C8"/>
    <w:rsid w:val="00DC30BC"/>
    <w:rsid w:val="00DC3E4E"/>
    <w:rsid w:val="00DC5569"/>
    <w:rsid w:val="00DC5EDD"/>
    <w:rsid w:val="00DD4B34"/>
    <w:rsid w:val="00DD60E5"/>
    <w:rsid w:val="00DE0663"/>
    <w:rsid w:val="00DE0720"/>
    <w:rsid w:val="00DE11A3"/>
    <w:rsid w:val="00DE467B"/>
    <w:rsid w:val="00DE4A85"/>
    <w:rsid w:val="00DE6C46"/>
    <w:rsid w:val="00DE7210"/>
    <w:rsid w:val="00DE726F"/>
    <w:rsid w:val="00DF0214"/>
    <w:rsid w:val="00DF2B92"/>
    <w:rsid w:val="00DF55FE"/>
    <w:rsid w:val="00E030E1"/>
    <w:rsid w:val="00E06734"/>
    <w:rsid w:val="00E12E92"/>
    <w:rsid w:val="00E135EA"/>
    <w:rsid w:val="00E206DA"/>
    <w:rsid w:val="00E20A0E"/>
    <w:rsid w:val="00E22B0F"/>
    <w:rsid w:val="00E22DFB"/>
    <w:rsid w:val="00E25088"/>
    <w:rsid w:val="00E25C08"/>
    <w:rsid w:val="00E26566"/>
    <w:rsid w:val="00E31F16"/>
    <w:rsid w:val="00E360A2"/>
    <w:rsid w:val="00E365CB"/>
    <w:rsid w:val="00E366EF"/>
    <w:rsid w:val="00E37EA9"/>
    <w:rsid w:val="00E37F50"/>
    <w:rsid w:val="00E416D0"/>
    <w:rsid w:val="00E43309"/>
    <w:rsid w:val="00E51A8A"/>
    <w:rsid w:val="00E52DF7"/>
    <w:rsid w:val="00E53691"/>
    <w:rsid w:val="00E56273"/>
    <w:rsid w:val="00E57AD5"/>
    <w:rsid w:val="00E63F8C"/>
    <w:rsid w:val="00E65C02"/>
    <w:rsid w:val="00E705B0"/>
    <w:rsid w:val="00E71B9D"/>
    <w:rsid w:val="00E7412A"/>
    <w:rsid w:val="00E741AC"/>
    <w:rsid w:val="00E7442B"/>
    <w:rsid w:val="00E74851"/>
    <w:rsid w:val="00E80936"/>
    <w:rsid w:val="00E82D2B"/>
    <w:rsid w:val="00E86001"/>
    <w:rsid w:val="00E91613"/>
    <w:rsid w:val="00E92C93"/>
    <w:rsid w:val="00E95A91"/>
    <w:rsid w:val="00E97756"/>
    <w:rsid w:val="00EA0AF4"/>
    <w:rsid w:val="00EA13EB"/>
    <w:rsid w:val="00EA1F89"/>
    <w:rsid w:val="00EA44BB"/>
    <w:rsid w:val="00EA6A2D"/>
    <w:rsid w:val="00EA6B9D"/>
    <w:rsid w:val="00EA74E7"/>
    <w:rsid w:val="00EB0538"/>
    <w:rsid w:val="00EB2A85"/>
    <w:rsid w:val="00EB4B26"/>
    <w:rsid w:val="00EB6BAE"/>
    <w:rsid w:val="00EC30F8"/>
    <w:rsid w:val="00ED0E97"/>
    <w:rsid w:val="00ED5E25"/>
    <w:rsid w:val="00EE0FDC"/>
    <w:rsid w:val="00EE1A13"/>
    <w:rsid w:val="00EE1BEF"/>
    <w:rsid w:val="00EE2CD7"/>
    <w:rsid w:val="00EE2CDF"/>
    <w:rsid w:val="00EE5A06"/>
    <w:rsid w:val="00EE73F5"/>
    <w:rsid w:val="00EE7B2B"/>
    <w:rsid w:val="00EF31EC"/>
    <w:rsid w:val="00EF35F1"/>
    <w:rsid w:val="00EF5703"/>
    <w:rsid w:val="00EF5E9D"/>
    <w:rsid w:val="00F03C4F"/>
    <w:rsid w:val="00F06A3B"/>
    <w:rsid w:val="00F074A5"/>
    <w:rsid w:val="00F1038C"/>
    <w:rsid w:val="00F10A28"/>
    <w:rsid w:val="00F112FA"/>
    <w:rsid w:val="00F11EEA"/>
    <w:rsid w:val="00F1218D"/>
    <w:rsid w:val="00F168B5"/>
    <w:rsid w:val="00F20F53"/>
    <w:rsid w:val="00F21D1B"/>
    <w:rsid w:val="00F2310B"/>
    <w:rsid w:val="00F23499"/>
    <w:rsid w:val="00F23A65"/>
    <w:rsid w:val="00F23C7C"/>
    <w:rsid w:val="00F25A19"/>
    <w:rsid w:val="00F25D8D"/>
    <w:rsid w:val="00F30F38"/>
    <w:rsid w:val="00F34163"/>
    <w:rsid w:val="00F34230"/>
    <w:rsid w:val="00F36D67"/>
    <w:rsid w:val="00F40FE0"/>
    <w:rsid w:val="00F430C6"/>
    <w:rsid w:val="00F43922"/>
    <w:rsid w:val="00F43B5F"/>
    <w:rsid w:val="00F443DA"/>
    <w:rsid w:val="00F4734A"/>
    <w:rsid w:val="00F50062"/>
    <w:rsid w:val="00F50577"/>
    <w:rsid w:val="00F50CA6"/>
    <w:rsid w:val="00F5109C"/>
    <w:rsid w:val="00F52766"/>
    <w:rsid w:val="00F56D7A"/>
    <w:rsid w:val="00F63BAF"/>
    <w:rsid w:val="00F64BF7"/>
    <w:rsid w:val="00F65529"/>
    <w:rsid w:val="00F7391B"/>
    <w:rsid w:val="00F739CC"/>
    <w:rsid w:val="00F7570C"/>
    <w:rsid w:val="00F81C37"/>
    <w:rsid w:val="00F835DE"/>
    <w:rsid w:val="00F86DDC"/>
    <w:rsid w:val="00F91F3A"/>
    <w:rsid w:val="00F922EC"/>
    <w:rsid w:val="00F93E19"/>
    <w:rsid w:val="00F94EDB"/>
    <w:rsid w:val="00F95DEC"/>
    <w:rsid w:val="00F97D0D"/>
    <w:rsid w:val="00FA0C28"/>
    <w:rsid w:val="00FA29A1"/>
    <w:rsid w:val="00FA2E41"/>
    <w:rsid w:val="00FA5B32"/>
    <w:rsid w:val="00FA7D40"/>
    <w:rsid w:val="00FB0012"/>
    <w:rsid w:val="00FB22EF"/>
    <w:rsid w:val="00FB2A43"/>
    <w:rsid w:val="00FB4710"/>
    <w:rsid w:val="00FB5DC9"/>
    <w:rsid w:val="00FB7887"/>
    <w:rsid w:val="00FC1529"/>
    <w:rsid w:val="00FC1BCE"/>
    <w:rsid w:val="00FC29FE"/>
    <w:rsid w:val="00FC3269"/>
    <w:rsid w:val="00FC418F"/>
    <w:rsid w:val="00FD2413"/>
    <w:rsid w:val="00FD2B11"/>
    <w:rsid w:val="00FD35F6"/>
    <w:rsid w:val="00FD39C8"/>
    <w:rsid w:val="00FD615C"/>
    <w:rsid w:val="00FE0FE4"/>
    <w:rsid w:val="00FE15CA"/>
    <w:rsid w:val="00FE17A9"/>
    <w:rsid w:val="00FE47EB"/>
    <w:rsid w:val="00FF2245"/>
    <w:rsid w:val="00FF47FC"/>
    <w:rsid w:val="00FF5D7B"/>
    <w:rsid w:val="00FF6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F61449"/>
  <w15:chartTrackingRefBased/>
  <w15:docId w15:val="{EDE3A490-6898-4AD6-A7D8-F7A3C9B46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0B9D"/>
    <w:pPr>
      <w:spacing w:before="120" w:after="0" w:line="276"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75BB7"/>
    <w:pPr>
      <w:keepNext/>
      <w:keepLines/>
      <w:numPr>
        <w:numId w:val="5"/>
      </w:numPr>
      <w:spacing w:before="240" w:after="120"/>
      <w:ind w:left="288" w:hanging="288"/>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675BB7"/>
    <w:pPr>
      <w:numPr>
        <w:ilvl w:val="1"/>
        <w:numId w:val="5"/>
      </w:numPr>
      <w:spacing w:after="120"/>
      <w:ind w:left="288" w:hanging="288"/>
      <w:jc w:val="both"/>
      <w:outlineLvl w:val="1"/>
    </w:pPr>
    <w:rPr>
      <w:b/>
      <w:color w:val="000000" w:themeColor="text1"/>
    </w:rPr>
  </w:style>
  <w:style w:type="paragraph" w:styleId="Heading3">
    <w:name w:val="heading 3"/>
    <w:basedOn w:val="Normal"/>
    <w:next w:val="Normal"/>
    <w:link w:val="Heading3Char"/>
    <w:uiPriority w:val="9"/>
    <w:unhideWhenUsed/>
    <w:qFormat/>
    <w:rsid w:val="00062DB5"/>
    <w:pPr>
      <w:keepNext/>
      <w:keepLines/>
      <w:numPr>
        <w:ilvl w:val="2"/>
        <w:numId w:val="5"/>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062DB5"/>
    <w:pPr>
      <w:keepNext/>
      <w:keepLines/>
      <w:numPr>
        <w:ilvl w:val="3"/>
        <w:numId w:val="5"/>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62DB5"/>
    <w:pPr>
      <w:keepNext/>
      <w:keepLines/>
      <w:numPr>
        <w:ilvl w:val="4"/>
        <w:numId w:val="5"/>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62DB5"/>
    <w:pPr>
      <w:keepNext/>
      <w:keepLines/>
      <w:numPr>
        <w:ilvl w:val="5"/>
        <w:numId w:val="5"/>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62DB5"/>
    <w:pPr>
      <w:keepNext/>
      <w:keepLines/>
      <w:numPr>
        <w:ilvl w:val="6"/>
        <w:numId w:val="5"/>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62DB5"/>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62DB5"/>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BB7"/>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675BB7"/>
    <w:rPr>
      <w:rFonts w:ascii="Times New Roman" w:eastAsia="Times New Roman" w:hAnsi="Times New Roman" w:cs="Times New Roman"/>
      <w:b/>
      <w:color w:val="000000" w:themeColor="text1"/>
      <w:sz w:val="24"/>
      <w:szCs w:val="24"/>
    </w:rPr>
  </w:style>
  <w:style w:type="character" w:customStyle="1" w:styleId="Heading3Char">
    <w:name w:val="Heading 3 Char"/>
    <w:basedOn w:val="DefaultParagraphFont"/>
    <w:link w:val="Heading3"/>
    <w:uiPriority w:val="9"/>
    <w:rsid w:val="00062DB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62DB5"/>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062DB5"/>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062DB5"/>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062DB5"/>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062DB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62DB5"/>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834F12"/>
    <w:pPr>
      <w:ind w:left="720"/>
      <w:contextualSpacing/>
    </w:pPr>
  </w:style>
  <w:style w:type="paragraph" w:styleId="FootnoteText">
    <w:name w:val="footnote text"/>
    <w:basedOn w:val="Normal"/>
    <w:link w:val="FootnoteTextChar"/>
    <w:uiPriority w:val="99"/>
    <w:unhideWhenUsed/>
    <w:rsid w:val="00834F12"/>
    <w:pPr>
      <w:widowControl w:val="0"/>
      <w:snapToGrid w:val="0"/>
    </w:pPr>
    <w:rPr>
      <w:rFonts w:eastAsiaTheme="minorEastAsia" w:cstheme="minorBidi"/>
      <w:kern w:val="2"/>
      <w:sz w:val="18"/>
      <w:szCs w:val="18"/>
      <w:lang w:eastAsia="zh-CN"/>
    </w:rPr>
  </w:style>
  <w:style w:type="character" w:customStyle="1" w:styleId="FootnoteTextChar">
    <w:name w:val="Footnote Text Char"/>
    <w:basedOn w:val="DefaultParagraphFont"/>
    <w:link w:val="FootnoteText"/>
    <w:uiPriority w:val="99"/>
    <w:qFormat/>
    <w:rsid w:val="00834F12"/>
    <w:rPr>
      <w:rFonts w:ascii="Times New Roman" w:eastAsiaTheme="minorEastAsia" w:hAnsi="Times New Roman"/>
      <w:kern w:val="2"/>
      <w:sz w:val="18"/>
      <w:szCs w:val="18"/>
      <w:lang w:eastAsia="zh-CN"/>
    </w:rPr>
  </w:style>
  <w:style w:type="character" w:styleId="FootnoteReference">
    <w:name w:val="footnote reference"/>
    <w:basedOn w:val="DefaultParagraphFont"/>
    <w:uiPriority w:val="99"/>
    <w:semiHidden/>
    <w:unhideWhenUsed/>
    <w:rsid w:val="00834F12"/>
    <w:rPr>
      <w:vertAlign w:val="superscript"/>
    </w:rPr>
  </w:style>
  <w:style w:type="character" w:styleId="Hyperlink">
    <w:name w:val="Hyperlink"/>
    <w:basedOn w:val="DefaultParagraphFont"/>
    <w:uiPriority w:val="99"/>
    <w:unhideWhenUsed/>
    <w:rsid w:val="00062DB5"/>
    <w:rPr>
      <w:color w:val="0563C1" w:themeColor="hyperlink"/>
      <w:u w:val="single"/>
    </w:rPr>
  </w:style>
  <w:style w:type="character" w:customStyle="1" w:styleId="DefaultChar">
    <w:name w:val="Default Char"/>
    <w:basedOn w:val="DefaultParagraphFont"/>
    <w:link w:val="Default"/>
    <w:locked/>
    <w:rsid w:val="00281B18"/>
    <w:rPr>
      <w:rFonts w:eastAsia="Times New Roman"/>
      <w:color w:val="000000"/>
      <w:sz w:val="24"/>
      <w:szCs w:val="24"/>
    </w:rPr>
  </w:style>
  <w:style w:type="paragraph" w:customStyle="1" w:styleId="Default">
    <w:name w:val="Default"/>
    <w:link w:val="DefaultChar"/>
    <w:rsid w:val="00281B18"/>
    <w:pPr>
      <w:autoSpaceDE w:val="0"/>
      <w:autoSpaceDN w:val="0"/>
      <w:adjustRightInd w:val="0"/>
      <w:spacing w:after="0" w:line="240" w:lineRule="auto"/>
    </w:pPr>
    <w:rPr>
      <w:rFonts w:eastAsia="Times New Roman"/>
      <w:color w:val="000000"/>
      <w:sz w:val="24"/>
      <w:szCs w:val="24"/>
    </w:rPr>
  </w:style>
  <w:style w:type="character" w:customStyle="1" w:styleId="BalloonTextChar">
    <w:name w:val="Balloon Text Char"/>
    <w:basedOn w:val="DefaultParagraphFont"/>
    <w:link w:val="BalloonText"/>
    <w:uiPriority w:val="99"/>
    <w:semiHidden/>
    <w:rsid w:val="003319F0"/>
    <w:rPr>
      <w:rFonts w:ascii="Segoe UI" w:eastAsiaTheme="minorEastAsia" w:hAnsi="Segoe UI" w:cs="Segoe UI"/>
      <w:sz w:val="18"/>
      <w:szCs w:val="18"/>
    </w:rPr>
  </w:style>
  <w:style w:type="paragraph" w:styleId="BalloonText">
    <w:name w:val="Balloon Text"/>
    <w:basedOn w:val="Normal"/>
    <w:link w:val="BalloonTextChar"/>
    <w:uiPriority w:val="99"/>
    <w:semiHidden/>
    <w:unhideWhenUsed/>
    <w:rsid w:val="003319F0"/>
    <w:rPr>
      <w:rFonts w:ascii="Segoe UI" w:eastAsiaTheme="minorEastAsia" w:hAnsi="Segoe UI" w:cs="Segoe UI"/>
      <w:sz w:val="18"/>
      <w:szCs w:val="18"/>
    </w:rPr>
  </w:style>
  <w:style w:type="paragraph" w:styleId="Header">
    <w:name w:val="header"/>
    <w:basedOn w:val="Normal"/>
    <w:link w:val="HeaderChar"/>
    <w:uiPriority w:val="99"/>
    <w:unhideWhenUsed/>
    <w:rsid w:val="003319F0"/>
    <w:pPr>
      <w:tabs>
        <w:tab w:val="center" w:pos="4680"/>
        <w:tab w:val="right" w:pos="9360"/>
      </w:tabs>
    </w:pPr>
    <w:rPr>
      <w:rFonts w:eastAsiaTheme="minorEastAsia" w:cstheme="minorBidi"/>
      <w:szCs w:val="22"/>
    </w:rPr>
  </w:style>
  <w:style w:type="character" w:customStyle="1" w:styleId="HeaderChar">
    <w:name w:val="Header Char"/>
    <w:basedOn w:val="DefaultParagraphFont"/>
    <w:link w:val="Header"/>
    <w:uiPriority w:val="99"/>
    <w:rsid w:val="003319F0"/>
    <w:rPr>
      <w:rFonts w:ascii="Times New Roman" w:eastAsiaTheme="minorEastAsia" w:hAnsi="Times New Roman"/>
      <w:sz w:val="24"/>
    </w:rPr>
  </w:style>
  <w:style w:type="paragraph" w:styleId="Footer">
    <w:name w:val="footer"/>
    <w:basedOn w:val="Normal"/>
    <w:link w:val="FooterChar"/>
    <w:uiPriority w:val="99"/>
    <w:unhideWhenUsed/>
    <w:rsid w:val="003319F0"/>
    <w:pPr>
      <w:tabs>
        <w:tab w:val="center" w:pos="4680"/>
        <w:tab w:val="right" w:pos="9360"/>
      </w:tabs>
    </w:pPr>
    <w:rPr>
      <w:rFonts w:eastAsiaTheme="minorEastAsia" w:cstheme="minorBidi"/>
      <w:szCs w:val="22"/>
    </w:rPr>
  </w:style>
  <w:style w:type="character" w:customStyle="1" w:styleId="FooterChar">
    <w:name w:val="Footer Char"/>
    <w:basedOn w:val="DefaultParagraphFont"/>
    <w:link w:val="Footer"/>
    <w:uiPriority w:val="99"/>
    <w:rsid w:val="003319F0"/>
    <w:rPr>
      <w:rFonts w:ascii="Times New Roman" w:eastAsiaTheme="minorEastAsia" w:hAnsi="Times New Roman"/>
      <w:sz w:val="24"/>
    </w:rPr>
  </w:style>
  <w:style w:type="character" w:styleId="PlaceholderText">
    <w:name w:val="Placeholder Text"/>
    <w:basedOn w:val="DefaultParagraphFont"/>
    <w:uiPriority w:val="99"/>
    <w:semiHidden/>
    <w:rsid w:val="00A92C62"/>
    <w:rPr>
      <w:color w:val="808080"/>
    </w:rPr>
  </w:style>
  <w:style w:type="paragraph" w:styleId="Caption">
    <w:name w:val="caption"/>
    <w:basedOn w:val="Normal"/>
    <w:next w:val="Normal"/>
    <w:uiPriority w:val="35"/>
    <w:semiHidden/>
    <w:unhideWhenUsed/>
    <w:qFormat/>
    <w:rsid w:val="00247D81"/>
    <w:pPr>
      <w:spacing w:after="200"/>
    </w:pPr>
    <w:rPr>
      <w:rFonts w:asciiTheme="minorHAnsi" w:eastAsiaTheme="minorHAnsi" w:hAnsiTheme="minorHAnsi" w:cstheme="minorBidi"/>
      <w:i/>
      <w:iCs/>
      <w:color w:val="44546A" w:themeColor="text2"/>
      <w:sz w:val="18"/>
      <w:szCs w:val="18"/>
    </w:rPr>
  </w:style>
  <w:style w:type="paragraph" w:styleId="NormalWeb">
    <w:name w:val="Normal (Web)"/>
    <w:basedOn w:val="Normal"/>
    <w:uiPriority w:val="99"/>
    <w:unhideWhenUsed/>
    <w:rsid w:val="00C47B23"/>
    <w:pPr>
      <w:spacing w:before="100" w:beforeAutospacing="1" w:after="100" w:afterAutospacing="1"/>
    </w:pPr>
  </w:style>
  <w:style w:type="character" w:customStyle="1" w:styleId="FootnoteTextChar1">
    <w:name w:val="Footnote Text Char1"/>
    <w:uiPriority w:val="99"/>
    <w:locked/>
    <w:rsid w:val="00803C58"/>
    <w:rPr>
      <w:rFonts w:eastAsia="Times New Roman" w:cs="Times New Roman"/>
      <w:lang w:val="en-US" w:eastAsia="en-US" w:bidi="ar-SA"/>
    </w:rPr>
  </w:style>
  <w:style w:type="character" w:styleId="UnresolvedMention">
    <w:name w:val="Unresolved Mention"/>
    <w:basedOn w:val="DefaultParagraphFont"/>
    <w:uiPriority w:val="99"/>
    <w:semiHidden/>
    <w:unhideWhenUsed/>
    <w:rsid w:val="000B6DE7"/>
    <w:rPr>
      <w:color w:val="605E5C"/>
      <w:shd w:val="clear" w:color="auto" w:fill="E1DFDD"/>
    </w:rPr>
  </w:style>
  <w:style w:type="character" w:customStyle="1" w:styleId="Style1Char">
    <w:name w:val="Style1 Char"/>
    <w:basedOn w:val="DefaultParagraphFont"/>
    <w:link w:val="Style1"/>
    <w:locked/>
    <w:rsid w:val="000F4976"/>
    <w:rPr>
      <w:rFonts w:ascii="Times New Roman" w:eastAsiaTheme="majorEastAsia" w:hAnsi="Times New Roman" w:cs="Times New Roman"/>
      <w:b/>
      <w:bCs/>
      <w:sz w:val="24"/>
      <w:szCs w:val="24"/>
    </w:rPr>
  </w:style>
  <w:style w:type="paragraph" w:customStyle="1" w:styleId="Style1">
    <w:name w:val="Style1"/>
    <w:basedOn w:val="Heading1"/>
    <w:link w:val="Style1Char"/>
    <w:qFormat/>
    <w:rsid w:val="000F4976"/>
    <w:pPr>
      <w:numPr>
        <w:numId w:val="0"/>
      </w:numPr>
      <w:tabs>
        <w:tab w:val="left" w:pos="540"/>
      </w:tabs>
      <w:spacing w:before="0" w:after="0"/>
      <w:jc w:val="both"/>
    </w:pPr>
    <w:rPr>
      <w:rFonts w:cs="Times New Roman"/>
      <w:bCs/>
      <w:color w:val="auto"/>
      <w:szCs w:val="24"/>
    </w:rPr>
  </w:style>
  <w:style w:type="character" w:styleId="LineNumber">
    <w:name w:val="line number"/>
    <w:basedOn w:val="DefaultParagraphFont"/>
    <w:uiPriority w:val="99"/>
    <w:semiHidden/>
    <w:unhideWhenUsed/>
    <w:rsid w:val="00AE6910"/>
  </w:style>
  <w:style w:type="paragraph" w:customStyle="1" w:styleId="ProTable">
    <w:name w:val="ProTable"/>
    <w:basedOn w:val="Caption"/>
    <w:next w:val="Caption"/>
    <w:qFormat/>
    <w:rsid w:val="00316D50"/>
    <w:pPr>
      <w:widowControl w:val="0"/>
      <w:spacing w:after="0" w:line="240" w:lineRule="auto"/>
      <w:jc w:val="both"/>
    </w:pPr>
    <w:rPr>
      <w:rFonts w:ascii="Times New Roman" w:eastAsia="SimHei" w:hAnsi="Times New Roman" w:cstheme="majorBidi"/>
      <w:b/>
      <w:i w:val="0"/>
      <w:iCs w:val="0"/>
      <w:color w:val="000000" w:themeColor="text1"/>
      <w:spacing w:val="-2"/>
      <w:kern w:val="2"/>
      <w:sz w:val="24"/>
      <w:szCs w:val="20"/>
      <w:lang w:eastAsia="zh-CN"/>
    </w:rPr>
  </w:style>
  <w:style w:type="paragraph" w:customStyle="1" w:styleId="Els-appendixhead">
    <w:name w:val="Els-appendixhead"/>
    <w:next w:val="Normal"/>
    <w:rsid w:val="00F91F3A"/>
    <w:pPr>
      <w:numPr>
        <w:numId w:val="21"/>
      </w:numPr>
      <w:spacing w:before="480" w:after="240" w:line="220" w:lineRule="exact"/>
    </w:pPr>
    <w:rPr>
      <w:rFonts w:ascii="Times New Roman" w:eastAsia="SimSun" w:hAnsi="Times New Roman" w:cs="Times New Roman"/>
      <w:b/>
      <w:sz w:val="20"/>
      <w:szCs w:val="20"/>
    </w:rPr>
  </w:style>
  <w:style w:type="paragraph" w:customStyle="1" w:styleId="ProFigure">
    <w:name w:val="ProFigure"/>
    <w:basedOn w:val="Caption"/>
    <w:next w:val="Caption"/>
    <w:qFormat/>
    <w:rsid w:val="007367E7"/>
    <w:pPr>
      <w:widowControl w:val="0"/>
      <w:spacing w:before="0" w:after="120" w:line="240" w:lineRule="auto"/>
      <w:ind w:firstLine="720"/>
      <w:jc w:val="center"/>
    </w:pPr>
    <w:rPr>
      <w:rFonts w:ascii="Times New Roman" w:eastAsia="SimHei" w:hAnsi="Times New Roman" w:cstheme="majorBidi"/>
      <w:b/>
      <w:i w:val="0"/>
      <w:iCs w:val="0"/>
      <w:color w:val="000000" w:themeColor="text1"/>
      <w:kern w:val="2"/>
      <w:sz w:val="24"/>
      <w:szCs w:val="20"/>
      <w:lang w:eastAsia="zh-CN"/>
    </w:rPr>
  </w:style>
  <w:style w:type="paragraph" w:styleId="Revision">
    <w:name w:val="Revision"/>
    <w:hidden/>
    <w:uiPriority w:val="99"/>
    <w:semiHidden/>
    <w:rsid w:val="00C93377"/>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1225"/>
    <w:rPr>
      <w:b/>
      <w:bCs/>
    </w:rPr>
  </w:style>
  <w:style w:type="character" w:styleId="CommentReference">
    <w:name w:val="annotation reference"/>
    <w:basedOn w:val="DefaultParagraphFont"/>
    <w:uiPriority w:val="99"/>
    <w:semiHidden/>
    <w:unhideWhenUsed/>
    <w:rsid w:val="00CE75C8"/>
    <w:rPr>
      <w:sz w:val="16"/>
      <w:szCs w:val="16"/>
    </w:rPr>
  </w:style>
  <w:style w:type="paragraph" w:styleId="CommentText">
    <w:name w:val="annotation text"/>
    <w:basedOn w:val="Normal"/>
    <w:link w:val="CommentTextChar"/>
    <w:uiPriority w:val="99"/>
    <w:semiHidden/>
    <w:unhideWhenUsed/>
    <w:rsid w:val="00CE75C8"/>
    <w:pPr>
      <w:spacing w:line="240" w:lineRule="auto"/>
    </w:pPr>
    <w:rPr>
      <w:sz w:val="20"/>
      <w:szCs w:val="20"/>
    </w:rPr>
  </w:style>
  <w:style w:type="character" w:customStyle="1" w:styleId="CommentTextChar">
    <w:name w:val="Comment Text Char"/>
    <w:basedOn w:val="DefaultParagraphFont"/>
    <w:link w:val="CommentText"/>
    <w:uiPriority w:val="99"/>
    <w:semiHidden/>
    <w:rsid w:val="00CE7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75C8"/>
    <w:rPr>
      <w:b/>
      <w:bCs/>
    </w:rPr>
  </w:style>
  <w:style w:type="character" w:customStyle="1" w:styleId="CommentSubjectChar">
    <w:name w:val="Comment Subject Char"/>
    <w:basedOn w:val="CommentTextChar"/>
    <w:link w:val="CommentSubject"/>
    <w:uiPriority w:val="99"/>
    <w:semiHidden/>
    <w:rsid w:val="00CE75C8"/>
    <w:rPr>
      <w:rFonts w:ascii="Times New Roman" w:eastAsia="Times New Roman" w:hAnsi="Times New Roman" w:cs="Times New Roman"/>
      <w:b/>
      <w:bCs/>
      <w:sz w:val="20"/>
      <w:szCs w:val="20"/>
    </w:rPr>
  </w:style>
  <w:style w:type="paragraph" w:customStyle="1" w:styleId="MTDisplayEquation">
    <w:name w:val="MTDisplayEquation"/>
    <w:basedOn w:val="Normal"/>
    <w:link w:val="MTDisplayEquationChar"/>
    <w:rsid w:val="00003DCD"/>
    <w:pPr>
      <w:spacing w:before="0" w:line="240" w:lineRule="auto"/>
      <w:jc w:val="both"/>
    </w:pPr>
    <w:rPr>
      <w:u w:val="single"/>
    </w:rPr>
  </w:style>
  <w:style w:type="character" w:customStyle="1" w:styleId="MTDisplayEquationChar">
    <w:name w:val="MTDisplayEquation Char"/>
    <w:basedOn w:val="DefaultParagraphFont"/>
    <w:link w:val="MTDisplayEquation"/>
    <w:rsid w:val="00003DCD"/>
    <w:rPr>
      <w:rFonts w:ascii="Times New Roman" w:eastAsia="Times New Roman" w:hAnsi="Times New Roman" w:cs="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9347">
      <w:bodyDiv w:val="1"/>
      <w:marLeft w:val="0"/>
      <w:marRight w:val="0"/>
      <w:marTop w:val="0"/>
      <w:marBottom w:val="0"/>
      <w:divBdr>
        <w:top w:val="none" w:sz="0" w:space="0" w:color="auto"/>
        <w:left w:val="none" w:sz="0" w:space="0" w:color="auto"/>
        <w:bottom w:val="none" w:sz="0" w:space="0" w:color="auto"/>
        <w:right w:val="none" w:sz="0" w:space="0" w:color="auto"/>
      </w:divBdr>
    </w:div>
    <w:div w:id="16391691">
      <w:bodyDiv w:val="1"/>
      <w:marLeft w:val="0"/>
      <w:marRight w:val="0"/>
      <w:marTop w:val="0"/>
      <w:marBottom w:val="0"/>
      <w:divBdr>
        <w:top w:val="none" w:sz="0" w:space="0" w:color="auto"/>
        <w:left w:val="none" w:sz="0" w:space="0" w:color="auto"/>
        <w:bottom w:val="none" w:sz="0" w:space="0" w:color="auto"/>
        <w:right w:val="none" w:sz="0" w:space="0" w:color="auto"/>
      </w:divBdr>
    </w:div>
    <w:div w:id="22295674">
      <w:bodyDiv w:val="1"/>
      <w:marLeft w:val="0"/>
      <w:marRight w:val="0"/>
      <w:marTop w:val="0"/>
      <w:marBottom w:val="0"/>
      <w:divBdr>
        <w:top w:val="none" w:sz="0" w:space="0" w:color="auto"/>
        <w:left w:val="none" w:sz="0" w:space="0" w:color="auto"/>
        <w:bottom w:val="none" w:sz="0" w:space="0" w:color="auto"/>
        <w:right w:val="none" w:sz="0" w:space="0" w:color="auto"/>
      </w:divBdr>
      <w:divsChild>
        <w:div w:id="398790019">
          <w:marLeft w:val="547"/>
          <w:marRight w:val="0"/>
          <w:marTop w:val="240"/>
          <w:marBottom w:val="0"/>
          <w:divBdr>
            <w:top w:val="none" w:sz="0" w:space="0" w:color="auto"/>
            <w:left w:val="none" w:sz="0" w:space="0" w:color="auto"/>
            <w:bottom w:val="none" w:sz="0" w:space="0" w:color="auto"/>
            <w:right w:val="none" w:sz="0" w:space="0" w:color="auto"/>
          </w:divBdr>
        </w:div>
        <w:div w:id="631597433">
          <w:marLeft w:val="547"/>
          <w:marRight w:val="0"/>
          <w:marTop w:val="240"/>
          <w:marBottom w:val="0"/>
          <w:divBdr>
            <w:top w:val="none" w:sz="0" w:space="0" w:color="auto"/>
            <w:left w:val="none" w:sz="0" w:space="0" w:color="auto"/>
            <w:bottom w:val="none" w:sz="0" w:space="0" w:color="auto"/>
            <w:right w:val="none" w:sz="0" w:space="0" w:color="auto"/>
          </w:divBdr>
        </w:div>
      </w:divsChild>
    </w:div>
    <w:div w:id="189607311">
      <w:bodyDiv w:val="1"/>
      <w:marLeft w:val="0"/>
      <w:marRight w:val="0"/>
      <w:marTop w:val="0"/>
      <w:marBottom w:val="0"/>
      <w:divBdr>
        <w:top w:val="none" w:sz="0" w:space="0" w:color="auto"/>
        <w:left w:val="none" w:sz="0" w:space="0" w:color="auto"/>
        <w:bottom w:val="none" w:sz="0" w:space="0" w:color="auto"/>
        <w:right w:val="none" w:sz="0" w:space="0" w:color="auto"/>
      </w:divBdr>
    </w:div>
    <w:div w:id="272589074">
      <w:bodyDiv w:val="1"/>
      <w:marLeft w:val="0"/>
      <w:marRight w:val="0"/>
      <w:marTop w:val="0"/>
      <w:marBottom w:val="0"/>
      <w:divBdr>
        <w:top w:val="none" w:sz="0" w:space="0" w:color="auto"/>
        <w:left w:val="none" w:sz="0" w:space="0" w:color="auto"/>
        <w:bottom w:val="none" w:sz="0" w:space="0" w:color="auto"/>
        <w:right w:val="none" w:sz="0" w:space="0" w:color="auto"/>
      </w:divBdr>
    </w:div>
    <w:div w:id="402871071">
      <w:bodyDiv w:val="1"/>
      <w:marLeft w:val="0"/>
      <w:marRight w:val="0"/>
      <w:marTop w:val="0"/>
      <w:marBottom w:val="0"/>
      <w:divBdr>
        <w:top w:val="none" w:sz="0" w:space="0" w:color="auto"/>
        <w:left w:val="none" w:sz="0" w:space="0" w:color="auto"/>
        <w:bottom w:val="none" w:sz="0" w:space="0" w:color="auto"/>
        <w:right w:val="none" w:sz="0" w:space="0" w:color="auto"/>
      </w:divBdr>
    </w:div>
    <w:div w:id="461388184">
      <w:bodyDiv w:val="1"/>
      <w:marLeft w:val="0"/>
      <w:marRight w:val="0"/>
      <w:marTop w:val="0"/>
      <w:marBottom w:val="0"/>
      <w:divBdr>
        <w:top w:val="none" w:sz="0" w:space="0" w:color="auto"/>
        <w:left w:val="none" w:sz="0" w:space="0" w:color="auto"/>
        <w:bottom w:val="none" w:sz="0" w:space="0" w:color="auto"/>
        <w:right w:val="none" w:sz="0" w:space="0" w:color="auto"/>
      </w:divBdr>
    </w:div>
    <w:div w:id="542444129">
      <w:bodyDiv w:val="1"/>
      <w:marLeft w:val="0"/>
      <w:marRight w:val="0"/>
      <w:marTop w:val="0"/>
      <w:marBottom w:val="0"/>
      <w:divBdr>
        <w:top w:val="none" w:sz="0" w:space="0" w:color="auto"/>
        <w:left w:val="none" w:sz="0" w:space="0" w:color="auto"/>
        <w:bottom w:val="none" w:sz="0" w:space="0" w:color="auto"/>
        <w:right w:val="none" w:sz="0" w:space="0" w:color="auto"/>
      </w:divBdr>
      <w:divsChild>
        <w:div w:id="1594437910">
          <w:marLeft w:val="547"/>
          <w:marRight w:val="0"/>
          <w:marTop w:val="240"/>
          <w:marBottom w:val="0"/>
          <w:divBdr>
            <w:top w:val="none" w:sz="0" w:space="0" w:color="auto"/>
            <w:left w:val="none" w:sz="0" w:space="0" w:color="auto"/>
            <w:bottom w:val="none" w:sz="0" w:space="0" w:color="auto"/>
            <w:right w:val="none" w:sz="0" w:space="0" w:color="auto"/>
          </w:divBdr>
        </w:div>
        <w:div w:id="1766998960">
          <w:marLeft w:val="547"/>
          <w:marRight w:val="0"/>
          <w:marTop w:val="240"/>
          <w:marBottom w:val="0"/>
          <w:divBdr>
            <w:top w:val="none" w:sz="0" w:space="0" w:color="auto"/>
            <w:left w:val="none" w:sz="0" w:space="0" w:color="auto"/>
            <w:bottom w:val="none" w:sz="0" w:space="0" w:color="auto"/>
            <w:right w:val="none" w:sz="0" w:space="0" w:color="auto"/>
          </w:divBdr>
        </w:div>
      </w:divsChild>
    </w:div>
    <w:div w:id="563023901">
      <w:bodyDiv w:val="1"/>
      <w:marLeft w:val="0"/>
      <w:marRight w:val="0"/>
      <w:marTop w:val="0"/>
      <w:marBottom w:val="0"/>
      <w:divBdr>
        <w:top w:val="none" w:sz="0" w:space="0" w:color="auto"/>
        <w:left w:val="none" w:sz="0" w:space="0" w:color="auto"/>
        <w:bottom w:val="none" w:sz="0" w:space="0" w:color="auto"/>
        <w:right w:val="none" w:sz="0" w:space="0" w:color="auto"/>
      </w:divBdr>
    </w:div>
    <w:div w:id="571693156">
      <w:bodyDiv w:val="1"/>
      <w:marLeft w:val="0"/>
      <w:marRight w:val="0"/>
      <w:marTop w:val="0"/>
      <w:marBottom w:val="0"/>
      <w:divBdr>
        <w:top w:val="none" w:sz="0" w:space="0" w:color="auto"/>
        <w:left w:val="none" w:sz="0" w:space="0" w:color="auto"/>
        <w:bottom w:val="none" w:sz="0" w:space="0" w:color="auto"/>
        <w:right w:val="none" w:sz="0" w:space="0" w:color="auto"/>
      </w:divBdr>
    </w:div>
    <w:div w:id="784035792">
      <w:bodyDiv w:val="1"/>
      <w:marLeft w:val="0"/>
      <w:marRight w:val="0"/>
      <w:marTop w:val="0"/>
      <w:marBottom w:val="0"/>
      <w:divBdr>
        <w:top w:val="none" w:sz="0" w:space="0" w:color="auto"/>
        <w:left w:val="none" w:sz="0" w:space="0" w:color="auto"/>
        <w:bottom w:val="none" w:sz="0" w:space="0" w:color="auto"/>
        <w:right w:val="none" w:sz="0" w:space="0" w:color="auto"/>
      </w:divBdr>
    </w:div>
    <w:div w:id="848567898">
      <w:bodyDiv w:val="1"/>
      <w:marLeft w:val="0"/>
      <w:marRight w:val="0"/>
      <w:marTop w:val="0"/>
      <w:marBottom w:val="0"/>
      <w:divBdr>
        <w:top w:val="none" w:sz="0" w:space="0" w:color="auto"/>
        <w:left w:val="none" w:sz="0" w:space="0" w:color="auto"/>
        <w:bottom w:val="none" w:sz="0" w:space="0" w:color="auto"/>
        <w:right w:val="none" w:sz="0" w:space="0" w:color="auto"/>
      </w:divBdr>
    </w:div>
    <w:div w:id="930161356">
      <w:bodyDiv w:val="1"/>
      <w:marLeft w:val="0"/>
      <w:marRight w:val="0"/>
      <w:marTop w:val="0"/>
      <w:marBottom w:val="0"/>
      <w:divBdr>
        <w:top w:val="none" w:sz="0" w:space="0" w:color="auto"/>
        <w:left w:val="none" w:sz="0" w:space="0" w:color="auto"/>
        <w:bottom w:val="none" w:sz="0" w:space="0" w:color="auto"/>
        <w:right w:val="none" w:sz="0" w:space="0" w:color="auto"/>
      </w:divBdr>
    </w:div>
    <w:div w:id="1005088532">
      <w:bodyDiv w:val="1"/>
      <w:marLeft w:val="0"/>
      <w:marRight w:val="0"/>
      <w:marTop w:val="0"/>
      <w:marBottom w:val="0"/>
      <w:divBdr>
        <w:top w:val="none" w:sz="0" w:space="0" w:color="auto"/>
        <w:left w:val="none" w:sz="0" w:space="0" w:color="auto"/>
        <w:bottom w:val="none" w:sz="0" w:space="0" w:color="auto"/>
        <w:right w:val="none" w:sz="0" w:space="0" w:color="auto"/>
      </w:divBdr>
    </w:div>
    <w:div w:id="1287200291">
      <w:bodyDiv w:val="1"/>
      <w:marLeft w:val="0"/>
      <w:marRight w:val="0"/>
      <w:marTop w:val="0"/>
      <w:marBottom w:val="0"/>
      <w:divBdr>
        <w:top w:val="none" w:sz="0" w:space="0" w:color="auto"/>
        <w:left w:val="none" w:sz="0" w:space="0" w:color="auto"/>
        <w:bottom w:val="none" w:sz="0" w:space="0" w:color="auto"/>
        <w:right w:val="none" w:sz="0" w:space="0" w:color="auto"/>
      </w:divBdr>
    </w:div>
    <w:div w:id="1318337209">
      <w:bodyDiv w:val="1"/>
      <w:marLeft w:val="0"/>
      <w:marRight w:val="0"/>
      <w:marTop w:val="0"/>
      <w:marBottom w:val="0"/>
      <w:divBdr>
        <w:top w:val="none" w:sz="0" w:space="0" w:color="auto"/>
        <w:left w:val="none" w:sz="0" w:space="0" w:color="auto"/>
        <w:bottom w:val="none" w:sz="0" w:space="0" w:color="auto"/>
        <w:right w:val="none" w:sz="0" w:space="0" w:color="auto"/>
      </w:divBdr>
      <w:divsChild>
        <w:div w:id="1819296718">
          <w:marLeft w:val="720"/>
          <w:marRight w:val="0"/>
          <w:marTop w:val="0"/>
          <w:marBottom w:val="0"/>
          <w:divBdr>
            <w:top w:val="none" w:sz="0" w:space="0" w:color="auto"/>
            <w:left w:val="none" w:sz="0" w:space="0" w:color="auto"/>
            <w:bottom w:val="none" w:sz="0" w:space="0" w:color="auto"/>
            <w:right w:val="none" w:sz="0" w:space="0" w:color="auto"/>
          </w:divBdr>
        </w:div>
      </w:divsChild>
    </w:div>
    <w:div w:id="1365520939">
      <w:bodyDiv w:val="1"/>
      <w:marLeft w:val="0"/>
      <w:marRight w:val="0"/>
      <w:marTop w:val="0"/>
      <w:marBottom w:val="0"/>
      <w:divBdr>
        <w:top w:val="none" w:sz="0" w:space="0" w:color="auto"/>
        <w:left w:val="none" w:sz="0" w:space="0" w:color="auto"/>
        <w:bottom w:val="none" w:sz="0" w:space="0" w:color="auto"/>
        <w:right w:val="none" w:sz="0" w:space="0" w:color="auto"/>
      </w:divBdr>
    </w:div>
    <w:div w:id="1375815125">
      <w:bodyDiv w:val="1"/>
      <w:marLeft w:val="0"/>
      <w:marRight w:val="0"/>
      <w:marTop w:val="0"/>
      <w:marBottom w:val="0"/>
      <w:divBdr>
        <w:top w:val="none" w:sz="0" w:space="0" w:color="auto"/>
        <w:left w:val="none" w:sz="0" w:space="0" w:color="auto"/>
        <w:bottom w:val="none" w:sz="0" w:space="0" w:color="auto"/>
        <w:right w:val="none" w:sz="0" w:space="0" w:color="auto"/>
      </w:divBdr>
    </w:div>
    <w:div w:id="1391540258">
      <w:bodyDiv w:val="1"/>
      <w:marLeft w:val="0"/>
      <w:marRight w:val="0"/>
      <w:marTop w:val="0"/>
      <w:marBottom w:val="0"/>
      <w:divBdr>
        <w:top w:val="none" w:sz="0" w:space="0" w:color="auto"/>
        <w:left w:val="none" w:sz="0" w:space="0" w:color="auto"/>
        <w:bottom w:val="none" w:sz="0" w:space="0" w:color="auto"/>
        <w:right w:val="none" w:sz="0" w:space="0" w:color="auto"/>
      </w:divBdr>
    </w:div>
    <w:div w:id="1478254730">
      <w:bodyDiv w:val="1"/>
      <w:marLeft w:val="0"/>
      <w:marRight w:val="0"/>
      <w:marTop w:val="0"/>
      <w:marBottom w:val="0"/>
      <w:divBdr>
        <w:top w:val="none" w:sz="0" w:space="0" w:color="auto"/>
        <w:left w:val="none" w:sz="0" w:space="0" w:color="auto"/>
        <w:bottom w:val="none" w:sz="0" w:space="0" w:color="auto"/>
        <w:right w:val="none" w:sz="0" w:space="0" w:color="auto"/>
      </w:divBdr>
    </w:div>
    <w:div w:id="1545941192">
      <w:bodyDiv w:val="1"/>
      <w:marLeft w:val="0"/>
      <w:marRight w:val="0"/>
      <w:marTop w:val="0"/>
      <w:marBottom w:val="0"/>
      <w:divBdr>
        <w:top w:val="none" w:sz="0" w:space="0" w:color="auto"/>
        <w:left w:val="none" w:sz="0" w:space="0" w:color="auto"/>
        <w:bottom w:val="none" w:sz="0" w:space="0" w:color="auto"/>
        <w:right w:val="none" w:sz="0" w:space="0" w:color="auto"/>
      </w:divBdr>
    </w:div>
    <w:div w:id="1571310285">
      <w:bodyDiv w:val="1"/>
      <w:marLeft w:val="0"/>
      <w:marRight w:val="0"/>
      <w:marTop w:val="0"/>
      <w:marBottom w:val="0"/>
      <w:divBdr>
        <w:top w:val="none" w:sz="0" w:space="0" w:color="auto"/>
        <w:left w:val="none" w:sz="0" w:space="0" w:color="auto"/>
        <w:bottom w:val="none" w:sz="0" w:space="0" w:color="auto"/>
        <w:right w:val="none" w:sz="0" w:space="0" w:color="auto"/>
      </w:divBdr>
    </w:div>
    <w:div w:id="1682472321">
      <w:bodyDiv w:val="1"/>
      <w:marLeft w:val="0"/>
      <w:marRight w:val="0"/>
      <w:marTop w:val="0"/>
      <w:marBottom w:val="0"/>
      <w:divBdr>
        <w:top w:val="none" w:sz="0" w:space="0" w:color="auto"/>
        <w:left w:val="none" w:sz="0" w:space="0" w:color="auto"/>
        <w:bottom w:val="none" w:sz="0" w:space="0" w:color="auto"/>
        <w:right w:val="none" w:sz="0" w:space="0" w:color="auto"/>
      </w:divBdr>
    </w:div>
    <w:div w:id="1719890490">
      <w:bodyDiv w:val="1"/>
      <w:marLeft w:val="0"/>
      <w:marRight w:val="0"/>
      <w:marTop w:val="0"/>
      <w:marBottom w:val="0"/>
      <w:divBdr>
        <w:top w:val="none" w:sz="0" w:space="0" w:color="auto"/>
        <w:left w:val="none" w:sz="0" w:space="0" w:color="auto"/>
        <w:bottom w:val="none" w:sz="0" w:space="0" w:color="auto"/>
        <w:right w:val="none" w:sz="0" w:space="0" w:color="auto"/>
      </w:divBdr>
    </w:div>
    <w:div w:id="1744646771">
      <w:bodyDiv w:val="1"/>
      <w:marLeft w:val="0"/>
      <w:marRight w:val="0"/>
      <w:marTop w:val="0"/>
      <w:marBottom w:val="0"/>
      <w:divBdr>
        <w:top w:val="none" w:sz="0" w:space="0" w:color="auto"/>
        <w:left w:val="none" w:sz="0" w:space="0" w:color="auto"/>
        <w:bottom w:val="none" w:sz="0" w:space="0" w:color="auto"/>
        <w:right w:val="none" w:sz="0" w:space="0" w:color="auto"/>
      </w:divBdr>
    </w:div>
    <w:div w:id="1752661271">
      <w:bodyDiv w:val="1"/>
      <w:marLeft w:val="0"/>
      <w:marRight w:val="0"/>
      <w:marTop w:val="0"/>
      <w:marBottom w:val="0"/>
      <w:divBdr>
        <w:top w:val="none" w:sz="0" w:space="0" w:color="auto"/>
        <w:left w:val="none" w:sz="0" w:space="0" w:color="auto"/>
        <w:bottom w:val="none" w:sz="0" w:space="0" w:color="auto"/>
        <w:right w:val="none" w:sz="0" w:space="0" w:color="auto"/>
      </w:divBdr>
    </w:div>
    <w:div w:id="1834447443">
      <w:bodyDiv w:val="1"/>
      <w:marLeft w:val="0"/>
      <w:marRight w:val="0"/>
      <w:marTop w:val="0"/>
      <w:marBottom w:val="0"/>
      <w:divBdr>
        <w:top w:val="none" w:sz="0" w:space="0" w:color="auto"/>
        <w:left w:val="none" w:sz="0" w:space="0" w:color="auto"/>
        <w:bottom w:val="none" w:sz="0" w:space="0" w:color="auto"/>
        <w:right w:val="none" w:sz="0" w:space="0" w:color="auto"/>
      </w:divBdr>
    </w:div>
    <w:div w:id="1877809368">
      <w:bodyDiv w:val="1"/>
      <w:marLeft w:val="0"/>
      <w:marRight w:val="0"/>
      <w:marTop w:val="0"/>
      <w:marBottom w:val="0"/>
      <w:divBdr>
        <w:top w:val="none" w:sz="0" w:space="0" w:color="auto"/>
        <w:left w:val="none" w:sz="0" w:space="0" w:color="auto"/>
        <w:bottom w:val="none" w:sz="0" w:space="0" w:color="auto"/>
        <w:right w:val="none" w:sz="0" w:space="0" w:color="auto"/>
      </w:divBdr>
    </w:div>
    <w:div w:id="1924683083">
      <w:bodyDiv w:val="1"/>
      <w:marLeft w:val="0"/>
      <w:marRight w:val="0"/>
      <w:marTop w:val="0"/>
      <w:marBottom w:val="0"/>
      <w:divBdr>
        <w:top w:val="none" w:sz="0" w:space="0" w:color="auto"/>
        <w:left w:val="none" w:sz="0" w:space="0" w:color="auto"/>
        <w:bottom w:val="none" w:sz="0" w:space="0" w:color="auto"/>
        <w:right w:val="none" w:sz="0" w:space="0" w:color="auto"/>
      </w:divBdr>
    </w:div>
    <w:div w:id="1985769875">
      <w:bodyDiv w:val="1"/>
      <w:marLeft w:val="0"/>
      <w:marRight w:val="0"/>
      <w:marTop w:val="0"/>
      <w:marBottom w:val="0"/>
      <w:divBdr>
        <w:top w:val="none" w:sz="0" w:space="0" w:color="auto"/>
        <w:left w:val="none" w:sz="0" w:space="0" w:color="auto"/>
        <w:bottom w:val="none" w:sz="0" w:space="0" w:color="auto"/>
        <w:right w:val="none" w:sz="0" w:space="0" w:color="auto"/>
      </w:divBdr>
    </w:div>
    <w:div w:id="2005351973">
      <w:bodyDiv w:val="1"/>
      <w:marLeft w:val="0"/>
      <w:marRight w:val="0"/>
      <w:marTop w:val="0"/>
      <w:marBottom w:val="0"/>
      <w:divBdr>
        <w:top w:val="none" w:sz="0" w:space="0" w:color="auto"/>
        <w:left w:val="none" w:sz="0" w:space="0" w:color="auto"/>
        <w:bottom w:val="none" w:sz="0" w:space="0" w:color="auto"/>
        <w:right w:val="none" w:sz="0" w:space="0" w:color="auto"/>
      </w:divBdr>
    </w:div>
    <w:div w:id="2076780256">
      <w:bodyDiv w:val="1"/>
      <w:marLeft w:val="0"/>
      <w:marRight w:val="0"/>
      <w:marTop w:val="0"/>
      <w:marBottom w:val="0"/>
      <w:divBdr>
        <w:top w:val="none" w:sz="0" w:space="0" w:color="auto"/>
        <w:left w:val="none" w:sz="0" w:space="0" w:color="auto"/>
        <w:bottom w:val="none" w:sz="0" w:space="0" w:color="auto"/>
        <w:right w:val="none" w:sz="0" w:space="0" w:color="auto"/>
      </w:divBdr>
    </w:div>
    <w:div w:id="2111929774">
      <w:bodyDiv w:val="1"/>
      <w:marLeft w:val="0"/>
      <w:marRight w:val="0"/>
      <w:marTop w:val="0"/>
      <w:marBottom w:val="0"/>
      <w:divBdr>
        <w:top w:val="none" w:sz="0" w:space="0" w:color="auto"/>
        <w:left w:val="none" w:sz="0" w:space="0" w:color="auto"/>
        <w:bottom w:val="none" w:sz="0" w:space="0" w:color="auto"/>
        <w:right w:val="none" w:sz="0" w:space="0" w:color="auto"/>
      </w:divBdr>
      <w:divsChild>
        <w:div w:id="1450930054">
          <w:marLeft w:val="720"/>
          <w:marRight w:val="0"/>
          <w:marTop w:val="0"/>
          <w:marBottom w:val="0"/>
          <w:divBdr>
            <w:top w:val="none" w:sz="0" w:space="0" w:color="auto"/>
            <w:left w:val="none" w:sz="0" w:space="0" w:color="auto"/>
            <w:bottom w:val="none" w:sz="0" w:space="0" w:color="auto"/>
            <w:right w:val="none" w:sz="0" w:space="0" w:color="auto"/>
          </w:divBdr>
        </w:div>
      </w:divsChild>
    </w:div>
    <w:div w:id="213648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1.wmf"/><Relationship Id="rId299" Type="http://schemas.openxmlformats.org/officeDocument/2006/relationships/image" Target="media/image139.wmf"/><Relationship Id="rId21" Type="http://schemas.openxmlformats.org/officeDocument/2006/relationships/oleObject" Target="embeddings/oleObject5.bin"/><Relationship Id="rId63" Type="http://schemas.openxmlformats.org/officeDocument/2006/relationships/image" Target="media/image26.wmf"/><Relationship Id="rId159" Type="http://schemas.openxmlformats.org/officeDocument/2006/relationships/oleObject" Target="embeddings/oleObject77.bin"/><Relationship Id="rId324" Type="http://schemas.openxmlformats.org/officeDocument/2006/relationships/image" Target="media/image151.wmf"/><Relationship Id="rId366" Type="http://schemas.openxmlformats.org/officeDocument/2006/relationships/oleObject" Target="embeddings/oleObject186.bin"/><Relationship Id="rId170" Type="http://schemas.openxmlformats.org/officeDocument/2006/relationships/image" Target="media/image77.wmf"/><Relationship Id="rId226" Type="http://schemas.openxmlformats.org/officeDocument/2006/relationships/oleObject" Target="embeddings/oleObject111.bin"/><Relationship Id="rId268" Type="http://schemas.openxmlformats.org/officeDocument/2006/relationships/image" Target="media/image124.wmf"/><Relationship Id="rId32" Type="http://schemas.openxmlformats.org/officeDocument/2006/relationships/image" Target="media/image11.wmf"/><Relationship Id="rId74" Type="http://schemas.openxmlformats.org/officeDocument/2006/relationships/oleObject" Target="embeddings/oleObject32.bin"/><Relationship Id="rId128" Type="http://schemas.openxmlformats.org/officeDocument/2006/relationships/oleObject" Target="embeddings/oleObject61.bin"/><Relationship Id="rId335" Type="http://schemas.openxmlformats.org/officeDocument/2006/relationships/oleObject" Target="embeddings/oleObject168.bin"/><Relationship Id="rId377" Type="http://schemas.openxmlformats.org/officeDocument/2006/relationships/oleObject" Target="embeddings/oleObject192.bin"/><Relationship Id="rId5" Type="http://schemas.openxmlformats.org/officeDocument/2006/relationships/webSettings" Target="webSettings.xml"/><Relationship Id="rId181" Type="http://schemas.openxmlformats.org/officeDocument/2006/relationships/oleObject" Target="embeddings/oleObject88.bin"/><Relationship Id="rId237" Type="http://schemas.openxmlformats.org/officeDocument/2006/relationships/oleObject" Target="embeddings/oleObject117.bin"/><Relationship Id="rId402" Type="http://schemas.openxmlformats.org/officeDocument/2006/relationships/fontTable" Target="fontTable.xml"/><Relationship Id="rId279" Type="http://schemas.openxmlformats.org/officeDocument/2006/relationships/oleObject" Target="embeddings/oleObject139.bin"/><Relationship Id="rId43" Type="http://schemas.openxmlformats.org/officeDocument/2006/relationships/image" Target="media/image16.wmf"/><Relationship Id="rId139" Type="http://schemas.openxmlformats.org/officeDocument/2006/relationships/image" Target="media/image62.wmf"/><Relationship Id="rId290" Type="http://schemas.openxmlformats.org/officeDocument/2006/relationships/image" Target="media/image135.wmf"/><Relationship Id="rId304" Type="http://schemas.openxmlformats.org/officeDocument/2006/relationships/oleObject" Target="embeddings/oleObject152.bin"/><Relationship Id="rId346" Type="http://schemas.openxmlformats.org/officeDocument/2006/relationships/image" Target="media/image160.wmf"/><Relationship Id="rId388" Type="http://schemas.openxmlformats.org/officeDocument/2006/relationships/image" Target="media/image178.wmf"/><Relationship Id="rId85" Type="http://schemas.openxmlformats.org/officeDocument/2006/relationships/image" Target="media/image36.wmf"/><Relationship Id="rId150" Type="http://schemas.openxmlformats.org/officeDocument/2006/relationships/image" Target="media/image67.wmf"/><Relationship Id="rId192" Type="http://schemas.openxmlformats.org/officeDocument/2006/relationships/image" Target="media/image88.wmf"/><Relationship Id="rId206" Type="http://schemas.openxmlformats.org/officeDocument/2006/relationships/image" Target="media/image95.wmf"/><Relationship Id="rId248" Type="http://schemas.openxmlformats.org/officeDocument/2006/relationships/image" Target="media/image114.wmf"/><Relationship Id="rId12" Type="http://schemas.openxmlformats.org/officeDocument/2006/relationships/image" Target="media/image1.wmf"/><Relationship Id="rId108" Type="http://schemas.openxmlformats.org/officeDocument/2006/relationships/image" Target="media/image47.wmf"/><Relationship Id="rId315" Type="http://schemas.openxmlformats.org/officeDocument/2006/relationships/image" Target="media/image147.wmf"/><Relationship Id="rId357" Type="http://schemas.openxmlformats.org/officeDocument/2006/relationships/image" Target="media/image164.wmf"/><Relationship Id="rId54" Type="http://schemas.openxmlformats.org/officeDocument/2006/relationships/oleObject" Target="embeddings/oleObject22.bin"/><Relationship Id="rId96" Type="http://schemas.openxmlformats.org/officeDocument/2006/relationships/image" Target="media/image41.wmf"/><Relationship Id="rId161" Type="http://schemas.openxmlformats.org/officeDocument/2006/relationships/oleObject" Target="embeddings/oleObject78.bin"/><Relationship Id="rId217" Type="http://schemas.openxmlformats.org/officeDocument/2006/relationships/image" Target="media/image100.wmf"/><Relationship Id="rId399" Type="http://schemas.openxmlformats.org/officeDocument/2006/relationships/hyperlink" Target="https://www.greenbiz.com/article/why-younger-generations-are-more-willing-change-name-sustainability" TargetMode="External"/><Relationship Id="rId259" Type="http://schemas.openxmlformats.org/officeDocument/2006/relationships/oleObject" Target="embeddings/oleObject129.bin"/><Relationship Id="rId23" Type="http://schemas.openxmlformats.org/officeDocument/2006/relationships/oleObject" Target="embeddings/oleObject6.bin"/><Relationship Id="rId119" Type="http://schemas.openxmlformats.org/officeDocument/2006/relationships/image" Target="media/image52.wmf"/><Relationship Id="rId270" Type="http://schemas.openxmlformats.org/officeDocument/2006/relationships/image" Target="media/image125.wmf"/><Relationship Id="rId326" Type="http://schemas.openxmlformats.org/officeDocument/2006/relationships/image" Target="media/image152.wmf"/><Relationship Id="rId65" Type="http://schemas.openxmlformats.org/officeDocument/2006/relationships/image" Target="media/image27.wmf"/><Relationship Id="rId130" Type="http://schemas.openxmlformats.org/officeDocument/2006/relationships/oleObject" Target="embeddings/oleObject62.bin"/><Relationship Id="rId368" Type="http://schemas.openxmlformats.org/officeDocument/2006/relationships/oleObject" Target="embeddings/oleObject187.bin"/><Relationship Id="rId172" Type="http://schemas.openxmlformats.org/officeDocument/2006/relationships/image" Target="media/image78.wmf"/><Relationship Id="rId228" Type="http://schemas.openxmlformats.org/officeDocument/2006/relationships/oleObject" Target="embeddings/oleObject112.bin"/><Relationship Id="rId281" Type="http://schemas.openxmlformats.org/officeDocument/2006/relationships/oleObject" Target="embeddings/oleObject140.bin"/><Relationship Id="rId337" Type="http://schemas.openxmlformats.org/officeDocument/2006/relationships/oleObject" Target="embeddings/oleObject170.bin"/><Relationship Id="rId34" Type="http://schemas.openxmlformats.org/officeDocument/2006/relationships/image" Target="media/image12.wmf"/><Relationship Id="rId76" Type="http://schemas.openxmlformats.org/officeDocument/2006/relationships/oleObject" Target="embeddings/oleObject33.bin"/><Relationship Id="rId141" Type="http://schemas.openxmlformats.org/officeDocument/2006/relationships/image" Target="media/image63.wmf"/><Relationship Id="rId379" Type="http://schemas.openxmlformats.org/officeDocument/2006/relationships/oleObject" Target="embeddings/oleObject193.bin"/><Relationship Id="rId7" Type="http://schemas.openxmlformats.org/officeDocument/2006/relationships/endnotes" Target="endnotes.xml"/><Relationship Id="rId183" Type="http://schemas.openxmlformats.org/officeDocument/2006/relationships/oleObject" Target="embeddings/oleObject89.bin"/><Relationship Id="rId239" Type="http://schemas.openxmlformats.org/officeDocument/2006/relationships/oleObject" Target="embeddings/oleObject118.bin"/><Relationship Id="rId390" Type="http://schemas.openxmlformats.org/officeDocument/2006/relationships/image" Target="media/image179.wmf"/><Relationship Id="rId250" Type="http://schemas.openxmlformats.org/officeDocument/2006/relationships/image" Target="media/image115.wmf"/><Relationship Id="rId292" Type="http://schemas.openxmlformats.org/officeDocument/2006/relationships/image" Target="media/image136.wmf"/><Relationship Id="rId306" Type="http://schemas.openxmlformats.org/officeDocument/2006/relationships/oleObject" Target="embeddings/oleObject153.bin"/><Relationship Id="rId45" Type="http://schemas.openxmlformats.org/officeDocument/2006/relationships/image" Target="media/image17.wmf"/><Relationship Id="rId87" Type="http://schemas.openxmlformats.org/officeDocument/2006/relationships/image" Target="media/image37.wmf"/><Relationship Id="rId110" Type="http://schemas.openxmlformats.org/officeDocument/2006/relationships/image" Target="media/image48.wmf"/><Relationship Id="rId348" Type="http://schemas.openxmlformats.org/officeDocument/2006/relationships/image" Target="media/image161.wmf"/><Relationship Id="rId152" Type="http://schemas.openxmlformats.org/officeDocument/2006/relationships/image" Target="media/image68.wmf"/><Relationship Id="rId194" Type="http://schemas.openxmlformats.org/officeDocument/2006/relationships/image" Target="media/image89.wmf"/><Relationship Id="rId208" Type="http://schemas.openxmlformats.org/officeDocument/2006/relationships/oleObject" Target="embeddings/oleObject102.bin"/><Relationship Id="rId261" Type="http://schemas.openxmlformats.org/officeDocument/2006/relationships/oleObject" Target="embeddings/oleObject130.bin"/><Relationship Id="rId14" Type="http://schemas.openxmlformats.org/officeDocument/2006/relationships/image" Target="media/image2.wmf"/><Relationship Id="rId56" Type="http://schemas.openxmlformats.org/officeDocument/2006/relationships/oleObject" Target="embeddings/oleObject23.bin"/><Relationship Id="rId317" Type="http://schemas.openxmlformats.org/officeDocument/2006/relationships/image" Target="media/image148.wmf"/><Relationship Id="rId359" Type="http://schemas.openxmlformats.org/officeDocument/2006/relationships/oleObject" Target="embeddings/oleObject182.bin"/><Relationship Id="rId98" Type="http://schemas.openxmlformats.org/officeDocument/2006/relationships/image" Target="media/image42.wmf"/><Relationship Id="rId121" Type="http://schemas.openxmlformats.org/officeDocument/2006/relationships/image" Target="media/image53.wmf"/><Relationship Id="rId163" Type="http://schemas.openxmlformats.org/officeDocument/2006/relationships/oleObject" Target="embeddings/oleObject79.bin"/><Relationship Id="rId219" Type="http://schemas.openxmlformats.org/officeDocument/2006/relationships/image" Target="media/image101.wmf"/><Relationship Id="rId370" Type="http://schemas.openxmlformats.org/officeDocument/2006/relationships/oleObject" Target="embeddings/oleObject188.bin"/><Relationship Id="rId230" Type="http://schemas.openxmlformats.org/officeDocument/2006/relationships/oleObject" Target="embeddings/oleObject113.bin"/><Relationship Id="rId25" Type="http://schemas.openxmlformats.org/officeDocument/2006/relationships/oleObject" Target="embeddings/oleObject7.bin"/><Relationship Id="rId67" Type="http://schemas.openxmlformats.org/officeDocument/2006/relationships/image" Target="media/image28.wmf"/><Relationship Id="rId272" Type="http://schemas.openxmlformats.org/officeDocument/2006/relationships/image" Target="media/image126.wmf"/><Relationship Id="rId328" Type="http://schemas.openxmlformats.org/officeDocument/2006/relationships/image" Target="media/image153.wmf"/><Relationship Id="rId132" Type="http://schemas.openxmlformats.org/officeDocument/2006/relationships/oleObject" Target="embeddings/oleObject63.bin"/><Relationship Id="rId174" Type="http://schemas.openxmlformats.org/officeDocument/2006/relationships/image" Target="media/image79.wmf"/><Relationship Id="rId381" Type="http://schemas.openxmlformats.org/officeDocument/2006/relationships/oleObject" Target="embeddings/oleObject194.bin"/><Relationship Id="rId241" Type="http://schemas.openxmlformats.org/officeDocument/2006/relationships/oleObject" Target="embeddings/oleObject120.bin"/><Relationship Id="rId36" Type="http://schemas.openxmlformats.org/officeDocument/2006/relationships/image" Target="media/image13.wmf"/><Relationship Id="rId283" Type="http://schemas.openxmlformats.org/officeDocument/2006/relationships/oleObject" Target="embeddings/oleObject141.bin"/><Relationship Id="rId339" Type="http://schemas.openxmlformats.org/officeDocument/2006/relationships/oleObject" Target="embeddings/oleObject171.bin"/><Relationship Id="rId78" Type="http://schemas.openxmlformats.org/officeDocument/2006/relationships/oleObject" Target="embeddings/oleObject35.bin"/><Relationship Id="rId101" Type="http://schemas.openxmlformats.org/officeDocument/2006/relationships/oleObject" Target="embeddings/oleObject47.bin"/><Relationship Id="rId143" Type="http://schemas.openxmlformats.org/officeDocument/2006/relationships/image" Target="media/image64.wmf"/><Relationship Id="rId185" Type="http://schemas.openxmlformats.org/officeDocument/2006/relationships/oleObject" Target="embeddings/oleObject90.bin"/><Relationship Id="rId350" Type="http://schemas.openxmlformats.org/officeDocument/2006/relationships/footer" Target="footer3.xml"/><Relationship Id="rId9" Type="http://schemas.openxmlformats.org/officeDocument/2006/relationships/hyperlink" Target="mailto:bhat@mail.utexas.edu" TargetMode="External"/><Relationship Id="rId210" Type="http://schemas.openxmlformats.org/officeDocument/2006/relationships/oleObject" Target="embeddings/oleObject103.bin"/><Relationship Id="rId392" Type="http://schemas.openxmlformats.org/officeDocument/2006/relationships/oleObject" Target="embeddings/oleObject200.bin"/><Relationship Id="rId252" Type="http://schemas.openxmlformats.org/officeDocument/2006/relationships/image" Target="media/image116.wmf"/><Relationship Id="rId294" Type="http://schemas.openxmlformats.org/officeDocument/2006/relationships/image" Target="media/image137.wmf"/><Relationship Id="rId308" Type="http://schemas.openxmlformats.org/officeDocument/2006/relationships/oleObject" Target="embeddings/oleObject154.bin"/><Relationship Id="rId47" Type="http://schemas.openxmlformats.org/officeDocument/2006/relationships/image" Target="media/image18.wmf"/><Relationship Id="rId89" Type="http://schemas.openxmlformats.org/officeDocument/2006/relationships/image" Target="media/image38.wmf"/><Relationship Id="rId112" Type="http://schemas.openxmlformats.org/officeDocument/2006/relationships/oleObject" Target="embeddings/oleObject53.bin"/><Relationship Id="rId154" Type="http://schemas.openxmlformats.org/officeDocument/2006/relationships/image" Target="media/image69.wmf"/><Relationship Id="rId361" Type="http://schemas.openxmlformats.org/officeDocument/2006/relationships/image" Target="media/image165.wmf"/><Relationship Id="rId196" Type="http://schemas.openxmlformats.org/officeDocument/2006/relationships/image" Target="media/image90.wmf"/><Relationship Id="rId16" Type="http://schemas.openxmlformats.org/officeDocument/2006/relationships/image" Target="media/image3.wmf"/><Relationship Id="rId221" Type="http://schemas.openxmlformats.org/officeDocument/2006/relationships/image" Target="media/image102.wmf"/><Relationship Id="rId263" Type="http://schemas.openxmlformats.org/officeDocument/2006/relationships/oleObject" Target="embeddings/oleObject131.bin"/><Relationship Id="rId319" Type="http://schemas.openxmlformats.org/officeDocument/2006/relationships/image" Target="media/image149.wmf"/><Relationship Id="rId58" Type="http://schemas.openxmlformats.org/officeDocument/2006/relationships/oleObject" Target="embeddings/oleObject24.bin"/><Relationship Id="rId123" Type="http://schemas.openxmlformats.org/officeDocument/2006/relationships/image" Target="media/image54.wmf"/><Relationship Id="rId330" Type="http://schemas.openxmlformats.org/officeDocument/2006/relationships/oleObject" Target="embeddings/oleObject166.bin"/><Relationship Id="rId90" Type="http://schemas.openxmlformats.org/officeDocument/2006/relationships/oleObject" Target="embeddings/oleObject41.bin"/><Relationship Id="rId165" Type="http://schemas.openxmlformats.org/officeDocument/2006/relationships/oleObject" Target="embeddings/oleObject80.bin"/><Relationship Id="rId186" Type="http://schemas.openxmlformats.org/officeDocument/2006/relationships/image" Target="media/image85.wmf"/><Relationship Id="rId351" Type="http://schemas.openxmlformats.org/officeDocument/2006/relationships/image" Target="media/image162.wmf"/><Relationship Id="rId372" Type="http://schemas.openxmlformats.org/officeDocument/2006/relationships/image" Target="media/image170.wmf"/><Relationship Id="rId393" Type="http://schemas.openxmlformats.org/officeDocument/2006/relationships/oleObject" Target="embeddings/oleObject201.bin"/><Relationship Id="rId211" Type="http://schemas.openxmlformats.org/officeDocument/2006/relationships/image" Target="media/image97.wmf"/><Relationship Id="rId232" Type="http://schemas.openxmlformats.org/officeDocument/2006/relationships/oleObject" Target="embeddings/oleObject114.bin"/><Relationship Id="rId253" Type="http://schemas.openxmlformats.org/officeDocument/2006/relationships/oleObject" Target="embeddings/oleObject126.bin"/><Relationship Id="rId274" Type="http://schemas.openxmlformats.org/officeDocument/2006/relationships/image" Target="media/image127.wmf"/><Relationship Id="rId295" Type="http://schemas.openxmlformats.org/officeDocument/2006/relationships/oleObject" Target="embeddings/oleObject147.bin"/><Relationship Id="rId309" Type="http://schemas.openxmlformats.org/officeDocument/2006/relationships/image" Target="media/image144.wmf"/><Relationship Id="rId27" Type="http://schemas.openxmlformats.org/officeDocument/2006/relationships/oleObject" Target="embeddings/oleObject8.bin"/><Relationship Id="rId48" Type="http://schemas.openxmlformats.org/officeDocument/2006/relationships/oleObject" Target="embeddings/oleObject19.bin"/><Relationship Id="rId69" Type="http://schemas.openxmlformats.org/officeDocument/2006/relationships/image" Target="media/image29.wmf"/><Relationship Id="rId113" Type="http://schemas.openxmlformats.org/officeDocument/2006/relationships/image" Target="media/image49.wmf"/><Relationship Id="rId134" Type="http://schemas.openxmlformats.org/officeDocument/2006/relationships/oleObject" Target="embeddings/oleObject64.bin"/><Relationship Id="rId320" Type="http://schemas.openxmlformats.org/officeDocument/2006/relationships/oleObject" Target="embeddings/oleObject160.bin"/><Relationship Id="rId80" Type="http://schemas.openxmlformats.org/officeDocument/2006/relationships/oleObject" Target="embeddings/oleObject36.bin"/><Relationship Id="rId155" Type="http://schemas.openxmlformats.org/officeDocument/2006/relationships/oleObject" Target="embeddings/oleObject75.bin"/><Relationship Id="rId176" Type="http://schemas.openxmlformats.org/officeDocument/2006/relationships/image" Target="media/image80.wmf"/><Relationship Id="rId197" Type="http://schemas.openxmlformats.org/officeDocument/2006/relationships/oleObject" Target="embeddings/oleObject96.bin"/><Relationship Id="rId341" Type="http://schemas.openxmlformats.org/officeDocument/2006/relationships/oleObject" Target="embeddings/oleObject172.bin"/><Relationship Id="rId362" Type="http://schemas.openxmlformats.org/officeDocument/2006/relationships/oleObject" Target="embeddings/oleObject184.bin"/><Relationship Id="rId383" Type="http://schemas.openxmlformats.org/officeDocument/2006/relationships/oleObject" Target="embeddings/oleObject195.bin"/><Relationship Id="rId201" Type="http://schemas.openxmlformats.org/officeDocument/2006/relationships/oleObject" Target="embeddings/oleObject98.bin"/><Relationship Id="rId222" Type="http://schemas.openxmlformats.org/officeDocument/2006/relationships/oleObject" Target="embeddings/oleObject109.bin"/><Relationship Id="rId243" Type="http://schemas.openxmlformats.org/officeDocument/2006/relationships/oleObject" Target="embeddings/oleObject121.bin"/><Relationship Id="rId264" Type="http://schemas.openxmlformats.org/officeDocument/2006/relationships/image" Target="media/image122.wmf"/><Relationship Id="rId285" Type="http://schemas.openxmlformats.org/officeDocument/2006/relationships/oleObject" Target="embeddings/oleObject142.bin"/><Relationship Id="rId17" Type="http://schemas.openxmlformats.org/officeDocument/2006/relationships/oleObject" Target="embeddings/oleObject3.bin"/><Relationship Id="rId38" Type="http://schemas.openxmlformats.org/officeDocument/2006/relationships/image" Target="media/image14.wmf"/><Relationship Id="rId59" Type="http://schemas.openxmlformats.org/officeDocument/2006/relationships/image" Target="media/image24.wmf"/><Relationship Id="rId103" Type="http://schemas.openxmlformats.org/officeDocument/2006/relationships/oleObject" Target="embeddings/oleObject48.bin"/><Relationship Id="rId124" Type="http://schemas.openxmlformats.org/officeDocument/2006/relationships/oleObject" Target="embeddings/oleObject59.bin"/><Relationship Id="rId310" Type="http://schemas.openxmlformats.org/officeDocument/2006/relationships/oleObject" Target="embeddings/oleObject155.bin"/><Relationship Id="rId70" Type="http://schemas.openxmlformats.org/officeDocument/2006/relationships/oleObject" Target="embeddings/oleObject30.bin"/><Relationship Id="rId91" Type="http://schemas.openxmlformats.org/officeDocument/2006/relationships/oleObject" Target="embeddings/oleObject42.bin"/><Relationship Id="rId145" Type="http://schemas.openxmlformats.org/officeDocument/2006/relationships/image" Target="media/image65.wmf"/><Relationship Id="rId166" Type="http://schemas.openxmlformats.org/officeDocument/2006/relationships/image" Target="media/image75.wmf"/><Relationship Id="rId187" Type="http://schemas.openxmlformats.org/officeDocument/2006/relationships/oleObject" Target="embeddings/oleObject91.bin"/><Relationship Id="rId331" Type="http://schemas.openxmlformats.org/officeDocument/2006/relationships/image" Target="media/image154.JPG"/><Relationship Id="rId352" Type="http://schemas.openxmlformats.org/officeDocument/2006/relationships/oleObject" Target="embeddings/oleObject177.bin"/><Relationship Id="rId373" Type="http://schemas.openxmlformats.org/officeDocument/2006/relationships/oleObject" Target="embeddings/oleObject190.bin"/><Relationship Id="rId394" Type="http://schemas.openxmlformats.org/officeDocument/2006/relationships/image" Target="media/image180.wmf"/><Relationship Id="rId1" Type="http://schemas.openxmlformats.org/officeDocument/2006/relationships/customXml" Target="../customXml/item1.xml"/><Relationship Id="rId212" Type="http://schemas.openxmlformats.org/officeDocument/2006/relationships/oleObject" Target="embeddings/oleObject104.bin"/><Relationship Id="rId233" Type="http://schemas.openxmlformats.org/officeDocument/2006/relationships/image" Target="media/image108.wmf"/><Relationship Id="rId254" Type="http://schemas.openxmlformats.org/officeDocument/2006/relationships/image" Target="media/image117.wmf"/><Relationship Id="rId28" Type="http://schemas.openxmlformats.org/officeDocument/2006/relationships/image" Target="media/image9.wmf"/><Relationship Id="rId49" Type="http://schemas.openxmlformats.org/officeDocument/2006/relationships/image" Target="media/image19.wmf"/><Relationship Id="rId114" Type="http://schemas.openxmlformats.org/officeDocument/2006/relationships/oleObject" Target="embeddings/oleObject54.bin"/><Relationship Id="rId275" Type="http://schemas.openxmlformats.org/officeDocument/2006/relationships/oleObject" Target="embeddings/oleObject137.bin"/><Relationship Id="rId296" Type="http://schemas.openxmlformats.org/officeDocument/2006/relationships/oleObject" Target="embeddings/oleObject148.bin"/><Relationship Id="rId300" Type="http://schemas.openxmlformats.org/officeDocument/2006/relationships/oleObject" Target="embeddings/oleObject150.bin"/><Relationship Id="rId60" Type="http://schemas.openxmlformats.org/officeDocument/2006/relationships/oleObject" Target="embeddings/oleObject25.bin"/><Relationship Id="rId81" Type="http://schemas.openxmlformats.org/officeDocument/2006/relationships/image" Target="media/image34.wmf"/><Relationship Id="rId135" Type="http://schemas.openxmlformats.org/officeDocument/2006/relationships/image" Target="media/image60.wmf"/><Relationship Id="rId156" Type="http://schemas.openxmlformats.org/officeDocument/2006/relationships/image" Target="media/image70.wmf"/><Relationship Id="rId177" Type="http://schemas.openxmlformats.org/officeDocument/2006/relationships/oleObject" Target="embeddings/oleObject86.bin"/><Relationship Id="rId198" Type="http://schemas.openxmlformats.org/officeDocument/2006/relationships/image" Target="media/image91.wmf"/><Relationship Id="rId321" Type="http://schemas.openxmlformats.org/officeDocument/2006/relationships/oleObject" Target="embeddings/oleObject161.bin"/><Relationship Id="rId342" Type="http://schemas.openxmlformats.org/officeDocument/2006/relationships/image" Target="media/image158.wmf"/><Relationship Id="rId363" Type="http://schemas.openxmlformats.org/officeDocument/2006/relationships/image" Target="media/image166.wmf"/><Relationship Id="rId384" Type="http://schemas.openxmlformats.org/officeDocument/2006/relationships/image" Target="media/image176.wmf"/><Relationship Id="rId202" Type="http://schemas.openxmlformats.org/officeDocument/2006/relationships/image" Target="media/image93.wmf"/><Relationship Id="rId223" Type="http://schemas.openxmlformats.org/officeDocument/2006/relationships/image" Target="media/image103.wmf"/><Relationship Id="rId244" Type="http://schemas.openxmlformats.org/officeDocument/2006/relationships/image" Target="media/image112.wmf"/><Relationship Id="rId18" Type="http://schemas.openxmlformats.org/officeDocument/2006/relationships/image" Target="media/image4.wmf"/><Relationship Id="rId39" Type="http://schemas.openxmlformats.org/officeDocument/2006/relationships/oleObject" Target="embeddings/oleObject14.bin"/><Relationship Id="rId265" Type="http://schemas.openxmlformats.org/officeDocument/2006/relationships/oleObject" Target="embeddings/oleObject132.bin"/><Relationship Id="rId286" Type="http://schemas.openxmlformats.org/officeDocument/2006/relationships/image" Target="media/image133.wmf"/><Relationship Id="rId50" Type="http://schemas.openxmlformats.org/officeDocument/2006/relationships/oleObject" Target="embeddings/oleObject20.bin"/><Relationship Id="rId104" Type="http://schemas.openxmlformats.org/officeDocument/2006/relationships/image" Target="media/image45.wmf"/><Relationship Id="rId125" Type="http://schemas.openxmlformats.org/officeDocument/2006/relationships/image" Target="media/image55.wmf"/><Relationship Id="rId146" Type="http://schemas.openxmlformats.org/officeDocument/2006/relationships/oleObject" Target="embeddings/oleObject70.bin"/><Relationship Id="rId167" Type="http://schemas.openxmlformats.org/officeDocument/2006/relationships/oleObject" Target="embeddings/oleObject81.bin"/><Relationship Id="rId188" Type="http://schemas.openxmlformats.org/officeDocument/2006/relationships/image" Target="media/image86.wmf"/><Relationship Id="rId311" Type="http://schemas.openxmlformats.org/officeDocument/2006/relationships/image" Target="media/image145.wmf"/><Relationship Id="rId332" Type="http://schemas.openxmlformats.org/officeDocument/2006/relationships/hyperlink" Target="https://nam12.safelinks.protection.outlook.com/?url=https%3A%2F%2Ftomnet-utc.engineering.asu.edu%2Fdata%2Ft4-survey%2F&amp;data=05%7C01%7C%7C9e97b9fd50e64a33b08708da94bb9b2f%7C31d7e2a5bdd8414e9e97bea998ebdfe1%7C0%7C0%7C637985830729424243%7CUnknown%7CTWFpbGZsb3d8eyJWIjoiMC4wLjAwMDAiLCJQIjoiV2luMzIiLCJBTiI6Ik1haWwiLCJXVCI6Mn0%3D%7C3000%7C%7C%7C&amp;sdata=RTJgZjhxqGOp62%2BALqLVOKXSr%2B13SlaNsSHPogtaweY%3D&amp;reserved=0" TargetMode="External"/><Relationship Id="rId353" Type="http://schemas.openxmlformats.org/officeDocument/2006/relationships/image" Target="media/image163.wmf"/><Relationship Id="rId374" Type="http://schemas.openxmlformats.org/officeDocument/2006/relationships/image" Target="media/image171.wmf"/><Relationship Id="rId395" Type="http://schemas.openxmlformats.org/officeDocument/2006/relationships/oleObject" Target="embeddings/oleObject202.bin"/><Relationship Id="rId71" Type="http://schemas.openxmlformats.org/officeDocument/2006/relationships/image" Target="media/image30.wmf"/><Relationship Id="rId92" Type="http://schemas.openxmlformats.org/officeDocument/2006/relationships/image" Target="media/image39.wmf"/><Relationship Id="rId213" Type="http://schemas.openxmlformats.org/officeDocument/2006/relationships/image" Target="media/image98.wmf"/><Relationship Id="rId234" Type="http://schemas.openxmlformats.org/officeDocument/2006/relationships/oleObject" Target="embeddings/oleObject115.bin"/><Relationship Id="rId2" Type="http://schemas.openxmlformats.org/officeDocument/2006/relationships/numbering" Target="numbering.xml"/><Relationship Id="rId29" Type="http://schemas.openxmlformats.org/officeDocument/2006/relationships/oleObject" Target="embeddings/oleObject9.bin"/><Relationship Id="rId255" Type="http://schemas.openxmlformats.org/officeDocument/2006/relationships/oleObject" Target="embeddings/oleObject127.bin"/><Relationship Id="rId276" Type="http://schemas.openxmlformats.org/officeDocument/2006/relationships/image" Target="media/image128.wmf"/><Relationship Id="rId297" Type="http://schemas.openxmlformats.org/officeDocument/2006/relationships/image" Target="media/image138.wmf"/><Relationship Id="rId40" Type="http://schemas.openxmlformats.org/officeDocument/2006/relationships/oleObject" Target="embeddings/oleObject15.bin"/><Relationship Id="rId115" Type="http://schemas.openxmlformats.org/officeDocument/2006/relationships/image" Target="media/image50.wmf"/><Relationship Id="rId136" Type="http://schemas.openxmlformats.org/officeDocument/2006/relationships/oleObject" Target="embeddings/oleObject65.bin"/><Relationship Id="rId157" Type="http://schemas.openxmlformats.org/officeDocument/2006/relationships/oleObject" Target="embeddings/oleObject76.bin"/><Relationship Id="rId178" Type="http://schemas.openxmlformats.org/officeDocument/2006/relationships/image" Target="media/image81.wmf"/><Relationship Id="rId301" Type="http://schemas.openxmlformats.org/officeDocument/2006/relationships/image" Target="media/image140.wmf"/><Relationship Id="rId322" Type="http://schemas.openxmlformats.org/officeDocument/2006/relationships/image" Target="media/image150.wmf"/><Relationship Id="rId343" Type="http://schemas.openxmlformats.org/officeDocument/2006/relationships/oleObject" Target="embeddings/oleObject173.bin"/><Relationship Id="rId364" Type="http://schemas.openxmlformats.org/officeDocument/2006/relationships/oleObject" Target="embeddings/oleObject185.bin"/><Relationship Id="rId61" Type="http://schemas.openxmlformats.org/officeDocument/2006/relationships/image" Target="media/image25.wmf"/><Relationship Id="rId82" Type="http://schemas.openxmlformats.org/officeDocument/2006/relationships/oleObject" Target="embeddings/oleObject37.bin"/><Relationship Id="rId199" Type="http://schemas.openxmlformats.org/officeDocument/2006/relationships/oleObject" Target="embeddings/oleObject97.bin"/><Relationship Id="rId203" Type="http://schemas.openxmlformats.org/officeDocument/2006/relationships/oleObject" Target="embeddings/oleObject99.bin"/><Relationship Id="rId385" Type="http://schemas.openxmlformats.org/officeDocument/2006/relationships/oleObject" Target="embeddings/oleObject196.bin"/><Relationship Id="rId19" Type="http://schemas.openxmlformats.org/officeDocument/2006/relationships/oleObject" Target="embeddings/oleObject4.bin"/><Relationship Id="rId224" Type="http://schemas.openxmlformats.org/officeDocument/2006/relationships/oleObject" Target="embeddings/oleObject110.bin"/><Relationship Id="rId245" Type="http://schemas.openxmlformats.org/officeDocument/2006/relationships/oleObject" Target="embeddings/oleObject122.bin"/><Relationship Id="rId266" Type="http://schemas.openxmlformats.org/officeDocument/2006/relationships/image" Target="media/image123.wmf"/><Relationship Id="rId287" Type="http://schemas.openxmlformats.org/officeDocument/2006/relationships/oleObject" Target="embeddings/oleObject143.bin"/><Relationship Id="rId30" Type="http://schemas.openxmlformats.org/officeDocument/2006/relationships/image" Target="media/image10.wmf"/><Relationship Id="rId105" Type="http://schemas.openxmlformats.org/officeDocument/2006/relationships/oleObject" Target="embeddings/oleObject49.bin"/><Relationship Id="rId126" Type="http://schemas.openxmlformats.org/officeDocument/2006/relationships/oleObject" Target="embeddings/oleObject60.bin"/><Relationship Id="rId147" Type="http://schemas.openxmlformats.org/officeDocument/2006/relationships/image" Target="media/image66.wmf"/><Relationship Id="rId168" Type="http://schemas.openxmlformats.org/officeDocument/2006/relationships/image" Target="media/image76.wmf"/><Relationship Id="rId312" Type="http://schemas.openxmlformats.org/officeDocument/2006/relationships/oleObject" Target="embeddings/oleObject156.bin"/><Relationship Id="rId333" Type="http://schemas.openxmlformats.org/officeDocument/2006/relationships/image" Target="media/image155.JPG"/><Relationship Id="rId354" Type="http://schemas.openxmlformats.org/officeDocument/2006/relationships/oleObject" Target="embeddings/oleObject178.bin"/><Relationship Id="rId51" Type="http://schemas.openxmlformats.org/officeDocument/2006/relationships/image" Target="media/image20.wmf"/><Relationship Id="rId72" Type="http://schemas.openxmlformats.org/officeDocument/2006/relationships/oleObject" Target="embeddings/oleObject31.bin"/><Relationship Id="rId93" Type="http://schemas.openxmlformats.org/officeDocument/2006/relationships/oleObject" Target="embeddings/oleObject43.bin"/><Relationship Id="rId189" Type="http://schemas.openxmlformats.org/officeDocument/2006/relationships/oleObject" Target="embeddings/oleObject92.bin"/><Relationship Id="rId375" Type="http://schemas.openxmlformats.org/officeDocument/2006/relationships/oleObject" Target="embeddings/oleObject191.bin"/><Relationship Id="rId396" Type="http://schemas.openxmlformats.org/officeDocument/2006/relationships/image" Target="media/image181.wmf"/><Relationship Id="rId3" Type="http://schemas.openxmlformats.org/officeDocument/2006/relationships/styles" Target="styles.xml"/><Relationship Id="rId214" Type="http://schemas.openxmlformats.org/officeDocument/2006/relationships/oleObject" Target="embeddings/oleObject105.bin"/><Relationship Id="rId235" Type="http://schemas.openxmlformats.org/officeDocument/2006/relationships/oleObject" Target="embeddings/oleObject116.bin"/><Relationship Id="rId256" Type="http://schemas.openxmlformats.org/officeDocument/2006/relationships/image" Target="media/image118.wmf"/><Relationship Id="rId277" Type="http://schemas.openxmlformats.org/officeDocument/2006/relationships/oleObject" Target="embeddings/oleObject138.bin"/><Relationship Id="rId298" Type="http://schemas.openxmlformats.org/officeDocument/2006/relationships/oleObject" Target="embeddings/oleObject149.bin"/><Relationship Id="rId400" Type="http://schemas.openxmlformats.org/officeDocument/2006/relationships/hyperlink" Target="https://www.epa.gov/sites/production/files/2014-03/documents/sld_userguide.pdf" TargetMode="External"/><Relationship Id="rId116" Type="http://schemas.openxmlformats.org/officeDocument/2006/relationships/oleObject" Target="embeddings/oleObject55.bin"/><Relationship Id="rId137" Type="http://schemas.openxmlformats.org/officeDocument/2006/relationships/image" Target="media/image61.wmf"/><Relationship Id="rId158" Type="http://schemas.openxmlformats.org/officeDocument/2006/relationships/image" Target="media/image71.wmf"/><Relationship Id="rId302" Type="http://schemas.openxmlformats.org/officeDocument/2006/relationships/oleObject" Target="embeddings/oleObject151.bin"/><Relationship Id="rId323" Type="http://schemas.openxmlformats.org/officeDocument/2006/relationships/oleObject" Target="embeddings/oleObject162.bin"/><Relationship Id="rId344" Type="http://schemas.openxmlformats.org/officeDocument/2006/relationships/image" Target="media/image159.wmf"/><Relationship Id="rId20" Type="http://schemas.openxmlformats.org/officeDocument/2006/relationships/image" Target="media/image5.wmf"/><Relationship Id="rId41" Type="http://schemas.openxmlformats.org/officeDocument/2006/relationships/image" Target="media/image15.wmf"/><Relationship Id="rId62" Type="http://schemas.openxmlformats.org/officeDocument/2006/relationships/oleObject" Target="embeddings/oleObject26.bin"/><Relationship Id="rId83" Type="http://schemas.openxmlformats.org/officeDocument/2006/relationships/image" Target="media/image35.wmf"/><Relationship Id="rId179" Type="http://schemas.openxmlformats.org/officeDocument/2006/relationships/oleObject" Target="embeddings/oleObject87.bin"/><Relationship Id="rId365" Type="http://schemas.openxmlformats.org/officeDocument/2006/relationships/image" Target="media/image167.wmf"/><Relationship Id="rId386" Type="http://schemas.openxmlformats.org/officeDocument/2006/relationships/image" Target="media/image177.wmf"/><Relationship Id="rId190" Type="http://schemas.openxmlformats.org/officeDocument/2006/relationships/image" Target="media/image87.wmf"/><Relationship Id="rId204" Type="http://schemas.openxmlformats.org/officeDocument/2006/relationships/image" Target="media/image94.wmf"/><Relationship Id="rId225" Type="http://schemas.openxmlformats.org/officeDocument/2006/relationships/image" Target="media/image104.wmf"/><Relationship Id="rId246" Type="http://schemas.openxmlformats.org/officeDocument/2006/relationships/image" Target="media/image113.wmf"/><Relationship Id="rId267" Type="http://schemas.openxmlformats.org/officeDocument/2006/relationships/oleObject" Target="embeddings/oleObject133.bin"/><Relationship Id="rId288" Type="http://schemas.openxmlformats.org/officeDocument/2006/relationships/image" Target="media/image134.wmf"/><Relationship Id="rId106" Type="http://schemas.openxmlformats.org/officeDocument/2006/relationships/image" Target="media/image46.wmf"/><Relationship Id="rId127" Type="http://schemas.openxmlformats.org/officeDocument/2006/relationships/image" Target="media/image56.wmf"/><Relationship Id="rId313" Type="http://schemas.openxmlformats.org/officeDocument/2006/relationships/image" Target="media/image146.wmf"/><Relationship Id="rId10" Type="http://schemas.openxmlformats.org/officeDocument/2006/relationships/footer" Target="footer1.xml"/><Relationship Id="rId31" Type="http://schemas.openxmlformats.org/officeDocument/2006/relationships/oleObject" Target="embeddings/oleObject10.bin"/><Relationship Id="rId52" Type="http://schemas.openxmlformats.org/officeDocument/2006/relationships/oleObject" Target="embeddings/oleObject21.bin"/><Relationship Id="rId73" Type="http://schemas.openxmlformats.org/officeDocument/2006/relationships/image" Target="media/image31.wmf"/><Relationship Id="rId94" Type="http://schemas.openxmlformats.org/officeDocument/2006/relationships/image" Target="media/image40.wmf"/><Relationship Id="rId148" Type="http://schemas.openxmlformats.org/officeDocument/2006/relationships/oleObject" Target="embeddings/oleObject71.bin"/><Relationship Id="rId169" Type="http://schemas.openxmlformats.org/officeDocument/2006/relationships/oleObject" Target="embeddings/oleObject82.bin"/><Relationship Id="rId334" Type="http://schemas.openxmlformats.org/officeDocument/2006/relationships/oleObject" Target="embeddings/oleObject167.bin"/><Relationship Id="rId355" Type="http://schemas.openxmlformats.org/officeDocument/2006/relationships/oleObject" Target="embeddings/oleObject179.bin"/><Relationship Id="rId376" Type="http://schemas.openxmlformats.org/officeDocument/2006/relationships/image" Target="media/image172.wmf"/><Relationship Id="rId397" Type="http://schemas.openxmlformats.org/officeDocument/2006/relationships/oleObject" Target="embeddings/oleObject203.bin"/><Relationship Id="rId4" Type="http://schemas.openxmlformats.org/officeDocument/2006/relationships/settings" Target="settings.xml"/><Relationship Id="rId180" Type="http://schemas.openxmlformats.org/officeDocument/2006/relationships/image" Target="media/image82.wmf"/><Relationship Id="rId215" Type="http://schemas.openxmlformats.org/officeDocument/2006/relationships/image" Target="media/image99.wmf"/><Relationship Id="rId236" Type="http://schemas.openxmlformats.org/officeDocument/2006/relationships/image" Target="media/image109.wmf"/><Relationship Id="rId257" Type="http://schemas.openxmlformats.org/officeDocument/2006/relationships/oleObject" Target="embeddings/oleObject128.bin"/><Relationship Id="rId278" Type="http://schemas.openxmlformats.org/officeDocument/2006/relationships/image" Target="media/image129.wmf"/><Relationship Id="rId401" Type="http://schemas.openxmlformats.org/officeDocument/2006/relationships/hyperlink" Target="https://censusreporter.org/profiles/31000US12420-austin-round-rock-tx-metro-area/" TargetMode="External"/><Relationship Id="rId303" Type="http://schemas.openxmlformats.org/officeDocument/2006/relationships/image" Target="media/image141.wmf"/><Relationship Id="rId42" Type="http://schemas.openxmlformats.org/officeDocument/2006/relationships/oleObject" Target="embeddings/oleObject16.bin"/><Relationship Id="rId84" Type="http://schemas.openxmlformats.org/officeDocument/2006/relationships/oleObject" Target="embeddings/oleObject38.bin"/><Relationship Id="rId138" Type="http://schemas.openxmlformats.org/officeDocument/2006/relationships/oleObject" Target="embeddings/oleObject66.bin"/><Relationship Id="rId345" Type="http://schemas.openxmlformats.org/officeDocument/2006/relationships/oleObject" Target="embeddings/oleObject174.bin"/><Relationship Id="rId387" Type="http://schemas.openxmlformats.org/officeDocument/2006/relationships/oleObject" Target="embeddings/oleObject197.bin"/><Relationship Id="rId191" Type="http://schemas.openxmlformats.org/officeDocument/2006/relationships/oleObject" Target="embeddings/oleObject93.bin"/><Relationship Id="rId205" Type="http://schemas.openxmlformats.org/officeDocument/2006/relationships/oleObject" Target="embeddings/oleObject100.bin"/><Relationship Id="rId247" Type="http://schemas.openxmlformats.org/officeDocument/2006/relationships/oleObject" Target="embeddings/oleObject123.bin"/><Relationship Id="rId107" Type="http://schemas.openxmlformats.org/officeDocument/2006/relationships/oleObject" Target="embeddings/oleObject50.bin"/><Relationship Id="rId289" Type="http://schemas.openxmlformats.org/officeDocument/2006/relationships/oleObject" Target="embeddings/oleObject144.bin"/><Relationship Id="rId11" Type="http://schemas.openxmlformats.org/officeDocument/2006/relationships/footer" Target="footer2.xml"/><Relationship Id="rId53" Type="http://schemas.openxmlformats.org/officeDocument/2006/relationships/image" Target="media/image21.wmf"/><Relationship Id="rId149" Type="http://schemas.openxmlformats.org/officeDocument/2006/relationships/oleObject" Target="embeddings/oleObject72.bin"/><Relationship Id="rId314" Type="http://schemas.openxmlformats.org/officeDocument/2006/relationships/oleObject" Target="embeddings/oleObject157.bin"/><Relationship Id="rId356" Type="http://schemas.openxmlformats.org/officeDocument/2006/relationships/oleObject" Target="embeddings/oleObject180.bin"/><Relationship Id="rId398" Type="http://schemas.openxmlformats.org/officeDocument/2006/relationships/hyperlink" Target="https://www.austintexas.gov/news/austin-numbers-city-releases-tract-level-analysis-2020-census-data-austin-metro-service-area" TargetMode="External"/><Relationship Id="rId95" Type="http://schemas.openxmlformats.org/officeDocument/2006/relationships/oleObject" Target="embeddings/oleObject44.bin"/><Relationship Id="rId160" Type="http://schemas.openxmlformats.org/officeDocument/2006/relationships/image" Target="media/image72.wmf"/><Relationship Id="rId216" Type="http://schemas.openxmlformats.org/officeDocument/2006/relationships/oleObject" Target="embeddings/oleObject106.bin"/><Relationship Id="rId258" Type="http://schemas.openxmlformats.org/officeDocument/2006/relationships/image" Target="media/image119.wmf"/><Relationship Id="rId22" Type="http://schemas.openxmlformats.org/officeDocument/2006/relationships/image" Target="media/image6.wmf"/><Relationship Id="rId64" Type="http://schemas.openxmlformats.org/officeDocument/2006/relationships/oleObject" Target="embeddings/oleObject27.bin"/><Relationship Id="rId118" Type="http://schemas.openxmlformats.org/officeDocument/2006/relationships/oleObject" Target="embeddings/oleObject56.bin"/><Relationship Id="rId325" Type="http://schemas.openxmlformats.org/officeDocument/2006/relationships/oleObject" Target="embeddings/oleObject163.bin"/><Relationship Id="rId367" Type="http://schemas.openxmlformats.org/officeDocument/2006/relationships/image" Target="media/image168.wmf"/><Relationship Id="rId171" Type="http://schemas.openxmlformats.org/officeDocument/2006/relationships/oleObject" Target="embeddings/oleObject83.bin"/><Relationship Id="rId227" Type="http://schemas.openxmlformats.org/officeDocument/2006/relationships/image" Target="media/image105.wmf"/><Relationship Id="rId269" Type="http://schemas.openxmlformats.org/officeDocument/2006/relationships/oleObject" Target="embeddings/oleObject134.bin"/><Relationship Id="rId33" Type="http://schemas.openxmlformats.org/officeDocument/2006/relationships/oleObject" Target="embeddings/oleObject11.bin"/><Relationship Id="rId129" Type="http://schemas.openxmlformats.org/officeDocument/2006/relationships/image" Target="media/image57.wmf"/><Relationship Id="rId280" Type="http://schemas.openxmlformats.org/officeDocument/2006/relationships/image" Target="media/image130.wmf"/><Relationship Id="rId336" Type="http://schemas.openxmlformats.org/officeDocument/2006/relationships/oleObject" Target="embeddings/oleObject169.bin"/><Relationship Id="rId75" Type="http://schemas.openxmlformats.org/officeDocument/2006/relationships/image" Target="media/image32.wmf"/><Relationship Id="rId140" Type="http://schemas.openxmlformats.org/officeDocument/2006/relationships/oleObject" Target="embeddings/oleObject67.bin"/><Relationship Id="rId182" Type="http://schemas.openxmlformats.org/officeDocument/2006/relationships/image" Target="media/image83.wmf"/><Relationship Id="rId378" Type="http://schemas.openxmlformats.org/officeDocument/2006/relationships/image" Target="media/image173.wmf"/><Relationship Id="rId403" Type="http://schemas.openxmlformats.org/officeDocument/2006/relationships/theme" Target="theme/theme1.xml"/><Relationship Id="rId6" Type="http://schemas.openxmlformats.org/officeDocument/2006/relationships/footnotes" Target="footnotes.xml"/><Relationship Id="rId238" Type="http://schemas.openxmlformats.org/officeDocument/2006/relationships/image" Target="media/image110.wmf"/><Relationship Id="rId291" Type="http://schemas.openxmlformats.org/officeDocument/2006/relationships/oleObject" Target="embeddings/oleObject145.bin"/><Relationship Id="rId305" Type="http://schemas.openxmlformats.org/officeDocument/2006/relationships/image" Target="media/image142.wmf"/><Relationship Id="rId347" Type="http://schemas.openxmlformats.org/officeDocument/2006/relationships/oleObject" Target="embeddings/oleObject175.bin"/><Relationship Id="rId44" Type="http://schemas.openxmlformats.org/officeDocument/2006/relationships/oleObject" Target="embeddings/oleObject17.bin"/><Relationship Id="rId86" Type="http://schemas.openxmlformats.org/officeDocument/2006/relationships/oleObject" Target="embeddings/oleObject39.bin"/><Relationship Id="rId151" Type="http://schemas.openxmlformats.org/officeDocument/2006/relationships/oleObject" Target="embeddings/oleObject73.bin"/><Relationship Id="rId389" Type="http://schemas.openxmlformats.org/officeDocument/2006/relationships/oleObject" Target="embeddings/oleObject198.bin"/><Relationship Id="rId193" Type="http://schemas.openxmlformats.org/officeDocument/2006/relationships/oleObject" Target="embeddings/oleObject94.bin"/><Relationship Id="rId207" Type="http://schemas.openxmlformats.org/officeDocument/2006/relationships/oleObject" Target="embeddings/oleObject101.bin"/><Relationship Id="rId249" Type="http://schemas.openxmlformats.org/officeDocument/2006/relationships/oleObject" Target="embeddings/oleObject124.bin"/><Relationship Id="rId13" Type="http://schemas.openxmlformats.org/officeDocument/2006/relationships/oleObject" Target="embeddings/oleObject1.bin"/><Relationship Id="rId109" Type="http://schemas.openxmlformats.org/officeDocument/2006/relationships/oleObject" Target="embeddings/oleObject51.bin"/><Relationship Id="rId260" Type="http://schemas.openxmlformats.org/officeDocument/2006/relationships/image" Target="media/image120.wmf"/><Relationship Id="rId316" Type="http://schemas.openxmlformats.org/officeDocument/2006/relationships/oleObject" Target="embeddings/oleObject158.bin"/><Relationship Id="rId55" Type="http://schemas.openxmlformats.org/officeDocument/2006/relationships/image" Target="media/image22.wmf"/><Relationship Id="rId97" Type="http://schemas.openxmlformats.org/officeDocument/2006/relationships/oleObject" Target="embeddings/oleObject45.bin"/><Relationship Id="rId120" Type="http://schemas.openxmlformats.org/officeDocument/2006/relationships/oleObject" Target="embeddings/oleObject57.bin"/><Relationship Id="rId358" Type="http://schemas.openxmlformats.org/officeDocument/2006/relationships/oleObject" Target="embeddings/oleObject181.bin"/><Relationship Id="rId162" Type="http://schemas.openxmlformats.org/officeDocument/2006/relationships/image" Target="media/image73.wmf"/><Relationship Id="rId218" Type="http://schemas.openxmlformats.org/officeDocument/2006/relationships/oleObject" Target="embeddings/oleObject107.bin"/><Relationship Id="rId271" Type="http://schemas.openxmlformats.org/officeDocument/2006/relationships/oleObject" Target="embeddings/oleObject135.bin"/><Relationship Id="rId24" Type="http://schemas.openxmlformats.org/officeDocument/2006/relationships/image" Target="media/image7.wmf"/><Relationship Id="rId66" Type="http://schemas.openxmlformats.org/officeDocument/2006/relationships/oleObject" Target="embeddings/oleObject28.bin"/><Relationship Id="rId131" Type="http://schemas.openxmlformats.org/officeDocument/2006/relationships/image" Target="media/image58.wmf"/><Relationship Id="rId327" Type="http://schemas.openxmlformats.org/officeDocument/2006/relationships/oleObject" Target="embeddings/oleObject164.bin"/><Relationship Id="rId369" Type="http://schemas.openxmlformats.org/officeDocument/2006/relationships/image" Target="media/image169.wmf"/><Relationship Id="rId173" Type="http://schemas.openxmlformats.org/officeDocument/2006/relationships/oleObject" Target="embeddings/oleObject84.bin"/><Relationship Id="rId229" Type="http://schemas.openxmlformats.org/officeDocument/2006/relationships/image" Target="media/image106.wmf"/><Relationship Id="rId380" Type="http://schemas.openxmlformats.org/officeDocument/2006/relationships/image" Target="media/image174.wmf"/><Relationship Id="rId240" Type="http://schemas.openxmlformats.org/officeDocument/2006/relationships/oleObject" Target="embeddings/oleObject119.bin"/><Relationship Id="rId35" Type="http://schemas.openxmlformats.org/officeDocument/2006/relationships/oleObject" Target="embeddings/oleObject12.bin"/><Relationship Id="rId77" Type="http://schemas.openxmlformats.org/officeDocument/2006/relationships/oleObject" Target="embeddings/oleObject34.bin"/><Relationship Id="rId100" Type="http://schemas.openxmlformats.org/officeDocument/2006/relationships/image" Target="media/image43.wmf"/><Relationship Id="rId282" Type="http://schemas.openxmlformats.org/officeDocument/2006/relationships/image" Target="media/image131.wmf"/><Relationship Id="rId338" Type="http://schemas.openxmlformats.org/officeDocument/2006/relationships/image" Target="media/image156.wmf"/><Relationship Id="rId8" Type="http://schemas.openxmlformats.org/officeDocument/2006/relationships/hyperlink" Target="mailto:aupal.mondal@utexas.edu" TargetMode="External"/><Relationship Id="rId142" Type="http://schemas.openxmlformats.org/officeDocument/2006/relationships/oleObject" Target="embeddings/oleObject68.bin"/><Relationship Id="rId184" Type="http://schemas.openxmlformats.org/officeDocument/2006/relationships/image" Target="media/image84.wmf"/><Relationship Id="rId391" Type="http://schemas.openxmlformats.org/officeDocument/2006/relationships/oleObject" Target="embeddings/oleObject199.bin"/><Relationship Id="rId251" Type="http://schemas.openxmlformats.org/officeDocument/2006/relationships/oleObject" Target="embeddings/oleObject125.bin"/><Relationship Id="rId46" Type="http://schemas.openxmlformats.org/officeDocument/2006/relationships/oleObject" Target="embeddings/oleObject18.bin"/><Relationship Id="rId293" Type="http://schemas.openxmlformats.org/officeDocument/2006/relationships/oleObject" Target="embeddings/oleObject146.bin"/><Relationship Id="rId307" Type="http://schemas.openxmlformats.org/officeDocument/2006/relationships/image" Target="media/image143.wmf"/><Relationship Id="rId349" Type="http://schemas.openxmlformats.org/officeDocument/2006/relationships/oleObject" Target="embeddings/oleObject176.bin"/><Relationship Id="rId88" Type="http://schemas.openxmlformats.org/officeDocument/2006/relationships/oleObject" Target="embeddings/oleObject40.bin"/><Relationship Id="rId111" Type="http://schemas.openxmlformats.org/officeDocument/2006/relationships/oleObject" Target="embeddings/oleObject52.bin"/><Relationship Id="rId153" Type="http://schemas.openxmlformats.org/officeDocument/2006/relationships/oleObject" Target="embeddings/oleObject74.bin"/><Relationship Id="rId195" Type="http://schemas.openxmlformats.org/officeDocument/2006/relationships/oleObject" Target="embeddings/oleObject95.bin"/><Relationship Id="rId209" Type="http://schemas.openxmlformats.org/officeDocument/2006/relationships/image" Target="media/image96.wmf"/><Relationship Id="rId360" Type="http://schemas.openxmlformats.org/officeDocument/2006/relationships/oleObject" Target="embeddings/oleObject183.bin"/><Relationship Id="rId220" Type="http://schemas.openxmlformats.org/officeDocument/2006/relationships/oleObject" Target="embeddings/oleObject108.bin"/><Relationship Id="rId15" Type="http://schemas.openxmlformats.org/officeDocument/2006/relationships/oleObject" Target="embeddings/oleObject2.bin"/><Relationship Id="rId57" Type="http://schemas.openxmlformats.org/officeDocument/2006/relationships/image" Target="media/image23.wmf"/><Relationship Id="rId262" Type="http://schemas.openxmlformats.org/officeDocument/2006/relationships/image" Target="media/image121.wmf"/><Relationship Id="rId318" Type="http://schemas.openxmlformats.org/officeDocument/2006/relationships/oleObject" Target="embeddings/oleObject159.bin"/><Relationship Id="rId99" Type="http://schemas.openxmlformats.org/officeDocument/2006/relationships/oleObject" Target="embeddings/oleObject46.bin"/><Relationship Id="rId122" Type="http://schemas.openxmlformats.org/officeDocument/2006/relationships/oleObject" Target="embeddings/oleObject58.bin"/><Relationship Id="rId164" Type="http://schemas.openxmlformats.org/officeDocument/2006/relationships/image" Target="media/image74.wmf"/><Relationship Id="rId371" Type="http://schemas.openxmlformats.org/officeDocument/2006/relationships/oleObject" Target="embeddings/oleObject189.bin"/><Relationship Id="rId26" Type="http://schemas.openxmlformats.org/officeDocument/2006/relationships/image" Target="media/image8.wmf"/><Relationship Id="rId231" Type="http://schemas.openxmlformats.org/officeDocument/2006/relationships/image" Target="media/image107.wmf"/><Relationship Id="rId273" Type="http://schemas.openxmlformats.org/officeDocument/2006/relationships/oleObject" Target="embeddings/oleObject136.bin"/><Relationship Id="rId329" Type="http://schemas.openxmlformats.org/officeDocument/2006/relationships/oleObject" Target="embeddings/oleObject165.bin"/><Relationship Id="rId68" Type="http://schemas.openxmlformats.org/officeDocument/2006/relationships/oleObject" Target="embeddings/oleObject29.bin"/><Relationship Id="rId133" Type="http://schemas.openxmlformats.org/officeDocument/2006/relationships/image" Target="media/image59.wmf"/><Relationship Id="rId175" Type="http://schemas.openxmlformats.org/officeDocument/2006/relationships/oleObject" Target="embeddings/oleObject85.bin"/><Relationship Id="rId340" Type="http://schemas.openxmlformats.org/officeDocument/2006/relationships/image" Target="media/image157.wmf"/><Relationship Id="rId200" Type="http://schemas.openxmlformats.org/officeDocument/2006/relationships/image" Target="media/image92.wmf"/><Relationship Id="rId382" Type="http://schemas.openxmlformats.org/officeDocument/2006/relationships/image" Target="media/image175.wmf"/><Relationship Id="rId242" Type="http://schemas.openxmlformats.org/officeDocument/2006/relationships/image" Target="media/image111.wmf"/><Relationship Id="rId284" Type="http://schemas.openxmlformats.org/officeDocument/2006/relationships/image" Target="media/image132.wmf"/><Relationship Id="rId37" Type="http://schemas.openxmlformats.org/officeDocument/2006/relationships/oleObject" Target="embeddings/oleObject13.bin"/><Relationship Id="rId79" Type="http://schemas.openxmlformats.org/officeDocument/2006/relationships/image" Target="media/image33.wmf"/><Relationship Id="rId102" Type="http://schemas.openxmlformats.org/officeDocument/2006/relationships/image" Target="media/image44.wmf"/><Relationship Id="rId144" Type="http://schemas.openxmlformats.org/officeDocument/2006/relationships/oleObject" Target="embeddings/oleObject6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08872-7005-4E42-9442-58469341B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14651</Words>
  <Characters>83511</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Mondal, Aupal</dc:creator>
  <cp:keywords/>
  <dc:description/>
  <cp:lastModifiedBy>Macias, Lisa J</cp:lastModifiedBy>
  <cp:revision>3</cp:revision>
  <cp:lastPrinted>2022-12-04T20:40:00Z</cp:lastPrinted>
  <dcterms:created xsi:type="dcterms:W3CDTF">2022-12-21T00:54:00Z</dcterms:created>
  <dcterms:modified xsi:type="dcterms:W3CDTF">2023-02-17T21:56:00Z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25908993584f78cc7aaa5264c8686ae5848383475ec682ce4c551d7cee48eab0</vt:lpwstr>
  </property>
  <property fmtid="{D5CDD505-2E9C-101B-9397-08002B2CF9AE}" pid="3" name="MTWinEqns">
    <vt:bool>true</vt:bool>
  </property>
</Properties>
</file>